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eastAsia="仿宋_GB2312"/>
          <w:sz w:val="36"/>
          <w:szCs w:val="36"/>
        </w:rPr>
      </w:pPr>
      <w:bookmarkStart w:id="0" w:name="_Hlk57883707"/>
    </w:p>
    <w:p>
      <w:pPr>
        <w:adjustRightInd w:val="0"/>
        <w:snapToGrid w:val="0"/>
        <w:jc w:val="center"/>
        <w:outlineLvl w:val="0"/>
        <w:rPr>
          <w:rFonts w:eastAsia="方正小标宋_GBK"/>
          <w:bCs/>
          <w:sz w:val="72"/>
          <w:szCs w:val="72"/>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line="288" w:lineRule="auto"/>
        <w:ind w:firstLine="880"/>
        <w:jc w:val="center"/>
        <w:outlineLvl w:val="0"/>
        <w:rPr>
          <w:rFonts w:eastAsia="华文仿宋"/>
          <w:kern w:val="44"/>
          <w:sz w:val="44"/>
          <w:szCs w:val="44"/>
        </w:rPr>
      </w:pPr>
      <w:bookmarkStart w:id="1" w:name="_Hlk57883728"/>
    </w:p>
    <w:p>
      <w:pPr>
        <w:ind w:firstLine="1040"/>
        <w:jc w:val="center"/>
        <w:rPr>
          <w:rFonts w:eastAsia="仿宋"/>
          <w:sz w:val="52"/>
          <w:szCs w:val="52"/>
        </w:rPr>
      </w:pPr>
    </w:p>
    <w:p>
      <w:pPr>
        <w:rPr>
          <w:rFonts w:eastAsia="仿宋"/>
          <w:sz w:val="44"/>
          <w:szCs w:val="44"/>
        </w:rPr>
      </w:pPr>
    </w:p>
    <w:p>
      <w:pPr>
        <w:ind w:firstLine="880"/>
        <w:rPr>
          <w:rFonts w:eastAsia="仿宋"/>
          <w:sz w:val="44"/>
          <w:szCs w:val="44"/>
        </w:rPr>
      </w:pPr>
    </w:p>
    <w:p>
      <w:pPr>
        <w:ind w:firstLine="880"/>
        <w:rPr>
          <w:rFonts w:eastAsia="仿宋"/>
          <w:sz w:val="44"/>
          <w:szCs w:val="44"/>
        </w:rPr>
      </w:pPr>
    </w:p>
    <w:p>
      <w:pPr>
        <w:ind w:firstLine="880"/>
        <w:rPr>
          <w:rFonts w:eastAsia="仿宋"/>
          <w:sz w:val="44"/>
          <w:szCs w:val="44"/>
        </w:rPr>
      </w:pPr>
    </w:p>
    <w:bookmarkEnd w:id="1"/>
    <w:p>
      <w:pPr>
        <w:adjustRightInd w:val="0"/>
        <w:snapToGrid w:val="0"/>
        <w:spacing w:line="288" w:lineRule="auto"/>
        <w:ind w:left="2518" w:leftChars="342" w:hanging="1800" w:hangingChars="500"/>
        <w:rPr>
          <w:rFonts w:hAnsi="宋体" w:cs="宋体"/>
          <w:spacing w:val="-18"/>
          <w:sz w:val="36"/>
          <w:szCs w:val="36"/>
          <w:u w:val="single"/>
        </w:rPr>
      </w:pPr>
      <w:r>
        <w:rPr>
          <w:rFonts w:hint="eastAsia" w:hAnsi="宋体" w:cs="宋体"/>
          <w:sz w:val="36"/>
          <w:szCs w:val="36"/>
        </w:rPr>
        <w:t>项目名称：</w:t>
      </w:r>
      <w:r>
        <w:rPr>
          <w:rFonts w:hint="eastAsia" w:hAnsi="宋体" w:cs="宋体"/>
          <w:snapToGrid w:val="0"/>
          <w:kern w:val="0"/>
          <w:sz w:val="32"/>
          <w:szCs w:val="32"/>
          <w:u w:val="single"/>
        </w:rPr>
        <w:t>承德县源网</w:t>
      </w:r>
      <w:r>
        <w:rPr>
          <w:rFonts w:hint="eastAsia" w:hAnsi="宋体" w:cs="宋体"/>
          <w:snapToGrid w:val="0"/>
          <w:kern w:val="0"/>
          <w:sz w:val="32"/>
          <w:szCs w:val="32"/>
          <w:highlight w:val="none"/>
          <w:u w:val="single"/>
        </w:rPr>
        <w:t>荷储一体化和多能互补示范项目  （220kV升压站工程）变更</w:t>
      </w:r>
    </w:p>
    <w:p>
      <w:pPr>
        <w:adjustRightInd w:val="0"/>
        <w:snapToGrid w:val="0"/>
        <w:spacing w:line="288" w:lineRule="auto"/>
        <w:ind w:firstLine="720"/>
        <w:rPr>
          <w:rFonts w:hAnsi="宋体" w:cs="宋体"/>
          <w:sz w:val="36"/>
          <w:szCs w:val="36"/>
          <w:u w:val="single"/>
        </w:rPr>
      </w:pPr>
      <w:r>
        <w:rPr>
          <w:rFonts w:hint="eastAsia" w:hAnsi="宋体" w:cs="宋体"/>
          <w:sz w:val="36"/>
          <w:szCs w:val="36"/>
        </w:rPr>
        <w:t>建设单位（盖章）：</w:t>
      </w:r>
      <w:r>
        <w:rPr>
          <w:rFonts w:hint="eastAsia" w:hAnsi="宋体" w:cs="宋体"/>
          <w:spacing w:val="-10"/>
          <w:sz w:val="32"/>
          <w:szCs w:val="32"/>
          <w:u w:val="single"/>
        </w:rPr>
        <w:t>承德卓云信息科技有限公司</w:t>
      </w:r>
    </w:p>
    <w:p>
      <w:pPr>
        <w:adjustRightInd w:val="0"/>
        <w:snapToGrid w:val="0"/>
        <w:spacing w:line="288" w:lineRule="auto"/>
        <w:ind w:firstLine="720"/>
        <w:rPr>
          <w:rFonts w:eastAsia="仿宋_GB2312"/>
          <w:sz w:val="36"/>
          <w:szCs w:val="36"/>
          <w:u w:val="single"/>
        </w:rPr>
      </w:pPr>
      <w:r>
        <w:rPr>
          <w:rFonts w:hint="eastAsia" w:hAnsi="宋体" w:cs="宋体"/>
          <w:sz w:val="36"/>
          <w:szCs w:val="36"/>
        </w:rPr>
        <w:t>编制日期：</w:t>
      </w:r>
      <w:r>
        <w:rPr>
          <w:rFonts w:hint="eastAsia" w:hAnsi="宋体" w:cs="宋体"/>
          <w:sz w:val="36"/>
          <w:szCs w:val="36"/>
          <w:u w:val="single"/>
        </w:rPr>
        <w:t xml:space="preserve">2024年11月      </w:t>
      </w:r>
      <w:r>
        <w:rPr>
          <w:sz w:val="36"/>
          <w:szCs w:val="36"/>
          <w:u w:val="single"/>
        </w:rPr>
        <w:t xml:space="preserve"> </w:t>
      </w:r>
    </w:p>
    <w:p>
      <w:pPr>
        <w:adjustRightInd w:val="0"/>
        <w:snapToGrid w:val="0"/>
        <w:spacing w:line="288" w:lineRule="auto"/>
        <w:ind w:firstLine="720"/>
        <w:rPr>
          <w:rFonts w:eastAsia="仿宋_GB2312"/>
          <w:sz w:val="36"/>
          <w:szCs w:val="36"/>
          <w:u w:val="single"/>
        </w:rPr>
      </w:pPr>
    </w:p>
    <w:p>
      <w:pPr>
        <w:adjustRightInd w:val="0"/>
        <w:snapToGrid w:val="0"/>
        <w:spacing w:line="288" w:lineRule="auto"/>
        <w:ind w:firstLine="720"/>
        <w:rPr>
          <w:rFonts w:eastAsia="仿宋_GB2312"/>
          <w:sz w:val="36"/>
          <w:szCs w:val="36"/>
        </w:rPr>
      </w:pPr>
    </w:p>
    <w:p>
      <w:pPr>
        <w:adjustRightInd w:val="0"/>
        <w:snapToGrid w:val="0"/>
        <w:spacing w:line="288" w:lineRule="auto"/>
        <w:ind w:firstLine="720"/>
        <w:rPr>
          <w:rFonts w:eastAsia="仿宋_GB2312"/>
          <w:sz w:val="36"/>
          <w:szCs w:val="36"/>
        </w:rPr>
      </w:pPr>
    </w:p>
    <w:p>
      <w:pPr>
        <w:adjustRightInd w:val="0"/>
        <w:snapToGrid w:val="0"/>
        <w:spacing w:line="288" w:lineRule="auto"/>
        <w:ind w:firstLine="720"/>
        <w:rPr>
          <w:rFonts w:eastAsia="仿宋_GB2312"/>
          <w:sz w:val="36"/>
          <w:szCs w:val="36"/>
        </w:rPr>
      </w:pPr>
    </w:p>
    <w:p>
      <w:pPr>
        <w:adjustRightInd w:val="0"/>
        <w:snapToGrid w:val="0"/>
        <w:spacing w:line="288" w:lineRule="auto"/>
        <w:ind w:firstLine="720"/>
        <w:rPr>
          <w:rFonts w:eastAsia="仿宋_GB2312"/>
          <w:sz w:val="36"/>
          <w:szCs w:val="36"/>
        </w:rPr>
      </w:pPr>
    </w:p>
    <w:p>
      <w:pPr>
        <w:adjustRightInd w:val="0"/>
        <w:snapToGrid w:val="0"/>
        <w:spacing w:line="288" w:lineRule="auto"/>
        <w:ind w:firstLine="720"/>
        <w:jc w:val="center"/>
        <w:rPr>
          <w:rFonts w:eastAsia="楷体_GB2312"/>
          <w:sz w:val="36"/>
          <w:szCs w:val="36"/>
        </w:rPr>
        <w:sectPr>
          <w:headerReference r:id="rId3" w:type="default"/>
          <w:footerReference r:id="rId4" w:type="default"/>
          <w:footerReference r:id="rId5" w:type="even"/>
          <w:pgSz w:w="11906" w:h="16838"/>
          <w:pgMar w:top="1701" w:right="1531" w:bottom="1701" w:left="1531" w:header="851" w:footer="1077" w:gutter="0"/>
          <w:pgNumType w:start="21"/>
          <w:cols w:space="720" w:num="1"/>
          <w:docGrid w:linePitch="312" w:charSpace="0"/>
        </w:sectPr>
      </w:pPr>
      <w:r>
        <w:rPr>
          <w:rFonts w:eastAsia="楷体_GB2312"/>
          <w:sz w:val="36"/>
          <w:szCs w:val="36"/>
        </w:rPr>
        <w:t>中华人民共和国生态环境部</w:t>
      </w:r>
      <w:r>
        <w:rPr>
          <w:rFonts w:hint="eastAsia" w:eastAsia="楷体_GB2312"/>
          <w:sz w:val="36"/>
          <w:szCs w:val="36"/>
        </w:rPr>
        <w:t>制</w:t>
      </w:r>
    </w:p>
    <w:bookmarkEnd w:id="0"/>
    <w:p>
      <w:pPr>
        <w:pStyle w:val="93"/>
        <w:spacing w:before="120" w:after="120" w:line="240" w:lineRule="auto"/>
        <w:jc w:val="center"/>
        <w:outlineLvl w:val="0"/>
        <w:rPr>
          <w:rFonts w:ascii="Times New Roman" w:hAnsi="Times New Roman" w:eastAsia="宋体"/>
          <w:b/>
          <w:color w:val="auto"/>
          <w:sz w:val="56"/>
          <w:szCs w:val="48"/>
        </w:rPr>
      </w:pPr>
      <w:bookmarkStart w:id="2" w:name="_Toc157070549"/>
      <w:r>
        <w:rPr>
          <w:rFonts w:ascii="Times New Roman" w:hAnsi="Times New Roman" w:eastAsia="宋体"/>
          <w:b/>
          <w:color w:val="auto"/>
          <w:sz w:val="56"/>
          <w:szCs w:val="48"/>
          <w:lang w:val="zh-CN"/>
        </w:rPr>
        <w:t>目  录</w:t>
      </w:r>
      <w:bookmarkEnd w:id="2"/>
    </w:p>
    <w:p>
      <w:pPr>
        <w:pStyle w:val="34"/>
        <w:tabs>
          <w:tab w:val="right" w:leader="dot" w:pos="9374"/>
        </w:tabs>
        <w:rPr>
          <w:rFonts w:ascii="Times New Roman" w:hAnsi="Times New Roman" w:eastAsiaTheme="minorEastAsia"/>
          <w:kern w:val="2"/>
          <w:sz w:val="21"/>
        </w:rPr>
      </w:pPr>
      <w:r>
        <w:rPr>
          <w:rFonts w:ascii="Times New Roman" w:hAnsi="Times New Roman" w:eastAsia="宋体"/>
          <w:b/>
          <w:bCs/>
          <w:sz w:val="32"/>
          <w:szCs w:val="24"/>
        </w:rPr>
        <w:fldChar w:fldCharType="begin"/>
      </w:r>
      <w:r>
        <w:rPr>
          <w:rFonts w:ascii="Times New Roman" w:hAnsi="Times New Roman" w:eastAsia="宋体"/>
          <w:b/>
          <w:bCs/>
          <w:sz w:val="32"/>
          <w:szCs w:val="24"/>
        </w:rPr>
        <w:instrText xml:space="preserve"> TOC \o "1-3" \h \z \u </w:instrText>
      </w:r>
      <w:r>
        <w:rPr>
          <w:rFonts w:ascii="Times New Roman" w:hAnsi="Times New Roman" w:eastAsia="宋体"/>
          <w:b/>
          <w:bCs/>
          <w:sz w:val="32"/>
          <w:szCs w:val="24"/>
        </w:rPr>
        <w:fldChar w:fldCharType="separate"/>
      </w:r>
    </w:p>
    <w:p>
      <w:pPr>
        <w:pStyle w:val="34"/>
        <w:tabs>
          <w:tab w:val="right" w:leader="dot" w:pos="9374"/>
        </w:tabs>
        <w:rPr>
          <w:rFonts w:ascii="Times New Roman" w:hAnsi="Times New Roman" w:eastAsiaTheme="minorEastAsia"/>
          <w:kern w:val="2"/>
          <w:sz w:val="24"/>
          <w:szCs w:val="28"/>
        </w:rPr>
      </w:pPr>
      <w:r>
        <w:fldChar w:fldCharType="begin"/>
      </w:r>
      <w:r>
        <w:instrText xml:space="preserve"> HYPERLINK \l "_Toc157070559" </w:instrText>
      </w:r>
      <w:r>
        <w:fldChar w:fldCharType="separate"/>
      </w:r>
      <w:r>
        <w:rPr>
          <w:rStyle w:val="61"/>
          <w:rFonts w:ascii="Times New Roman" w:hAnsi="Times New Roman"/>
          <w:b/>
          <w:bCs/>
          <w:snapToGrid w:val="0"/>
          <w:color w:val="auto"/>
          <w:sz w:val="28"/>
          <w:szCs w:val="28"/>
        </w:rPr>
        <w:t>一、建设项目基本情况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_Toc157070559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34"/>
        <w:tabs>
          <w:tab w:val="right" w:leader="dot" w:pos="9374"/>
        </w:tabs>
        <w:rPr>
          <w:rFonts w:ascii="Times New Roman" w:hAnsi="Times New Roman" w:eastAsiaTheme="minorEastAsia"/>
          <w:kern w:val="2"/>
          <w:sz w:val="24"/>
          <w:szCs w:val="28"/>
        </w:rPr>
      </w:pPr>
      <w:r>
        <w:fldChar w:fldCharType="begin"/>
      </w:r>
      <w:r>
        <w:instrText xml:space="preserve"> HYPERLINK \l "_Toc157070560" </w:instrText>
      </w:r>
      <w:r>
        <w:fldChar w:fldCharType="separate"/>
      </w:r>
      <w:r>
        <w:rPr>
          <w:rStyle w:val="61"/>
          <w:rFonts w:ascii="Times New Roman" w:hAnsi="Times New Roman"/>
          <w:b/>
          <w:bCs/>
          <w:snapToGrid w:val="0"/>
          <w:color w:val="auto"/>
          <w:sz w:val="28"/>
          <w:szCs w:val="28"/>
        </w:rPr>
        <w:t>二、建设项目工程分析</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_Toc157070560 \h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fldChar w:fldCharType="end"/>
      </w:r>
    </w:p>
    <w:p>
      <w:pPr>
        <w:pStyle w:val="34"/>
        <w:tabs>
          <w:tab w:val="right" w:leader="dot" w:pos="9374"/>
        </w:tabs>
        <w:rPr>
          <w:rFonts w:ascii="Times New Roman" w:hAnsi="Times New Roman" w:eastAsiaTheme="minorEastAsia"/>
          <w:kern w:val="2"/>
          <w:sz w:val="24"/>
          <w:szCs w:val="28"/>
        </w:rPr>
      </w:pPr>
      <w:r>
        <w:fldChar w:fldCharType="begin"/>
      </w:r>
      <w:r>
        <w:instrText xml:space="preserve"> HYPERLINK \l "_Toc157070561" </w:instrText>
      </w:r>
      <w:r>
        <w:fldChar w:fldCharType="separate"/>
      </w:r>
      <w:r>
        <w:rPr>
          <w:rStyle w:val="61"/>
          <w:rFonts w:ascii="Times New Roman" w:hAnsi="Times New Roman"/>
          <w:b/>
          <w:bCs/>
          <w:snapToGrid w:val="0"/>
          <w:color w:val="auto"/>
          <w:sz w:val="28"/>
          <w:szCs w:val="28"/>
        </w:rPr>
        <w:t>三、区域环境质量现状、环境保护目标及评价标准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_Toc157070561 \h </w:instrText>
      </w:r>
      <w:r>
        <w:rPr>
          <w:rFonts w:ascii="Times New Roman" w:hAnsi="Times New Roman"/>
          <w:sz w:val="28"/>
          <w:szCs w:val="28"/>
        </w:rPr>
        <w:fldChar w:fldCharType="separate"/>
      </w:r>
      <w:r>
        <w:rPr>
          <w:rFonts w:ascii="Times New Roman" w:hAnsi="Times New Roman"/>
          <w:sz w:val="28"/>
          <w:szCs w:val="28"/>
        </w:rPr>
        <w:t>31</w:t>
      </w:r>
      <w:r>
        <w:rPr>
          <w:rFonts w:ascii="Times New Roman" w:hAnsi="Times New Roman"/>
          <w:sz w:val="28"/>
          <w:szCs w:val="28"/>
        </w:rPr>
        <w:fldChar w:fldCharType="end"/>
      </w:r>
      <w:r>
        <w:rPr>
          <w:rFonts w:ascii="Times New Roman" w:hAnsi="Times New Roman"/>
          <w:sz w:val="28"/>
          <w:szCs w:val="28"/>
        </w:rPr>
        <w:fldChar w:fldCharType="end"/>
      </w:r>
    </w:p>
    <w:p>
      <w:pPr>
        <w:pStyle w:val="34"/>
        <w:tabs>
          <w:tab w:val="right" w:leader="dot" w:pos="9374"/>
        </w:tabs>
        <w:rPr>
          <w:rFonts w:ascii="Times New Roman" w:hAnsi="Times New Roman" w:eastAsiaTheme="minorEastAsia"/>
          <w:kern w:val="2"/>
          <w:sz w:val="24"/>
          <w:szCs w:val="28"/>
        </w:rPr>
      </w:pPr>
      <w:r>
        <w:fldChar w:fldCharType="begin"/>
      </w:r>
      <w:r>
        <w:instrText xml:space="preserve"> HYPERLINK \l "_Toc157070562" </w:instrText>
      </w:r>
      <w:r>
        <w:fldChar w:fldCharType="separate"/>
      </w:r>
      <w:r>
        <w:rPr>
          <w:rStyle w:val="61"/>
          <w:rFonts w:ascii="Times New Roman" w:hAnsi="Times New Roman"/>
          <w:b/>
          <w:bCs/>
          <w:snapToGrid w:val="0"/>
          <w:color w:val="auto"/>
          <w:sz w:val="28"/>
          <w:szCs w:val="28"/>
        </w:rPr>
        <w:t>四、主要环境影响和保护措施</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_Toc157070562 \h </w:instrText>
      </w:r>
      <w:r>
        <w:rPr>
          <w:rFonts w:ascii="Times New Roman" w:hAnsi="Times New Roman"/>
          <w:sz w:val="28"/>
          <w:szCs w:val="28"/>
        </w:rPr>
        <w:fldChar w:fldCharType="separate"/>
      </w:r>
      <w:r>
        <w:rPr>
          <w:rFonts w:ascii="Times New Roman" w:hAnsi="Times New Roman"/>
          <w:sz w:val="28"/>
          <w:szCs w:val="28"/>
        </w:rPr>
        <w:t>43</w:t>
      </w:r>
      <w:r>
        <w:rPr>
          <w:rFonts w:ascii="Times New Roman" w:hAnsi="Times New Roman"/>
          <w:sz w:val="28"/>
          <w:szCs w:val="28"/>
        </w:rPr>
        <w:fldChar w:fldCharType="end"/>
      </w:r>
      <w:r>
        <w:rPr>
          <w:rFonts w:ascii="Times New Roman" w:hAnsi="Times New Roman"/>
          <w:sz w:val="28"/>
          <w:szCs w:val="28"/>
        </w:rPr>
        <w:fldChar w:fldCharType="end"/>
      </w:r>
    </w:p>
    <w:p>
      <w:pPr>
        <w:pStyle w:val="34"/>
        <w:tabs>
          <w:tab w:val="right" w:leader="dot" w:pos="9374"/>
        </w:tabs>
        <w:rPr>
          <w:rFonts w:ascii="Times New Roman" w:hAnsi="Times New Roman" w:eastAsiaTheme="minorEastAsia"/>
          <w:kern w:val="2"/>
          <w:sz w:val="24"/>
          <w:szCs w:val="28"/>
        </w:rPr>
      </w:pPr>
      <w:r>
        <w:fldChar w:fldCharType="begin"/>
      </w:r>
      <w:r>
        <w:instrText xml:space="preserve"> HYPERLINK \l "_Toc157070563" </w:instrText>
      </w:r>
      <w:r>
        <w:fldChar w:fldCharType="separate"/>
      </w:r>
      <w:r>
        <w:rPr>
          <w:rStyle w:val="61"/>
          <w:rFonts w:ascii="Times New Roman" w:hAnsi="Times New Roman"/>
          <w:b/>
          <w:bCs/>
          <w:snapToGrid w:val="0"/>
          <w:color w:val="auto"/>
          <w:sz w:val="28"/>
          <w:szCs w:val="28"/>
        </w:rPr>
        <w:t>五、环境保护措施监督检查清单</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_Toc157070563 \h </w:instrText>
      </w:r>
      <w:r>
        <w:rPr>
          <w:rFonts w:ascii="Times New Roman" w:hAnsi="Times New Roman"/>
          <w:sz w:val="28"/>
          <w:szCs w:val="28"/>
        </w:rPr>
        <w:fldChar w:fldCharType="separate"/>
      </w:r>
      <w:r>
        <w:rPr>
          <w:rFonts w:ascii="Times New Roman" w:hAnsi="Times New Roman"/>
          <w:sz w:val="28"/>
          <w:szCs w:val="28"/>
        </w:rPr>
        <w:t>64</w:t>
      </w:r>
      <w:r>
        <w:rPr>
          <w:rFonts w:ascii="Times New Roman" w:hAnsi="Times New Roman"/>
          <w:sz w:val="28"/>
          <w:szCs w:val="28"/>
        </w:rPr>
        <w:fldChar w:fldCharType="end"/>
      </w:r>
      <w:r>
        <w:rPr>
          <w:rFonts w:ascii="Times New Roman" w:hAnsi="Times New Roman"/>
          <w:sz w:val="28"/>
          <w:szCs w:val="28"/>
        </w:rPr>
        <w:fldChar w:fldCharType="end"/>
      </w:r>
    </w:p>
    <w:p>
      <w:pPr>
        <w:pStyle w:val="34"/>
        <w:tabs>
          <w:tab w:val="right" w:leader="dot" w:pos="9374"/>
        </w:tabs>
        <w:rPr>
          <w:rFonts w:ascii="Times New Roman" w:hAnsi="Times New Roman" w:eastAsiaTheme="minorEastAsia"/>
          <w:kern w:val="2"/>
          <w:sz w:val="21"/>
        </w:rPr>
      </w:pPr>
      <w:r>
        <w:fldChar w:fldCharType="begin"/>
      </w:r>
      <w:r>
        <w:instrText xml:space="preserve"> HYPERLINK \l "_Toc157070564" </w:instrText>
      </w:r>
      <w:r>
        <w:fldChar w:fldCharType="separate"/>
      </w:r>
      <w:r>
        <w:rPr>
          <w:rStyle w:val="61"/>
          <w:rFonts w:ascii="Times New Roman" w:hAnsi="Times New Roman"/>
          <w:b/>
          <w:bCs/>
          <w:snapToGrid w:val="0"/>
          <w:color w:val="auto"/>
          <w:sz w:val="28"/>
          <w:szCs w:val="28"/>
        </w:rPr>
        <w:t>六、结论</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_Toc157070564 \h </w:instrText>
      </w:r>
      <w:r>
        <w:rPr>
          <w:rFonts w:ascii="Times New Roman" w:hAnsi="Times New Roman"/>
          <w:sz w:val="28"/>
          <w:szCs w:val="28"/>
        </w:rPr>
        <w:fldChar w:fldCharType="separate"/>
      </w:r>
      <w:r>
        <w:rPr>
          <w:rFonts w:ascii="Times New Roman" w:hAnsi="Times New Roman"/>
          <w:sz w:val="28"/>
          <w:szCs w:val="28"/>
        </w:rPr>
        <w:t>68</w:t>
      </w:r>
      <w:r>
        <w:rPr>
          <w:rFonts w:ascii="Times New Roman" w:hAnsi="Times New Roman"/>
          <w:sz w:val="28"/>
          <w:szCs w:val="28"/>
        </w:rPr>
        <w:fldChar w:fldCharType="end"/>
      </w:r>
      <w:r>
        <w:rPr>
          <w:rFonts w:ascii="Times New Roman" w:hAnsi="Times New Roman"/>
          <w:sz w:val="28"/>
          <w:szCs w:val="28"/>
        </w:rPr>
        <w:fldChar w:fldCharType="end"/>
      </w:r>
    </w:p>
    <w:p>
      <w:pPr>
        <w:pStyle w:val="34"/>
        <w:tabs>
          <w:tab w:val="right" w:leader="dot" w:pos="8834"/>
        </w:tabs>
        <w:snapToGrid w:val="0"/>
        <w:spacing w:after="0" w:line="240" w:lineRule="auto"/>
        <w:rPr>
          <w:b/>
          <w:sz w:val="28"/>
          <w:szCs w:val="28"/>
        </w:rPr>
      </w:pPr>
      <w:r>
        <w:rPr>
          <w:rFonts w:ascii="Times New Roman" w:hAnsi="Times New Roman" w:eastAsia="宋体"/>
          <w:b/>
          <w:bCs/>
          <w:sz w:val="32"/>
          <w:szCs w:val="24"/>
          <w:lang w:val="zh-CN"/>
        </w:rPr>
        <w:fldChar w:fldCharType="end"/>
      </w:r>
      <w:r>
        <w:rPr>
          <w:b/>
          <w:sz w:val="28"/>
          <w:szCs w:val="28"/>
        </w:rPr>
        <w:t>附图</w:t>
      </w:r>
    </w:p>
    <w:p>
      <w:pPr>
        <w:spacing w:line="276" w:lineRule="auto"/>
        <w:rPr>
          <w:rFonts w:ascii="Times New Roman"/>
          <w:sz w:val="24"/>
        </w:rPr>
      </w:pPr>
      <w:bookmarkStart w:id="3" w:name="_Hlk82798211"/>
      <w:bookmarkStart w:id="4" w:name="_Hlk82798062"/>
      <w:r>
        <w:rPr>
          <w:rFonts w:ascii="Times New Roman"/>
          <w:sz w:val="24"/>
        </w:rPr>
        <w:t>附图1  本项目选址与承德市环境管控单元位置关系示意图</w:t>
      </w:r>
    </w:p>
    <w:bookmarkEnd w:id="3"/>
    <w:p>
      <w:pPr>
        <w:spacing w:line="276" w:lineRule="auto"/>
        <w:rPr>
          <w:rFonts w:ascii="Times New Roman"/>
          <w:sz w:val="24"/>
        </w:rPr>
      </w:pPr>
      <w:r>
        <w:rPr>
          <w:rFonts w:ascii="Times New Roman"/>
          <w:sz w:val="24"/>
        </w:rPr>
        <w:t>附图2  本项目选址与“</w:t>
      </w:r>
      <w:r>
        <w:rPr>
          <w:rFonts w:hint="eastAsia" w:ascii="Times New Roman"/>
          <w:sz w:val="24"/>
        </w:rPr>
        <w:t>三区三线</w:t>
      </w:r>
      <w:r>
        <w:rPr>
          <w:rFonts w:ascii="Times New Roman"/>
          <w:sz w:val="24"/>
        </w:rPr>
        <w:t>”相对位置关系图</w:t>
      </w:r>
    </w:p>
    <w:p>
      <w:pPr>
        <w:spacing w:line="276" w:lineRule="auto"/>
        <w:rPr>
          <w:rFonts w:ascii="Times New Roman"/>
          <w:sz w:val="24"/>
        </w:rPr>
      </w:pPr>
      <w:r>
        <w:rPr>
          <w:rFonts w:ascii="Times New Roman"/>
          <w:sz w:val="24"/>
        </w:rPr>
        <w:t>附图3  本项目选址与承德市国土空间格局主体功能定位关系图</w:t>
      </w:r>
    </w:p>
    <w:p>
      <w:pPr>
        <w:spacing w:line="276" w:lineRule="auto"/>
        <w:rPr>
          <w:rFonts w:ascii="Times New Roman"/>
          <w:sz w:val="24"/>
        </w:rPr>
      </w:pPr>
      <w:r>
        <w:rPr>
          <w:rFonts w:ascii="Times New Roman"/>
          <w:sz w:val="24"/>
        </w:rPr>
        <w:t>附图4  本项目与自然保护区位置关系图</w:t>
      </w:r>
    </w:p>
    <w:p>
      <w:pPr>
        <w:spacing w:line="276" w:lineRule="auto"/>
        <w:rPr>
          <w:rFonts w:ascii="Times New Roman"/>
          <w:sz w:val="24"/>
        </w:rPr>
      </w:pPr>
      <w:r>
        <w:rPr>
          <w:rFonts w:ascii="Times New Roman"/>
          <w:sz w:val="24"/>
        </w:rPr>
        <w:t>附图5  本项目与承德市城乡总体规划的“市域环境功能区划”位置关系图</w:t>
      </w:r>
    </w:p>
    <w:p>
      <w:pPr>
        <w:spacing w:line="276" w:lineRule="auto"/>
        <w:rPr>
          <w:rFonts w:ascii="Times New Roman"/>
          <w:sz w:val="24"/>
        </w:rPr>
      </w:pPr>
      <w:r>
        <w:rPr>
          <w:rFonts w:ascii="Times New Roman"/>
          <w:sz w:val="24"/>
        </w:rPr>
        <w:t>附图6  本项目与承德市重点水源涵养生态功能保护区划位置关系图</w:t>
      </w:r>
    </w:p>
    <w:p>
      <w:pPr>
        <w:spacing w:line="276" w:lineRule="auto"/>
        <w:rPr>
          <w:rFonts w:ascii="Times New Roman"/>
          <w:sz w:val="24"/>
        </w:rPr>
      </w:pPr>
      <w:r>
        <w:rPr>
          <w:rFonts w:ascii="Times New Roman"/>
          <w:sz w:val="24"/>
        </w:rPr>
        <w:t>附图7  220kV升压站地理位置图</w:t>
      </w:r>
    </w:p>
    <w:p>
      <w:pPr>
        <w:spacing w:line="276" w:lineRule="auto"/>
        <w:rPr>
          <w:rFonts w:ascii="Times New Roman"/>
          <w:sz w:val="24"/>
        </w:rPr>
      </w:pPr>
      <w:r>
        <w:rPr>
          <w:rFonts w:ascii="Times New Roman"/>
          <w:sz w:val="24"/>
        </w:rPr>
        <w:t xml:space="preserve">附图8  </w:t>
      </w:r>
      <w:r>
        <w:rPr>
          <w:rFonts w:hint="eastAsia" w:ascii="Times New Roman"/>
          <w:sz w:val="24"/>
        </w:rPr>
        <w:t>本项目220kV升压站项目周边关系示意图</w:t>
      </w:r>
    </w:p>
    <w:p>
      <w:pPr>
        <w:spacing w:line="276" w:lineRule="auto"/>
        <w:rPr>
          <w:rFonts w:ascii="Times New Roman"/>
          <w:sz w:val="24"/>
        </w:rPr>
      </w:pPr>
      <w:r>
        <w:rPr>
          <w:rFonts w:ascii="Times New Roman"/>
          <w:sz w:val="24"/>
        </w:rPr>
        <w:t xml:space="preserve">附图9  </w:t>
      </w:r>
      <w:r>
        <w:rPr>
          <w:rFonts w:hint="eastAsia" w:ascii="Times New Roman"/>
          <w:sz w:val="24"/>
        </w:rPr>
        <w:t>升压站土地利用现状图</w:t>
      </w:r>
    </w:p>
    <w:p>
      <w:pPr>
        <w:spacing w:line="276" w:lineRule="auto"/>
        <w:rPr>
          <w:rFonts w:ascii="Times New Roman"/>
          <w:sz w:val="24"/>
        </w:rPr>
      </w:pPr>
      <w:r>
        <w:rPr>
          <w:rFonts w:ascii="Times New Roman"/>
          <w:sz w:val="24"/>
        </w:rPr>
        <w:t xml:space="preserve">附图10  </w:t>
      </w:r>
      <w:r>
        <w:rPr>
          <w:rFonts w:hint="eastAsia" w:ascii="Times New Roman"/>
          <w:sz w:val="24"/>
        </w:rPr>
        <w:t>本项目</w:t>
      </w:r>
      <w:r>
        <w:rPr>
          <w:rFonts w:ascii="Times New Roman"/>
          <w:sz w:val="24"/>
        </w:rPr>
        <w:t>升压站电气化</w:t>
      </w:r>
      <w:r>
        <w:rPr>
          <w:rFonts w:hint="eastAsia" w:ascii="Times New Roman"/>
          <w:sz w:val="24"/>
        </w:rPr>
        <w:t>总平面</w:t>
      </w:r>
      <w:r>
        <w:rPr>
          <w:rFonts w:ascii="Times New Roman"/>
          <w:sz w:val="24"/>
        </w:rPr>
        <w:t>布置图</w:t>
      </w:r>
    </w:p>
    <w:bookmarkEnd w:id="4"/>
    <w:p>
      <w:pPr>
        <w:pStyle w:val="20"/>
        <w:spacing w:before="0" w:after="0" w:line="276" w:lineRule="auto"/>
        <w:outlineLvl w:val="0"/>
        <w:rPr>
          <w:b/>
          <w:sz w:val="28"/>
          <w:szCs w:val="28"/>
        </w:rPr>
      </w:pPr>
      <w:bookmarkStart w:id="5" w:name="_Toc157070550"/>
      <w:r>
        <w:rPr>
          <w:b/>
          <w:sz w:val="28"/>
          <w:szCs w:val="28"/>
        </w:rPr>
        <w:t>附件</w:t>
      </w:r>
      <w:bookmarkEnd w:id="5"/>
    </w:p>
    <w:p>
      <w:pPr>
        <w:pStyle w:val="18"/>
        <w:spacing w:line="276" w:lineRule="auto"/>
        <w:ind w:left="840" w:hanging="840" w:hangingChars="350"/>
        <w:rPr>
          <w:szCs w:val="28"/>
        </w:rPr>
      </w:pPr>
      <w:bookmarkStart w:id="6" w:name="_Hlk156166007"/>
      <w:r>
        <w:rPr>
          <w:szCs w:val="28"/>
        </w:rPr>
        <w:t>附件1  企业投资项目备案信息</w:t>
      </w:r>
    </w:p>
    <w:p>
      <w:pPr>
        <w:pStyle w:val="18"/>
        <w:spacing w:line="276" w:lineRule="auto"/>
        <w:ind w:left="960" w:hanging="960" w:hangingChars="400"/>
        <w:rPr>
          <w:szCs w:val="28"/>
        </w:rPr>
      </w:pPr>
      <w:r>
        <w:rPr>
          <w:szCs w:val="28"/>
        </w:rPr>
        <w:t xml:space="preserve">附件2  </w:t>
      </w:r>
      <w:r>
        <w:rPr>
          <w:rFonts w:hint="eastAsia"/>
          <w:szCs w:val="28"/>
        </w:rPr>
        <w:t>承德县自然资源和规划局</w:t>
      </w:r>
      <w:r>
        <w:t>《</w:t>
      </w:r>
      <w:r>
        <w:rPr>
          <w:rFonts w:hint="eastAsia"/>
          <w:szCs w:val="28"/>
        </w:rPr>
        <w:t>关于承德县源网荷储一体化和多能互补示范项目国土空间规划意见复函</w:t>
      </w:r>
      <w:r>
        <w:t>》</w:t>
      </w:r>
    </w:p>
    <w:p>
      <w:pPr>
        <w:pStyle w:val="18"/>
        <w:spacing w:line="276" w:lineRule="auto"/>
        <w:ind w:left="960" w:hanging="960" w:hangingChars="400"/>
        <w:outlineLvl w:val="0"/>
        <w:rPr>
          <w:szCs w:val="28"/>
        </w:rPr>
      </w:pPr>
      <w:bookmarkStart w:id="7" w:name="_Toc157070551"/>
      <w:r>
        <w:rPr>
          <w:szCs w:val="28"/>
        </w:rPr>
        <w:t xml:space="preserve">附件3  </w:t>
      </w:r>
      <w:r>
        <w:rPr>
          <w:rFonts w:hint="eastAsia"/>
        </w:rPr>
        <w:t>河北省发展和改革委员会</w:t>
      </w:r>
      <w:r>
        <w:t>《</w:t>
      </w:r>
      <w:r>
        <w:rPr>
          <w:rFonts w:hint="eastAsia"/>
        </w:rPr>
        <w:t>2021年度电力源网荷储一体化和多能互补试点项目公示表</w:t>
      </w:r>
      <w:r>
        <w:t>》</w:t>
      </w:r>
      <w:bookmarkEnd w:id="7"/>
    </w:p>
    <w:p>
      <w:pPr>
        <w:pStyle w:val="20"/>
        <w:widowControl w:val="0"/>
        <w:spacing w:line="480" w:lineRule="exact"/>
        <w:jc w:val="both"/>
        <w:rPr>
          <w:sz w:val="24"/>
        </w:rPr>
      </w:pPr>
      <w:bookmarkStart w:id="8" w:name="_Toc157070552"/>
      <w:r>
        <w:rPr>
          <w:rFonts w:hint="eastAsia"/>
          <w:sz w:val="24"/>
        </w:rPr>
        <w:t xml:space="preserve">附件4  </w:t>
      </w:r>
      <w:bookmarkEnd w:id="8"/>
      <w:bookmarkStart w:id="9" w:name="_Toc157070553"/>
      <w:r>
        <w:rPr>
          <w:rFonts w:hint="eastAsia"/>
          <w:sz w:val="24"/>
        </w:rPr>
        <w:t>承德县土地储备中心《关于承德卓云信息科技有限公司承德县源荷储一体化和多能互补示范项目用地核实说明》；</w:t>
      </w:r>
    </w:p>
    <w:p>
      <w:pPr>
        <w:pStyle w:val="18"/>
        <w:spacing w:line="276" w:lineRule="auto"/>
        <w:ind w:left="960" w:hanging="960" w:hangingChars="400"/>
        <w:outlineLvl w:val="0"/>
        <w:rPr>
          <w:szCs w:val="28"/>
        </w:rPr>
      </w:pPr>
      <w:r>
        <w:rPr>
          <w:szCs w:val="28"/>
        </w:rPr>
        <w:t>附件5  承德县源网荷储一体化和多能互补示范项目环境影响报告表的批复</w:t>
      </w:r>
      <w:bookmarkEnd w:id="9"/>
    </w:p>
    <w:p>
      <w:pPr>
        <w:pStyle w:val="18"/>
        <w:spacing w:line="276" w:lineRule="auto"/>
        <w:outlineLvl w:val="0"/>
        <w:rPr>
          <w:szCs w:val="28"/>
        </w:rPr>
      </w:pPr>
      <w:bookmarkStart w:id="10" w:name="_Toc157070554"/>
      <w:r>
        <w:rPr>
          <w:szCs w:val="28"/>
        </w:rPr>
        <w:t xml:space="preserve">附件6  </w:t>
      </w:r>
      <w:r>
        <w:rPr>
          <w:rFonts w:hint="eastAsia"/>
        </w:rPr>
        <w:t>河北省华川检验检测技术服务有限公司</w:t>
      </w:r>
      <w:r>
        <w:rPr>
          <w:szCs w:val="28"/>
        </w:rPr>
        <w:t>现状监测报告</w:t>
      </w:r>
      <w:bookmarkEnd w:id="10"/>
    </w:p>
    <w:bookmarkEnd w:id="6"/>
    <w:p>
      <w:pPr>
        <w:pStyle w:val="18"/>
        <w:spacing w:line="276" w:lineRule="auto"/>
        <w:outlineLvl w:val="0"/>
        <w:rPr>
          <w:szCs w:val="28"/>
        </w:rPr>
      </w:pPr>
      <w:bookmarkStart w:id="11" w:name="_Toc157070555"/>
      <w:r>
        <w:rPr>
          <w:szCs w:val="28"/>
        </w:rPr>
        <w:t xml:space="preserve">附件7  </w:t>
      </w:r>
      <w:r>
        <w:rPr>
          <w:rFonts w:hint="eastAsia"/>
        </w:rPr>
        <w:t>涞源泉峪220kV输变电工程</w:t>
      </w:r>
      <w:r>
        <w:t>电磁环境监测报告</w:t>
      </w:r>
      <w:bookmarkEnd w:id="11"/>
    </w:p>
    <w:p>
      <w:pPr>
        <w:pStyle w:val="18"/>
        <w:spacing w:line="276" w:lineRule="auto"/>
        <w:outlineLvl w:val="0"/>
        <w:rPr>
          <w:szCs w:val="28"/>
        </w:rPr>
      </w:pPr>
      <w:bookmarkStart w:id="12" w:name="_Toc157070556"/>
      <w:r>
        <w:rPr>
          <w:szCs w:val="28"/>
        </w:rPr>
        <w:t>附件8  委托书</w:t>
      </w:r>
      <w:bookmarkEnd w:id="12"/>
    </w:p>
    <w:p>
      <w:pPr>
        <w:pStyle w:val="18"/>
        <w:spacing w:line="276" w:lineRule="auto"/>
        <w:outlineLvl w:val="0"/>
        <w:rPr>
          <w:szCs w:val="28"/>
        </w:rPr>
      </w:pPr>
      <w:bookmarkStart w:id="13" w:name="_Toc157070557"/>
      <w:r>
        <w:rPr>
          <w:szCs w:val="28"/>
        </w:rPr>
        <w:t>附件9  承德卓云信息科技有限公司承诺书</w:t>
      </w:r>
      <w:bookmarkEnd w:id="13"/>
    </w:p>
    <w:p>
      <w:pPr>
        <w:pStyle w:val="18"/>
        <w:spacing w:line="276" w:lineRule="auto"/>
        <w:outlineLvl w:val="0"/>
        <w:rPr>
          <w:szCs w:val="28"/>
          <w:highlight w:val="none"/>
        </w:rPr>
      </w:pPr>
      <w:bookmarkStart w:id="14" w:name="_Toc157070558"/>
      <w:r>
        <w:rPr>
          <w:szCs w:val="28"/>
        </w:rPr>
        <w:t xml:space="preserve">附件10  </w:t>
      </w:r>
      <w:r>
        <w:rPr>
          <w:rFonts w:hint="eastAsia"/>
          <w:szCs w:val="28"/>
          <w:highlight w:val="none"/>
        </w:rPr>
        <w:t>中政国评（北京）科技有限公司</w:t>
      </w:r>
      <w:r>
        <w:rPr>
          <w:szCs w:val="28"/>
          <w:highlight w:val="none"/>
        </w:rPr>
        <w:t>承诺书</w:t>
      </w:r>
      <w:bookmarkEnd w:id="14"/>
    </w:p>
    <w:p>
      <w:pPr>
        <w:tabs>
          <w:tab w:val="left" w:pos="5507"/>
        </w:tabs>
        <w:spacing w:line="360" w:lineRule="auto"/>
        <w:rPr>
          <w:rFonts w:ascii="Times New Roman"/>
          <w:highlight w:val="none"/>
          <w:lang w:val="zh-CN"/>
        </w:rPr>
        <w:sectPr>
          <w:footerReference r:id="rId6" w:type="default"/>
          <w:footerReference r:id="rId7" w:type="even"/>
          <w:pgSz w:w="11906" w:h="16838"/>
          <w:pgMar w:top="1701" w:right="991" w:bottom="1701" w:left="1531" w:header="851" w:footer="1077" w:gutter="0"/>
          <w:pgNumType w:start="1"/>
          <w:cols w:space="720" w:num="1"/>
          <w:docGrid w:linePitch="312" w:charSpace="0"/>
        </w:sectPr>
      </w:pPr>
    </w:p>
    <w:p>
      <w:pPr>
        <w:pStyle w:val="48"/>
        <w:spacing w:after="0" w:afterAutospacing="0" w:line="360" w:lineRule="auto"/>
        <w:jc w:val="center"/>
        <w:outlineLvl w:val="0"/>
        <w:rPr>
          <w:b/>
          <w:bCs/>
          <w:snapToGrid w:val="0"/>
          <w:sz w:val="30"/>
          <w:szCs w:val="30"/>
        </w:rPr>
      </w:pPr>
      <w:bookmarkStart w:id="15" w:name="_Toc157070559"/>
      <w:r>
        <w:rPr>
          <w:b/>
          <w:bCs/>
          <w:snapToGrid w:val="0"/>
          <w:sz w:val="30"/>
          <w:szCs w:val="30"/>
        </w:rPr>
        <w:t>一、建设项目基本情况</w:t>
      </w:r>
      <w:bookmarkEnd w:id="15"/>
    </w:p>
    <w:tbl>
      <w:tblPr>
        <w:tblStyle w:val="54"/>
        <w:tblW w:w="87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56"/>
        <w:gridCol w:w="1261"/>
        <w:gridCol w:w="1674"/>
        <w:gridCol w:w="2262"/>
        <w:gridCol w:w="3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建设项目名称</w:t>
            </w:r>
          </w:p>
        </w:tc>
        <w:tc>
          <w:tcPr>
            <w:tcW w:w="7053"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eastAsia="宋体"/>
                <w:color w:val="auto"/>
                <w:sz w:val="24"/>
                <w:szCs w:val="24"/>
                <w:highlight w:val="none"/>
                <w:lang w:val="en-US" w:eastAsia="zh-CN"/>
              </w:rPr>
            </w:pPr>
            <w:r>
              <w:rPr>
                <w:rFonts w:ascii="Times New Roman"/>
                <w:color w:val="auto"/>
                <w:sz w:val="24"/>
                <w:szCs w:val="24"/>
                <w:highlight w:val="none"/>
              </w:rPr>
              <w:t>承德县源网荷储一体化和多能互补示范项目(220kV升压站工程)</w:t>
            </w:r>
            <w:r>
              <w:rPr>
                <w:rFonts w:hint="eastAsia" w:ascii="Times New Roman"/>
                <w:color w:val="auto"/>
                <w:sz w:val="24"/>
                <w:szCs w:val="24"/>
                <w:highlight w:val="none"/>
                <w:lang w:val="en-US" w:eastAsia="zh-CN"/>
              </w:rPr>
              <w:t>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项目代码</w:t>
            </w:r>
          </w:p>
        </w:tc>
        <w:tc>
          <w:tcPr>
            <w:tcW w:w="7053"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color w:val="auto"/>
                <w:sz w:val="24"/>
                <w:szCs w:val="24"/>
              </w:rPr>
            </w:pPr>
            <w:r>
              <w:rPr>
                <w:rFonts w:ascii="Times New Roman"/>
                <w:color w:val="auto"/>
                <w:sz w:val="24"/>
                <w:szCs w:val="24"/>
              </w:rPr>
              <w:t>220</w:t>
            </w:r>
            <w:r>
              <w:rPr>
                <w:rFonts w:hint="eastAsia" w:ascii="Times New Roman"/>
                <w:color w:val="auto"/>
                <w:sz w:val="24"/>
                <w:szCs w:val="24"/>
                <w:lang w:val="en-US" w:eastAsia="zh-CN"/>
              </w:rPr>
              <w:t>8</w:t>
            </w:r>
            <w:r>
              <w:rPr>
                <w:rFonts w:ascii="Times New Roman"/>
                <w:color w:val="auto"/>
                <w:sz w:val="24"/>
                <w:szCs w:val="24"/>
              </w:rPr>
              <w:t>-130821-89-01-540205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建设单位联系人</w:t>
            </w:r>
          </w:p>
        </w:tc>
        <w:tc>
          <w:tcPr>
            <w:tcW w:w="1674"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color w:val="auto"/>
                <w:sz w:val="24"/>
                <w:szCs w:val="24"/>
              </w:rPr>
            </w:pPr>
            <w:r>
              <w:rPr>
                <w:rFonts w:hint="eastAsia" w:ascii="Times New Roman"/>
                <w:color w:val="auto"/>
                <w:sz w:val="24"/>
                <w:szCs w:val="24"/>
              </w:rPr>
              <w:t>洪涛</w:t>
            </w:r>
          </w:p>
        </w:tc>
        <w:tc>
          <w:tcPr>
            <w:tcW w:w="2262"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color w:val="auto"/>
                <w:sz w:val="24"/>
                <w:szCs w:val="24"/>
              </w:rPr>
            </w:pPr>
            <w:r>
              <w:rPr>
                <w:rFonts w:ascii="Times New Roman"/>
                <w:color w:val="auto"/>
                <w:sz w:val="24"/>
                <w:szCs w:val="24"/>
              </w:rPr>
              <w:t>联系方式</w:t>
            </w:r>
          </w:p>
        </w:tc>
        <w:tc>
          <w:tcPr>
            <w:tcW w:w="311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color w:val="auto"/>
                <w:sz w:val="24"/>
                <w:szCs w:val="24"/>
              </w:rPr>
            </w:pPr>
            <w:r>
              <w:rPr>
                <w:rFonts w:hint="eastAsia" w:ascii="Times New Roman"/>
                <w:color w:val="auto"/>
                <w:sz w:val="24"/>
                <w:szCs w:val="24"/>
              </w:rPr>
              <w:t>1</w:t>
            </w:r>
            <w:r>
              <w:rPr>
                <w:rFonts w:ascii="Times New Roman"/>
                <w:color w:val="auto"/>
                <w:sz w:val="24"/>
                <w:szCs w:val="24"/>
              </w:rPr>
              <w:t>5633673722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建设地点</w:t>
            </w:r>
          </w:p>
        </w:tc>
        <w:tc>
          <w:tcPr>
            <w:tcW w:w="7053" w:type="dxa"/>
            <w:gridSpan w:val="3"/>
            <w:vAlign w:val="center"/>
          </w:tcPr>
          <w:p>
            <w:pPr>
              <w:keepNext w:val="0"/>
              <w:keepLines w:val="0"/>
              <w:widowControl/>
              <w:suppressLineNumbers w:val="0"/>
              <w:adjustRightInd w:val="0"/>
              <w:snapToGrid w:val="0"/>
              <w:spacing w:before="0" w:beforeAutospacing="0" w:after="0" w:afterAutospacing="0"/>
              <w:ind w:left="0" w:right="0"/>
              <w:rPr>
                <w:rFonts w:ascii="Times New Roman"/>
                <w:color w:val="auto"/>
                <w:sz w:val="24"/>
              </w:rPr>
            </w:pPr>
            <w:r>
              <w:rPr>
                <w:rFonts w:ascii="Times New Roman"/>
                <w:color w:val="auto"/>
                <w:sz w:val="24"/>
              </w:rPr>
              <w:t>河北省承德市承德县</w:t>
            </w:r>
            <w:r>
              <w:rPr>
                <w:rFonts w:hint="eastAsia" w:ascii="Times New Roman"/>
                <w:color w:val="auto"/>
                <w:sz w:val="24"/>
              </w:rPr>
              <w:t>新杖子镇鹰手营村</w:t>
            </w:r>
            <w:r>
              <w:rPr>
                <w:rFonts w:ascii="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地理坐标</w:t>
            </w:r>
          </w:p>
        </w:tc>
        <w:tc>
          <w:tcPr>
            <w:tcW w:w="7053" w:type="dxa"/>
            <w:gridSpan w:val="3"/>
            <w:vAlign w:val="center"/>
          </w:tcPr>
          <w:p>
            <w:pPr>
              <w:keepNext w:val="0"/>
              <w:keepLines w:val="0"/>
              <w:widowControl/>
              <w:suppressLineNumbers w:val="0"/>
              <w:adjustRightInd w:val="0"/>
              <w:snapToGrid w:val="0"/>
              <w:spacing w:before="0" w:beforeAutospacing="0" w:after="0" w:afterAutospacing="0"/>
              <w:ind w:left="0" w:right="0"/>
              <w:rPr>
                <w:rFonts w:ascii="Times New Roman"/>
                <w:color w:val="auto"/>
                <w:sz w:val="24"/>
              </w:rPr>
            </w:pPr>
            <w:r>
              <w:rPr>
                <w:rFonts w:ascii="Times New Roman"/>
                <w:color w:val="auto"/>
                <w:sz w:val="24"/>
              </w:rPr>
              <w:t>升压站中心位置坐标：</w:t>
            </w:r>
            <w:r>
              <w:rPr>
                <w:rFonts w:hint="eastAsia" w:ascii="Times New Roman"/>
                <w:color w:val="auto"/>
                <w:sz w:val="24"/>
              </w:rPr>
              <w:t>E117°55' 14.736"，N40°49' 53.625"。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国民经济</w:t>
            </w:r>
          </w:p>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行业类别</w:t>
            </w:r>
          </w:p>
        </w:tc>
        <w:tc>
          <w:tcPr>
            <w:tcW w:w="1674"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D4420电力供应</w:t>
            </w:r>
          </w:p>
        </w:tc>
        <w:tc>
          <w:tcPr>
            <w:tcW w:w="2262"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bookmarkStart w:id="16" w:name="_Hlk49843745"/>
            <w:r>
              <w:rPr>
                <w:rFonts w:ascii="Times New Roman"/>
                <w:sz w:val="24"/>
                <w:szCs w:val="24"/>
              </w:rPr>
              <w:t>建设项目</w:t>
            </w:r>
          </w:p>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行业类别</w:t>
            </w:r>
            <w:bookmarkEnd w:id="16"/>
          </w:p>
        </w:tc>
        <w:tc>
          <w:tcPr>
            <w:tcW w:w="311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五十五 核与辐射161输变电工程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建设性质</w:t>
            </w:r>
          </w:p>
        </w:tc>
        <w:tc>
          <w:tcPr>
            <w:tcW w:w="1674" w:type="dxa"/>
            <w:vAlign w:val="center"/>
          </w:tcPr>
          <w:p>
            <w:pPr>
              <w:keepNext w:val="0"/>
              <w:keepLines w:val="0"/>
              <w:widowControl/>
              <w:suppressLineNumbers w:val="0"/>
              <w:spacing w:before="0" w:beforeAutospacing="0" w:after="0" w:afterAutospacing="0"/>
              <w:ind w:left="0" w:right="0"/>
              <w:rPr>
                <w:rFonts w:ascii="Times New Roman"/>
                <w:sz w:val="24"/>
                <w:szCs w:val="24"/>
              </w:rPr>
            </w:pPr>
            <w:r>
              <w:rPr>
                <w:rFonts w:ascii="Segoe UI Symbol" w:hAnsi="Segoe UI Symbol" w:cs="Segoe UI Symbol"/>
                <w:sz w:val="24"/>
                <w:szCs w:val="24"/>
              </w:rPr>
              <w:t>☑</w:t>
            </w:r>
            <w:r>
              <w:rPr>
                <w:rFonts w:ascii="Times New Roman"/>
                <w:sz w:val="24"/>
                <w:szCs w:val="24"/>
              </w:rPr>
              <w:t>新建(迁建)</w:t>
            </w:r>
          </w:p>
          <w:p>
            <w:pPr>
              <w:keepNext w:val="0"/>
              <w:keepLines w:val="0"/>
              <w:widowControl/>
              <w:suppressLineNumbers w:val="0"/>
              <w:spacing w:before="0" w:beforeAutospacing="0" w:after="0" w:afterAutospacing="0"/>
              <w:ind w:left="0" w:right="0"/>
              <w:rPr>
                <w:rFonts w:ascii="Times New Roman"/>
                <w:sz w:val="24"/>
                <w:szCs w:val="24"/>
              </w:rPr>
            </w:pPr>
            <w:r>
              <w:rPr>
                <w:rFonts w:ascii="Times New Roman"/>
                <w:sz w:val="24"/>
                <w:szCs w:val="24"/>
              </w:rPr>
              <w:t>□改建</w:t>
            </w:r>
          </w:p>
          <w:p>
            <w:pPr>
              <w:keepNext w:val="0"/>
              <w:keepLines w:val="0"/>
              <w:widowControl/>
              <w:suppressLineNumbers w:val="0"/>
              <w:spacing w:before="0" w:beforeAutospacing="0" w:after="0" w:afterAutospacing="0"/>
              <w:ind w:left="0" w:right="0"/>
              <w:rPr>
                <w:rFonts w:ascii="Times New Roman"/>
                <w:sz w:val="24"/>
                <w:szCs w:val="24"/>
              </w:rPr>
            </w:pPr>
            <w:r>
              <w:rPr>
                <w:rFonts w:ascii="Times New Roman"/>
                <w:sz w:val="24"/>
                <w:szCs w:val="24"/>
              </w:rPr>
              <w:t>□扩建</w:t>
            </w:r>
          </w:p>
          <w:p>
            <w:pPr>
              <w:keepNext w:val="0"/>
              <w:keepLines w:val="0"/>
              <w:widowControl/>
              <w:suppressLineNumbers w:val="0"/>
              <w:spacing w:before="0" w:beforeAutospacing="0" w:after="0" w:afterAutospacing="0"/>
              <w:ind w:left="0" w:right="0"/>
              <w:rPr>
                <w:rFonts w:ascii="Times New Roman"/>
                <w:sz w:val="24"/>
                <w:szCs w:val="24"/>
              </w:rPr>
            </w:pPr>
            <w:r>
              <w:rPr>
                <w:rFonts w:ascii="Times New Roman"/>
                <w:sz w:val="24"/>
                <w:szCs w:val="24"/>
              </w:rPr>
              <w:t>□技术改造</w:t>
            </w:r>
          </w:p>
        </w:tc>
        <w:tc>
          <w:tcPr>
            <w:tcW w:w="2262"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建设项目</w:t>
            </w:r>
          </w:p>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申报情形</w:t>
            </w:r>
          </w:p>
        </w:tc>
        <w:tc>
          <w:tcPr>
            <w:tcW w:w="3117" w:type="dxa"/>
            <w:vAlign w:val="center"/>
          </w:tcPr>
          <w:p>
            <w:pPr>
              <w:keepNext w:val="0"/>
              <w:keepLines w:val="0"/>
              <w:widowControl/>
              <w:suppressLineNumbers w:val="0"/>
              <w:spacing w:before="0" w:beforeAutospacing="0" w:after="0" w:afterAutospacing="0"/>
              <w:ind w:left="0" w:right="0"/>
              <w:rPr>
                <w:rFonts w:ascii="Times New Roman"/>
                <w:sz w:val="24"/>
                <w:szCs w:val="24"/>
              </w:rPr>
            </w:pPr>
            <w:r>
              <w:rPr>
                <w:rFonts w:ascii="Segoe UI Symbol" w:hAnsi="Segoe UI Symbol" w:cs="Segoe UI Symbol"/>
                <w:sz w:val="24"/>
                <w:szCs w:val="24"/>
              </w:rPr>
              <w:t>☑</w:t>
            </w:r>
            <w:r>
              <w:rPr>
                <w:rFonts w:ascii="Times New Roman"/>
                <w:sz w:val="24"/>
                <w:szCs w:val="24"/>
              </w:rPr>
              <w:t>首次申报项目</w:t>
            </w:r>
          </w:p>
          <w:p>
            <w:pPr>
              <w:keepNext w:val="0"/>
              <w:keepLines w:val="0"/>
              <w:widowControl/>
              <w:suppressLineNumbers w:val="0"/>
              <w:spacing w:before="0" w:beforeAutospacing="0" w:after="0" w:afterAutospacing="0"/>
              <w:ind w:left="0" w:right="0"/>
              <w:rPr>
                <w:rFonts w:ascii="Times New Roman"/>
                <w:sz w:val="24"/>
                <w:szCs w:val="24"/>
              </w:rPr>
            </w:pPr>
            <w:r>
              <w:rPr>
                <w:rFonts w:ascii="Times New Roman"/>
                <w:sz w:val="24"/>
                <w:szCs w:val="24"/>
              </w:rPr>
              <w:t>□不予批准后再次申报项目</w:t>
            </w:r>
          </w:p>
          <w:p>
            <w:pPr>
              <w:keepNext w:val="0"/>
              <w:keepLines w:val="0"/>
              <w:widowControl/>
              <w:suppressLineNumbers w:val="0"/>
              <w:spacing w:before="0" w:beforeAutospacing="0" w:after="0" w:afterAutospacing="0"/>
              <w:ind w:left="0" w:right="0"/>
              <w:rPr>
                <w:rFonts w:ascii="Times New Roman"/>
                <w:sz w:val="24"/>
                <w:szCs w:val="24"/>
              </w:rPr>
            </w:pPr>
            <w:r>
              <w:rPr>
                <w:rFonts w:ascii="Times New Roman"/>
                <w:sz w:val="24"/>
                <w:szCs w:val="24"/>
              </w:rPr>
              <w:t>□超五年重新审核项目</w:t>
            </w:r>
          </w:p>
          <w:p>
            <w:pPr>
              <w:keepNext w:val="0"/>
              <w:keepLines w:val="0"/>
              <w:widowControl/>
              <w:suppressLineNumbers w:val="0"/>
              <w:spacing w:before="0" w:beforeAutospacing="0" w:after="0" w:afterAutospacing="0"/>
              <w:ind w:left="0" w:right="0"/>
              <w:rPr>
                <w:rFonts w:ascii="Times New Roman"/>
                <w:sz w:val="24"/>
                <w:szCs w:val="24"/>
              </w:rPr>
            </w:pPr>
            <w:r>
              <w:rPr>
                <w:rFonts w:ascii="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项目审批(核准)部门</w:t>
            </w:r>
          </w:p>
        </w:tc>
        <w:tc>
          <w:tcPr>
            <w:tcW w:w="1674"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承德县行政审批局</w:t>
            </w:r>
          </w:p>
        </w:tc>
        <w:tc>
          <w:tcPr>
            <w:tcW w:w="2262"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项目审批(核准)文号</w:t>
            </w:r>
          </w:p>
        </w:tc>
        <w:tc>
          <w:tcPr>
            <w:tcW w:w="311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承县审批投资备字[2022]75</w:t>
            </w:r>
          </w:p>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bookmarkStart w:id="17" w:name="_Hlk69988877"/>
            <w:r>
              <w:rPr>
                <w:rFonts w:ascii="Times New Roman"/>
                <w:sz w:val="24"/>
                <w:szCs w:val="24"/>
              </w:rPr>
              <w:t>总投资(万元)</w:t>
            </w:r>
          </w:p>
        </w:tc>
        <w:tc>
          <w:tcPr>
            <w:tcW w:w="1674"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hint="eastAsia" w:ascii="Times New Roman"/>
                <w:sz w:val="24"/>
                <w:szCs w:val="24"/>
              </w:rPr>
              <w:t>22671</w:t>
            </w:r>
          </w:p>
        </w:tc>
        <w:tc>
          <w:tcPr>
            <w:tcW w:w="2262" w:type="dxa"/>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环保投资(万元)</w:t>
            </w:r>
          </w:p>
        </w:tc>
        <w:tc>
          <w:tcPr>
            <w:tcW w:w="311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hint="eastAsia" w:ascii="Times New Roman"/>
                <w:sz w:val="24"/>
                <w:szCs w:val="24"/>
              </w:rPr>
              <w:t>195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环保投资占比(%)</w:t>
            </w:r>
          </w:p>
        </w:tc>
        <w:tc>
          <w:tcPr>
            <w:tcW w:w="1674"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hint="eastAsia" w:ascii="Times New Roman"/>
                <w:sz w:val="24"/>
                <w:szCs w:val="24"/>
              </w:rPr>
              <w:t>0.86</w:t>
            </w:r>
          </w:p>
        </w:tc>
        <w:tc>
          <w:tcPr>
            <w:tcW w:w="2262" w:type="dxa"/>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施工工期</w:t>
            </w:r>
          </w:p>
        </w:tc>
        <w:tc>
          <w:tcPr>
            <w:tcW w:w="311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hint="eastAsia" w:ascii="Times New Roman"/>
                <w:sz w:val="24"/>
                <w:szCs w:val="24"/>
              </w:rPr>
              <w:t>12</w:t>
            </w:r>
            <w:r>
              <w:rPr>
                <w:rFonts w:ascii="Times New Roman"/>
                <w:sz w:val="24"/>
                <w:szCs w:val="24"/>
              </w:rPr>
              <w:t>个月</w:t>
            </w:r>
          </w:p>
        </w:tc>
      </w:tr>
      <w:bookmarkEnd w:id="17"/>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17" w:type="dxa"/>
            <w:gridSpan w:val="2"/>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是否开工建设</w:t>
            </w:r>
          </w:p>
        </w:tc>
        <w:tc>
          <w:tcPr>
            <w:tcW w:w="1674" w:type="dxa"/>
            <w:vAlign w:val="center"/>
          </w:tcPr>
          <w:p>
            <w:pPr>
              <w:keepNext w:val="0"/>
              <w:keepLines w:val="0"/>
              <w:widowControl/>
              <w:suppressLineNumbers w:val="0"/>
              <w:adjustRightInd w:val="0"/>
              <w:snapToGrid w:val="0"/>
              <w:spacing w:before="0" w:beforeAutospacing="0" w:after="0" w:afterAutospacing="0"/>
              <w:ind w:left="0" w:right="0"/>
              <w:rPr>
                <w:rFonts w:ascii="Times New Roman"/>
                <w:sz w:val="24"/>
                <w:szCs w:val="24"/>
              </w:rPr>
            </w:pPr>
            <w:r>
              <w:rPr>
                <w:rFonts w:ascii="Segoe UI Symbol" w:hAnsi="Segoe UI Symbol" w:cs="Segoe UI Symbol"/>
                <w:sz w:val="24"/>
                <w:szCs w:val="24"/>
              </w:rPr>
              <w:t>☑</w:t>
            </w:r>
            <w:r>
              <w:rPr>
                <w:rFonts w:ascii="Times New Roman"/>
                <w:sz w:val="24"/>
                <w:szCs w:val="24"/>
              </w:rPr>
              <w:t>否</w:t>
            </w:r>
          </w:p>
          <w:p>
            <w:pPr>
              <w:keepNext w:val="0"/>
              <w:keepLines w:val="0"/>
              <w:widowControl/>
              <w:suppressLineNumbers w:val="0"/>
              <w:adjustRightInd w:val="0"/>
              <w:snapToGrid w:val="0"/>
              <w:spacing w:before="0" w:beforeAutospacing="0" w:after="0" w:afterAutospacing="0"/>
              <w:ind w:left="0" w:right="0"/>
              <w:rPr>
                <w:rFonts w:ascii="Times New Roman"/>
                <w:sz w:val="24"/>
                <w:szCs w:val="24"/>
              </w:rPr>
            </w:pPr>
            <w:r>
              <w:rPr>
                <w:rFonts w:ascii="Times New Roman"/>
                <w:sz w:val="24"/>
                <w:szCs w:val="24"/>
              </w:rPr>
              <w:t>□是：</w:t>
            </w:r>
          </w:p>
        </w:tc>
        <w:tc>
          <w:tcPr>
            <w:tcW w:w="2262" w:type="dxa"/>
            <w:tcMar>
              <w:top w:w="16" w:type="dxa"/>
              <w:left w:w="16" w:type="dxa"/>
              <w:right w:w="16" w:type="dxa"/>
            </w:tcMar>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pacing w:val="-6"/>
                <w:sz w:val="24"/>
                <w:szCs w:val="24"/>
              </w:rPr>
            </w:pPr>
            <w:r>
              <w:rPr>
                <w:rFonts w:ascii="Times New Roman"/>
                <w:spacing w:val="-6"/>
                <w:sz w:val="24"/>
                <w:szCs w:val="24"/>
              </w:rPr>
              <w:t>用地面积(m</w:t>
            </w:r>
            <w:r>
              <w:rPr>
                <w:rFonts w:ascii="Times New Roman"/>
                <w:spacing w:val="-6"/>
                <w:sz w:val="24"/>
                <w:szCs w:val="24"/>
                <w:vertAlign w:val="superscript"/>
              </w:rPr>
              <w:t>2</w:t>
            </w:r>
            <w:r>
              <w:rPr>
                <w:rFonts w:ascii="Times New Roman"/>
                <w:spacing w:val="-6"/>
                <w:sz w:val="24"/>
                <w:szCs w:val="24"/>
              </w:rPr>
              <w:t>)</w:t>
            </w:r>
          </w:p>
        </w:tc>
        <w:tc>
          <w:tcPr>
            <w:tcW w:w="311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hint="eastAsia" w:ascii="Times New Roman"/>
                <w:sz w:val="24"/>
                <w:highlight w:val="none"/>
              </w:rPr>
              <w:t>39331.03</w:t>
            </w:r>
            <w:r>
              <w:rPr>
                <w:rFonts w:ascii="Times New Roman"/>
                <w:sz w:val="24"/>
                <w:highlight w:val="none"/>
              </w:rPr>
              <w:t>m</w:t>
            </w:r>
            <w:r>
              <w:rPr>
                <w:rFonts w:ascii="Times New Roman"/>
                <w:sz w:val="24"/>
                <w:highlight w:val="none"/>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7" w:type="dxa"/>
            <w:gridSpan w:val="2"/>
            <w:vAlign w:val="center"/>
          </w:tcPr>
          <w:p>
            <w:pPr>
              <w:keepNext w:val="0"/>
              <w:keepLines w:val="0"/>
              <w:widowControl/>
              <w:suppressLineNumbers w:val="0"/>
              <w:autoSpaceDE w:val="0"/>
              <w:autoSpaceDN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专项评价设置情况</w:t>
            </w:r>
          </w:p>
        </w:tc>
        <w:tc>
          <w:tcPr>
            <w:tcW w:w="7053" w:type="dxa"/>
            <w:gridSpan w:val="3"/>
            <w:vAlign w:val="center"/>
          </w:tcPr>
          <w:p>
            <w:pPr>
              <w:keepNext w:val="0"/>
              <w:keepLines w:val="0"/>
              <w:widowControl/>
              <w:suppressLineNumbers w:val="0"/>
              <w:adjustRightInd w:val="0"/>
              <w:snapToGrid w:val="0"/>
              <w:spacing w:before="120" w:beforeLines="50" w:beforeAutospacing="0" w:after="0" w:afterAutospacing="0" w:line="360" w:lineRule="auto"/>
              <w:ind w:left="0" w:right="0" w:firstLine="480" w:firstLineChars="200"/>
              <w:rPr>
                <w:rFonts w:ascii="Times New Roman"/>
                <w:sz w:val="24"/>
                <w:szCs w:val="24"/>
              </w:rPr>
            </w:pPr>
            <w:r>
              <w:rPr>
                <w:rFonts w:ascii="Times New Roman"/>
                <w:sz w:val="24"/>
                <w:szCs w:val="24"/>
              </w:rPr>
              <w:t>根据《环境影响评价技术导则 输变电》(HJ 4-2020)附录B.2.1要求，输变电建设项目环境影响报告表的格式和要求应设电磁环境影响专题评价，其评价等级、评价内容及格式按照导则有关电磁辐射环境影响评价要求进行。本项目设置电磁辐射环境影响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7" w:type="dxa"/>
            <w:gridSpan w:val="2"/>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ascii="Times New Roman"/>
                <w:kern w:val="0"/>
                <w:sz w:val="24"/>
                <w:szCs w:val="24"/>
              </w:rPr>
            </w:pPr>
            <w:r>
              <w:rPr>
                <w:rFonts w:ascii="Times New Roman"/>
                <w:sz w:val="24"/>
                <w:szCs w:val="24"/>
              </w:rPr>
              <w:t>规划情况</w:t>
            </w:r>
          </w:p>
        </w:tc>
        <w:tc>
          <w:tcPr>
            <w:tcW w:w="7053" w:type="dxa"/>
            <w:gridSpan w:val="3"/>
            <w:vAlign w:val="center"/>
          </w:tcPr>
          <w:p>
            <w:pPr>
              <w:pStyle w:val="27"/>
              <w:keepNext w:val="0"/>
              <w:keepLines w:val="0"/>
              <w:widowControl/>
              <w:suppressLineNumbers w:val="0"/>
              <w:spacing w:before="0" w:beforeAutospacing="0" w:after="0" w:afterAutospacing="0"/>
              <w:ind w:left="0" w:leftChars="0" w:right="0" w:firstLine="12" w:firstLineChars="5"/>
              <w:jc w:val="center"/>
              <w:rPr>
                <w:rFonts w:ascii="Times New Roman"/>
                <w:sz w:val="24"/>
              </w:rPr>
            </w:pPr>
            <w:r>
              <w:rPr>
                <w:rFonts w:ascii="Times New Roman"/>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7"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 w:val="24"/>
                <w:szCs w:val="24"/>
              </w:rPr>
            </w:pPr>
            <w:r>
              <w:rPr>
                <w:rFonts w:ascii="Times New Roman"/>
                <w:sz w:val="24"/>
                <w:szCs w:val="24"/>
              </w:rPr>
              <w:t>规划环境影响</w:t>
            </w:r>
          </w:p>
          <w:p>
            <w:pPr>
              <w:keepNext w:val="0"/>
              <w:keepLines w:val="0"/>
              <w:widowControl/>
              <w:suppressLineNumbers w:val="0"/>
              <w:adjustRightInd w:val="0"/>
              <w:snapToGrid w:val="0"/>
              <w:spacing w:before="0" w:beforeAutospacing="0" w:after="0" w:afterAutospacing="0"/>
              <w:ind w:left="0" w:right="0"/>
              <w:jc w:val="center"/>
              <w:rPr>
                <w:rFonts w:ascii="Times New Roman"/>
                <w:kern w:val="0"/>
                <w:sz w:val="24"/>
                <w:szCs w:val="24"/>
              </w:rPr>
            </w:pPr>
            <w:r>
              <w:rPr>
                <w:rFonts w:ascii="Times New Roman"/>
                <w:sz w:val="24"/>
                <w:szCs w:val="24"/>
              </w:rPr>
              <w:t>评价情况</w:t>
            </w:r>
          </w:p>
        </w:tc>
        <w:tc>
          <w:tcPr>
            <w:tcW w:w="7053" w:type="dxa"/>
            <w:gridSpan w:val="3"/>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ascii="Times New Roman"/>
                <w:kern w:val="0"/>
                <w:sz w:val="24"/>
                <w:szCs w:val="24"/>
              </w:rPr>
            </w:pPr>
            <w:r>
              <w:rPr>
                <w:rFonts w:ascii="Times New Roman"/>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7" w:type="dxa"/>
            <w:gridSpan w:val="2"/>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ascii="Times New Roman"/>
                <w:kern w:val="0"/>
                <w:sz w:val="24"/>
                <w:szCs w:val="24"/>
              </w:rPr>
            </w:pPr>
            <w:r>
              <w:rPr>
                <w:rFonts w:ascii="Times New Roman"/>
                <w:kern w:val="0"/>
                <w:sz w:val="24"/>
                <w:szCs w:val="24"/>
              </w:rPr>
              <w:t>规划及规划环境影响评价符合性分析</w:t>
            </w:r>
          </w:p>
        </w:tc>
        <w:tc>
          <w:tcPr>
            <w:tcW w:w="7053" w:type="dxa"/>
            <w:gridSpan w:val="3"/>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ascii="Times New Roman"/>
                <w:kern w:val="0"/>
                <w:sz w:val="24"/>
                <w:szCs w:val="24"/>
              </w:rPr>
            </w:pPr>
            <w:r>
              <w:rPr>
                <w:rFonts w:ascii="Times New Roman"/>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dxa"/>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sz w:val="24"/>
                <w:szCs w:val="24"/>
              </w:rPr>
            </w:pPr>
            <w:r>
              <w:rPr>
                <w:rFonts w:ascii="Times New Roman"/>
                <w:kern w:val="0"/>
                <w:sz w:val="24"/>
                <w:szCs w:val="24"/>
              </w:rPr>
              <w:t>其他符合性分析</w:t>
            </w:r>
          </w:p>
        </w:tc>
        <w:tc>
          <w:tcPr>
            <w:tcW w:w="8314" w:type="dxa"/>
            <w:gridSpan w:val="4"/>
            <w:vAlign w:val="center"/>
          </w:tcPr>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b/>
                <w:sz w:val="24"/>
              </w:rPr>
            </w:pPr>
            <w:r>
              <w:rPr>
                <w:rFonts w:ascii="Times New Roman"/>
                <w:b/>
                <w:sz w:val="24"/>
              </w:rPr>
              <w:t>1、选址环境合理性分析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rPr>
            </w:pPr>
            <w:r>
              <w:rPr>
                <w:rFonts w:ascii="Times New Roman"/>
                <w:bCs/>
                <w:sz w:val="24"/>
              </w:rPr>
              <w:t>升压站位于</w:t>
            </w:r>
            <w:r>
              <w:rPr>
                <w:rFonts w:ascii="Times New Roman"/>
                <w:sz w:val="24"/>
              </w:rPr>
              <w:t>河北省承德市承德县</w:t>
            </w:r>
            <w:r>
              <w:rPr>
                <w:rFonts w:hint="eastAsia" w:ascii="Times New Roman"/>
                <w:sz w:val="24"/>
              </w:rPr>
              <w:t>新杖子镇鹰手营村</w:t>
            </w:r>
            <w:r>
              <w:rPr>
                <w:rFonts w:ascii="Times New Roman"/>
                <w:bCs/>
                <w:sz w:val="24"/>
              </w:rPr>
              <w:t>，</w:t>
            </w:r>
            <w:r>
              <w:rPr>
                <w:rFonts w:hint="eastAsia"/>
                <w:sz w:val="24"/>
              </w:rPr>
              <w:t>升压站区占地面积39331.03m</w:t>
            </w:r>
            <w:r>
              <w:rPr>
                <w:rFonts w:hint="eastAsia"/>
                <w:sz w:val="24"/>
                <w:vertAlign w:val="superscript"/>
              </w:rPr>
              <w:t>2</w:t>
            </w:r>
            <w:r>
              <w:rPr>
                <w:rFonts w:hint="eastAsia"/>
                <w:sz w:val="24"/>
              </w:rPr>
              <w:t>（</w:t>
            </w:r>
            <w:r>
              <w:rPr>
                <w:rFonts w:hint="eastAsia" w:ascii="Times New Roman"/>
                <w:bCs/>
                <w:sz w:val="24"/>
                <w:szCs w:val="24"/>
              </w:rPr>
              <w:t>其中升压站场26631.03m</w:t>
            </w:r>
            <w:r>
              <w:rPr>
                <w:rFonts w:hint="eastAsia" w:ascii="Times New Roman"/>
                <w:bCs/>
                <w:sz w:val="24"/>
                <w:szCs w:val="24"/>
                <w:vertAlign w:val="superscript"/>
              </w:rPr>
              <w:t>2</w:t>
            </w:r>
            <w:r>
              <w:rPr>
                <w:rFonts w:hint="eastAsia" w:ascii="Times New Roman"/>
                <w:bCs/>
                <w:sz w:val="24"/>
                <w:szCs w:val="24"/>
              </w:rPr>
              <w:t>、护坡12700m</w:t>
            </w:r>
            <w:r>
              <w:rPr>
                <w:rFonts w:hint="eastAsia" w:ascii="Times New Roman"/>
                <w:bCs/>
                <w:sz w:val="24"/>
                <w:szCs w:val="24"/>
                <w:vertAlign w:val="superscript"/>
              </w:rPr>
              <w:t>2</w:t>
            </w:r>
            <w:r>
              <w:rPr>
                <w:rFonts w:hint="eastAsia"/>
                <w:sz w:val="24"/>
              </w:rPr>
              <w:t>、</w:t>
            </w:r>
            <w:r>
              <w:rPr>
                <w:rFonts w:hint="eastAsia"/>
                <w:sz w:val="24"/>
                <w:lang w:eastAsia="zh-CN"/>
              </w:rPr>
              <w:t>进站道路利用护林防火通道</w:t>
            </w:r>
            <w:r>
              <w:rPr>
                <w:rFonts w:hint="eastAsia"/>
                <w:sz w:val="24"/>
              </w:rPr>
              <w:t>）</w:t>
            </w:r>
            <w:r>
              <w:rPr>
                <w:rFonts w:ascii="Times New Roman"/>
                <w:bCs/>
                <w:sz w:val="24"/>
              </w:rPr>
              <w:t>。</w:t>
            </w:r>
          </w:p>
          <w:p>
            <w:pPr>
              <w:keepNext w:val="0"/>
              <w:keepLines w:val="0"/>
              <w:widowControl/>
              <w:suppressLineNumbers w:val="0"/>
              <w:spacing w:before="0" w:beforeAutospacing="0" w:after="0" w:afterAutospacing="0" w:line="360" w:lineRule="auto"/>
              <w:ind w:left="0" w:right="0" w:firstLine="480" w:firstLineChars="200"/>
              <w:rPr>
                <w:sz w:val="24"/>
              </w:rPr>
            </w:pPr>
            <w:r>
              <w:rPr>
                <w:rFonts w:hint="eastAsia"/>
                <w:sz w:val="24"/>
              </w:rPr>
              <w:t>根据承德县自然资源和规划局</w:t>
            </w:r>
            <w:r>
              <w:rPr>
                <w:rFonts w:hint="eastAsia"/>
                <w:color w:val="auto"/>
                <w:sz w:val="24"/>
              </w:rPr>
              <w:t>意见（详见附件</w:t>
            </w:r>
            <w:r>
              <w:rPr>
                <w:rStyle w:val="62"/>
                <w:rFonts w:hint="eastAsia" w:ascii="Times New Roman"/>
                <w:color w:val="auto"/>
                <w:kern w:val="0"/>
                <w:szCs w:val="20"/>
                <w:lang w:val="en-US" w:eastAsia="zh-CN"/>
              </w:rPr>
              <w:t>2</w:t>
            </w:r>
            <w:r>
              <w:rPr>
                <w:rFonts w:hint="eastAsia"/>
                <w:color w:val="auto"/>
                <w:sz w:val="24"/>
              </w:rPr>
              <w:t>）</w:t>
            </w:r>
            <w:r>
              <w:rPr>
                <w:rFonts w:hint="eastAsia"/>
                <w:sz w:val="24"/>
              </w:rPr>
              <w:t>，项目已列入承德县国土空间总体规划（2</w:t>
            </w:r>
            <w:r>
              <w:rPr>
                <w:sz w:val="24"/>
              </w:rPr>
              <w:t>021-2035</w:t>
            </w:r>
            <w:r>
              <w:rPr>
                <w:rFonts w:hint="eastAsia"/>
                <w:sz w:val="24"/>
              </w:rPr>
              <w:t>年）重点建设项目安排表，符合承德县国土空间总体规划。</w:t>
            </w:r>
          </w:p>
          <w:p>
            <w:pPr>
              <w:keepNext w:val="0"/>
              <w:keepLines w:val="0"/>
              <w:widowControl/>
              <w:suppressLineNumbers w:val="0"/>
              <w:spacing w:before="0" w:beforeAutospacing="0" w:after="0" w:afterAutospacing="0" w:line="360" w:lineRule="auto"/>
              <w:ind w:left="0" w:right="0" w:firstLine="482" w:firstLineChars="200"/>
              <w:rPr>
                <w:b/>
                <w:bCs/>
                <w:sz w:val="24"/>
              </w:rPr>
            </w:pPr>
            <w:r>
              <w:rPr>
                <w:rFonts w:hint="eastAsia"/>
                <w:b/>
                <w:bCs/>
                <w:sz w:val="24"/>
              </w:rPr>
              <w:t>升压站选址合理性分析</w:t>
            </w:r>
          </w:p>
          <w:p>
            <w:pPr>
              <w:keepNext w:val="0"/>
              <w:keepLines w:val="0"/>
              <w:widowControl/>
              <w:suppressLineNumbers w:val="0"/>
              <w:spacing w:before="0" w:beforeAutospacing="0" w:after="0" w:afterAutospacing="0" w:line="360" w:lineRule="auto"/>
              <w:ind w:left="0" w:right="0" w:firstLine="480" w:firstLineChars="200"/>
              <w:rPr>
                <w:sz w:val="24"/>
              </w:rPr>
            </w:pPr>
            <w:r>
              <w:rPr>
                <w:rFonts w:hint="eastAsia"/>
                <w:sz w:val="24"/>
              </w:rPr>
              <w:t>项目升压站选址位于鹰手营村附近，升压站四周均为山区，升压站站场占地类型为建设用地，升压站护坡占地类型为建设用地，升压站进场道路利用护林防火道路，依据承德县土地储备中心关于项目用地情况说明（详见附件</w:t>
            </w:r>
            <w:r>
              <w:rPr>
                <w:rFonts w:hint="eastAsia"/>
                <w:color w:val="FF0000"/>
                <w:sz w:val="24"/>
                <w:lang w:val="en-US" w:eastAsia="zh-CN"/>
              </w:rPr>
              <w:t>4</w:t>
            </w:r>
            <w:r>
              <w:rPr>
                <w:rFonts w:hint="eastAsia"/>
                <w:color w:val="FF0000"/>
                <w:sz w:val="24"/>
              </w:rPr>
              <w:t>）</w:t>
            </w:r>
            <w:r>
              <w:rPr>
                <w:rFonts w:hint="eastAsia"/>
                <w:sz w:val="24"/>
              </w:rPr>
              <w:t>，本项目升压站不涉及“三区三线”2022年永久基本农田、不涉及生态保护红线，不涉及基本草原，不涉及自然保护地。</w:t>
            </w:r>
          </w:p>
          <w:p>
            <w:pPr>
              <w:keepNext w:val="0"/>
              <w:keepLines w:val="0"/>
              <w:widowControl/>
              <w:suppressLineNumbers w:val="0"/>
              <w:spacing w:before="0" w:beforeAutospacing="0" w:after="0" w:afterAutospacing="0" w:line="360" w:lineRule="auto"/>
              <w:ind w:left="0" w:right="0" w:firstLine="480" w:firstLineChars="200"/>
              <w:rPr>
                <w:sz w:val="24"/>
              </w:rPr>
            </w:pPr>
            <w:r>
              <w:rPr>
                <w:rFonts w:hint="eastAsia"/>
                <w:sz w:val="24"/>
              </w:rPr>
              <w:t>综上，项目升压站选址合理。</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b/>
                <w:sz w:val="24"/>
              </w:rPr>
            </w:pPr>
            <w:r>
              <w:rPr>
                <w:rFonts w:ascii="Times New Roman"/>
                <w:b/>
                <w:sz w:val="24"/>
              </w:rPr>
              <w:t>2、</w:t>
            </w:r>
            <w:r>
              <w:rPr>
                <w:rFonts w:hint="eastAsia" w:ascii="Times New Roman"/>
                <w:b/>
                <w:sz w:val="24"/>
              </w:rPr>
              <w:t>产业准入要求</w:t>
            </w:r>
          </w:p>
          <w:p>
            <w:pPr>
              <w:keepNext w:val="0"/>
              <w:keepLines w:val="0"/>
              <w:widowControl/>
              <w:suppressLineNumbers w:val="0"/>
              <w:spacing w:before="0" w:beforeAutospacing="0" w:after="0" w:afterAutospacing="0" w:line="360" w:lineRule="auto"/>
              <w:ind w:left="0" w:right="0" w:firstLine="480" w:firstLineChars="200"/>
              <w:rPr>
                <w:sz w:val="24"/>
              </w:rPr>
            </w:pPr>
            <w:r>
              <w:rPr>
                <w:rFonts w:hint="eastAsia"/>
                <w:sz w:val="24"/>
              </w:rPr>
              <w:t>项目属于《产业结构调整目录（</w:t>
            </w:r>
            <w:r>
              <w:rPr>
                <w:sz w:val="24"/>
              </w:rPr>
              <w:t>2024</w:t>
            </w:r>
            <w:r>
              <w:rPr>
                <w:rFonts w:hint="eastAsia"/>
                <w:sz w:val="24"/>
              </w:rPr>
              <w:t>年本）》鼓励类建设项目（五、新能源</w:t>
            </w:r>
            <w:r>
              <w:rPr>
                <w:sz w:val="24"/>
              </w:rPr>
              <w:t>2</w:t>
            </w:r>
            <w:r>
              <w:rPr>
                <w:rFonts w:hint="eastAsia"/>
                <w:sz w:val="24"/>
              </w:rPr>
              <w:t>、可再生能源利用技术与应用：太阳能热发电集热系统、高效率低成本太阳能光伏发电技术研发与产业化、系统集成技术开发应用），属于鼓励类电力产业，符合国家产业政策。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rPr>
            </w:pPr>
            <w:r>
              <w:rPr>
                <w:rFonts w:ascii="Times New Roman"/>
                <w:bCs/>
                <w:sz w:val="24"/>
              </w:rPr>
              <w:t>根据</w:t>
            </w:r>
            <w:r>
              <w:rPr>
                <w:rFonts w:hint="eastAsia" w:ascii="Times New Roman"/>
                <w:bCs/>
                <w:sz w:val="24"/>
              </w:rPr>
              <w:t>“</w:t>
            </w:r>
            <w:r>
              <w:rPr>
                <w:rFonts w:ascii="Times New Roman"/>
                <w:bCs/>
                <w:sz w:val="24"/>
              </w:rPr>
              <w:t>国家发展改革委商务部关于印发《市场准入负面清单(2022年版)》的通知(发改体改规[2022]397号)</w:t>
            </w:r>
            <w:r>
              <w:rPr>
                <w:rFonts w:hint="eastAsia" w:ascii="Times New Roman"/>
                <w:bCs/>
                <w:sz w:val="24"/>
              </w:rPr>
              <w:t>”</w:t>
            </w:r>
            <w:r>
              <w:rPr>
                <w:rFonts w:ascii="Times New Roman"/>
                <w:bCs/>
                <w:sz w:val="24"/>
              </w:rPr>
              <w:t>，应严格落实</w:t>
            </w:r>
            <w:r>
              <w:rPr>
                <w:rFonts w:hint="eastAsia" w:ascii="Times New Roman"/>
                <w:bCs/>
                <w:sz w:val="24"/>
              </w:rPr>
              <w:t>“</w:t>
            </w:r>
            <w:r>
              <w:rPr>
                <w:rFonts w:ascii="Times New Roman"/>
                <w:bCs/>
                <w:sz w:val="24"/>
              </w:rPr>
              <w:t>全国一张清单</w:t>
            </w:r>
            <w:r>
              <w:rPr>
                <w:rFonts w:hint="eastAsia" w:ascii="Times New Roman"/>
                <w:bCs/>
                <w:sz w:val="24"/>
              </w:rPr>
              <w:t>”</w:t>
            </w:r>
            <w:r>
              <w:rPr>
                <w:rFonts w:ascii="Times New Roman"/>
                <w:bCs/>
                <w:sz w:val="24"/>
              </w:rPr>
              <w:t>管理要求，坚决维护市场准入负面清单制度的统一性、严肃性和权威性，确保</w:t>
            </w:r>
            <w:r>
              <w:rPr>
                <w:rFonts w:hint="eastAsia" w:ascii="Times New Roman"/>
                <w:bCs/>
                <w:sz w:val="24"/>
              </w:rPr>
              <w:t>“</w:t>
            </w:r>
            <w:r>
              <w:rPr>
                <w:rFonts w:ascii="Times New Roman"/>
                <w:bCs/>
                <w:sz w:val="24"/>
              </w:rPr>
              <w:t>一单尽列、单外无单</w:t>
            </w:r>
            <w:r>
              <w:rPr>
                <w:rFonts w:hint="eastAsia" w:ascii="Times New Roman"/>
                <w:bCs/>
                <w:sz w:val="24"/>
              </w:rPr>
              <w:t>”</w:t>
            </w:r>
            <w:r>
              <w:rPr>
                <w:rFonts w:ascii="Times New Roman"/>
                <w:bCs/>
                <w:sz w:val="24"/>
              </w:rPr>
              <w:t>。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本项目与</w:t>
            </w:r>
            <w:r>
              <w:rPr>
                <w:rFonts w:ascii="Times New Roman"/>
                <w:sz w:val="24"/>
                <w:szCs w:val="24"/>
              </w:rPr>
              <w:t>《</w:t>
            </w:r>
            <w:r>
              <w:rPr>
                <w:rFonts w:ascii="Times New Roman"/>
                <w:bCs/>
                <w:sz w:val="24"/>
                <w:szCs w:val="24"/>
              </w:rPr>
              <w:t>市场准入负面清单(2022年版)</w:t>
            </w:r>
            <w:r>
              <w:rPr>
                <w:rFonts w:ascii="Times New Roman"/>
                <w:sz w:val="24"/>
                <w:szCs w:val="24"/>
              </w:rPr>
              <w:t>》(发改体改规〔2022〕397号)</w:t>
            </w:r>
            <w:r>
              <w:rPr>
                <w:rFonts w:ascii="Times New Roman"/>
                <w:bCs/>
                <w:sz w:val="24"/>
              </w:rPr>
              <w:t>要求相符性见表1-1和表1-2。</w:t>
            </w:r>
          </w:p>
          <w:p>
            <w:pPr>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b/>
                <w:sz w:val="24"/>
              </w:rPr>
            </w:pPr>
            <w:r>
              <w:rPr>
                <w:rFonts w:ascii="Times New Roman"/>
                <w:b/>
                <w:sz w:val="24"/>
              </w:rPr>
              <w:t>表1-1  本项目与环境准入清单要求相符性</w:t>
            </w:r>
          </w:p>
          <w:tbl>
            <w:tblPr>
              <w:tblStyle w:val="90"/>
              <w:tblW w:w="808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9"/>
              <w:gridCol w:w="2167"/>
              <w:gridCol w:w="2552"/>
              <w:gridCol w:w="27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69"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项目号</w:t>
                  </w:r>
                </w:p>
              </w:tc>
              <w:tc>
                <w:tcPr>
                  <w:tcW w:w="2167"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禁止或许可事项</w:t>
                  </w:r>
                </w:p>
              </w:tc>
              <w:tc>
                <w:tcPr>
                  <w:tcW w:w="2552"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禁止或许可准入措施描述</w:t>
                  </w:r>
                </w:p>
              </w:tc>
              <w:tc>
                <w:tcPr>
                  <w:tcW w:w="2794"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本项目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8082" w:type="dxa"/>
                  <w:gridSpan w:val="4"/>
                  <w:vAlign w:val="center"/>
                </w:tcPr>
                <w:p>
                  <w:pPr>
                    <w:widowControl w:val="0"/>
                    <w:autoSpaceDE w:val="0"/>
                    <w:autoSpaceDN w:val="0"/>
                    <w:rPr>
                      <w:rFonts w:ascii="Times New Roman" w:hAnsi="Calibri"/>
                      <w:lang w:eastAsia="en-US"/>
                    </w:rPr>
                  </w:pPr>
                  <w:r>
                    <w:rPr>
                      <w:rFonts w:ascii="Times New Roman" w:hAnsi="Calibri"/>
                      <w:lang w:eastAsia="en-US"/>
                    </w:rPr>
                    <w:t>一、禁止准入类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69" w:type="dxa"/>
                  <w:vAlign w:val="center"/>
                </w:tcPr>
                <w:p>
                  <w:pPr>
                    <w:widowControl w:val="0"/>
                    <w:autoSpaceDE w:val="0"/>
                    <w:autoSpaceDN w:val="0"/>
                    <w:jc w:val="center"/>
                    <w:rPr>
                      <w:rFonts w:ascii="Times New Roman" w:hAnsi="Calibri"/>
                      <w:lang w:eastAsia="en-US"/>
                    </w:rPr>
                  </w:pPr>
                  <w:r>
                    <w:rPr>
                      <w:rFonts w:ascii="Times New Roman" w:hAnsi="Calibri"/>
                      <w:lang w:eastAsia="en-US"/>
                    </w:rPr>
                    <w:t>1</w:t>
                  </w:r>
                </w:p>
              </w:tc>
              <w:tc>
                <w:tcPr>
                  <w:tcW w:w="2167" w:type="dxa"/>
                  <w:vAlign w:val="center"/>
                </w:tcPr>
                <w:p>
                  <w:pPr>
                    <w:widowControl w:val="0"/>
                    <w:autoSpaceDE w:val="0"/>
                    <w:autoSpaceDN w:val="0"/>
                    <w:rPr>
                      <w:rFonts w:ascii="Times New Roman" w:hAnsi="Calibri"/>
                      <w:lang w:eastAsia="en-US"/>
                    </w:rPr>
                  </w:pPr>
                  <w:r>
                    <w:rPr>
                      <w:rFonts w:ascii="Times New Roman" w:hAnsi="Calibri"/>
                      <w:lang w:eastAsia="en-US"/>
                    </w:rPr>
                    <w:t>法律、法规、国务院决定等明确设立且与市场准入相关的禁止性规定</w:t>
                  </w:r>
                </w:p>
              </w:tc>
              <w:tc>
                <w:tcPr>
                  <w:tcW w:w="2552" w:type="dxa"/>
                  <w:vAlign w:val="center"/>
                </w:tcPr>
                <w:p>
                  <w:pPr>
                    <w:widowControl w:val="0"/>
                    <w:autoSpaceDE w:val="0"/>
                    <w:autoSpaceDN w:val="0"/>
                    <w:rPr>
                      <w:rFonts w:ascii="Times New Roman" w:hAnsi="Calibri"/>
                      <w:lang w:eastAsia="en-US"/>
                    </w:rPr>
                  </w:pPr>
                  <w:r>
                    <w:rPr>
                      <w:rFonts w:ascii="Times New Roman" w:hAnsi="Calibri"/>
                      <w:lang w:eastAsia="en-US"/>
                    </w:rPr>
                    <w:t>法律、法规、国务院决定等明确设立，且与市场准入相关的禁止性规定(见表1-2)</w:t>
                  </w:r>
                </w:p>
              </w:tc>
              <w:tc>
                <w:tcPr>
                  <w:tcW w:w="2794" w:type="dxa"/>
                  <w:vAlign w:val="center"/>
                </w:tcPr>
                <w:p>
                  <w:pPr>
                    <w:widowControl w:val="0"/>
                    <w:autoSpaceDE w:val="0"/>
                    <w:autoSpaceDN w:val="0"/>
                    <w:rPr>
                      <w:rFonts w:ascii="Times New Roman" w:hAnsi="Calibri"/>
                      <w:lang w:eastAsia="en-US"/>
                    </w:rPr>
                  </w:pPr>
                  <w:r>
                    <w:rPr>
                      <w:rFonts w:ascii="Times New Roman" w:hAnsi="Calibri"/>
                      <w:lang w:eastAsia="en-US"/>
                    </w:rPr>
                    <w:t>本项目与市场准入相关的禁止性规定相符性详见表1-2。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69" w:type="dxa"/>
                  <w:vAlign w:val="center"/>
                </w:tcPr>
                <w:p>
                  <w:pPr>
                    <w:widowControl w:val="0"/>
                    <w:autoSpaceDE w:val="0"/>
                    <w:autoSpaceDN w:val="0"/>
                    <w:jc w:val="center"/>
                    <w:rPr>
                      <w:rFonts w:ascii="Times New Roman" w:hAnsi="Calibri"/>
                      <w:lang w:eastAsia="en-US"/>
                    </w:rPr>
                  </w:pPr>
                  <w:r>
                    <w:rPr>
                      <w:rFonts w:ascii="Times New Roman" w:hAnsi="Calibri"/>
                      <w:lang w:eastAsia="en-US"/>
                    </w:rPr>
                    <w:t>2</w:t>
                  </w:r>
                </w:p>
              </w:tc>
              <w:tc>
                <w:tcPr>
                  <w:tcW w:w="2167" w:type="dxa"/>
                  <w:vAlign w:val="center"/>
                </w:tcPr>
                <w:p>
                  <w:pPr>
                    <w:widowControl w:val="0"/>
                    <w:autoSpaceDE w:val="0"/>
                    <w:autoSpaceDN w:val="0"/>
                    <w:rPr>
                      <w:rFonts w:ascii="Times New Roman" w:hAnsi="Calibri"/>
                      <w:lang w:eastAsia="en-US"/>
                    </w:rPr>
                  </w:pPr>
                  <w:r>
                    <w:rPr>
                      <w:rFonts w:ascii="Times New Roman" w:hAnsi="Calibri"/>
                      <w:lang w:eastAsia="en-US"/>
                    </w:rPr>
                    <w:t>国家产业政策明令淘汰和限制的产品、技术、工艺、设备及行为</w:t>
                  </w:r>
                </w:p>
              </w:tc>
              <w:tc>
                <w:tcPr>
                  <w:tcW w:w="2552" w:type="dxa"/>
                  <w:vAlign w:val="center"/>
                </w:tcPr>
                <w:p>
                  <w:pPr>
                    <w:widowControl w:val="0"/>
                    <w:autoSpaceDE w:val="0"/>
                    <w:autoSpaceDN w:val="0"/>
                    <w:rPr>
                      <w:rFonts w:ascii="Times New Roman" w:hAnsi="Calibri"/>
                      <w:lang w:eastAsia="en-US"/>
                    </w:rPr>
                  </w:pPr>
                  <w:r>
                    <w:rPr>
                      <w:rFonts w:ascii="Times New Roman" w:hAnsi="Calibri"/>
                      <w:lang w:eastAsia="en-US"/>
                    </w:rPr>
                    <w:t>《产业结构调整指导目录》中的淘汰类项目，禁止投资；限制类项目，禁止新建。禁止投资建设《汽车产业投资管理规定》所列的汽车投资禁止类事项。</w:t>
                  </w:r>
                </w:p>
              </w:tc>
              <w:tc>
                <w:tcPr>
                  <w:tcW w:w="2794" w:type="dxa"/>
                  <w:vAlign w:val="center"/>
                </w:tcPr>
                <w:p>
                  <w:pPr>
                    <w:widowControl w:val="0"/>
                    <w:autoSpaceDE w:val="0"/>
                    <w:autoSpaceDN w:val="0"/>
                    <w:rPr>
                      <w:rFonts w:ascii="Times New Roman" w:hAnsi="Calibri"/>
                      <w:lang w:eastAsia="en-US"/>
                    </w:rPr>
                  </w:pPr>
                  <w:r>
                    <w:rPr>
                      <w:rFonts w:ascii="Times New Roman" w:hAnsi="Calibri"/>
                      <w:lang w:eastAsia="en-US"/>
                    </w:rPr>
                    <w:t>本项目属清洁能源开发利用项目，根据《产业结构调整指导目录(20</w:t>
                  </w:r>
                  <w:r>
                    <w:rPr>
                      <w:rFonts w:hint="eastAsia" w:ascii="Times New Roman" w:hAnsi="Calibri"/>
                      <w:lang w:eastAsia="en-US"/>
                    </w:rPr>
                    <w:t>24</w:t>
                  </w:r>
                  <w:r>
                    <w:rPr>
                      <w:rFonts w:ascii="Times New Roman" w:hAnsi="Calibri"/>
                      <w:lang w:eastAsia="en-US"/>
                    </w:rPr>
                    <w:t>年本)》，本项目</w:t>
                  </w:r>
                  <w:r>
                    <w:rPr>
                      <w:rFonts w:hint="eastAsia" w:ascii="Times New Roman" w:hAnsi="Calibri"/>
                      <w:lang w:eastAsia="en-US"/>
                    </w:rPr>
                    <w:t>属于《产业结构调整目录（</w:t>
                  </w:r>
                  <w:r>
                    <w:rPr>
                      <w:rFonts w:ascii="Times New Roman" w:hAnsi="Calibri"/>
                      <w:lang w:eastAsia="en-US"/>
                    </w:rPr>
                    <w:t>2024</w:t>
                  </w:r>
                  <w:r>
                    <w:rPr>
                      <w:rFonts w:hint="eastAsia" w:ascii="Times New Roman" w:hAnsi="Calibri"/>
                      <w:lang w:eastAsia="en-US"/>
                    </w:rPr>
                    <w:t>年本）》鼓励类建设项目（五、新能源</w:t>
                  </w:r>
                  <w:r>
                    <w:rPr>
                      <w:rFonts w:ascii="Times New Roman" w:hAnsi="Calibri"/>
                      <w:lang w:eastAsia="en-US"/>
                    </w:rPr>
                    <w:t>2</w:t>
                  </w:r>
                  <w:r>
                    <w:rPr>
                      <w:rFonts w:hint="eastAsia" w:ascii="Times New Roman" w:hAnsi="Calibri"/>
                      <w:lang w:eastAsia="en-US"/>
                    </w:rPr>
                    <w:t>、可再生能源利用技术与应用：太阳能热发电集热系统、高效率低成本太阳能光伏发电技术研发与产业化、系统集成技术开发应用）</w:t>
                  </w:r>
                  <w:r>
                    <w:rPr>
                      <w:rFonts w:ascii="Times New Roman" w:hAnsi="Calibri"/>
                      <w:lang w:eastAsia="en-US"/>
                    </w:rPr>
                    <w:t>，不属于《产业结构调整指导目录》中的淘汰类、限制类项目。也不在《河北省禁止投资的产业目录(2014年版)》、《河北省政府核准的投资项目目录(2017年本)》及工信部《限期淘汰产生严重污染环境的工业固体废物的落后生产工艺设备名录》(2022年1月1日实施)范围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69" w:type="dxa"/>
                  <w:vAlign w:val="center"/>
                </w:tcPr>
                <w:p>
                  <w:pPr>
                    <w:widowControl w:val="0"/>
                    <w:autoSpaceDE w:val="0"/>
                    <w:autoSpaceDN w:val="0"/>
                    <w:jc w:val="center"/>
                    <w:rPr>
                      <w:rFonts w:ascii="Times New Roman" w:hAnsi="Calibri"/>
                      <w:lang w:eastAsia="en-US"/>
                    </w:rPr>
                  </w:pPr>
                  <w:r>
                    <w:rPr>
                      <w:rFonts w:ascii="Times New Roman" w:hAnsi="Calibri"/>
                      <w:lang w:eastAsia="en-US"/>
                    </w:rPr>
                    <w:t>3</w:t>
                  </w:r>
                </w:p>
              </w:tc>
              <w:tc>
                <w:tcPr>
                  <w:tcW w:w="2167" w:type="dxa"/>
                  <w:vAlign w:val="center"/>
                </w:tcPr>
                <w:p>
                  <w:pPr>
                    <w:widowControl w:val="0"/>
                    <w:autoSpaceDE w:val="0"/>
                    <w:autoSpaceDN w:val="0"/>
                    <w:rPr>
                      <w:rFonts w:ascii="Times New Roman" w:hAnsi="Calibri"/>
                      <w:lang w:eastAsia="en-US"/>
                    </w:rPr>
                  </w:pPr>
                  <w:r>
                    <w:rPr>
                      <w:rFonts w:ascii="Times New Roman" w:hAnsi="Calibri"/>
                      <w:lang w:eastAsia="en-US"/>
                    </w:rPr>
                    <w:t>不符合主体功能区建设要求的各类开发活动</w:t>
                  </w:r>
                </w:p>
              </w:tc>
              <w:tc>
                <w:tcPr>
                  <w:tcW w:w="2552" w:type="dxa"/>
                  <w:vAlign w:val="center"/>
                </w:tcPr>
                <w:p>
                  <w:pPr>
                    <w:widowControl w:val="0"/>
                    <w:autoSpaceDE w:val="0"/>
                    <w:autoSpaceDN w:val="0"/>
                    <w:rPr>
                      <w:rFonts w:ascii="Times New Roman" w:hAnsi="Calibri"/>
                      <w:lang w:eastAsia="en-US"/>
                    </w:rPr>
                  </w:pPr>
                  <w:r>
                    <w:rPr>
                      <w:rFonts w:ascii="Times New Roman" w:hAnsi="Calibri"/>
                      <w:lang w:eastAsia="en-US"/>
                    </w:rPr>
                    <w:t>地方国家重点生态功能区产业准入负面清单(或禁止限制目录)、农产品主产区产业准入负面清单(或禁止限制目录)所列有关事项</w:t>
                  </w:r>
                </w:p>
              </w:tc>
              <w:tc>
                <w:tcPr>
                  <w:tcW w:w="2794" w:type="dxa"/>
                  <w:vAlign w:val="center"/>
                </w:tcPr>
                <w:p>
                  <w:pPr>
                    <w:widowControl w:val="0"/>
                    <w:autoSpaceDE w:val="0"/>
                    <w:autoSpaceDN w:val="0"/>
                    <w:rPr>
                      <w:rFonts w:ascii="Times New Roman" w:hAnsi="Calibri"/>
                      <w:lang w:eastAsia="en-US"/>
                    </w:rPr>
                  </w:pPr>
                  <w:r>
                    <w:rPr>
                      <w:rFonts w:ascii="Times New Roman" w:hAnsi="Calibri"/>
                      <w:lang w:eastAsia="en-US"/>
                    </w:rPr>
                    <w:t>依据</w:t>
                  </w:r>
                  <w:r>
                    <w:rPr>
                      <w:rFonts w:hint="eastAsia" w:ascii="Times New Roman" w:hAnsi="Calibri"/>
                      <w:lang w:eastAsia="en-US"/>
                    </w:rPr>
                    <w:t>河北省发展和改革委员会</w:t>
                  </w:r>
                  <w:r>
                    <w:rPr>
                      <w:rFonts w:ascii="Times New Roman" w:hAnsi="Calibri"/>
                      <w:lang w:eastAsia="en-US"/>
                    </w:rPr>
                    <w:t>下发《</w:t>
                  </w:r>
                  <w:r>
                    <w:rPr>
                      <w:rFonts w:hint="eastAsia" w:ascii="Times New Roman" w:hAnsi="Calibri"/>
                      <w:lang w:eastAsia="en-US"/>
                    </w:rPr>
                    <w:t>河北省2021年度电力源网荷储一体化和多能互补试点项目公示</w:t>
                  </w:r>
                  <w:r>
                    <w:rPr>
                      <w:rFonts w:ascii="Times New Roman" w:hAnsi="Calibri"/>
                      <w:lang w:eastAsia="en-US"/>
                    </w:rPr>
                    <w:t>》(</w:t>
                  </w:r>
                  <w:r>
                    <w:rPr>
                      <w:rFonts w:hint="eastAsia" w:ascii="Times New Roman" w:hAnsi="Calibri"/>
                      <w:lang w:eastAsia="en-US"/>
                    </w:rPr>
                    <w:t>2021年12月20日</w:t>
                  </w:r>
                  <w:r>
                    <w:rPr>
                      <w:rFonts w:ascii="Times New Roman" w:hAnsi="Calibri"/>
                      <w:lang w:eastAsia="en-US"/>
                    </w:rPr>
                    <w:t>)(</w:t>
                  </w:r>
                  <w:r>
                    <w:rPr>
                      <w:rFonts w:hint="eastAsia" w:ascii="Times New Roman" w:hAnsi="Calibri"/>
                      <w:lang w:eastAsia="en-US"/>
                    </w:rPr>
                    <w:t>附件3</w:t>
                  </w:r>
                  <w:r>
                    <w:rPr>
                      <w:rFonts w:ascii="Times New Roman" w:hAnsi="Calibri"/>
                      <w:lang w:eastAsia="en-US"/>
                    </w:rPr>
                    <w:t>)，本项目已列入承德市市场化并网风电、光伏发电项目实施计划。根据项目所在区域省市生态功能区划、“三线一单”及生态红线管控清单，项目的建设无“地方国家重点生态功能区产业准入负面清单(或禁止限制目录)、农产品主产区产业准入负面清单(或禁止限制目录)所列有关事项”，不属于“不符合主体功能区建设要求的各类开发活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8082" w:type="dxa"/>
                  <w:gridSpan w:val="4"/>
                  <w:vAlign w:val="center"/>
                </w:tcPr>
                <w:p>
                  <w:pPr>
                    <w:widowControl w:val="0"/>
                    <w:autoSpaceDE w:val="0"/>
                    <w:autoSpaceDN w:val="0"/>
                    <w:rPr>
                      <w:rFonts w:ascii="Times New Roman" w:hAnsi="Calibri"/>
                      <w:lang w:eastAsia="en-US"/>
                    </w:rPr>
                  </w:pPr>
                  <w:r>
                    <w:rPr>
                      <w:rFonts w:ascii="Times New Roman" w:hAnsi="Calibri"/>
                      <w:lang w:eastAsia="en-US"/>
                    </w:rPr>
                    <w:t>二、许可准入类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8082" w:type="dxa"/>
                  <w:gridSpan w:val="4"/>
                  <w:vAlign w:val="center"/>
                </w:tcPr>
                <w:p>
                  <w:pPr>
                    <w:widowControl w:val="0"/>
                    <w:autoSpaceDE w:val="0"/>
                    <w:autoSpaceDN w:val="0"/>
                    <w:rPr>
                      <w:rFonts w:ascii="Times New Roman" w:hAnsi="Calibri"/>
                      <w:lang w:eastAsia="en-US"/>
                    </w:rPr>
                  </w:pPr>
                  <w:r>
                    <w:rPr>
                      <w:rFonts w:ascii="Times New Roman" w:hAnsi="Calibri"/>
                      <w:lang w:eastAsia="en-US"/>
                    </w:rPr>
                    <w:t>(十四)水利、环境和公共设施管理业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69" w:type="dxa"/>
                  <w:vAlign w:val="center"/>
                </w:tcPr>
                <w:p>
                  <w:pPr>
                    <w:widowControl w:val="0"/>
                    <w:autoSpaceDE w:val="0"/>
                    <w:autoSpaceDN w:val="0"/>
                    <w:jc w:val="center"/>
                    <w:rPr>
                      <w:rFonts w:ascii="Times New Roman" w:hAnsi="Calibri"/>
                      <w:lang w:eastAsia="en-US"/>
                    </w:rPr>
                  </w:pPr>
                  <w:r>
                    <w:rPr>
                      <w:rFonts w:ascii="Times New Roman" w:hAnsi="Calibri"/>
                      <w:lang w:eastAsia="en-US"/>
                    </w:rPr>
                    <w:t>83</w:t>
                  </w:r>
                </w:p>
              </w:tc>
              <w:tc>
                <w:tcPr>
                  <w:tcW w:w="2167" w:type="dxa"/>
                  <w:vAlign w:val="center"/>
                </w:tcPr>
                <w:p>
                  <w:pPr>
                    <w:widowControl w:val="0"/>
                    <w:autoSpaceDE w:val="0"/>
                    <w:autoSpaceDN w:val="0"/>
                    <w:rPr>
                      <w:rFonts w:ascii="Times New Roman" w:hAnsi="Calibri"/>
                      <w:lang w:eastAsia="en-US"/>
                    </w:rPr>
                  </w:pPr>
                  <w:r>
                    <w:rPr>
                      <w:rFonts w:ascii="Times New Roman" w:hAnsi="Calibri"/>
                      <w:lang w:eastAsia="en-US"/>
                    </w:rPr>
                    <w:t>未获得许可，不得从事污染物监测、贮存、处置等经营业务</w:t>
                  </w:r>
                </w:p>
              </w:tc>
              <w:tc>
                <w:tcPr>
                  <w:tcW w:w="2552" w:type="dxa"/>
                  <w:vAlign w:val="center"/>
                </w:tcPr>
                <w:p>
                  <w:pPr>
                    <w:widowControl w:val="0"/>
                    <w:autoSpaceDE w:val="0"/>
                    <w:autoSpaceDN w:val="0"/>
                    <w:rPr>
                      <w:rFonts w:ascii="Times New Roman" w:hAnsi="Calibri"/>
                      <w:color w:val="auto"/>
                      <w:highlight w:val="none"/>
                      <w:lang w:eastAsia="en-US"/>
                    </w:rPr>
                  </w:pPr>
                  <w:r>
                    <w:rPr>
                      <w:rFonts w:ascii="Times New Roman" w:hAnsi="Calibri"/>
                      <w:color w:val="auto"/>
                      <w:highlight w:val="none"/>
                      <w:lang w:eastAsia="en-US"/>
                    </w:rPr>
                    <w:t>设立专门从事放射性废物处理、贮存、处置单位许可危险废物经营许可危险废物越境转移核准废弃电器电子产品处理企业资格审批生活垃圾经营性清扫、收集、运输、处理服务审批城市建筑垃圾处置核准</w:t>
                  </w:r>
                </w:p>
              </w:tc>
              <w:tc>
                <w:tcPr>
                  <w:tcW w:w="2794" w:type="dxa"/>
                  <w:vAlign w:val="center"/>
                </w:tcPr>
                <w:p>
                  <w:pPr>
                    <w:widowControl w:val="0"/>
                    <w:autoSpaceDE w:val="0"/>
                    <w:autoSpaceDN w:val="0"/>
                    <w:spacing w:line="240" w:lineRule="atLeast"/>
                    <w:ind w:firstLine="480"/>
                    <w:rPr>
                      <w:rFonts w:hAnsi="Calibri"/>
                      <w:color w:val="auto"/>
                      <w:kern w:val="0"/>
                      <w:highlight w:val="none"/>
                      <w:lang w:eastAsia="en-US"/>
                    </w:rPr>
                  </w:pPr>
                  <w:r>
                    <w:rPr>
                      <w:rFonts w:hAnsi="Calibri"/>
                      <w:color w:val="auto"/>
                      <w:kern w:val="0"/>
                      <w:highlight w:val="none"/>
                      <w:lang w:eastAsia="en-US"/>
                    </w:rPr>
                    <w:t>废铅酸蓄电池</w:t>
                  </w:r>
                  <w:r>
                    <w:rPr>
                      <w:rFonts w:hint="eastAsia" w:hAnsi="Calibri"/>
                      <w:color w:val="auto"/>
                      <w:kern w:val="0"/>
                      <w:highlight w:val="none"/>
                      <w:lang w:eastAsia="en-US"/>
                    </w:rPr>
                    <w:t>暂存于危废间定期由承德雅舍再生资源回收有限公司运输、回收处理；</w:t>
                  </w:r>
                  <w:r>
                    <w:rPr>
                      <w:rFonts w:hAnsi="Calibri"/>
                      <w:color w:val="auto"/>
                      <w:kern w:val="0"/>
                      <w:highlight w:val="none"/>
                      <w:lang w:eastAsia="en-US"/>
                    </w:rPr>
                    <w:t>主变</w:t>
                  </w:r>
                  <w:r>
                    <w:rPr>
                      <w:rFonts w:hint="eastAsia" w:hAnsi="Calibri"/>
                      <w:color w:val="auto"/>
                      <w:kern w:val="0"/>
                      <w:highlight w:val="none"/>
                      <w:lang w:eastAsia="en-US"/>
                    </w:rPr>
                    <w:t>压器检修产生的废油</w:t>
                  </w:r>
                  <w:r>
                    <w:rPr>
                      <w:rFonts w:hint="eastAsia" w:hAnsi="Calibri"/>
                      <w:color w:val="auto"/>
                      <w:kern w:val="0"/>
                      <w:highlight w:val="none"/>
                      <w:lang w:val="en-US" w:eastAsia="zh-CN"/>
                    </w:rPr>
                    <w:t>暂存于危废暂存间，</w:t>
                  </w:r>
                  <w:r>
                    <w:rPr>
                      <w:rFonts w:hAnsi="Calibri"/>
                      <w:color w:val="auto"/>
                      <w:kern w:val="0"/>
                      <w:highlight w:val="none"/>
                      <w:lang w:eastAsia="en-US"/>
                    </w:rPr>
                    <w:t>主变</w:t>
                  </w:r>
                  <w:r>
                    <w:rPr>
                      <w:rFonts w:hint="eastAsia" w:hAnsi="Calibri"/>
                      <w:color w:val="auto"/>
                      <w:kern w:val="0"/>
                      <w:highlight w:val="none"/>
                      <w:lang w:eastAsia="en-US"/>
                    </w:rPr>
                    <w:t>压器</w:t>
                  </w:r>
                  <w:r>
                    <w:rPr>
                      <w:rFonts w:hAnsi="Calibri"/>
                      <w:color w:val="auto"/>
                      <w:kern w:val="0"/>
                      <w:highlight w:val="none"/>
                      <w:lang w:eastAsia="en-US"/>
                    </w:rPr>
                    <w:t>事故状态下产生的事故油排入</w:t>
                  </w:r>
                  <w:r>
                    <w:rPr>
                      <w:rFonts w:hint="eastAsia" w:hAnsi="Calibri"/>
                      <w:color w:val="auto"/>
                      <w:kern w:val="0"/>
                      <w:highlight w:val="none"/>
                      <w:lang w:eastAsia="en-US"/>
                    </w:rPr>
                    <w:t>项目新建</w:t>
                  </w:r>
                  <w:r>
                    <w:rPr>
                      <w:rFonts w:hAnsi="Calibri"/>
                      <w:color w:val="auto"/>
                      <w:kern w:val="0"/>
                      <w:highlight w:val="none"/>
                      <w:lang w:eastAsia="en-US"/>
                    </w:rPr>
                    <w:t>事故油池，沾油抹布暂存于危废暂存间，</w:t>
                  </w:r>
                  <w:r>
                    <w:rPr>
                      <w:rFonts w:hint="eastAsia" w:hAnsi="Calibri"/>
                      <w:color w:val="auto"/>
                      <w:kern w:val="0"/>
                      <w:highlight w:val="none"/>
                      <w:lang w:eastAsia="en-US"/>
                    </w:rPr>
                    <w:t>检修废油、事故废油、</w:t>
                  </w:r>
                  <w:r>
                    <w:rPr>
                      <w:rFonts w:hAnsi="Calibri"/>
                      <w:color w:val="auto"/>
                      <w:kern w:val="0"/>
                      <w:highlight w:val="none"/>
                      <w:lang w:eastAsia="en-US"/>
                    </w:rPr>
                    <w:t>沾油抹布</w:t>
                  </w:r>
                  <w:r>
                    <w:rPr>
                      <w:rFonts w:hint="eastAsia" w:hAnsi="Calibri"/>
                      <w:color w:val="auto"/>
                      <w:kern w:val="0"/>
                      <w:highlight w:val="none"/>
                      <w:lang w:eastAsia="en-US"/>
                    </w:rPr>
                    <w:t>最终统一由承德双然环保科技有限公司运输至乐亭县海畅环保科技有限公司处理。</w:t>
                  </w:r>
                </w:p>
                <w:p>
                  <w:pPr>
                    <w:widowControl w:val="0"/>
                    <w:autoSpaceDE w:val="0"/>
                    <w:autoSpaceDN w:val="0"/>
                    <w:rPr>
                      <w:rFonts w:ascii="Times New Roman" w:hAnsi="Calibri"/>
                      <w:color w:val="auto"/>
                      <w:highlight w:val="none"/>
                      <w:lang w:eastAsia="en-US"/>
                    </w:rPr>
                  </w:pPr>
                </w:p>
              </w:tc>
            </w:tr>
          </w:tbl>
          <w:p>
            <w:pPr>
              <w:keepNext w:val="0"/>
              <w:keepLines w:val="0"/>
              <w:widowControl w:val="0"/>
              <w:suppressLineNumbers w:val="0"/>
              <w:adjustRightInd w:val="0"/>
              <w:snapToGrid w:val="0"/>
              <w:spacing w:before="120" w:beforeLines="50" w:beforeAutospacing="0" w:after="0" w:afterAutospacing="0" w:line="360" w:lineRule="auto"/>
              <w:ind w:left="0" w:right="0"/>
              <w:jc w:val="center"/>
              <w:rPr>
                <w:rFonts w:ascii="Times New Roman"/>
                <w:b/>
                <w:kern w:val="0"/>
                <w:sz w:val="24"/>
                <w:szCs w:val="24"/>
              </w:rPr>
            </w:pPr>
            <w:r>
              <w:rPr>
                <w:rFonts w:ascii="Times New Roman"/>
                <w:b/>
                <w:kern w:val="0"/>
                <w:sz w:val="24"/>
                <w:szCs w:val="24"/>
              </w:rPr>
              <w:t>表1-2  与市场准入相关的禁止性规定的相符性</w:t>
            </w:r>
          </w:p>
          <w:tbl>
            <w:tblPr>
              <w:tblStyle w:val="90"/>
              <w:tblW w:w="0" w:type="auto"/>
              <w:tblInd w:w="12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0"/>
              <w:gridCol w:w="4413"/>
              <w:gridCol w:w="26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序号</w:t>
                  </w:r>
                </w:p>
              </w:tc>
              <w:tc>
                <w:tcPr>
                  <w:tcW w:w="4413"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禁止措施</w:t>
                  </w:r>
                </w:p>
              </w:tc>
              <w:tc>
                <w:tcPr>
                  <w:tcW w:w="2627"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本项目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790" w:type="dxa"/>
                  <w:gridSpan w:val="3"/>
                  <w:vAlign w:val="center"/>
                </w:tcPr>
                <w:p>
                  <w:pPr>
                    <w:widowControl w:val="0"/>
                    <w:autoSpaceDE w:val="0"/>
                    <w:autoSpaceDN w:val="0"/>
                    <w:rPr>
                      <w:rFonts w:ascii="Times New Roman" w:hAnsi="Calibri"/>
                      <w:lang w:eastAsia="en-US"/>
                    </w:rPr>
                  </w:pPr>
                  <w:r>
                    <w:rPr>
                      <w:rFonts w:ascii="Times New Roman" w:hAnsi="Calibri"/>
                      <w:lang w:eastAsia="en-US"/>
                    </w:rPr>
                    <w:t>(一)农、林、牧、渔业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2</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严禁占用永久基本农田挖塘造湖、植树造林、建绿色通道、堆放固体废弃物及其他毁坏永久基本农田种植条件和破坏永久基本农田的行为</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本项目占地不占用永久基本农田。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3</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禁止占用耕地建窑、建坟或者擅自在耕地上建房、挖沙、采石、采矿、取土等</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本项目不占用耕地。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5</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禁止开垦草原等活动；禁止在生态脆弱区的草原上采挖植物和从事破坏草原植被的其他活动</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本项目不开垦草原。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12</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禁止将重金属污染物或者其他有毒有害物质用作回填或者充填材料，受重金属污染物或者其他有毒有害物质污染的土地复垦后，达不到国家有关标准的，不得用于种植食用农作物</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w:t>
                  </w:r>
                  <w:r>
                    <w:rPr>
                      <w:rFonts w:hint="eastAsia" w:ascii="Times New Roman" w:hAnsi="Calibri"/>
                      <w:lang w:eastAsia="en-US"/>
                    </w:rPr>
                    <w:t>整体</w:t>
                  </w:r>
                  <w:r>
                    <w:rPr>
                      <w:rFonts w:ascii="Times New Roman" w:hAnsi="Calibri"/>
                      <w:lang w:eastAsia="en-US"/>
                    </w:rPr>
                    <w:t>土石方合理平衡，不使用重金属污染物或者其他有毒有害物质用作回填。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16</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禁止在沙化土地上砍挖灌木、药材及其他固沙植物</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本项目不在沙化土地上砍挖灌木、药材及其他固沙植物。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39</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禁止在临时使用土地上修建永久性建筑物</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本项目临时建筑施工结束后拆除，并恢复临时占地原有土地功能。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790" w:type="dxa"/>
                  <w:gridSpan w:val="3"/>
                  <w:vAlign w:val="center"/>
                </w:tcPr>
                <w:p>
                  <w:pPr>
                    <w:widowControl w:val="0"/>
                    <w:autoSpaceDE w:val="0"/>
                    <w:autoSpaceDN w:val="0"/>
                    <w:rPr>
                      <w:rFonts w:ascii="Times New Roman" w:hAnsi="Calibri"/>
                      <w:lang w:eastAsia="en-US"/>
                    </w:rPr>
                  </w:pPr>
                  <w:r>
                    <w:rPr>
                      <w:rFonts w:ascii="Times New Roman" w:hAnsi="Calibri"/>
                      <w:lang w:eastAsia="en-US"/>
                    </w:rPr>
                    <w:t>(十一)水利、环境和公共设施管理业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4653"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73</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在饮用水水源保护区内，禁止设置排污口</w:t>
                  </w:r>
                </w:p>
              </w:tc>
              <w:tc>
                <w:tcPr>
                  <w:tcW w:w="2627" w:type="dxa"/>
                  <w:vAlign w:val="center"/>
                </w:tcPr>
                <w:p>
                  <w:pPr>
                    <w:widowControl w:val="0"/>
                    <w:autoSpaceDE w:val="0"/>
                    <w:autoSpaceDN w:val="0"/>
                    <w:rPr>
                      <w:rFonts w:ascii="Times New Roman" w:hAnsi="Calibri"/>
                      <w:color w:val="auto"/>
                      <w:lang w:eastAsia="en-US"/>
                    </w:rPr>
                  </w:pPr>
                  <w:r>
                    <w:rPr>
                      <w:rFonts w:ascii="Times New Roman" w:hAnsi="Calibri"/>
                      <w:lang w:eastAsia="en-US"/>
                    </w:rPr>
                    <w:t>本项目</w:t>
                  </w:r>
                  <w:r>
                    <w:rPr>
                      <w:rFonts w:hint="eastAsia" w:ascii="Times New Roman" w:hAnsi="Calibri"/>
                      <w:lang w:eastAsia="en-US"/>
                    </w:rPr>
                    <w:t>未位于</w:t>
                  </w:r>
                  <w:r>
                    <w:rPr>
                      <w:rFonts w:ascii="Times New Roman" w:hAnsi="Calibri"/>
                      <w:lang w:eastAsia="en-US"/>
                    </w:rPr>
                    <w:t>饮用水水源保护区内</w:t>
                  </w:r>
                  <w:r>
                    <w:rPr>
                      <w:rFonts w:hint="eastAsia" w:ascii="Times New Roman" w:hAnsi="Calibri"/>
                      <w:color w:val="auto"/>
                      <w:lang w:eastAsia="en-US"/>
                    </w:rPr>
                    <w:t>。</w:t>
                  </w:r>
                </w:p>
                <w:p>
                  <w:pPr>
                    <w:widowControl w:val="0"/>
                    <w:autoSpaceDE w:val="0"/>
                    <w:autoSpaceDN w:val="0"/>
                    <w:rPr>
                      <w:rFonts w:ascii="Times New Roman" w:hAnsi="Calibri"/>
                      <w:b/>
                      <w:bCs/>
                      <w:color w:val="auto"/>
                      <w:lang w:eastAsia="en-US"/>
                    </w:rPr>
                  </w:pPr>
                  <w:r>
                    <w:rPr>
                      <w:rFonts w:hint="eastAsia" w:ascii="Times New Roman" w:hAnsi="Calibri"/>
                      <w:b/>
                      <w:bCs/>
                      <w:color w:val="auto"/>
                      <w:lang w:eastAsia="en-US"/>
                    </w:rPr>
                    <w:t>施工期：</w:t>
                  </w:r>
                  <w:r>
                    <w:rPr>
                      <w:rFonts w:hint="eastAsia" w:ascii="Times New Roman" w:hAnsi="Calibri"/>
                      <w:color w:val="auto"/>
                      <w:lang w:eastAsia="en-US"/>
                    </w:rPr>
                    <w:t>废水</w:t>
                  </w:r>
                  <w:r>
                    <w:rPr>
                      <w:rFonts w:hint="eastAsia" w:ascii="Times New Roman" w:hAnsi="Calibri"/>
                      <w:color w:val="auto"/>
                      <w:lang w:eastAsia="zh-CN"/>
                    </w:rPr>
                    <w:t>：</w:t>
                  </w:r>
                  <w:r>
                    <w:rPr>
                      <w:rFonts w:hint="eastAsia" w:ascii="Times New Roman" w:hAnsi="Calibri"/>
                      <w:color w:val="auto"/>
                      <w:lang w:val="en-US" w:eastAsia="zh-CN"/>
                    </w:rPr>
                    <w:t>本项目施工期人员主要为当地居民，生活废水分散于周围村庄，</w:t>
                  </w:r>
                  <w:r>
                    <w:rPr>
                      <w:rFonts w:hint="eastAsia" w:ascii="Times New Roman" w:hAnsi="Calibri"/>
                      <w:color w:val="auto"/>
                      <w:lang w:eastAsia="en-US"/>
                    </w:rPr>
                    <w:t>主要</w:t>
                  </w:r>
                  <w:r>
                    <w:rPr>
                      <w:rFonts w:hint="eastAsia" w:ascii="Times New Roman" w:hAnsi="Calibri"/>
                      <w:color w:val="auto"/>
                      <w:lang w:val="en-US" w:eastAsia="zh-CN"/>
                    </w:rPr>
                    <w:t>废水</w:t>
                  </w:r>
                  <w:r>
                    <w:rPr>
                      <w:rFonts w:hint="eastAsia" w:ascii="Times New Roman" w:hAnsi="Calibri"/>
                      <w:color w:val="auto"/>
                      <w:lang w:eastAsia="en-US"/>
                    </w:rPr>
                    <w:t>为设备车辆冲洗废水和水泥构件养护废水，经沉淀池处理后，用于场区内泼洒抑尘，不外排。</w:t>
                  </w:r>
                </w:p>
                <w:p>
                  <w:pPr>
                    <w:widowControl w:val="0"/>
                    <w:autoSpaceDE w:val="0"/>
                    <w:autoSpaceDN w:val="0"/>
                    <w:rPr>
                      <w:rFonts w:ascii="Times New Roman" w:hAnsi="Calibri"/>
                      <w:lang w:eastAsia="en-US"/>
                    </w:rPr>
                  </w:pPr>
                  <w:r>
                    <w:rPr>
                      <w:rFonts w:hint="eastAsia" w:ascii="Times New Roman" w:hAnsi="Calibri"/>
                      <w:b/>
                      <w:bCs/>
                      <w:color w:val="auto"/>
                      <w:lang w:eastAsia="en-US"/>
                    </w:rPr>
                    <w:t>运营期：</w:t>
                  </w:r>
                  <w:r>
                    <w:rPr>
                      <w:rFonts w:hint="eastAsia" w:ascii="Times New Roman" w:hAnsi="Calibri"/>
                      <w:color w:val="auto"/>
                      <w:lang w:eastAsia="en-US"/>
                    </w:rPr>
                    <w:t>食堂废水经隔油池处理、其他生活废水经化粪池处理后一同进入污水一体化处理设备处理，处</w:t>
                  </w:r>
                  <w:r>
                    <w:rPr>
                      <w:rFonts w:hint="eastAsia" w:ascii="Times New Roman" w:hAnsi="Calibri"/>
                      <w:lang w:eastAsia="en-US"/>
                    </w:rPr>
                    <w:t>理后满足《城市污水再生利用城市杂用水水质》中城市绿化、道路清扫、消防用水水质标准，用于厂区洒水抑尘</w:t>
                  </w:r>
                  <w:r>
                    <w:rPr>
                      <w:rFonts w:ascii="Times New Roman" w:hAnsi="Calibri"/>
                      <w:lang w:eastAsia="en-US"/>
                    </w:rPr>
                    <w:t>。</w:t>
                  </w: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p>
                  <w:pPr>
                    <w:widowControl w:val="0"/>
                    <w:autoSpaceDE w:val="0"/>
                    <w:autoSpaceDN w:val="0"/>
                    <w:rPr>
                      <w:rFonts w:ascii="Times New Roman" w:hAnsi="Calibri"/>
                      <w:lang w:eastAsia="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74</w:t>
                  </w:r>
                </w:p>
              </w:tc>
              <w:tc>
                <w:tcPr>
                  <w:tcW w:w="4413" w:type="dxa"/>
                  <w:vAlign w:val="center"/>
                </w:tcPr>
                <w:p>
                  <w:pPr>
                    <w:widowControl w:val="0"/>
                    <w:autoSpaceDE w:val="0"/>
                    <w:autoSpaceDN w:val="0"/>
                    <w:rPr>
                      <w:rFonts w:ascii="Times New Roman" w:hAnsi="Calibri"/>
                      <w:color w:val="auto"/>
                      <w:lang w:eastAsia="en-US"/>
                    </w:rPr>
                  </w:pPr>
                  <w:r>
                    <w:rPr>
                      <w:rFonts w:ascii="Times New Roman" w:hAnsi="Calibri"/>
                      <w:color w:val="auto"/>
                      <w:lang w:eastAsia="en-US"/>
                    </w:rPr>
                    <w:t>禁止在饮用水水源准保护区内新建、扩建对水体污染严重的建设项目</w:t>
                  </w:r>
                </w:p>
              </w:tc>
              <w:tc>
                <w:tcPr>
                  <w:tcW w:w="2627" w:type="dxa"/>
                  <w:vAlign w:val="center"/>
                </w:tcPr>
                <w:p>
                  <w:pPr>
                    <w:widowControl w:val="0"/>
                    <w:autoSpaceDE w:val="0"/>
                    <w:autoSpaceDN w:val="0"/>
                    <w:rPr>
                      <w:rFonts w:ascii="Times New Roman" w:hAnsi="Calibri"/>
                      <w:b/>
                      <w:bCs/>
                      <w:color w:val="auto"/>
                      <w:lang w:eastAsia="en-US"/>
                    </w:rPr>
                  </w:pPr>
                  <w:r>
                    <w:rPr>
                      <w:rFonts w:hint="eastAsia" w:ascii="Times New Roman" w:hAnsi="Calibri"/>
                      <w:color w:val="auto"/>
                      <w:lang w:eastAsia="en-US"/>
                    </w:rPr>
                    <w:t>本项目未</w:t>
                  </w:r>
                  <w:r>
                    <w:rPr>
                      <w:rFonts w:ascii="Times New Roman" w:hAnsi="Calibri"/>
                      <w:color w:val="auto"/>
                      <w:lang w:eastAsia="en-US"/>
                    </w:rPr>
                    <w:t>在饮用水水源准保护区内</w:t>
                  </w:r>
                  <w:r>
                    <w:rPr>
                      <w:rFonts w:hint="eastAsia" w:ascii="Times New Roman" w:hAnsi="Calibri"/>
                      <w:color w:val="auto"/>
                      <w:lang w:eastAsia="en-US"/>
                    </w:rPr>
                    <w:t>。</w:t>
                  </w:r>
                </w:p>
                <w:p>
                  <w:pPr>
                    <w:widowControl w:val="0"/>
                    <w:autoSpaceDE w:val="0"/>
                    <w:autoSpaceDN w:val="0"/>
                    <w:rPr>
                      <w:rFonts w:ascii="Times New Roman" w:hAnsi="Calibri"/>
                      <w:b/>
                      <w:bCs/>
                      <w:color w:val="auto"/>
                      <w:lang w:eastAsia="en-US"/>
                    </w:rPr>
                  </w:pPr>
                  <w:r>
                    <w:rPr>
                      <w:rFonts w:hint="eastAsia" w:ascii="Times New Roman" w:hAnsi="Calibri"/>
                      <w:b/>
                      <w:bCs/>
                      <w:color w:val="auto"/>
                      <w:lang w:eastAsia="en-US"/>
                    </w:rPr>
                    <w:t>施工期：</w:t>
                  </w:r>
                  <w:r>
                    <w:rPr>
                      <w:rFonts w:hint="eastAsia" w:ascii="Times New Roman" w:hAnsi="Calibri"/>
                      <w:color w:val="auto"/>
                      <w:lang w:eastAsia="en-US"/>
                    </w:rPr>
                    <w:t>废水</w:t>
                  </w:r>
                  <w:r>
                    <w:rPr>
                      <w:rFonts w:hint="eastAsia" w:ascii="Times New Roman" w:hAnsi="Calibri"/>
                      <w:color w:val="auto"/>
                      <w:lang w:eastAsia="zh-CN"/>
                    </w:rPr>
                    <w:t>：</w:t>
                  </w:r>
                  <w:r>
                    <w:rPr>
                      <w:rFonts w:hint="eastAsia" w:ascii="Times New Roman" w:hAnsi="Calibri"/>
                      <w:color w:val="auto"/>
                      <w:lang w:val="en-US" w:eastAsia="zh-CN"/>
                    </w:rPr>
                    <w:t>本项目施工期人员主要为当地居民，生活废水分散于周围村庄，</w:t>
                  </w:r>
                  <w:r>
                    <w:rPr>
                      <w:rFonts w:hint="eastAsia" w:ascii="Times New Roman" w:hAnsi="Calibri"/>
                      <w:color w:val="auto"/>
                      <w:lang w:eastAsia="en-US"/>
                    </w:rPr>
                    <w:t>主要</w:t>
                  </w:r>
                  <w:r>
                    <w:rPr>
                      <w:rFonts w:hint="eastAsia" w:ascii="Times New Roman" w:hAnsi="Calibri"/>
                      <w:color w:val="auto"/>
                      <w:lang w:val="en-US" w:eastAsia="zh-CN"/>
                    </w:rPr>
                    <w:t>废水</w:t>
                  </w:r>
                  <w:r>
                    <w:rPr>
                      <w:rFonts w:hint="eastAsia" w:ascii="Times New Roman" w:hAnsi="Calibri"/>
                      <w:color w:val="auto"/>
                      <w:lang w:eastAsia="en-US"/>
                    </w:rPr>
                    <w:t>为设备车辆冲洗废水和水泥构件养护废水，经沉淀池处理后，用于场区内泼洒抑尘，不外排。</w:t>
                  </w:r>
                </w:p>
                <w:p>
                  <w:pPr>
                    <w:widowControl w:val="0"/>
                    <w:autoSpaceDE w:val="0"/>
                    <w:autoSpaceDN w:val="0"/>
                    <w:rPr>
                      <w:rFonts w:ascii="Times New Roman" w:hAnsi="Calibri"/>
                      <w:color w:val="auto"/>
                      <w:lang w:eastAsia="en-US"/>
                    </w:rPr>
                  </w:pPr>
                  <w:r>
                    <w:rPr>
                      <w:rFonts w:hint="eastAsia" w:ascii="Times New Roman" w:hAnsi="Calibri"/>
                      <w:b/>
                      <w:bCs/>
                      <w:color w:val="auto"/>
                      <w:lang w:eastAsia="en-US"/>
                    </w:rPr>
                    <w:t>运营期：</w:t>
                  </w:r>
                  <w:r>
                    <w:rPr>
                      <w:rFonts w:hint="eastAsia" w:ascii="Times New Roman" w:hAnsi="Calibri"/>
                      <w:color w:val="auto"/>
                      <w:lang w:eastAsia="en-US"/>
                    </w:rPr>
                    <w:t>食堂废水经隔油池处理、其他生活废水经化粪池处理后一同进入污水一体化处理设备处理，处理后满足《城市污水再生利用城市杂用水水质》中城市绿化、道路清扫、消防用水水质标准，用于厂区洒水抑尘</w:t>
                  </w:r>
                  <w:r>
                    <w:rPr>
                      <w:rFonts w:ascii="Times New Roman" w:hAnsi="Calibri"/>
                      <w:color w:val="auto"/>
                      <w:lang w:eastAsia="en-US"/>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75</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禁止在饮用水水源一级保护区内新建、改建、扩建与供水设施和保护水源无关的建设项目</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本项目未在饮用水水源一级保护区内。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76</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禁止在饮用水水源二级保护区内新建、改建、扩建排放污染物的建设项目</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本项目未在饮用水水源二级保护区内。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77</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在风景名胜区水体、重要渔业水体和其他具有特殊经济文化价值的水体的保护区内，不得新建排污口</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本项目不设置排污口。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78</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禁止在自然保护区的缓冲区开展旅游和生产经营活动；在自然保护区的核心区和缓冲区内，不得建设不符合管控要求的生产设施</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本项目未在自然保护区的缓冲区、核心区内。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88</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禁止在水土流失重点预防区和重点治理区从事破坏植被活动</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本项目未在水土流失重点预防区和重点治理区。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89</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禁止在崩塌、滑坡危险区和泥石流易发区从事取土、挖砂、采石等可能造成水土流失的活动</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w:t>
                  </w:r>
                  <w:r>
                    <w:rPr>
                      <w:rFonts w:hint="eastAsia" w:ascii="Times New Roman" w:hAnsi="Calibri"/>
                      <w:lang w:eastAsia="en-US"/>
                    </w:rPr>
                    <w:t>未在</w:t>
                  </w:r>
                  <w:r>
                    <w:rPr>
                      <w:rFonts w:ascii="Times New Roman" w:hAnsi="Calibri"/>
                      <w:lang w:eastAsia="en-US"/>
                    </w:rPr>
                    <w:t>崩塌、滑坡危险区和泥石流易发区。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90</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在河道管理范围内从事影响防洪安全的活动，禁止在堤防和护堤地从事建房、放牧、开渠、打井、挖窖、葬坟、晒粮、存放物料、开采地下资源、进行考古挖掘以及开展集市贸易活动；禁止在江河、湖泊、水库、运河、渠道内弃置、堆放阻碍行洪的物体和种植阻碍行洪的林木及高秆作物；禁止在河道管理范围内建设妨碍行洪的建筑物、构筑物以及从事影响河势稳定、危害河岸堤防安全和其他妨碍河道行洪的活动</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本项目不涉及从事影响防洪安全的活动。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91</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禁止非法引水、截水和侵占、破坏、污染水源；禁止破坏、侵占、毁损抗旱设施</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本项目不非法引水、截水和侵占、破坏、污染水源。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94</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禁止在人口集中地区和其他依法需要特殊保护的区域内焚烧沥青、油毡、橡胶、塑料、皮革、垃圾以及其他产生有毒有害烟尘和恶臭气体的物质</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本项目施工期固废及时分类回收、清运。</w:t>
                  </w:r>
                  <w:r>
                    <w:rPr>
                      <w:rFonts w:hAnsi="Calibri"/>
                      <w:kern w:val="0"/>
                      <w:lang w:eastAsia="en-US"/>
                    </w:rPr>
                    <w:t>废铅酸蓄电池</w:t>
                  </w:r>
                  <w:r>
                    <w:rPr>
                      <w:rFonts w:hint="eastAsia" w:hAnsi="Calibri"/>
                      <w:kern w:val="0"/>
                      <w:lang w:eastAsia="en-US"/>
                    </w:rPr>
                    <w:t>暂存于危废间定期由承德雅舍再生</w:t>
                  </w:r>
                  <w:r>
                    <w:rPr>
                      <w:rFonts w:hint="eastAsia" w:hAnsi="Calibri"/>
                      <w:color w:val="auto"/>
                      <w:kern w:val="0"/>
                      <w:lang w:eastAsia="en-US"/>
                    </w:rPr>
                    <w:t>资源回收有限公司运输、回收处理；</w:t>
                  </w:r>
                  <w:r>
                    <w:rPr>
                      <w:rFonts w:hAnsi="Calibri"/>
                      <w:color w:val="auto"/>
                      <w:kern w:val="0"/>
                      <w:lang w:eastAsia="en-US"/>
                    </w:rPr>
                    <w:t>主变</w:t>
                  </w:r>
                  <w:r>
                    <w:rPr>
                      <w:rFonts w:hint="eastAsia" w:hAnsi="Calibri"/>
                      <w:color w:val="auto"/>
                      <w:kern w:val="0"/>
                      <w:lang w:eastAsia="en-US"/>
                    </w:rPr>
                    <w:t>压器</w:t>
                  </w:r>
                  <w:r>
                    <w:rPr>
                      <w:rFonts w:hAnsi="Calibri"/>
                      <w:color w:val="auto"/>
                      <w:kern w:val="0"/>
                      <w:lang w:eastAsia="en-US"/>
                    </w:rPr>
                    <w:t>事故状态下产生的事故油排入</w:t>
                  </w:r>
                  <w:r>
                    <w:rPr>
                      <w:rFonts w:hint="eastAsia" w:hAnsi="Calibri"/>
                      <w:color w:val="auto"/>
                      <w:kern w:val="0"/>
                      <w:lang w:eastAsia="en-US"/>
                    </w:rPr>
                    <w:t>项目新建</w:t>
                  </w:r>
                  <w:r>
                    <w:rPr>
                      <w:rFonts w:hAnsi="Calibri"/>
                      <w:color w:val="auto"/>
                      <w:kern w:val="0"/>
                      <w:lang w:eastAsia="en-US"/>
                    </w:rPr>
                    <w:t>事故油池，主变</w:t>
                  </w:r>
                  <w:r>
                    <w:rPr>
                      <w:rFonts w:hint="eastAsia" w:hAnsi="Calibri"/>
                      <w:color w:val="auto"/>
                      <w:kern w:val="0"/>
                      <w:lang w:eastAsia="en-US"/>
                    </w:rPr>
                    <w:t>压器检修产生的废油</w:t>
                  </w:r>
                  <w:r>
                    <w:rPr>
                      <w:rFonts w:hint="eastAsia" w:hAnsi="Calibri"/>
                      <w:color w:val="auto"/>
                      <w:kern w:val="0"/>
                      <w:lang w:eastAsia="zh-CN"/>
                    </w:rPr>
                    <w:t>、</w:t>
                  </w:r>
                  <w:r>
                    <w:rPr>
                      <w:rFonts w:hAnsi="Calibri"/>
                      <w:color w:val="auto"/>
                      <w:kern w:val="0"/>
                      <w:lang w:eastAsia="en-US"/>
                    </w:rPr>
                    <w:t>沾油抹布暂存于危废暂存间，</w:t>
                  </w:r>
                  <w:r>
                    <w:rPr>
                      <w:rFonts w:hint="eastAsia" w:hAnsi="Calibri"/>
                      <w:color w:val="auto"/>
                      <w:kern w:val="0"/>
                      <w:lang w:eastAsia="en-US"/>
                    </w:rPr>
                    <w:t>检修废油、事故废油、</w:t>
                  </w:r>
                  <w:r>
                    <w:rPr>
                      <w:rFonts w:hAnsi="Calibri"/>
                      <w:color w:val="auto"/>
                      <w:kern w:val="0"/>
                      <w:highlight w:val="none"/>
                      <w:lang w:eastAsia="en-US"/>
                    </w:rPr>
                    <w:t>沾油抹布</w:t>
                  </w:r>
                  <w:r>
                    <w:rPr>
                      <w:rFonts w:hint="eastAsia" w:hAnsi="Calibri"/>
                      <w:color w:val="auto"/>
                      <w:kern w:val="0"/>
                      <w:highlight w:val="none"/>
                      <w:lang w:eastAsia="en-US"/>
                    </w:rPr>
                    <w:t>最终统一由承德双然环保科技有限公司运输至</w:t>
                  </w:r>
                  <w:r>
                    <w:rPr>
                      <w:rFonts w:hint="eastAsia" w:hAnsi="Calibri"/>
                      <w:kern w:val="0"/>
                      <w:highlight w:val="none"/>
                      <w:lang w:eastAsia="en-US"/>
                    </w:rPr>
                    <w:t>乐亭县海畅环保科技有限公司处理。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trPr>
              <w:tc>
                <w:tcPr>
                  <w:tcW w:w="750" w:type="dxa"/>
                  <w:vAlign w:val="center"/>
                </w:tcPr>
                <w:p>
                  <w:pPr>
                    <w:widowControl w:val="0"/>
                    <w:autoSpaceDE w:val="0"/>
                    <w:autoSpaceDN w:val="0"/>
                    <w:jc w:val="center"/>
                    <w:rPr>
                      <w:rFonts w:ascii="Times New Roman" w:hAnsi="Calibri"/>
                      <w:lang w:eastAsia="en-US"/>
                    </w:rPr>
                  </w:pPr>
                  <w:r>
                    <w:rPr>
                      <w:rFonts w:ascii="Times New Roman" w:hAnsi="Calibri"/>
                      <w:lang w:eastAsia="en-US"/>
                    </w:rPr>
                    <w:t>95</w:t>
                  </w:r>
                </w:p>
              </w:tc>
              <w:tc>
                <w:tcPr>
                  <w:tcW w:w="4413" w:type="dxa"/>
                  <w:vAlign w:val="center"/>
                </w:tcPr>
                <w:p>
                  <w:pPr>
                    <w:widowControl w:val="0"/>
                    <w:autoSpaceDE w:val="0"/>
                    <w:autoSpaceDN w:val="0"/>
                    <w:rPr>
                      <w:rFonts w:ascii="Times New Roman" w:hAnsi="Calibri"/>
                      <w:lang w:eastAsia="en-US"/>
                    </w:rPr>
                  </w:pPr>
                  <w:r>
                    <w:rPr>
                      <w:rFonts w:ascii="Times New Roman" w:hAnsi="Calibri"/>
                      <w:lang w:eastAsia="en-US"/>
                    </w:rPr>
                    <w:t>在禁燃区内，禁止销售、燃用高污染燃料；禁止新建、扩建燃用高污染燃料的设施</w:t>
                  </w:r>
                </w:p>
              </w:tc>
              <w:tc>
                <w:tcPr>
                  <w:tcW w:w="2627" w:type="dxa"/>
                  <w:vAlign w:val="center"/>
                </w:tcPr>
                <w:p>
                  <w:pPr>
                    <w:widowControl w:val="0"/>
                    <w:autoSpaceDE w:val="0"/>
                    <w:autoSpaceDN w:val="0"/>
                    <w:rPr>
                      <w:rFonts w:ascii="Times New Roman" w:hAnsi="Calibri"/>
                      <w:lang w:eastAsia="en-US"/>
                    </w:rPr>
                  </w:pPr>
                  <w:r>
                    <w:rPr>
                      <w:rFonts w:ascii="Times New Roman" w:hAnsi="Calibri"/>
                      <w:lang w:eastAsia="en-US"/>
                    </w:rPr>
                    <w:t>本项目升压站内无高污染、高耗能设施。</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0" w:firstLineChars="200"/>
              <w:rPr>
                <w:rFonts w:ascii="Times New Roman"/>
                <w:sz w:val="24"/>
              </w:rPr>
            </w:pPr>
            <w:r>
              <w:rPr>
                <w:rFonts w:hint="eastAsia" w:ascii="Times New Roman"/>
                <w:sz w:val="24"/>
              </w:rPr>
              <w:t>综上所述，本项目建设符合国家和省关于产业准入要求。</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b/>
                <w:sz w:val="24"/>
              </w:rPr>
            </w:pPr>
            <w:r>
              <w:rPr>
                <w:rFonts w:ascii="Times New Roman"/>
                <w:b/>
                <w:sz w:val="24"/>
              </w:rPr>
              <w:t>3、与《自然资源部 生态环境部 国家林业和草原局 关于加强生态保护红线管理的通知(试行)》(自然资发〔2022〕142号)、《关于在国土空间规划中统筹划定落实三条控制线的指导意见》(厅字〔2019〕48号)符合性分析</w:t>
            </w:r>
          </w:p>
          <w:tbl>
            <w:tblPr>
              <w:tblStyle w:val="5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3357"/>
              <w:gridCol w:w="2608"/>
              <w:gridCol w:w="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b/>
                    </w:rPr>
                  </w:pPr>
                  <w:r>
                    <w:rPr>
                      <w:rFonts w:ascii="Times New Roman"/>
                      <w:b/>
                    </w:rPr>
                    <w:t>文件</w:t>
                  </w:r>
                </w:p>
              </w:tc>
              <w:tc>
                <w:tcPr>
                  <w:tcW w:w="3357" w:type="dxa"/>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b/>
                    </w:rPr>
                  </w:pPr>
                  <w:r>
                    <w:rPr>
                      <w:rFonts w:ascii="Times New Roman"/>
                      <w:b/>
                    </w:rPr>
                    <w:t>要求</w:t>
                  </w:r>
                </w:p>
              </w:tc>
              <w:tc>
                <w:tcPr>
                  <w:tcW w:w="2608" w:type="dxa"/>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b/>
                    </w:rPr>
                  </w:pPr>
                  <w:r>
                    <w:rPr>
                      <w:rFonts w:ascii="Times New Roman"/>
                      <w:b/>
                    </w:rPr>
                    <w:t>本项目</w:t>
                  </w:r>
                </w:p>
              </w:tc>
              <w:tc>
                <w:tcPr>
                  <w:tcW w:w="737" w:type="dxa"/>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b/>
                    </w:rPr>
                  </w:pPr>
                  <w:r>
                    <w:rPr>
                      <w:rFonts w:ascii="Times New Roman"/>
                      <w:b/>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Align w:val="center"/>
                </w:tcPr>
                <w:p>
                  <w:pPr>
                    <w:keepNext w:val="0"/>
                    <w:keepLines w:val="0"/>
                    <w:widowControl w:val="0"/>
                    <w:suppressLineNumbers w:val="0"/>
                    <w:adjustRightInd w:val="0"/>
                    <w:snapToGrid w:val="0"/>
                    <w:spacing w:before="0" w:beforeAutospacing="0" w:after="0" w:afterAutospacing="0"/>
                    <w:ind w:left="0" w:right="0"/>
                    <w:rPr>
                      <w:rFonts w:ascii="Times New Roman"/>
                    </w:rPr>
                  </w:pPr>
                  <w:r>
                    <w:rPr>
                      <w:rFonts w:ascii="Times New Roman"/>
                    </w:rPr>
                    <w:t>《自然资源部 生态环境部 国家林业和草原局 关于加强生态保护红线管理的通知(试行)》(自然资发〔2022〕142号)</w:t>
                  </w:r>
                </w:p>
              </w:tc>
              <w:tc>
                <w:tcPr>
                  <w:tcW w:w="3357" w:type="dxa"/>
                  <w:vAlign w:val="center"/>
                </w:tcPr>
                <w:p>
                  <w:pPr>
                    <w:keepNext w:val="0"/>
                    <w:keepLines w:val="0"/>
                    <w:widowControl w:val="0"/>
                    <w:suppressLineNumbers w:val="0"/>
                    <w:adjustRightInd w:val="0"/>
                    <w:snapToGrid w:val="0"/>
                    <w:spacing w:before="0" w:beforeAutospacing="0" w:after="0" w:afterAutospacing="0"/>
                    <w:ind w:left="0" w:right="0"/>
                    <w:rPr>
                      <w:rFonts w:ascii="Times New Roman"/>
                    </w:rPr>
                  </w:pPr>
                  <w:r>
                    <w:rPr>
                      <w:rFonts w:ascii="Times New Roman"/>
                    </w:rPr>
                    <w:t>一、加强人为活动管控</w:t>
                  </w:r>
                </w:p>
                <w:p>
                  <w:pPr>
                    <w:keepNext w:val="0"/>
                    <w:keepLines w:val="0"/>
                    <w:widowControl w:val="0"/>
                    <w:suppressLineNumbers w:val="0"/>
                    <w:adjustRightInd w:val="0"/>
                    <w:snapToGrid w:val="0"/>
                    <w:spacing w:before="0" w:beforeAutospacing="0" w:after="0" w:afterAutospacing="0"/>
                    <w:ind w:left="0" w:right="0"/>
                    <w:rPr>
                      <w:rFonts w:ascii="Times New Roman"/>
                    </w:rPr>
                  </w:pPr>
                  <w:r>
                    <w:rPr>
                      <w:rFonts w:ascii="Times New Roman"/>
                    </w:rPr>
                    <w:t>(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tc>
              <w:tc>
                <w:tcPr>
                  <w:tcW w:w="2608" w:type="dxa"/>
                  <w:vAlign w:val="center"/>
                </w:tcPr>
                <w:p>
                  <w:pPr>
                    <w:keepNext w:val="0"/>
                    <w:keepLines w:val="0"/>
                    <w:widowControl w:val="0"/>
                    <w:suppressLineNumbers w:val="0"/>
                    <w:adjustRightInd w:val="0"/>
                    <w:snapToGrid w:val="0"/>
                    <w:spacing w:before="0" w:beforeAutospacing="0" w:after="0" w:afterAutospacing="0"/>
                    <w:ind w:left="0" w:right="0"/>
                    <w:rPr>
                      <w:rFonts w:ascii="Times New Roman"/>
                    </w:rPr>
                  </w:pPr>
                  <w:r>
                    <w:rPr>
                      <w:rFonts w:ascii="Times New Roman"/>
                    </w:rPr>
                    <w:t>本项目升压站站址位于</w:t>
                  </w:r>
                  <w:r>
                    <w:rPr>
                      <w:rFonts w:hint="eastAsia" w:ascii="Times New Roman"/>
                    </w:rPr>
                    <w:t>承德市承德县新杖子镇鹰手营村</w:t>
                  </w:r>
                  <w:r>
                    <w:rPr>
                      <w:rFonts w:ascii="Times New Roman"/>
                    </w:rPr>
                    <w:t>。依据承德县</w:t>
                  </w:r>
                  <w:r>
                    <w:rPr>
                      <w:rFonts w:hint="eastAsia" w:ascii="Times New Roman"/>
                    </w:rPr>
                    <w:t>土地储备中心</w:t>
                  </w:r>
                  <w:r>
                    <w:rPr>
                      <w:rFonts w:ascii="Times New Roman"/>
                    </w:rPr>
                    <w:t>《</w:t>
                  </w:r>
                  <w:r>
                    <w:rPr>
                      <w:rFonts w:hint="eastAsia" w:ascii="Times New Roman"/>
                    </w:rPr>
                    <w:t>承德县土地储备中心关于承德卓云信息科技有限公司承德县源网荷储一体化和多能互补示范项目拟使用承德县新杖子镇鹰手营</w:t>
                  </w:r>
                  <w:r>
                    <w:rPr>
                      <w:rFonts w:hint="eastAsia" w:ascii="Times New Roman"/>
                      <w:color w:val="auto"/>
                    </w:rPr>
                    <w:t>村58.9965亩建设用地说明</w:t>
                  </w:r>
                  <w:r>
                    <w:rPr>
                      <w:rFonts w:ascii="Times New Roman"/>
                      <w:color w:val="auto"/>
                      <w:highlight w:val="none"/>
                    </w:rPr>
                    <w:t>》(附件</w:t>
                  </w:r>
                  <w:r>
                    <w:rPr>
                      <w:rFonts w:hint="eastAsia" w:ascii="Times New Roman"/>
                      <w:color w:val="auto"/>
                      <w:highlight w:val="none"/>
                      <w:lang w:val="en-US" w:eastAsia="zh-CN"/>
                    </w:rPr>
                    <w:t>4）</w:t>
                  </w:r>
                  <w:r>
                    <w:rPr>
                      <w:rFonts w:ascii="Times New Roman"/>
                      <w:color w:val="auto"/>
                      <w:highlight w:val="none"/>
                    </w:rPr>
                    <w:t>：</w:t>
                  </w:r>
                  <w:r>
                    <w:rPr>
                      <w:rFonts w:hint="eastAsia" w:ascii="Times New Roman"/>
                      <w:color w:val="auto"/>
                    </w:rPr>
                    <w:t>“承德县源网荷储一体化</w:t>
                  </w:r>
                  <w:r>
                    <w:rPr>
                      <w:rFonts w:hint="eastAsia" w:ascii="Times New Roman"/>
                    </w:rPr>
                    <w:t>和多能互补示范项目占用地类情况的函已收悉。该项目用地位于新杖子镇鹰手营村，主要用于升压站建设。根据你单位提供项目用地范围坐标(TXT2000坐标)，经在河北自然资源电子政务一张图数管平台查询，该项目用地范围，总面积58.9965亩，为2012年获批的建设用地范围内，该地块不涉及“三区三线”2022永久基本农田，不涉及“三区三线”2022生态保护红线。特此说明</w:t>
                  </w:r>
                  <w:r>
                    <w:rPr>
                      <w:rFonts w:ascii="Times New Roman"/>
                    </w:rPr>
                    <w:t>。</w:t>
                  </w:r>
                  <w:r>
                    <w:rPr>
                      <w:rFonts w:hint="eastAsia" w:ascii="Times New Roman"/>
                    </w:rPr>
                    <w:t>”</w:t>
                  </w:r>
                </w:p>
              </w:tc>
              <w:tc>
                <w:tcPr>
                  <w:tcW w:w="737" w:type="dxa"/>
                  <w:vAlign w:val="center"/>
                </w:tcPr>
                <w:p>
                  <w:pPr>
                    <w:keepNext w:val="0"/>
                    <w:keepLines w:val="0"/>
                    <w:widowControl w:val="0"/>
                    <w:suppressLineNumbers w:val="0"/>
                    <w:adjustRightInd w:val="0"/>
                    <w:snapToGrid w:val="0"/>
                    <w:spacing w:before="0" w:beforeAutospacing="0" w:after="0" w:afterAutospacing="0"/>
                    <w:ind w:left="0" w:right="0"/>
                    <w:rPr>
                      <w:rFonts w:ascii="Times New Roman"/>
                    </w:rPr>
                  </w:pPr>
                  <w:r>
                    <w:rPr>
                      <w:rFonts w:ascii="Times New Roma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Align w:val="center"/>
                </w:tcPr>
                <w:p>
                  <w:pPr>
                    <w:keepNext w:val="0"/>
                    <w:keepLines w:val="0"/>
                    <w:widowControl w:val="0"/>
                    <w:suppressLineNumbers w:val="0"/>
                    <w:adjustRightInd w:val="0"/>
                    <w:snapToGrid w:val="0"/>
                    <w:spacing w:before="0" w:beforeAutospacing="0" w:after="0" w:afterAutospacing="0"/>
                    <w:ind w:left="0" w:right="0"/>
                    <w:rPr>
                      <w:rFonts w:ascii="Times New Roman"/>
                    </w:rPr>
                  </w:pPr>
                  <w:r>
                    <w:rPr>
                      <w:rFonts w:ascii="Times New Roman"/>
                    </w:rPr>
                    <w:t>《关于在国土空间规划中统筹划定落实三条控制线的指导意见》(厅字〔2019〕48号)</w:t>
                  </w:r>
                </w:p>
              </w:tc>
              <w:tc>
                <w:tcPr>
                  <w:tcW w:w="3357" w:type="dxa"/>
                  <w:vAlign w:val="center"/>
                </w:tcPr>
                <w:p>
                  <w:pPr>
                    <w:keepNext w:val="0"/>
                    <w:keepLines w:val="0"/>
                    <w:widowControl w:val="0"/>
                    <w:suppressLineNumbers w:val="0"/>
                    <w:adjustRightInd w:val="0"/>
                    <w:snapToGrid w:val="0"/>
                    <w:spacing w:before="0" w:beforeAutospacing="0" w:after="0" w:afterAutospacing="0"/>
                    <w:ind w:left="0" w:right="0"/>
                    <w:rPr>
                      <w:rFonts w:ascii="Times New Roman"/>
                    </w:rPr>
                  </w:pPr>
                  <w:r>
                    <w:rPr>
                      <w:rFonts w:ascii="Times New Roman"/>
                    </w:rPr>
                    <w:t>为统筹划定落实生态保护红线、永久基本农田、城镇开发边界三条控制线，到2020年年底，结合国土空间规划编制，完成三条控制线划定和落地，协调解决矛盾冲突，纳入全国统一、多规合一的国土空间基础信息平台，形成一张底图，实现部门信息共享，实行严格管控。到2035年，通过加强国土空间规划实施管理，严守三条控制线，引导形成科学适度有序的国土空间布局体系；</w:t>
                  </w:r>
                </w:p>
                <w:p>
                  <w:pPr>
                    <w:keepNext w:val="0"/>
                    <w:keepLines w:val="0"/>
                    <w:widowControl w:val="0"/>
                    <w:suppressLineNumbers w:val="0"/>
                    <w:adjustRightInd w:val="0"/>
                    <w:snapToGrid w:val="0"/>
                    <w:spacing w:before="0" w:beforeAutospacing="0" w:after="0" w:afterAutospacing="0"/>
                    <w:ind w:left="0" w:right="0"/>
                    <w:rPr>
                      <w:rFonts w:ascii="Times New Roman"/>
                    </w:rPr>
                  </w:pPr>
                  <w:r>
                    <w:rPr>
                      <w:rFonts w:ascii="Times New Roman"/>
                    </w:rPr>
                    <w:t>依据第四条款“必须且无法避让、符合县级以上国土空间规划的线性基础设施建设、防洪和供水设施建设与运行维护”。</w:t>
                  </w:r>
                </w:p>
              </w:tc>
              <w:tc>
                <w:tcPr>
                  <w:tcW w:w="2608" w:type="dxa"/>
                  <w:vAlign w:val="center"/>
                </w:tcPr>
                <w:p>
                  <w:pPr>
                    <w:keepNext w:val="0"/>
                    <w:keepLines w:val="0"/>
                    <w:widowControl w:val="0"/>
                    <w:suppressLineNumbers w:val="0"/>
                    <w:adjustRightInd w:val="0"/>
                    <w:snapToGrid w:val="0"/>
                    <w:spacing w:before="0" w:beforeAutospacing="0" w:after="0" w:afterAutospacing="0"/>
                    <w:ind w:left="0" w:right="0"/>
                    <w:rPr>
                      <w:rFonts w:ascii="Times New Roman"/>
                    </w:rPr>
                  </w:pPr>
                  <w:r>
                    <w:rPr>
                      <w:rFonts w:hint="eastAsia" w:ascii="Times New Roman"/>
                    </w:rPr>
                    <w:t>本项目升压站选址已获得承德县自然资源和规划局意见复函：“经核实，承德县源网荷储一体化和多能互补示范项目已列入承德县国土空间总体规划(2021-2035年)重点建设项目安排表，符合我县国土空间总体规划。”</w:t>
                  </w:r>
                </w:p>
              </w:tc>
              <w:tc>
                <w:tcPr>
                  <w:tcW w:w="737" w:type="dxa"/>
                  <w:vAlign w:val="center"/>
                </w:tcPr>
                <w:p>
                  <w:pPr>
                    <w:keepNext w:val="0"/>
                    <w:keepLines w:val="0"/>
                    <w:widowControl w:val="0"/>
                    <w:suppressLineNumbers w:val="0"/>
                    <w:adjustRightInd w:val="0"/>
                    <w:snapToGrid w:val="0"/>
                    <w:spacing w:before="0" w:beforeAutospacing="0" w:after="0" w:afterAutospacing="0"/>
                    <w:ind w:left="0" w:right="0"/>
                    <w:rPr>
                      <w:rFonts w:ascii="Times New Roman"/>
                    </w:rPr>
                  </w:pPr>
                  <w:r>
                    <w:rPr>
                      <w:rFonts w:ascii="Times New Roman"/>
                    </w:rPr>
                    <w:t>相符</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2" w:firstLineChars="200"/>
              <w:rPr>
                <w:rFonts w:ascii="Times New Roman"/>
                <w:b/>
                <w:sz w:val="24"/>
              </w:rPr>
            </w:pPr>
            <w:r>
              <w:rPr>
                <w:rFonts w:ascii="Times New Roman"/>
                <w:b/>
                <w:sz w:val="24"/>
              </w:rPr>
              <w:t>4、“三线一单”符合性分析</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依据《关于以改善环境质量为核心加强环境影响评价管理的通知》(环环评〔2016〕150号)为适应以改善环境质量为核心的环境管理要求，切实加强环境影响评价管理，落实“生态保护红线、环境质量底线、资源利用上线和环境准入负面清单”(简称“三线一单”)约束。本项目与“三线一单”符合性如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(1)生态保护红线</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rPr>
            </w:pPr>
            <w:r>
              <w:rPr>
                <w:rFonts w:ascii="Times New Roman"/>
                <w:bCs/>
                <w:sz w:val="24"/>
              </w:rPr>
              <w:t>本项目升压站站址位于河北省承德市承德县</w:t>
            </w:r>
            <w:r>
              <w:rPr>
                <w:rFonts w:hint="eastAsia" w:ascii="Times New Roman"/>
                <w:bCs/>
                <w:sz w:val="24"/>
              </w:rPr>
              <w:t>新杖子镇鹰手营村。依据承德县土地储备中心《承德县土地储备中心关于承德卓云信息科技有限公司承德县源网荷储一体化和多能互补示范项目拟使用承德县新杖子镇鹰手营村58.9965亩建设用地说</w:t>
            </w:r>
            <w:r>
              <w:rPr>
                <w:rFonts w:hint="eastAsia" w:ascii="Times New Roman"/>
                <w:bCs/>
                <w:sz w:val="24"/>
                <w:highlight w:val="none"/>
              </w:rPr>
              <w:t>明》(附件4)，</w:t>
            </w:r>
            <w:r>
              <w:rPr>
                <w:rFonts w:hint="eastAsia" w:ascii="Times New Roman"/>
                <w:bCs/>
                <w:sz w:val="24"/>
              </w:rPr>
              <w:t>承德县源网荷储一体化和多能互补示范项目占用地类情况的函已收悉。该项目用地位于新杖子镇鹰手营村，主要用于升压站建设。根据你单位提供项目用地范围坐标(TXT2000坐标)，经在河北自然资源电子政务一张图数管平台查询，该项目用地范围，总面积58.9965亩，为2012年获批的建设用地范围内，该地块不涉及“三区三线”2022永久基本农田，不涉及“三区三线”2022生态保护红线。</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color w:val="auto"/>
                <w:sz w:val="24"/>
              </w:rPr>
            </w:pPr>
            <w:r>
              <w:rPr>
                <w:rFonts w:ascii="Times New Roman"/>
                <w:sz w:val="24"/>
              </w:rPr>
              <w:t>(2)环境质量底线</w:t>
            </w:r>
          </w:p>
          <w:p>
            <w:pPr>
              <w:keepNext w:val="0"/>
              <w:keepLines w:val="0"/>
              <w:widowControl/>
              <w:suppressLineNumbers w:val="0"/>
              <w:spacing w:before="0" w:beforeAutospacing="0" w:after="0" w:afterAutospacing="0" w:line="480" w:lineRule="exact"/>
              <w:ind w:left="0" w:right="0" w:firstLine="480" w:firstLineChars="200"/>
              <w:rPr>
                <w:color w:val="auto"/>
                <w:sz w:val="24"/>
              </w:rPr>
            </w:pPr>
            <w:r>
              <w:rPr>
                <w:rFonts w:ascii="Times New Roman"/>
                <w:color w:val="auto"/>
                <w:sz w:val="24"/>
                <w:szCs w:val="24"/>
              </w:rPr>
              <w:t>项目选址位于承德市承德县，本次采用承德市生态环境局发布的《202</w:t>
            </w:r>
            <w:r>
              <w:rPr>
                <w:rFonts w:hint="eastAsia" w:ascii="Times New Roman"/>
                <w:color w:val="auto"/>
                <w:sz w:val="24"/>
                <w:szCs w:val="24"/>
              </w:rPr>
              <w:t>3</w:t>
            </w:r>
            <w:r>
              <w:rPr>
                <w:rFonts w:ascii="Times New Roman"/>
                <w:color w:val="auto"/>
                <w:sz w:val="24"/>
                <w:szCs w:val="24"/>
              </w:rPr>
              <w:t>年</w:t>
            </w:r>
            <w:r>
              <w:rPr>
                <w:rFonts w:hint="eastAsia" w:ascii="Times New Roman"/>
                <w:color w:val="auto"/>
                <w:sz w:val="24"/>
                <w:szCs w:val="24"/>
              </w:rPr>
              <w:t>12月份全市空气质量预警监测结果的通报</w:t>
            </w:r>
            <w:r>
              <w:rPr>
                <w:rFonts w:ascii="Times New Roman"/>
                <w:color w:val="auto"/>
                <w:sz w:val="24"/>
                <w:szCs w:val="24"/>
              </w:rPr>
              <w:t>》中</w:t>
            </w:r>
            <w:r>
              <w:rPr>
                <w:rFonts w:hint="eastAsia" w:ascii="Times New Roman"/>
                <w:color w:val="auto"/>
                <w:sz w:val="24"/>
                <w:szCs w:val="24"/>
              </w:rPr>
              <w:t>承德</w:t>
            </w:r>
            <w:r>
              <w:rPr>
                <w:rFonts w:ascii="Times New Roman"/>
                <w:color w:val="auto"/>
                <w:sz w:val="24"/>
                <w:szCs w:val="24"/>
              </w:rPr>
              <w:t>县的环境空气质量</w:t>
            </w:r>
            <w:r>
              <w:rPr>
                <w:rFonts w:hint="eastAsia" w:ascii="Times New Roman"/>
                <w:color w:val="auto"/>
                <w:sz w:val="24"/>
                <w:szCs w:val="24"/>
              </w:rPr>
              <w:t>状况</w:t>
            </w:r>
            <w:r>
              <w:rPr>
                <w:rFonts w:ascii="Times New Roman"/>
                <w:color w:val="auto"/>
                <w:sz w:val="24"/>
                <w:szCs w:val="24"/>
              </w:rPr>
              <w:t>监测数据作为评价区域达标情况的依据</w:t>
            </w:r>
            <w:r>
              <w:rPr>
                <w:rFonts w:hint="eastAsia"/>
                <w:color w:val="auto"/>
                <w:sz w:val="24"/>
              </w:rPr>
              <w:t>环境质量现状调查，</w:t>
            </w:r>
            <w:r>
              <w:rPr>
                <w:color w:val="auto"/>
                <w:spacing w:val="-2"/>
                <w:kern w:val="0"/>
                <w:position w:val="2"/>
                <w:sz w:val="24"/>
              </w:rPr>
              <w:t>项目所在区域PM</w:t>
            </w:r>
            <w:r>
              <w:rPr>
                <w:color w:val="auto"/>
                <w:spacing w:val="-2"/>
                <w:kern w:val="0"/>
                <w:position w:val="2"/>
                <w:sz w:val="24"/>
                <w:vertAlign w:val="subscript"/>
              </w:rPr>
              <w:t>2.5</w:t>
            </w:r>
            <w:r>
              <w:rPr>
                <w:color w:val="auto"/>
                <w:spacing w:val="-2"/>
                <w:kern w:val="0"/>
                <w:position w:val="2"/>
                <w:sz w:val="24"/>
              </w:rPr>
              <w:t>、PM</w:t>
            </w:r>
            <w:r>
              <w:rPr>
                <w:color w:val="auto"/>
                <w:spacing w:val="-2"/>
                <w:kern w:val="0"/>
                <w:position w:val="2"/>
                <w:sz w:val="24"/>
                <w:vertAlign w:val="subscript"/>
              </w:rPr>
              <w:t>10</w:t>
            </w:r>
            <w:r>
              <w:rPr>
                <w:color w:val="auto"/>
                <w:spacing w:val="-2"/>
                <w:kern w:val="0"/>
                <w:position w:val="2"/>
                <w:sz w:val="24"/>
              </w:rPr>
              <w:t>、SO</w:t>
            </w:r>
            <w:r>
              <w:rPr>
                <w:color w:val="auto"/>
                <w:spacing w:val="-2"/>
                <w:kern w:val="0"/>
                <w:position w:val="2"/>
                <w:sz w:val="24"/>
                <w:vertAlign w:val="subscript"/>
              </w:rPr>
              <w:t>2</w:t>
            </w:r>
            <w:r>
              <w:rPr>
                <w:color w:val="auto"/>
                <w:spacing w:val="-2"/>
                <w:kern w:val="0"/>
                <w:position w:val="2"/>
                <w:sz w:val="24"/>
              </w:rPr>
              <w:t>、NO</w:t>
            </w:r>
            <w:r>
              <w:rPr>
                <w:color w:val="auto"/>
                <w:spacing w:val="-2"/>
                <w:kern w:val="0"/>
                <w:position w:val="2"/>
                <w:sz w:val="24"/>
                <w:vertAlign w:val="subscript"/>
              </w:rPr>
              <w:t>2</w:t>
            </w:r>
            <w:r>
              <w:rPr>
                <w:color w:val="auto"/>
                <w:spacing w:val="-2"/>
                <w:kern w:val="0"/>
                <w:position w:val="2"/>
                <w:sz w:val="24"/>
              </w:rPr>
              <w:t>年均浓度、CO24小时平均浓度满足《环境空气质量标准》(GB 3095-2012)及其修改单二级标准</w:t>
            </w:r>
            <w:r>
              <w:rPr>
                <w:rFonts w:hint="eastAsia"/>
                <w:color w:val="auto"/>
                <w:spacing w:val="-2"/>
                <w:kern w:val="0"/>
                <w:position w:val="2"/>
                <w:sz w:val="24"/>
              </w:rPr>
              <w:t>，</w:t>
            </w:r>
            <w:r>
              <w:rPr>
                <w:color w:val="auto"/>
                <w:spacing w:val="-2"/>
                <w:kern w:val="0"/>
                <w:position w:val="2"/>
                <w:sz w:val="24"/>
              </w:rPr>
              <w:t>O</w:t>
            </w:r>
            <w:r>
              <w:rPr>
                <w:color w:val="auto"/>
                <w:spacing w:val="-2"/>
                <w:kern w:val="0"/>
                <w:position w:val="2"/>
                <w:sz w:val="24"/>
                <w:vertAlign w:val="subscript"/>
              </w:rPr>
              <w:t>3</w:t>
            </w:r>
            <w:r>
              <w:rPr>
                <w:color w:val="auto"/>
                <w:spacing w:val="-2"/>
                <w:kern w:val="0"/>
                <w:position w:val="2"/>
                <w:sz w:val="24"/>
              </w:rPr>
              <w:t>日最大8小时平均浓度</w:t>
            </w:r>
            <w:r>
              <w:rPr>
                <w:rFonts w:hint="eastAsia"/>
                <w:color w:val="auto"/>
                <w:spacing w:val="-2"/>
                <w:kern w:val="0"/>
                <w:position w:val="2"/>
                <w:sz w:val="24"/>
              </w:rPr>
              <w:t>不</w:t>
            </w:r>
            <w:r>
              <w:rPr>
                <w:color w:val="auto"/>
                <w:spacing w:val="-2"/>
                <w:kern w:val="0"/>
                <w:position w:val="2"/>
                <w:sz w:val="24"/>
              </w:rPr>
              <w:t>满足《环境空气质量标准》(GB 3095-2012)及其修改单二级标准</w:t>
            </w:r>
            <w:r>
              <w:rPr>
                <w:rFonts w:hint="eastAsia"/>
                <w:color w:val="auto"/>
                <w:sz w:val="24"/>
              </w:rPr>
              <w:t>，环境空气质量为不达标区；地表水环境质量满足《地表水环境质量标准》（GB3838-2002）中得Ⅲ类标准，项目所在区域总体水质情况为优；地下水环境质量满足《地下水环境质量》（GB/T14848-2017）中的Ⅲ类标准；声环境质量目标为《声环境质量标准》（GB3096-2008）中的1类标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1)大气环境</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sz w:val="24"/>
              </w:rPr>
            </w:pPr>
            <w:r>
              <w:rPr>
                <w:rFonts w:ascii="Times New Roman"/>
                <w:b/>
                <w:bCs/>
                <w:sz w:val="24"/>
              </w:rPr>
              <w:t>施工期：</w:t>
            </w:r>
            <w:r>
              <w:rPr>
                <w:rFonts w:ascii="Times New Roman"/>
                <w:sz w:val="24"/>
              </w:rPr>
              <w:t>本项目施工量较小，施工期大气环境影响主要为施工扬尘及车辆尾气，本项目采取防扬尘措施及选用尾气达标车辆后对周边空气环境影响很小。</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sz w:val="24"/>
              </w:rPr>
            </w:pPr>
            <w:r>
              <w:rPr>
                <w:rFonts w:ascii="Times New Roman"/>
                <w:b/>
                <w:bCs/>
                <w:sz w:val="24"/>
              </w:rPr>
              <w:t>运行期：</w:t>
            </w:r>
            <w:r>
              <w:rPr>
                <w:rFonts w:ascii="Times New Roman"/>
                <w:sz w:val="24"/>
              </w:rPr>
              <w:t>主要为厨房油烟废气，设置餐饮油烟净化器，油烟净化器处理效率不小于60%，油烟经净化处理后经专用烟道引至屋顶能够达标排放。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2)水环境</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sz w:val="24"/>
              </w:rPr>
            </w:pPr>
            <w:r>
              <w:rPr>
                <w:rFonts w:ascii="Times New Roman"/>
                <w:b/>
                <w:bCs/>
                <w:sz w:val="24"/>
              </w:rPr>
              <w:t>施工期：</w:t>
            </w:r>
            <w:r>
              <w:rPr>
                <w:rFonts w:ascii="Times New Roman"/>
                <w:sz w:val="24"/>
              </w:rPr>
              <w:t>施工废水经沉淀池后用于场地抑尘；</w:t>
            </w:r>
            <w:r>
              <w:rPr>
                <w:rFonts w:hint="eastAsia" w:ascii="Times New Roman"/>
                <w:sz w:val="24"/>
              </w:rPr>
              <w:t>施工期施工人员主要为附近村庄居民，生活废水分散于周边村庄，依托村镇现有污水处理设施处理</w:t>
            </w:r>
            <w:r>
              <w:rPr>
                <w:rFonts w:ascii="Times New Roman"/>
                <w:sz w:val="24"/>
              </w:rPr>
              <w:t>，对区域水环境影响较小。</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sz w:val="24"/>
              </w:rPr>
            </w:pPr>
            <w:r>
              <w:rPr>
                <w:rFonts w:ascii="Times New Roman"/>
                <w:b/>
                <w:bCs/>
                <w:sz w:val="24"/>
              </w:rPr>
              <w:t>运行期：</w:t>
            </w:r>
            <w:r>
              <w:rPr>
                <w:rFonts w:hint="eastAsia" w:ascii="Times New Roman"/>
                <w:sz w:val="24"/>
              </w:rPr>
              <w:t>本项目营运期废水主要为食堂废水及其他生活废水，食堂废水经隔油池处理、其他生活废水经化粪池处理后一同进入污水一体化处理设备处理，处理后满足《城市污水再生利用城市杂用水水质》中城市绿化、道路清扫、消防用水水质标准，用于厂区洒水抑尘</w:t>
            </w:r>
            <w:r>
              <w:rPr>
                <w:rFonts w:ascii="Times New Roman"/>
                <w:sz w:val="24"/>
              </w:rPr>
              <w:t>。</w:t>
            </w:r>
          </w:p>
          <w:p>
            <w:pPr>
              <w:keepNext w:val="0"/>
              <w:keepLines w:val="0"/>
              <w:widowControl w:val="0"/>
              <w:suppressLineNumbers w:val="0"/>
              <w:adjustRightInd w:val="0"/>
              <w:snapToGrid w:val="0"/>
              <w:spacing w:before="0" w:beforeAutospacing="0" w:after="0" w:afterAutospacing="0" w:line="360" w:lineRule="auto"/>
              <w:ind w:left="360" w:right="0" w:firstLine="120" w:firstLineChars="50"/>
              <w:rPr>
                <w:rFonts w:ascii="Times New Roman"/>
                <w:sz w:val="24"/>
              </w:rPr>
            </w:pPr>
            <w:r>
              <w:rPr>
                <w:rFonts w:ascii="Times New Roman"/>
                <w:sz w:val="24"/>
              </w:rPr>
              <w:t>3)固体废物</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color w:val="auto"/>
                <w:sz w:val="24"/>
              </w:rPr>
            </w:pPr>
            <w:r>
              <w:rPr>
                <w:rFonts w:ascii="Times New Roman"/>
                <w:b/>
                <w:bCs/>
                <w:sz w:val="24"/>
              </w:rPr>
              <w:t>施工期：</w:t>
            </w:r>
            <w:r>
              <w:rPr>
                <w:rFonts w:ascii="Times New Roman"/>
                <w:sz w:val="24"/>
              </w:rPr>
              <w:t>固体废物主要为建筑垃圾、废弃金具、废弃包装物及施工人员产生的生活垃圾。建筑垃圾、废弃金具、废弃包装物运至指定的场所处理。生活垃圾经集中收集</w:t>
            </w:r>
            <w:r>
              <w:rPr>
                <w:rFonts w:ascii="Times New Roman"/>
                <w:color w:val="auto"/>
                <w:sz w:val="24"/>
              </w:rPr>
              <w:t>后，定期清运。</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color w:val="auto"/>
                <w:sz w:val="24"/>
                <w:highlight w:val="none"/>
              </w:rPr>
            </w:pPr>
            <w:r>
              <w:rPr>
                <w:rFonts w:ascii="Times New Roman"/>
                <w:b/>
                <w:bCs/>
                <w:color w:val="auto"/>
                <w:sz w:val="24"/>
              </w:rPr>
              <w:t>运行期：</w:t>
            </w:r>
            <w:r>
              <w:rPr>
                <w:rFonts w:ascii="Times New Roman"/>
                <w:color w:val="auto"/>
                <w:sz w:val="24"/>
              </w:rPr>
              <w:t>固体废物主要为值班工作人员产生的生活垃圾、化粪池、废旧</w:t>
            </w:r>
            <w:r>
              <w:rPr>
                <w:rFonts w:hint="eastAsia" w:ascii="Times New Roman"/>
                <w:color w:val="auto"/>
                <w:sz w:val="24"/>
              </w:rPr>
              <w:t>铅酸蓄电池、废旧磷酸铁锂电池</w:t>
            </w:r>
            <w:r>
              <w:rPr>
                <w:rFonts w:ascii="Times New Roman"/>
                <w:color w:val="auto"/>
                <w:sz w:val="24"/>
              </w:rPr>
              <w:t>和变压器事故油</w:t>
            </w:r>
            <w:r>
              <w:rPr>
                <w:rFonts w:hint="eastAsia" w:ascii="Times New Roman"/>
                <w:color w:val="auto"/>
                <w:sz w:val="24"/>
                <w:lang w:val="en-US" w:eastAsia="zh-CN"/>
              </w:rPr>
              <w:t>以及检修废油</w:t>
            </w:r>
            <w:r>
              <w:rPr>
                <w:rFonts w:ascii="Times New Roman"/>
                <w:color w:val="auto"/>
                <w:sz w:val="24"/>
              </w:rPr>
              <w:t>。升压站内设置带盖垃圾箱，生活垃圾经集中收集后，由当地环卫部门统一清运处理。</w:t>
            </w:r>
            <w:r>
              <w:rPr>
                <w:rFonts w:hint="eastAsia" w:ascii="Times New Roman"/>
                <w:color w:val="auto"/>
                <w:sz w:val="24"/>
              </w:rPr>
              <w:t>废旧磷酸铁锂电池由厂家更换处理，不暂存。</w:t>
            </w:r>
            <w:r>
              <w:rPr>
                <w:rFonts w:ascii="Times New Roman"/>
                <w:color w:val="auto"/>
                <w:sz w:val="24"/>
              </w:rPr>
              <w:t>废旧</w:t>
            </w:r>
            <w:r>
              <w:rPr>
                <w:rFonts w:hint="eastAsia" w:ascii="Times New Roman"/>
                <w:color w:val="auto"/>
                <w:sz w:val="24"/>
              </w:rPr>
              <w:t>铅酸</w:t>
            </w:r>
            <w:r>
              <w:rPr>
                <w:rFonts w:ascii="Times New Roman"/>
                <w:color w:val="auto"/>
                <w:sz w:val="24"/>
              </w:rPr>
              <w:t>蓄电池</w:t>
            </w:r>
            <w:r>
              <w:rPr>
                <w:rFonts w:hint="eastAsia" w:ascii="Times New Roman"/>
                <w:color w:val="auto"/>
                <w:sz w:val="24"/>
              </w:rPr>
              <w:t>暂存于危废间定期由承德雅舍再生资源回收有限公司运输、回收处理；主变压器事故状态下产生的事故油排入项目新建事故油池，检修产生的废油及沾油抹布暂存于危废暂存间，检修废油、事故废油、沾油抹布最终统一</w:t>
            </w:r>
            <w:r>
              <w:rPr>
                <w:rFonts w:hint="eastAsia" w:ascii="Times New Roman"/>
                <w:color w:val="auto"/>
                <w:sz w:val="24"/>
                <w:highlight w:val="none"/>
              </w:rPr>
              <w:t>由承德双然环保科技有限公司运输至乐亭县海畅环保科技有限公司处理。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color w:val="auto"/>
                <w:sz w:val="24"/>
              </w:rPr>
            </w:pPr>
            <w:r>
              <w:rPr>
                <w:rFonts w:ascii="Times New Roman"/>
                <w:color w:val="auto"/>
                <w:sz w:val="24"/>
              </w:rPr>
              <w:t>固体废物均妥善处理，不会产生二次污染。</w:t>
            </w:r>
          </w:p>
          <w:p>
            <w:pPr>
              <w:keepNext w:val="0"/>
              <w:keepLines w:val="0"/>
              <w:widowControl w:val="0"/>
              <w:suppressLineNumbers w:val="0"/>
              <w:adjustRightInd w:val="0"/>
              <w:snapToGrid w:val="0"/>
              <w:spacing w:before="0" w:beforeAutospacing="0" w:after="0" w:afterAutospacing="0" w:line="360" w:lineRule="auto"/>
              <w:ind w:left="360" w:right="0" w:firstLine="120" w:firstLineChars="50"/>
              <w:rPr>
                <w:rFonts w:ascii="Times New Roman"/>
                <w:color w:val="auto"/>
                <w:sz w:val="24"/>
              </w:rPr>
            </w:pPr>
            <w:r>
              <w:rPr>
                <w:rFonts w:ascii="Times New Roman"/>
                <w:color w:val="auto"/>
                <w:sz w:val="24"/>
              </w:rPr>
              <w:t>4)声环境</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sz w:val="24"/>
              </w:rPr>
            </w:pPr>
            <w:r>
              <w:rPr>
                <w:rFonts w:ascii="Times New Roman"/>
                <w:b/>
                <w:bCs/>
                <w:color w:val="auto"/>
                <w:sz w:val="24"/>
              </w:rPr>
              <w:t>施工期：</w:t>
            </w:r>
            <w:r>
              <w:rPr>
                <w:rFonts w:ascii="Times New Roman"/>
                <w:color w:val="auto"/>
                <w:sz w:val="24"/>
              </w:rPr>
              <w:t>噪声的主要来源是施工机械及机动车辆行驶等产生的噪声，在采用使用低噪声机械设备、合理安排施工计划</w:t>
            </w:r>
            <w:r>
              <w:rPr>
                <w:rFonts w:ascii="Times New Roman"/>
                <w:sz w:val="24"/>
              </w:rPr>
              <w:t>和施工时间等措施后对周边声环境质量影响较小。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highlight w:val="none"/>
              </w:rPr>
            </w:pPr>
            <w:r>
              <w:rPr>
                <w:rFonts w:ascii="Times New Roman"/>
                <w:sz w:val="24"/>
              </w:rPr>
              <w:t>根据本项目现状监测数据，本项目升压站</w:t>
            </w:r>
            <w:r>
              <w:rPr>
                <w:rFonts w:ascii="Times New Roman"/>
                <w:sz w:val="24"/>
                <w:highlight w:val="none"/>
              </w:rPr>
              <w:t>拟建站址处四周边界各监测点的昼间、夜间噪声监测值均符合《声环境质量标准》(GB 3096-2008)1类标准要求。</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ascii="Times New Roman"/>
                <w:sz w:val="24"/>
              </w:rPr>
            </w:pPr>
            <w:r>
              <w:rPr>
                <w:rFonts w:ascii="Times New Roman"/>
                <w:b/>
                <w:bCs/>
                <w:sz w:val="24"/>
                <w:highlight w:val="none"/>
              </w:rPr>
              <w:t>运行期：</w:t>
            </w:r>
            <w:r>
              <w:rPr>
                <w:rFonts w:ascii="Times New Roman"/>
                <w:sz w:val="24"/>
                <w:highlight w:val="none"/>
              </w:rPr>
              <w:t>根据模式预测，本项目实施后升压站周</w:t>
            </w:r>
            <w:r>
              <w:rPr>
                <w:rFonts w:ascii="Times New Roman"/>
                <w:sz w:val="24"/>
              </w:rPr>
              <w:t>边噪声贡献值符合《工业企业厂界环境噪声排放标准》(GB 12348-2008)1类标准。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5)电磁环境</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根据本项目电磁环境现状监测数据，升压站拟建站址处工频电场强度及工频磁感应强度分别符合《电磁环境控制限值》(GB 8702-2014)规定的工频电场强度4kV/m和工频磁感应强度100μT公众</w:t>
            </w:r>
            <w:r>
              <w:rPr>
                <w:rFonts w:hint="eastAsia" w:ascii="Times New Roman"/>
                <w:sz w:val="24"/>
              </w:rPr>
              <w:t>暴露</w:t>
            </w:r>
            <w:r>
              <w:rPr>
                <w:rFonts w:ascii="Times New Roman"/>
                <w:sz w:val="24"/>
              </w:rPr>
              <w:t>控制限值要求。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根据类比分析，本项目实施后升压站外工频电场强度、工频磁感应强度分别符合《电磁环境控制限值》(GB 8702-2014)规定的工频电场强度4kV/m和工频磁感应强度100μT公众</w:t>
            </w:r>
            <w:r>
              <w:rPr>
                <w:rFonts w:hint="eastAsia" w:ascii="Times New Roman"/>
                <w:sz w:val="24"/>
              </w:rPr>
              <w:t>暴露</w:t>
            </w:r>
            <w:r>
              <w:rPr>
                <w:rFonts w:ascii="Times New Roman"/>
                <w:sz w:val="24"/>
              </w:rPr>
              <w:t>控制限值要求。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本项目环境污染较小，在采取本环评提出的相关防治措施后，本项目排放的污染物不会突破区域环境质量底线。</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(3)资源利用上线</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承德县源网荷储一体化和多能互补示范项目(220kV升</w:t>
            </w:r>
            <w:r>
              <w:rPr>
                <w:rFonts w:ascii="Times New Roman"/>
                <w:sz w:val="24"/>
                <w:highlight w:val="none"/>
              </w:rPr>
              <w:t>压站工程)属于输变电工程中的变电工程，不属于高污染、高能耗项目。</w:t>
            </w:r>
            <w:r>
              <w:rPr>
                <w:rFonts w:hint="eastAsia"/>
                <w:sz w:val="24"/>
                <w:highlight w:val="none"/>
              </w:rPr>
              <w:t>占地类型为建设用地</w:t>
            </w:r>
            <w:r>
              <w:rPr>
                <w:rFonts w:ascii="Times New Roman"/>
                <w:sz w:val="24"/>
                <w:highlight w:val="none"/>
              </w:rPr>
              <w:t>，</w:t>
            </w:r>
            <w:r>
              <w:rPr>
                <w:rFonts w:ascii="Times New Roman"/>
                <w:sz w:val="24"/>
              </w:rPr>
              <w:t>项目运行期资源消耗主要为工作人员生活用水和用电，资源利用量小，同时项目建成后将为地区经济发展提供一定的电力资源保障，建成运行后通过内部管理强化、设备的优化选用和管理、污染治理等多方面采取合理可行的防治措施，以“节能、降耗、减污”为目标，有效的控制污染。减少能耗，不会突破资源利用上线。</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(4)环境准入负面清单</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ascii="Times New Roman"/>
                <w:sz w:val="24"/>
              </w:rPr>
            </w:pPr>
            <w:r>
              <w:rPr>
                <w:rFonts w:ascii="Times New Roman"/>
                <w:sz w:val="24"/>
              </w:rPr>
              <w:t>本项目属于电力供应项目，根据《产业结构调整指导目录(20</w:t>
            </w:r>
            <w:r>
              <w:rPr>
                <w:rFonts w:hint="eastAsia" w:ascii="Times New Roman"/>
                <w:sz w:val="24"/>
              </w:rPr>
              <w:t>24</w:t>
            </w:r>
            <w:r>
              <w:rPr>
                <w:rFonts w:ascii="Times New Roman"/>
                <w:sz w:val="24"/>
              </w:rPr>
              <w:t>年本)》，</w:t>
            </w:r>
            <w:r>
              <w:rPr>
                <w:rFonts w:hint="eastAsia" w:ascii="Times New Roman"/>
                <w:sz w:val="24"/>
              </w:rPr>
              <w:t>本项目属于《产业结构调整目录（</w:t>
            </w:r>
            <w:r>
              <w:rPr>
                <w:rFonts w:ascii="Times New Roman"/>
                <w:sz w:val="24"/>
              </w:rPr>
              <w:t>2024</w:t>
            </w:r>
            <w:r>
              <w:rPr>
                <w:rFonts w:hint="eastAsia" w:ascii="Times New Roman"/>
                <w:sz w:val="24"/>
              </w:rPr>
              <w:t>年本）》鼓励类建设项目（五、新能源</w:t>
            </w:r>
            <w:r>
              <w:rPr>
                <w:rFonts w:ascii="Times New Roman"/>
                <w:sz w:val="24"/>
              </w:rPr>
              <w:t>2</w:t>
            </w:r>
            <w:r>
              <w:rPr>
                <w:rFonts w:hint="eastAsia" w:ascii="Times New Roman"/>
                <w:sz w:val="24"/>
              </w:rPr>
              <w:t>、可再生能源利用技术与应用：太阳能热发电集热系统、高效率低成本太阳能光伏发电技术研发与产业化、系统集成技术开发应用）</w:t>
            </w:r>
            <w:r>
              <w:rPr>
                <w:rFonts w:ascii="Times New Roman"/>
                <w:sz w:val="24"/>
              </w:rPr>
              <w:t>，不属于《产业结构调整指导目录</w:t>
            </w:r>
            <w:r>
              <w:rPr>
                <w:rFonts w:hint="eastAsia" w:ascii="Times New Roman"/>
                <w:sz w:val="24"/>
              </w:rPr>
              <w:t>（2024年本）</w:t>
            </w:r>
            <w:r>
              <w:rPr>
                <w:rFonts w:ascii="Times New Roman"/>
                <w:sz w:val="24"/>
              </w:rPr>
              <w:t>》中的淘汰类、限制类项目。</w:t>
            </w:r>
            <w:r>
              <w:rPr>
                <w:rFonts w:hint="eastAsia" w:ascii="Times New Roman"/>
                <w:bCs/>
                <w:sz w:val="24"/>
              </w:rPr>
              <w:t>未列入《市场准入负面清单(2022年版)》；不属于河北省发展和改革委员会关于印发《灵寿县等22县(区)国家重点生态功能区产业准入负面清单(试行)》的通知(冀发改规划[2018]920号)的通知中“河北省承德县国家重点生态功能区产业准入负面清单”中的“限制类”和“禁止类”。</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b/>
                <w:sz w:val="24"/>
              </w:rPr>
            </w:pPr>
            <w:r>
              <w:rPr>
                <w:rFonts w:ascii="Times New Roman"/>
                <w:b/>
                <w:sz w:val="24"/>
              </w:rPr>
              <w:t>5、生态环境分区管控符合性分析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rPr>
            </w:pPr>
            <w:r>
              <w:rPr>
                <w:rFonts w:ascii="Times New Roman"/>
                <w:sz w:val="24"/>
              </w:rPr>
              <w:t>升压站站址位于河北省承德市承德县</w:t>
            </w:r>
            <w:r>
              <w:rPr>
                <w:rFonts w:hint="eastAsia" w:ascii="Times New Roman"/>
                <w:sz w:val="24"/>
              </w:rPr>
              <w:t>新杖子镇</w:t>
            </w:r>
            <w:r>
              <w:rPr>
                <w:rFonts w:ascii="Times New Roman"/>
                <w:sz w:val="24"/>
              </w:rPr>
              <w:t>。</w:t>
            </w:r>
            <w:r>
              <w:rPr>
                <w:rFonts w:ascii="Times New Roman"/>
                <w:bCs/>
                <w:sz w:val="24"/>
              </w:rPr>
              <w:t>依据</w:t>
            </w:r>
            <w:r>
              <w:rPr>
                <w:rFonts w:hint="eastAsia" w:ascii="Times New Roman"/>
                <w:bCs/>
                <w:sz w:val="24"/>
              </w:rPr>
              <w:t>河北省生态环境厅《关于印发＜河北省2023年生态环境分区管控成果动态更新工作实施方案＞的通知》（冀环环评函（2023）656号）要求</w:t>
            </w:r>
            <w:r>
              <w:rPr>
                <w:rFonts w:ascii="Times New Roman"/>
                <w:bCs/>
                <w:sz w:val="24"/>
              </w:rPr>
              <w:t>，</w:t>
            </w:r>
            <w:r>
              <w:rPr>
                <w:rFonts w:hint="eastAsia" w:ascii="Times New Roman"/>
                <w:sz w:val="24"/>
              </w:rPr>
              <w:t>本项目位于</w:t>
            </w:r>
            <w:r>
              <w:rPr>
                <w:rFonts w:ascii="Times New Roman"/>
                <w:sz w:val="24"/>
              </w:rPr>
              <w:t>一般管控单元。</w:t>
            </w:r>
          </w:p>
          <w:p>
            <w:pPr>
              <w:pStyle w:val="48"/>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hAnsi="Times New Roman"/>
                <w:szCs w:val="21"/>
              </w:rPr>
            </w:pPr>
            <w:r>
              <w:rPr>
                <w:rFonts w:ascii="Times New Roman" w:hAnsi="Times New Roman"/>
                <w:szCs w:val="21"/>
              </w:rPr>
              <w:t>本项目与管控单元生态环境准入清单相符性见表1-3，</w:t>
            </w:r>
            <w:bookmarkStart w:id="18" w:name="_Hlk109991078"/>
            <w:r>
              <w:rPr>
                <w:rFonts w:ascii="Times New Roman" w:hAnsi="Times New Roman"/>
                <w:szCs w:val="21"/>
              </w:rPr>
              <w:t>本项目选址与承德市环境管控单元位置关系示意图详见附图</w:t>
            </w:r>
            <w:bookmarkEnd w:id="18"/>
            <w:r>
              <w:rPr>
                <w:rFonts w:ascii="Times New Roman" w:hAnsi="Times New Roman"/>
                <w:szCs w:val="21"/>
              </w:rPr>
              <w:t>1。</w:t>
            </w:r>
          </w:p>
          <w:p>
            <w:pPr>
              <w:pStyle w:val="48"/>
              <w:keepNext w:val="0"/>
              <w:keepLines w:val="0"/>
              <w:widowControl w:val="0"/>
              <w:suppressLineNumbers w:val="0"/>
              <w:adjustRightInd w:val="0"/>
              <w:snapToGrid w:val="0"/>
              <w:spacing w:before="0" w:beforeAutospacing="0" w:after="0" w:afterAutospacing="0" w:line="360" w:lineRule="auto"/>
              <w:ind w:left="0" w:right="0" w:firstLine="602" w:firstLineChars="250"/>
              <w:jc w:val="center"/>
              <w:rPr>
                <w:rFonts w:ascii="Times New Roman" w:hAnsi="Times New Roman"/>
                <w:b/>
                <w:szCs w:val="21"/>
              </w:rPr>
            </w:pPr>
            <w:r>
              <w:rPr>
                <w:rFonts w:ascii="Times New Roman" w:hAnsi="Times New Roman"/>
                <w:b/>
                <w:szCs w:val="21"/>
              </w:rPr>
              <w:t>表1-3  本项目与管控单元生态环境准入清单相符性</w:t>
            </w:r>
          </w:p>
          <w:tbl>
            <w:tblPr>
              <w:tblStyle w:val="90"/>
              <w:tblW w:w="8102" w:type="dxa"/>
              <w:tblInd w:w="11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2"/>
              <w:gridCol w:w="688"/>
              <w:gridCol w:w="738"/>
              <w:gridCol w:w="992"/>
              <w:gridCol w:w="1983"/>
              <w:gridCol w:w="3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2" w:type="dxa"/>
                  <w:shd w:val="clear" w:color="auto" w:fill="D9D9D9"/>
                  <w:vAlign w:val="center"/>
                </w:tcPr>
                <w:p>
                  <w:pPr>
                    <w:pStyle w:val="91"/>
                    <w:widowControl w:val="0"/>
                    <w:snapToGrid w:val="0"/>
                    <w:ind w:left="100" w:right="91"/>
                    <w:jc w:val="center"/>
                    <w:rPr>
                      <w:rFonts w:ascii="Times New Roman" w:hAnsi="Times New Roman" w:cs="Times New Roman"/>
                      <w:b/>
                      <w:sz w:val="21"/>
                      <w:szCs w:val="21"/>
                    </w:rPr>
                  </w:pPr>
                  <w:r>
                    <w:rPr>
                      <w:rFonts w:ascii="Times New Roman" w:hAnsi="Times New Roman" w:cs="Times New Roman"/>
                      <w:b/>
                      <w:spacing w:val="-5"/>
                      <w:sz w:val="21"/>
                      <w:szCs w:val="21"/>
                    </w:rPr>
                    <w:t>编号</w:t>
                  </w:r>
                </w:p>
              </w:tc>
              <w:tc>
                <w:tcPr>
                  <w:tcW w:w="688" w:type="dxa"/>
                  <w:shd w:val="clear" w:color="auto" w:fill="D9D9D9"/>
                  <w:vAlign w:val="center"/>
                </w:tcPr>
                <w:p>
                  <w:pPr>
                    <w:pStyle w:val="91"/>
                    <w:widowControl w:val="0"/>
                    <w:snapToGrid w:val="0"/>
                    <w:ind w:left="98" w:right="91"/>
                    <w:jc w:val="center"/>
                    <w:rPr>
                      <w:rFonts w:ascii="Times New Roman" w:hAnsi="Times New Roman" w:cs="Times New Roman"/>
                      <w:b/>
                      <w:sz w:val="21"/>
                      <w:szCs w:val="21"/>
                    </w:rPr>
                  </w:pPr>
                  <w:r>
                    <w:rPr>
                      <w:rFonts w:ascii="Times New Roman" w:hAnsi="Times New Roman" w:cs="Times New Roman"/>
                      <w:b/>
                      <w:spacing w:val="-3"/>
                      <w:sz w:val="21"/>
                      <w:szCs w:val="21"/>
                    </w:rPr>
                    <w:t>管控类别</w:t>
                  </w:r>
                </w:p>
              </w:tc>
              <w:tc>
                <w:tcPr>
                  <w:tcW w:w="738" w:type="dxa"/>
                  <w:shd w:val="clear" w:color="auto" w:fill="D9D9D9"/>
                  <w:vAlign w:val="center"/>
                </w:tcPr>
                <w:p>
                  <w:pPr>
                    <w:widowControl w:val="0"/>
                    <w:autoSpaceDE w:val="0"/>
                    <w:autoSpaceDN w:val="0"/>
                    <w:jc w:val="center"/>
                    <w:rPr>
                      <w:rFonts w:ascii="Times New Roman" w:hAnsi="Calibri"/>
                      <w:lang w:eastAsia="en-US"/>
                    </w:rPr>
                  </w:pPr>
                  <w:r>
                    <w:rPr>
                      <w:rFonts w:ascii="Times New Roman" w:hAnsi="Calibri"/>
                      <w:b/>
                      <w:spacing w:val="-3"/>
                      <w:lang w:eastAsia="en-US"/>
                    </w:rPr>
                    <w:t>环境要素类别</w:t>
                  </w:r>
                </w:p>
              </w:tc>
              <w:tc>
                <w:tcPr>
                  <w:tcW w:w="992" w:type="dxa"/>
                  <w:shd w:val="clear" w:color="auto" w:fill="D9D9D9"/>
                  <w:vAlign w:val="center"/>
                </w:tcPr>
                <w:p>
                  <w:pPr>
                    <w:widowControl w:val="0"/>
                    <w:autoSpaceDE w:val="0"/>
                    <w:autoSpaceDN w:val="0"/>
                    <w:jc w:val="center"/>
                    <w:rPr>
                      <w:rFonts w:ascii="Times New Roman" w:hAnsi="Calibri"/>
                      <w:lang w:eastAsia="en-US"/>
                    </w:rPr>
                  </w:pPr>
                  <w:r>
                    <w:rPr>
                      <w:rFonts w:hint="eastAsia" w:ascii="Times New Roman" w:hAnsi="Calibri"/>
                      <w:b/>
                      <w:spacing w:val="-3"/>
                      <w:lang w:eastAsia="en-US"/>
                    </w:rPr>
                    <w:t>污染物排放管控</w:t>
                  </w:r>
                </w:p>
              </w:tc>
              <w:tc>
                <w:tcPr>
                  <w:tcW w:w="1983" w:type="dxa"/>
                  <w:shd w:val="clear" w:color="auto" w:fill="D9D9D9"/>
                  <w:vAlign w:val="center"/>
                </w:tcPr>
                <w:p>
                  <w:pPr>
                    <w:pStyle w:val="91"/>
                    <w:widowControl w:val="0"/>
                    <w:snapToGrid w:val="0"/>
                    <w:ind w:left="197" w:right="192"/>
                    <w:jc w:val="center"/>
                    <w:rPr>
                      <w:rFonts w:ascii="Times New Roman" w:hAnsi="Times New Roman" w:cs="Times New Roman"/>
                      <w:b/>
                      <w:spacing w:val="-5"/>
                      <w:sz w:val="21"/>
                      <w:szCs w:val="21"/>
                      <w:lang w:eastAsia="zh-CN"/>
                    </w:rPr>
                  </w:pPr>
                  <w:r>
                    <w:rPr>
                      <w:rFonts w:hint="eastAsia" w:ascii="Times New Roman" w:hAnsi="Times New Roman" w:cs="Times New Roman"/>
                      <w:b/>
                      <w:spacing w:val="-5"/>
                      <w:sz w:val="21"/>
                      <w:szCs w:val="21"/>
                      <w:lang w:eastAsia="zh-CN"/>
                    </w:rPr>
                    <w:t>环境风险防控</w:t>
                  </w:r>
                </w:p>
              </w:tc>
              <w:tc>
                <w:tcPr>
                  <w:tcW w:w="3119" w:type="dxa"/>
                  <w:shd w:val="clear" w:color="auto" w:fill="D9D9D9"/>
                  <w:vAlign w:val="center"/>
                </w:tcPr>
                <w:p>
                  <w:pPr>
                    <w:widowControl w:val="0"/>
                    <w:autoSpaceDE w:val="0"/>
                    <w:autoSpaceDN w:val="0"/>
                    <w:jc w:val="center"/>
                    <w:rPr>
                      <w:rFonts w:ascii="Times New Roman" w:hAnsi="Calibri"/>
                      <w:b/>
                      <w:spacing w:val="-5"/>
                      <w:lang w:eastAsia="en-US"/>
                    </w:rPr>
                  </w:pPr>
                  <w:r>
                    <w:rPr>
                      <w:rFonts w:ascii="Times New Roman" w:hAnsi="Calibri"/>
                      <w:b/>
                      <w:spacing w:val="-5"/>
                      <w:lang w:eastAsia="en-US"/>
                    </w:rPr>
                    <w:t>本项目符合性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59" w:hRule="atLeast"/>
              </w:trPr>
              <w:tc>
                <w:tcPr>
                  <w:tcW w:w="582" w:type="dxa"/>
                  <w:vAlign w:val="center"/>
                </w:tcPr>
                <w:p>
                  <w:pPr>
                    <w:pStyle w:val="91"/>
                    <w:widowControl w:val="0"/>
                    <w:snapToGrid w:val="0"/>
                    <w:ind w:left="102" w:right="91"/>
                    <w:jc w:val="center"/>
                    <w:rPr>
                      <w:rFonts w:ascii="Times New Roman" w:hAnsi="Times New Roman" w:cs="Times New Roman"/>
                      <w:spacing w:val="-2"/>
                      <w:sz w:val="21"/>
                      <w:szCs w:val="21"/>
                    </w:rPr>
                  </w:pPr>
                  <w:r>
                    <w:rPr>
                      <w:rFonts w:ascii="Times New Roman" w:hAnsi="Times New Roman" w:cs="Times New Roman"/>
                      <w:spacing w:val="-2"/>
                      <w:sz w:val="21"/>
                      <w:szCs w:val="21"/>
                    </w:rPr>
                    <w:t>ZH130821</w:t>
                  </w:r>
                  <w:r>
                    <w:rPr>
                      <w:rFonts w:hint="eastAsia" w:ascii="Times New Roman" w:hAnsi="Times New Roman" w:cs="Times New Roman"/>
                      <w:spacing w:val="-2"/>
                      <w:sz w:val="21"/>
                      <w:szCs w:val="21"/>
                      <w:lang w:eastAsia="zh-CN"/>
                    </w:rPr>
                    <w:t>3</w:t>
                  </w:r>
                  <w:r>
                    <w:rPr>
                      <w:rFonts w:ascii="Times New Roman" w:hAnsi="Times New Roman" w:cs="Times New Roman"/>
                      <w:spacing w:val="-2"/>
                      <w:sz w:val="21"/>
                      <w:szCs w:val="21"/>
                    </w:rPr>
                    <w:t>000</w:t>
                  </w:r>
                </w:p>
                <w:p>
                  <w:pPr>
                    <w:pStyle w:val="91"/>
                    <w:widowControl w:val="0"/>
                    <w:snapToGrid w:val="0"/>
                    <w:ind w:left="102" w:right="91"/>
                    <w:jc w:val="center"/>
                    <w:rPr>
                      <w:rFonts w:ascii="Times New Roman" w:hAnsi="Times New Roman" w:cs="Times New Roman"/>
                      <w:sz w:val="21"/>
                      <w:szCs w:val="21"/>
                      <w:lang w:eastAsia="zh-CN"/>
                    </w:rPr>
                  </w:pPr>
                  <w:r>
                    <w:rPr>
                      <w:rFonts w:hint="eastAsia" w:ascii="Times New Roman" w:hAnsi="Times New Roman" w:cs="Times New Roman"/>
                      <w:spacing w:val="-2"/>
                      <w:sz w:val="21"/>
                      <w:szCs w:val="21"/>
                      <w:lang w:eastAsia="zh-CN"/>
                    </w:rPr>
                    <w:t>1</w:t>
                  </w:r>
                </w:p>
              </w:tc>
              <w:tc>
                <w:tcPr>
                  <w:tcW w:w="688" w:type="dxa"/>
                  <w:vAlign w:val="center"/>
                </w:tcPr>
                <w:p>
                  <w:pPr>
                    <w:pStyle w:val="91"/>
                    <w:widowControl w:val="0"/>
                    <w:snapToGrid w:val="0"/>
                    <w:ind w:left="100" w:right="91"/>
                    <w:jc w:val="center"/>
                    <w:rPr>
                      <w:rFonts w:ascii="Times New Roman" w:hAnsi="Times New Roman" w:cs="Times New Roman"/>
                      <w:sz w:val="21"/>
                      <w:szCs w:val="21"/>
                    </w:rPr>
                  </w:pPr>
                  <w:r>
                    <w:rPr>
                      <w:rFonts w:ascii="Times New Roman" w:hAnsi="Times New Roman" w:cs="Times New Roman"/>
                      <w:spacing w:val="-4"/>
                      <w:sz w:val="21"/>
                      <w:szCs w:val="21"/>
                    </w:rPr>
                    <w:t>一般管控单元</w:t>
                  </w:r>
                </w:p>
              </w:tc>
              <w:tc>
                <w:tcPr>
                  <w:tcW w:w="738" w:type="dxa"/>
                  <w:vAlign w:val="center"/>
                </w:tcPr>
                <w:p>
                  <w:pPr>
                    <w:widowControl w:val="0"/>
                    <w:autoSpaceDE w:val="0"/>
                    <w:autoSpaceDN w:val="0"/>
                    <w:jc w:val="center"/>
                    <w:rPr>
                      <w:rFonts w:ascii="Times New Roman" w:hAnsi="Calibri"/>
                      <w:spacing w:val="-4"/>
                      <w:kern w:val="0"/>
                      <w:sz w:val="21"/>
                      <w:szCs w:val="21"/>
                      <w:lang w:eastAsia="en-US"/>
                    </w:rPr>
                  </w:pPr>
                  <w:r>
                    <w:rPr>
                      <w:rFonts w:ascii="Times New Roman" w:hAnsi="Calibri"/>
                      <w:spacing w:val="-4"/>
                      <w:kern w:val="0"/>
                      <w:sz w:val="21"/>
                      <w:szCs w:val="21"/>
                      <w:lang w:eastAsia="en-US"/>
                    </w:rPr>
                    <w:t>水环境其他区域大气 一般管控区</w:t>
                  </w:r>
                </w:p>
              </w:tc>
              <w:tc>
                <w:tcPr>
                  <w:tcW w:w="992" w:type="dxa"/>
                  <w:vAlign w:val="center"/>
                </w:tcPr>
                <w:p>
                  <w:pPr>
                    <w:widowControl w:val="0"/>
                    <w:autoSpaceDE w:val="0"/>
                    <w:autoSpaceDN w:val="0"/>
                    <w:jc w:val="center"/>
                    <w:rPr>
                      <w:rFonts w:ascii="Times New Roman" w:hAnsi="Calibri"/>
                      <w:spacing w:val="-4"/>
                      <w:kern w:val="0"/>
                      <w:sz w:val="21"/>
                      <w:szCs w:val="21"/>
                      <w:lang w:eastAsia="en-US"/>
                    </w:rPr>
                  </w:pPr>
                  <w:r>
                    <w:rPr>
                      <w:rFonts w:hint="eastAsia" w:ascii="Times New Roman" w:hAnsi="Calibri"/>
                      <w:spacing w:val="-4"/>
                      <w:kern w:val="0"/>
                      <w:sz w:val="21"/>
                      <w:szCs w:val="21"/>
                      <w:lang w:eastAsia="en-US"/>
                    </w:rPr>
                    <w:t>1</w:t>
                  </w:r>
                  <w:r>
                    <w:rPr>
                      <w:rFonts w:ascii="Times New Roman" w:hAnsi="Calibri"/>
                      <w:spacing w:val="-4"/>
                      <w:kern w:val="0"/>
                      <w:sz w:val="21"/>
                      <w:szCs w:val="21"/>
                      <w:lang w:eastAsia="en-US"/>
                    </w:rPr>
                    <w:t>、注重控制新增产能水环境 污染物控制，实施水污染排放 项目与</w:t>
                  </w:r>
                  <w:r>
                    <w:rPr>
                      <w:rFonts w:hint="eastAsia" w:ascii="Times New Roman" w:hAnsi="Calibri"/>
                      <w:spacing w:val="-4"/>
                      <w:kern w:val="0"/>
                      <w:sz w:val="21"/>
                      <w:szCs w:val="21"/>
                      <w:lang w:eastAsia="en-US"/>
                    </w:rPr>
                    <w:t>污</w:t>
                  </w:r>
                  <w:r>
                    <w:rPr>
                      <w:rFonts w:ascii="Times New Roman" w:hAnsi="Calibri"/>
                      <w:spacing w:val="-4"/>
                      <w:kern w:val="0"/>
                      <w:sz w:val="21"/>
                      <w:szCs w:val="21"/>
                      <w:lang w:eastAsia="en-US"/>
                    </w:rPr>
                    <w:t xml:space="preserve">水处理设施同步规 划、同步建设，严格控制水环境高风险类项目准入。执行通用型水环境准入管控清单。 </w:t>
                  </w:r>
                </w:p>
                <w:p>
                  <w:pPr>
                    <w:widowControl w:val="0"/>
                    <w:autoSpaceDE w:val="0"/>
                    <w:autoSpaceDN w:val="0"/>
                    <w:jc w:val="center"/>
                    <w:rPr>
                      <w:rFonts w:ascii="Times New Roman" w:hAnsi="Calibri"/>
                      <w:spacing w:val="-4"/>
                      <w:kern w:val="0"/>
                      <w:sz w:val="21"/>
                      <w:szCs w:val="21"/>
                      <w:lang w:eastAsia="en-US"/>
                    </w:rPr>
                  </w:pPr>
                  <w:r>
                    <w:rPr>
                      <w:rFonts w:ascii="Times New Roman" w:hAnsi="Calibri"/>
                      <w:spacing w:val="-4"/>
                      <w:kern w:val="0"/>
                      <w:sz w:val="21"/>
                      <w:szCs w:val="21"/>
                      <w:lang w:eastAsia="en-US"/>
                    </w:rPr>
                    <w:t>2</w:t>
                  </w:r>
                  <w:r>
                    <w:rPr>
                      <w:rFonts w:hint="eastAsia" w:ascii="Times New Roman" w:hAnsi="Calibri"/>
                      <w:spacing w:val="-4"/>
                      <w:kern w:val="0"/>
                      <w:sz w:val="21"/>
                      <w:szCs w:val="21"/>
                      <w:lang w:eastAsia="en-US"/>
                    </w:rPr>
                    <w:t xml:space="preserve">、加强农村生活垃圾分类、 收集、转运与处理体系建设，农村生活垃圾基本实现全面治理。 </w:t>
                  </w:r>
                </w:p>
                <w:p>
                  <w:pPr>
                    <w:widowControl w:val="0"/>
                    <w:autoSpaceDE w:val="0"/>
                    <w:autoSpaceDN w:val="0"/>
                    <w:jc w:val="center"/>
                    <w:rPr>
                      <w:rFonts w:ascii="Times New Roman" w:hAnsi="Calibri"/>
                      <w:spacing w:val="-4"/>
                      <w:kern w:val="0"/>
                      <w:sz w:val="21"/>
                      <w:szCs w:val="21"/>
                      <w:lang w:eastAsia="en-US"/>
                    </w:rPr>
                  </w:pPr>
                  <w:r>
                    <w:rPr>
                      <w:rFonts w:ascii="Times New Roman" w:hAnsi="Calibri"/>
                      <w:spacing w:val="-4"/>
                      <w:kern w:val="0"/>
                      <w:sz w:val="21"/>
                      <w:szCs w:val="21"/>
                      <w:lang w:eastAsia="en-US"/>
                    </w:rPr>
                    <w:t>3</w:t>
                  </w:r>
                  <w:r>
                    <w:rPr>
                      <w:rFonts w:hint="eastAsia" w:ascii="Times New Roman" w:hAnsi="Calibri"/>
                      <w:spacing w:val="-4"/>
                      <w:kern w:val="0"/>
                      <w:sz w:val="21"/>
                      <w:szCs w:val="21"/>
                      <w:lang w:eastAsia="en-US"/>
                    </w:rPr>
                    <w:t>、加快农村生活供排水、旱 厕改造等基础设施建设，对生 活污水进行相对集中收集，采 用适宜方式进行处理。</w:t>
                  </w:r>
                </w:p>
                <w:p>
                  <w:pPr>
                    <w:widowControl w:val="0"/>
                    <w:autoSpaceDE w:val="0"/>
                    <w:autoSpaceDN w:val="0"/>
                    <w:jc w:val="center"/>
                    <w:rPr>
                      <w:rFonts w:ascii="Times New Roman" w:hAnsi="Calibri"/>
                      <w:spacing w:val="-4"/>
                      <w:kern w:val="0"/>
                      <w:sz w:val="21"/>
                      <w:szCs w:val="21"/>
                      <w:lang w:eastAsia="en-US"/>
                    </w:rPr>
                  </w:pPr>
                </w:p>
              </w:tc>
              <w:tc>
                <w:tcPr>
                  <w:tcW w:w="1983" w:type="dxa"/>
                  <w:vAlign w:val="center"/>
                </w:tcPr>
                <w:p>
                  <w:pPr>
                    <w:widowControl w:val="0"/>
                    <w:autoSpaceDE w:val="0"/>
                    <w:autoSpaceDN w:val="0"/>
                    <w:jc w:val="center"/>
                    <w:rPr>
                      <w:rFonts w:ascii="Times New Roman" w:hAnsi="Calibri"/>
                      <w:spacing w:val="-4"/>
                      <w:kern w:val="0"/>
                      <w:sz w:val="21"/>
                      <w:szCs w:val="21"/>
                      <w:lang w:eastAsia="en-US"/>
                    </w:rPr>
                  </w:pPr>
                  <w:r>
                    <w:rPr>
                      <w:rFonts w:hint="eastAsia" w:ascii="Times New Roman" w:hAnsi="Calibri"/>
                      <w:spacing w:val="-4"/>
                      <w:kern w:val="0"/>
                      <w:sz w:val="21"/>
                      <w:szCs w:val="21"/>
                      <w:lang w:eastAsia="en-US"/>
                    </w:rPr>
                    <w:t>1</w:t>
                  </w:r>
                  <w:r>
                    <w:rPr>
                      <w:rFonts w:ascii="Times New Roman" w:hAnsi="Calibri"/>
                      <w:spacing w:val="-4"/>
                      <w:kern w:val="0"/>
                      <w:sz w:val="21"/>
                      <w:szCs w:val="21"/>
                      <w:lang w:eastAsia="en-US"/>
                    </w:rPr>
                    <w:t xml:space="preserve">、矿山企业应当依据国家有关规定编制矿山生态环境保护与恢复治理等方案，严格履 行责任义务，边开采、边治理、边恢复；依法依规有序退出的矿山及时进行生态评估并实施生态恢复。 </w:t>
                  </w:r>
                </w:p>
                <w:p>
                  <w:pPr>
                    <w:widowControl w:val="0"/>
                    <w:autoSpaceDE w:val="0"/>
                    <w:autoSpaceDN w:val="0"/>
                    <w:jc w:val="center"/>
                    <w:rPr>
                      <w:rFonts w:ascii="Times New Roman" w:hAnsi="Calibri"/>
                      <w:spacing w:val="-4"/>
                      <w:kern w:val="0"/>
                      <w:sz w:val="21"/>
                      <w:szCs w:val="21"/>
                      <w:lang w:eastAsia="en-US"/>
                    </w:rPr>
                  </w:pPr>
                  <w:r>
                    <w:rPr>
                      <w:rFonts w:ascii="Times New Roman" w:hAnsi="Calibri"/>
                      <w:spacing w:val="-4"/>
                      <w:kern w:val="0"/>
                      <w:sz w:val="21"/>
                      <w:szCs w:val="21"/>
                      <w:lang w:eastAsia="en-US"/>
                    </w:rPr>
                    <w:t>2</w:t>
                  </w:r>
                  <w:r>
                    <w:rPr>
                      <w:rFonts w:hint="eastAsia" w:ascii="Times New Roman" w:hAnsi="Calibri"/>
                      <w:spacing w:val="-4"/>
                      <w:kern w:val="0"/>
                      <w:sz w:val="21"/>
                      <w:szCs w:val="21"/>
                      <w:lang w:eastAsia="en-US"/>
                    </w:rPr>
                    <w:t>、推进企业建立健全尾矿库全生命周期风险防控和隐患治理机制，落实管控措施，确 保尾矿库安全运行、闭库。</w:t>
                  </w:r>
                </w:p>
                <w:p>
                  <w:pPr>
                    <w:widowControl w:val="0"/>
                    <w:autoSpaceDE w:val="0"/>
                    <w:autoSpaceDN w:val="0"/>
                    <w:jc w:val="center"/>
                    <w:rPr>
                      <w:rFonts w:ascii="Times New Roman" w:hAnsi="Calibri"/>
                      <w:spacing w:val="-4"/>
                      <w:kern w:val="0"/>
                      <w:sz w:val="21"/>
                      <w:szCs w:val="21"/>
                      <w:lang w:eastAsia="en-US"/>
                    </w:rPr>
                  </w:pPr>
                </w:p>
              </w:tc>
              <w:tc>
                <w:tcPr>
                  <w:tcW w:w="3119" w:type="dxa"/>
                  <w:vAlign w:val="center"/>
                </w:tcPr>
                <w:p>
                  <w:pPr>
                    <w:widowControl w:val="0"/>
                    <w:autoSpaceDE w:val="0"/>
                    <w:autoSpaceDN w:val="0"/>
                    <w:ind w:firstLine="420" w:firstLineChars="200"/>
                    <w:rPr>
                      <w:rFonts w:ascii="Times New Roman" w:hAnsi="Calibri"/>
                      <w:lang w:eastAsia="en-US"/>
                    </w:rPr>
                  </w:pPr>
                  <w:r>
                    <w:rPr>
                      <w:rFonts w:hint="eastAsia" w:ascii="Times New Roman" w:hAnsi="Calibri"/>
                      <w:lang w:eastAsia="en-US"/>
                    </w:rPr>
                    <w:t>项目建设及运营环境风险防控：</w:t>
                  </w:r>
                  <w:r>
                    <w:rPr>
                      <w:rFonts w:ascii="Times New Roman" w:hAnsi="Calibri"/>
                      <w:lang w:eastAsia="en-US"/>
                    </w:rPr>
                    <w:t>本项目属输变电工程，建设符合国家产业政策，不属于</w:t>
                  </w:r>
                  <w:r>
                    <w:rPr>
                      <w:rFonts w:hint="eastAsia" w:ascii="Times New Roman" w:hAnsi="Calibri"/>
                      <w:lang w:eastAsia="en-US"/>
                    </w:rPr>
                    <w:t>矿山企业，不涉及尾矿库</w:t>
                  </w:r>
                  <w:r>
                    <w:rPr>
                      <w:rFonts w:ascii="Times New Roman" w:hAnsi="Calibri"/>
                      <w:lang w:eastAsia="en-US"/>
                    </w:rPr>
                    <w:t>等。</w:t>
                  </w:r>
                </w:p>
                <w:p>
                  <w:pPr>
                    <w:widowControl w:val="0"/>
                    <w:autoSpaceDE w:val="0"/>
                    <w:autoSpaceDN w:val="0"/>
                    <w:ind w:firstLine="420" w:firstLineChars="200"/>
                    <w:rPr>
                      <w:rFonts w:ascii="Times New Roman" w:hAnsi="Calibri"/>
                      <w:lang w:eastAsia="en-US"/>
                    </w:rPr>
                  </w:pPr>
                  <w:r>
                    <w:rPr>
                      <w:rFonts w:hint="eastAsia" w:ascii="Times New Roman" w:hAnsi="Calibri"/>
                      <w:lang w:eastAsia="en-US"/>
                    </w:rPr>
                    <w:t>项目建设及运营污染物排放管控：</w:t>
                  </w:r>
                </w:p>
                <w:p>
                  <w:pPr>
                    <w:widowControl w:val="0"/>
                    <w:autoSpaceDE w:val="0"/>
                    <w:autoSpaceDN w:val="0"/>
                    <w:ind w:firstLine="420" w:firstLineChars="200"/>
                    <w:rPr>
                      <w:rFonts w:ascii="Times New Roman" w:hAnsi="Calibri"/>
                      <w:sz w:val="21"/>
                      <w:szCs w:val="21"/>
                      <w:lang w:eastAsia="en-US"/>
                    </w:rPr>
                  </w:pPr>
                  <w:r>
                    <w:rPr>
                      <w:rFonts w:hint="eastAsia" w:ascii="Times New Roman" w:hAnsi="Calibri"/>
                      <w:lang w:eastAsia="en-US"/>
                    </w:rPr>
                    <w:t>施工期：施工废水经沉淀池后用于场地抑尘。施工期施工人员主要为附近村庄居民，生活废水分散于周边村庄，依托村镇现有污水处理设施处理。</w:t>
                  </w:r>
                </w:p>
                <w:p>
                  <w:pPr>
                    <w:widowControl w:val="0"/>
                    <w:autoSpaceDE w:val="0"/>
                    <w:autoSpaceDN w:val="0"/>
                    <w:ind w:firstLine="420" w:firstLineChars="200"/>
                    <w:rPr>
                      <w:rFonts w:ascii="Times New Roman" w:hAnsi="Calibri"/>
                      <w:sz w:val="21"/>
                      <w:szCs w:val="21"/>
                      <w:lang w:eastAsia="en-US"/>
                    </w:rPr>
                  </w:pPr>
                  <w:r>
                    <w:rPr>
                      <w:rFonts w:hint="eastAsia" w:ascii="Times New Roman" w:hAnsi="Calibri"/>
                      <w:lang w:eastAsia="en-US"/>
                    </w:rPr>
                    <w:t>运行期：本项目营运期废水主要为食堂废水及其他生活废水，食堂废水经隔油池处理、其他生活废水经化粪池处理后一同进入污水一体化处理设备处理，处理后满足《城市污水再生利用城市杂用水水质》中城市绿化、道路清扫、消防用水水质标准，用于厂区洒水抑尘。</w:t>
                  </w:r>
                </w:p>
                <w:p>
                  <w:pPr>
                    <w:widowControl w:val="0"/>
                    <w:autoSpaceDE w:val="0"/>
                    <w:autoSpaceDN w:val="0"/>
                    <w:ind w:firstLine="420" w:firstLineChars="200"/>
                    <w:rPr>
                      <w:rFonts w:hAnsi="Calibri"/>
                      <w:sz w:val="21"/>
                      <w:szCs w:val="21"/>
                      <w:lang w:eastAsia="en-US"/>
                    </w:rPr>
                  </w:pPr>
                  <w:r>
                    <w:rPr>
                      <w:rFonts w:hint="eastAsia" w:ascii="Times New Roman" w:hAnsi="Calibri"/>
                      <w:lang w:eastAsia="en-US"/>
                    </w:rPr>
                    <w:t>不涉及总量控制指标。且依据已批复的《承德县源网荷储一体化和多能互补示范项目》(承德市生态环境</w:t>
                  </w:r>
                  <w:r>
                    <w:rPr>
                      <w:rFonts w:hint="eastAsia" w:ascii="Times New Roman" w:hAnsi="Calibri"/>
                      <w:highlight w:val="none"/>
                      <w:lang w:eastAsia="en-US"/>
                    </w:rPr>
                    <w:t>局承德县分局批复，文号为承县环评审[2024]03号)，本项目主体环评不涉及总量控制指</w:t>
                  </w:r>
                  <w:r>
                    <w:rPr>
                      <w:rFonts w:hint="eastAsia" w:ascii="Times New Roman" w:hAnsi="Calibri"/>
                      <w:lang w:eastAsia="en-US"/>
                    </w:rPr>
                    <w:t>标。</w:t>
                  </w:r>
                </w:p>
              </w:tc>
            </w:tr>
          </w:tbl>
          <w:p>
            <w:pPr>
              <w:pStyle w:val="48"/>
              <w:keepNext w:val="0"/>
              <w:keepLines w:val="0"/>
              <w:widowControl w:val="0"/>
              <w:suppressLineNumbers w:val="0"/>
              <w:adjustRightInd w:val="0"/>
              <w:snapToGrid w:val="0"/>
              <w:spacing w:before="120" w:beforeLines="50" w:beforeAutospacing="0" w:after="0" w:afterAutospacing="0" w:line="360" w:lineRule="auto"/>
              <w:ind w:left="0" w:right="0" w:firstLine="600" w:firstLineChars="250"/>
              <w:rPr>
                <w:rFonts w:ascii="Times New Roman" w:hAnsi="Times New Roman"/>
              </w:rPr>
            </w:pPr>
            <w:r>
              <w:rPr>
                <w:rFonts w:ascii="Times New Roman" w:hAnsi="Times New Roman"/>
                <w:szCs w:val="21"/>
              </w:rPr>
              <w:t>由表1-3可知，本项目合理选择升压站站址，符合生态环境管控要求</w:t>
            </w:r>
            <w:r>
              <w:rPr>
                <w:rFonts w:ascii="Times New Roman" w:hAnsi="Times New Roman"/>
              </w:rPr>
              <w:t>。</w:t>
            </w:r>
          </w:p>
          <w:p>
            <w:pPr>
              <w:pStyle w:val="48"/>
              <w:keepNext w:val="0"/>
              <w:keepLines w:val="0"/>
              <w:widowControl w:val="0"/>
              <w:suppressLineNumbers w:val="0"/>
              <w:adjustRightInd w:val="0"/>
              <w:snapToGrid w:val="0"/>
              <w:spacing w:before="120" w:beforeLines="50" w:beforeAutospacing="0" w:after="0" w:afterAutospacing="0" w:line="360" w:lineRule="auto"/>
              <w:ind w:left="0" w:right="0" w:firstLine="600" w:firstLineChars="250"/>
              <w:rPr>
                <w:rFonts w:ascii="Times New Roman" w:hAnsi="Times New Roman"/>
              </w:rPr>
            </w:pPr>
            <w:r>
              <w:pict>
                <v:shape id="_x0000_s1091" o:spid="_x0000_s1091" o:spt="61" type="#_x0000_t61" style="position:absolute;left:0pt;margin-left:174.05pt;margin-top:153.5pt;height:19.8pt;width:56.4pt;z-index:251689984;mso-width-relative:page;mso-height-relative:page;" coordsize="21600,21600" adj="9421,35455">
                  <v:path/>
                  <v:fill focussize="0,0"/>
                  <v:stroke joinstyle="miter"/>
                  <v:imagedata o:title=""/>
                  <o:lock v:ext="edit"/>
                  <v:textbox>
                    <w:txbxContent>
                      <w:p>
                        <w:r>
                          <w:rPr>
                            <w:rFonts w:hint="eastAsia"/>
                            <w:sz w:val="15"/>
                            <w:szCs w:val="15"/>
                          </w:rPr>
                          <w:t>项目位置</w:t>
                        </w:r>
                      </w:p>
                    </w:txbxContent>
                  </v:textbox>
                </v:shape>
              </w:pict>
            </w:r>
            <w:r>
              <w:pict>
                <v:shape id="_x0000_s1090" o:spid="_x0000_s1090" o:spt="61" type="#_x0000_t61" style="position:absolute;left:0pt;margin-left:332.65pt;margin-top:182.65pt;height:19.8pt;width:56.4pt;z-index:251688960;mso-width-relative:page;mso-height-relative:page;" coordsize="21600,21600" adj="9421,35455">
                  <v:path/>
                  <v:fill focussize="0,0"/>
                  <v:stroke joinstyle="miter"/>
                  <v:imagedata o:title=""/>
                  <o:lock v:ext="edit"/>
                  <v:textbox>
                    <w:txbxContent>
                      <w:p>
                        <w:r>
                          <w:rPr>
                            <w:rFonts w:hint="eastAsia"/>
                            <w:sz w:val="15"/>
                            <w:szCs w:val="15"/>
                          </w:rPr>
                          <w:t>项目位置</w:t>
                        </w:r>
                      </w:p>
                    </w:txbxContent>
                  </v:textbox>
                </v:shape>
              </w:pict>
            </w:r>
            <w:r>
              <w:pict>
                <v:shape id="_x0000_s1089" o:spid="_x0000_s1089" o:spt="202" type="#_x0000_t202" style="position:absolute;left:0pt;margin-left:300.55pt;margin-top:165.25pt;height:91.2pt;width:93pt;z-index:251687936;mso-width-relative:page;mso-height-relative:page;" stroked="f" coordsize="21600,21600">
                  <v:path/>
                  <v:fill focussize="0,0"/>
                  <v:stroke on="f" joinstyle="miter"/>
                  <v:imagedata o:title=""/>
                  <o:lock v:ext="edit"/>
                  <v:textbox>
                    <w:txbxContent>
                      <w:p>
                        <w:r>
                          <w:rPr>
                            <w:rFonts w:hint="eastAsia" w:ascii="Times New Roman"/>
                            <w:b/>
                          </w:rPr>
                          <w:drawing>
                            <wp:inline distT="0" distB="0" distL="114300" distR="114300">
                              <wp:extent cx="1026160" cy="1079500"/>
                              <wp:effectExtent l="0" t="0" r="10160" b="2540"/>
                              <wp:docPr id="9" name="图片 9" descr="b9063bda0dfed90464540eef4438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9063bda0dfed90464540eef44382e3"/>
                                      <pic:cNvPicPr>
                                        <a:picLocks noChangeAspect="1"/>
                                      </pic:cNvPicPr>
                                    </pic:nvPicPr>
                                    <pic:blipFill>
                                      <a:blip r:embed="rId19"/>
                                      <a:stretch>
                                        <a:fillRect/>
                                      </a:stretch>
                                    </pic:blipFill>
                                    <pic:spPr>
                                      <a:xfrm>
                                        <a:off x="0" y="0"/>
                                        <a:ext cx="1026160" cy="1079500"/>
                                      </a:xfrm>
                                      <a:prstGeom prst="rect">
                                        <a:avLst/>
                                      </a:prstGeom>
                                    </pic:spPr>
                                  </pic:pic>
                                </a:graphicData>
                              </a:graphic>
                            </wp:inline>
                          </w:drawing>
                        </w:r>
                      </w:p>
                    </w:txbxContent>
                  </v:textbox>
                </v:shape>
              </w:pict>
            </w:r>
            <w:r>
              <w:rPr>
                <w:rFonts w:hint="eastAsia" w:ascii="Times New Roman" w:hAnsi="Times New Roman"/>
              </w:rPr>
              <w:drawing>
                <wp:inline distT="0" distB="0" distL="114300" distR="114300">
                  <wp:extent cx="4643120" cy="3282950"/>
                  <wp:effectExtent l="0" t="0" r="5080" b="8890"/>
                  <wp:docPr id="8" name="图片 8" descr="三线一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线一单图"/>
                          <pic:cNvPicPr>
                            <a:picLocks noChangeAspect="1"/>
                          </pic:cNvPicPr>
                        </pic:nvPicPr>
                        <pic:blipFill>
                          <a:blip r:embed="rId20"/>
                          <a:stretch>
                            <a:fillRect/>
                          </a:stretch>
                        </pic:blipFill>
                        <pic:spPr>
                          <a:xfrm>
                            <a:off x="0" y="0"/>
                            <a:ext cx="4643120" cy="3282950"/>
                          </a:xfrm>
                          <a:prstGeom prst="rect">
                            <a:avLst/>
                          </a:prstGeom>
                        </pic:spPr>
                      </pic:pic>
                    </a:graphicData>
                  </a:graphic>
                </wp:inline>
              </w:drawing>
            </w:r>
          </w:p>
          <w:p>
            <w:pPr>
              <w:keepNext w:val="0"/>
              <w:keepLines w:val="0"/>
              <w:widowControl/>
              <w:suppressLineNumbers w:val="0"/>
              <w:spacing w:before="0" w:beforeAutospacing="0" w:after="0" w:afterAutospacing="0" w:line="440" w:lineRule="exact"/>
              <w:ind w:left="0" w:right="0" w:firstLine="482"/>
              <w:jc w:val="both"/>
              <w:rPr>
                <w:b/>
                <w:bCs/>
                <w:szCs w:val="24"/>
                <w:highlight w:val="yellow"/>
              </w:rPr>
            </w:pPr>
            <w:r>
              <w:rPr>
                <w:rFonts w:hint="eastAsia" w:ascii="Times New Roman"/>
                <w:b/>
              </w:rPr>
              <w:t xml:space="preserve">                           图3  </w:t>
            </w:r>
            <w:r>
              <w:rPr>
                <w:b/>
                <w:bCs/>
                <w:szCs w:val="24"/>
              </w:rPr>
              <w:t>承德市环境管控单元图</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rPr>
                <w:rFonts w:ascii="Times New Roman"/>
                <w:b/>
                <w:kern w:val="0"/>
                <w:sz w:val="24"/>
              </w:rPr>
            </w:pP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rPr>
                <w:rFonts w:ascii="Times New Roman"/>
                <w:b/>
                <w:kern w:val="0"/>
                <w:sz w:val="24"/>
              </w:rPr>
            </w:pPr>
            <w:r>
              <w:rPr>
                <w:rFonts w:ascii="Times New Roman"/>
                <w:b/>
                <w:kern w:val="0"/>
                <w:sz w:val="24"/>
              </w:rPr>
              <w:t>6、与《输变电建设项目环境保护技术要求》相符性</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本项目与《输变电建设项目环境保护技术要求》(HJ 1113-2020)的相符性详见表1-4。</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jc w:val="center"/>
              <w:rPr>
                <w:rFonts w:ascii="Times New Roman"/>
                <w:b/>
                <w:kern w:val="0"/>
                <w:sz w:val="24"/>
              </w:rPr>
            </w:pPr>
            <w:r>
              <w:rPr>
                <w:rFonts w:ascii="Times New Roman"/>
                <w:b/>
                <w:kern w:val="0"/>
                <w:sz w:val="24"/>
              </w:rPr>
              <w:t>表1-4  本项目与《输变电建设项目环境保护技术要求》的相符性</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35"/>
              <w:gridCol w:w="3358"/>
              <w:gridCol w:w="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b/>
                      <w:kern w:val="0"/>
                    </w:rPr>
                  </w:pPr>
                  <w:r>
                    <w:rPr>
                      <w:rFonts w:ascii="Times New Roman"/>
                      <w:b/>
                      <w:kern w:val="0"/>
                    </w:rPr>
                    <w:t>要求</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b/>
                      <w:kern w:val="0"/>
                    </w:rPr>
                  </w:pPr>
                  <w:r>
                    <w:rPr>
                      <w:rFonts w:ascii="Times New Roman"/>
                      <w:b/>
                      <w:kern w:val="0"/>
                    </w:rPr>
                    <w:t>本项目情况</w:t>
                  </w:r>
                </w:p>
              </w:tc>
              <w:tc>
                <w:tcPr>
                  <w:tcW w:w="557"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b/>
                      <w:kern w:val="0"/>
                    </w:rPr>
                  </w:pPr>
                  <w:r>
                    <w:rPr>
                      <w:rFonts w:ascii="Times New Roman"/>
                      <w:b/>
                      <w:kern w:val="0"/>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输变电建设项目选址选线应符合生态保护红线管控要求，避让自然保护区、饮用水水源保护区等环境敏感区。</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hint="eastAsia" w:ascii="Times New Roman"/>
                      <w:kern w:val="0"/>
                    </w:rPr>
                    <w:t>依据承德县土地储备中心《承德县土地储备中心关于承德卓云信息科技有限公司承德县源网荷储一体化和多能互补示范项目拟使用承德县新杖子镇鹰手营村58.9965亩建设用地说明》，承德县源网荷储一体化和多能互补示范项目占用地类情况的函已收悉。该项目用地位于新杖子镇鹰手营村，主要用于升压站建设。根据你单位提供项目用地范围坐标(TXT2000坐标)，经在河北自然资源电子政务一张图数管平台查询，该项目用地范围，总面积58.9965亩，为2012年获批的建设用地范围内，该地块不涉及“三区三线”2022永久基本农田，不涉及“三区三线”2022生态保护红线。</w:t>
                  </w:r>
                </w:p>
                <w:p>
                  <w:pPr>
                    <w:keepNext w:val="0"/>
                    <w:keepLines w:val="0"/>
                    <w:widowControl w:val="0"/>
                    <w:suppressLineNumbers w:val="0"/>
                    <w:autoSpaceDE w:val="0"/>
                    <w:autoSpaceDN w:val="0"/>
                    <w:adjustRightInd w:val="0"/>
                    <w:snapToGrid w:val="0"/>
                    <w:spacing w:before="0" w:beforeAutospacing="0" w:after="0" w:afterAutospacing="0"/>
                    <w:ind w:left="0" w:right="0"/>
                    <w:rPr>
                      <w:rFonts w:ascii="Times New Roman"/>
                      <w:kern w:val="0"/>
                    </w:rPr>
                  </w:pP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原则上避免在0类声环境功能区建设变电工程。</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依据《承德县城市声环境功能区划方案》(承德市生态环境局承德县分局二〇一九年五月)本项目升压站站址位于1类声环境功能区，评价范围内无0类声环境功能区。</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变电工程应设置足够容量的事故油池及其配套的拦截、防雨、防渗等措施和设施。一旦发生泄漏，应能及时进行拦截和处理，确保油及油水混合物全部收集、不外排。</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rPr>
                      <w:rFonts w:ascii="Times New Roman"/>
                      <w:kern w:val="0"/>
                    </w:rPr>
                  </w:pPr>
                  <w:r>
                    <w:rPr>
                      <w:rFonts w:ascii="Times New Roman"/>
                      <w:kern w:val="0"/>
                    </w:rPr>
                    <w:t>在主变附近布</w:t>
                  </w:r>
                  <w:r>
                    <w:rPr>
                      <w:rFonts w:ascii="Times New Roman"/>
                      <w:kern w:val="0"/>
                      <w:highlight w:val="none"/>
                    </w:rPr>
                    <w:t>置</w:t>
                  </w:r>
                  <w:r>
                    <w:rPr>
                      <w:rFonts w:hint="eastAsia" w:ascii="Times New Roman"/>
                      <w:kern w:val="0"/>
                      <w:highlight w:val="none"/>
                    </w:rPr>
                    <w:t>153</w:t>
                  </w:r>
                  <w:r>
                    <w:rPr>
                      <w:rFonts w:ascii="Times New Roman"/>
                      <w:kern w:val="0"/>
                      <w:highlight w:val="none"/>
                    </w:rPr>
                    <w:t>m</w:t>
                  </w:r>
                  <w:r>
                    <w:rPr>
                      <w:rFonts w:ascii="Times New Roman"/>
                      <w:kern w:val="0"/>
                      <w:highlight w:val="none"/>
                      <w:vertAlign w:val="superscript"/>
                    </w:rPr>
                    <w:t>3</w:t>
                  </w:r>
                  <w:r>
                    <w:rPr>
                      <w:rFonts w:ascii="Times New Roman"/>
                      <w:kern w:val="0"/>
                      <w:highlight w:val="none"/>
                    </w:rPr>
                    <w:t>事故油池，</w:t>
                  </w:r>
                  <w:r>
                    <w:rPr>
                      <w:rFonts w:ascii="Times New Roman"/>
                      <w:kern w:val="0"/>
                    </w:rPr>
                    <w:t>主变油池有油水分离功能，</w:t>
                  </w:r>
                  <w:r>
                    <w:rPr>
                      <w:rFonts w:hint="eastAsia" w:ascii="Times New Roman"/>
                      <w:kern w:val="0"/>
                    </w:rPr>
                    <w:t>主</w:t>
                  </w:r>
                  <w:r>
                    <w:rPr>
                      <w:rFonts w:ascii="Times New Roman"/>
                      <w:kern w:val="0"/>
                    </w:rPr>
                    <w:t>变事故状态下需要排油时，经排油管道排至事故油池。</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变电工程噪声控制设计应首先从噪声源强上进行控制，选择低噪声设备；对于声源上无法根治的噪声，应采用隔声、吸声、消声、防振、减振等降噪措施，确保厂界排放噪声和周围声环境敏感目标分别满足GB 12348和GB 3096要求。</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本项目采用低噪声主变压器，GIS设备</w:t>
                  </w:r>
                  <w:r>
                    <w:rPr>
                      <w:rFonts w:hint="eastAsia" w:ascii="Times New Roman"/>
                      <w:kern w:val="0"/>
                    </w:rPr>
                    <w:t>采用预制舱室外布置</w:t>
                  </w:r>
                  <w:r>
                    <w:rPr>
                      <w:rFonts w:ascii="Times New Roman"/>
                      <w:kern w:val="0"/>
                    </w:rPr>
                    <w:t>，有效降低噪声对周边环境的影响。</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户外变电工程在设计过程中应进行平面布置优化，将主变压器、换流变压器、高压电抗器等主要声源设备布置在站址中央区域或远离站外声环境敏感目标侧的区域。</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本项目主变压器布置</w:t>
                  </w:r>
                  <w:r>
                    <w:rPr>
                      <w:rFonts w:hint="eastAsia" w:ascii="Times New Roman"/>
                      <w:kern w:val="0"/>
                    </w:rPr>
                    <w:t>于</w:t>
                  </w:r>
                  <w:r>
                    <w:rPr>
                      <w:rFonts w:ascii="Times New Roman"/>
                      <w:kern w:val="0"/>
                    </w:rPr>
                    <w:t>站址</w:t>
                  </w:r>
                  <w:r>
                    <w:rPr>
                      <w:rFonts w:hint="eastAsia" w:ascii="Times New Roman"/>
                      <w:kern w:val="0"/>
                    </w:rPr>
                    <w:t>西南角</w:t>
                  </w:r>
                  <w:r>
                    <w:rPr>
                      <w:rFonts w:ascii="Times New Roman"/>
                      <w:kern w:val="0"/>
                    </w:rPr>
                    <w:t>。</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变电工程应采取降低低频噪声影响的防治措施，以减少噪声扰民。</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项目采用优质、低噪声主变压器。</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输变电建设项目临时占地，应因地制宜进行土地功能恢复设计。</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通过严格控制施工作业带，升压站施工营地位于升压站外，施工结束后恢复临时占地原有土地功能。</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变电工程应采取节水措施，加强水的重复利用，减少废(污)水排放。雨水和生活污水应采取分流制。</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本项目升压站内雨水和生活污水进行分</w:t>
                  </w:r>
                  <w:r>
                    <w:rPr>
                      <w:rFonts w:ascii="Times New Roman"/>
                      <w:color w:val="auto"/>
                      <w:kern w:val="0"/>
                    </w:rPr>
                    <w:t>流，</w:t>
                  </w:r>
                  <w:r>
                    <w:rPr>
                      <w:rFonts w:hint="eastAsia" w:ascii="Times New Roman"/>
                      <w:color w:val="auto"/>
                      <w:kern w:val="0"/>
                      <w:lang w:val="en-US" w:eastAsia="zh-CN"/>
                    </w:rPr>
                    <w:t>废水处理后回用，</w:t>
                  </w:r>
                  <w:r>
                    <w:rPr>
                      <w:rFonts w:ascii="Times New Roman"/>
                      <w:color w:val="auto"/>
                      <w:kern w:val="0"/>
                    </w:rPr>
                    <w:t>升压站周边设置排水沟。</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运行期</w:t>
                  </w:r>
                  <w:r>
                    <w:rPr>
                      <w:rFonts w:ascii="Times New Roman"/>
                    </w:rPr>
                    <w:t>站内</w:t>
                  </w:r>
                  <w:r>
                    <w:rPr>
                      <w:rFonts w:hint="eastAsia" w:ascii="Times New Roman"/>
                    </w:rPr>
                    <w:t>废水主要为食堂废水及其他生活废水，食堂废水经隔油池处理、其他生活废水经化粪池处理后一同进入污水一体化处理设备处理，处理后满足《城市污水再生利用城市杂用水水质》中城市绿化、道路清扫、消防用水水质标准，用于厂区洒水抑尘。</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施工临时道路应尽可能利用机耕路、林区小路等现有道路，新建道路应严格控制道路宽度，以减少临时工程对生态环境的影响。</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hint="eastAsia" w:ascii="Times New Roman"/>
                      <w:kern w:val="0"/>
                    </w:rPr>
                    <w:t>进站道路依托护林防火通道不新建设道路</w:t>
                  </w:r>
                  <w:r>
                    <w:rPr>
                      <w:rFonts w:ascii="Times New Roman"/>
                      <w:kern w:val="0"/>
                    </w:rPr>
                    <w:t>。</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施工现场使用带油料的机械器具，应采取措施防止油料跑、冒、滴、漏，防止对土壤和水体造成污染。</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本项目施工采用专用机械并定期进行检查保养，保证良好运行状态。</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施工结束后，应及时清理施工现场，因地制宜进行土地功能恢复。</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施工结束后恢复临时占地原有土地功能。</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施工期间禁止向水体排放、倾倒垃圾、弃土、弃渣，禁止排放未经处理的钻浆等废弃物。</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施工期建筑垃圾、废弃金具、废弃包装物运至指定的场所处理。生活垃圾经集中收集后，定期清运。</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施工过程中，应当加强对施工现场和物料运输的管理，在施工工地设置硬质围挡，保持道路清洁，管控料堆和渣土堆放，</w:t>
                  </w:r>
                  <w:r>
                    <w:rPr>
                      <w:rFonts w:hint="eastAsia" w:ascii="Times New Roman"/>
                      <w:kern w:val="0"/>
                    </w:rPr>
                    <w:t>防止</w:t>
                  </w:r>
                  <w:r>
                    <w:rPr>
                      <w:rFonts w:ascii="Times New Roman"/>
                      <w:kern w:val="0"/>
                    </w:rPr>
                    <w:t>扬尘污染。</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本项目采用商品混凝土，不在现场进行搅拌，施工物料及渣土进行苫盖，设置围挡。</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施工过程中，对易起尘的临时堆土、运输过程中的土石方等应采用密闭式防尘布(网)进行苫盖，施工面集中且有条件的地方宜采取洒水降尘等有效措施，减少易造成大气污染的施工作业。</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采用密闭型车辆进行运输，施工场地及时进行洒水抑尘，施工物料及临时堆场进行苫盖。</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施工过程中，建设单位应当对裸露地面进行覆盖；暂时不能开工的建设用地超过三个月的，应当进行绿化、铺装或者遮盖。</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施工中对裸露地表进行覆盖，减少扬尘污染及水土流失。</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施工现场禁止将包装物、可燃垃圾等固体废弃物就地焚烧。</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施工包装物及施工垃圾及时进行清运，不进行焚烧。</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施工过程中产生的土石方、建筑垃圾、生活垃圾应分类集中收集，并按国家和地方有关规定定期进行清运处置，施工完成后及时做好迹地清理工作。</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施工期建筑垃圾、废弃金具、废弃包装物运至指定的场所处理。生活垃圾经集中收集后，定期清运，施工结束后对临时占地及时进行生态恢复。</w:t>
                  </w:r>
                </w:p>
              </w:tc>
              <w:tc>
                <w:tcPr>
                  <w:tcW w:w="557" w:type="pct"/>
                  <w:vAlign w:val="center"/>
                </w:tcPr>
                <w:p>
                  <w:pPr>
                    <w:keepNext w:val="0"/>
                    <w:keepLines w:val="0"/>
                    <w:widowControl w:val="0"/>
                    <w:suppressLineNumbers w:val="0"/>
                    <w:adjustRightInd w:val="0"/>
                    <w:snapToGrid w:val="0"/>
                    <w:spacing w:before="0" w:beforeAutospacing="0" w:after="0" w:afterAutospacing="0"/>
                    <w:ind w:left="0" w:right="0"/>
                    <w:jc w:val="center"/>
                    <w:rPr>
                      <w:rFonts w:ascii="Times New Roman"/>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运行期做好环境保护设施的维护和运行管理，加强巡查和检查，保障发挥环境保护作用。定期开展环境监测，确保电磁、噪声、废水排放符合GB 8702、GB 12348、GB 8978等国家标准要求，并及时解决公众合理的环境保护诉求。</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本项目明确监测方案，试运行后及时进行验收。运行期按要求定期开展环境监测并加强运维和检查。</w:t>
                  </w:r>
                </w:p>
              </w:tc>
              <w:tc>
                <w:tcPr>
                  <w:tcW w:w="557"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变电工程运行过程中产生的变压器油、高抗油等矿物油应进行回收处理。废矿物油和废旧蓄电池作为危险废物应交由有资质的单位回收处理，严禁随意丢弃。不能立即回收处理的应暂存在危险废物暂存间或暂存区。</w:t>
                  </w:r>
                </w:p>
              </w:tc>
              <w:tc>
                <w:tcPr>
                  <w:tcW w:w="2073"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kern w:val="0"/>
                    </w:rPr>
                    <w:t>废铅酸蓄电池</w:t>
                  </w:r>
                  <w:r>
                    <w:rPr>
                      <w:rFonts w:hint="eastAsia"/>
                      <w:kern w:val="0"/>
                    </w:rPr>
                    <w:t>暂存于危废间定期由承德雅舍再生资源回收有限公司运输、回收处</w:t>
                  </w:r>
                  <w:r>
                    <w:rPr>
                      <w:rFonts w:hint="eastAsia"/>
                      <w:color w:val="auto"/>
                      <w:kern w:val="0"/>
                    </w:rPr>
                    <w:t>理；</w:t>
                  </w:r>
                  <w:r>
                    <w:rPr>
                      <w:color w:val="auto"/>
                      <w:kern w:val="0"/>
                    </w:rPr>
                    <w:t>主变</w:t>
                  </w:r>
                  <w:r>
                    <w:rPr>
                      <w:rFonts w:hint="eastAsia"/>
                      <w:color w:val="auto"/>
                      <w:kern w:val="0"/>
                    </w:rPr>
                    <w:t>压器</w:t>
                  </w:r>
                  <w:r>
                    <w:rPr>
                      <w:color w:val="auto"/>
                      <w:kern w:val="0"/>
                    </w:rPr>
                    <w:t>事故状态下产生的事故油排入</w:t>
                  </w:r>
                  <w:r>
                    <w:rPr>
                      <w:rFonts w:hint="eastAsia"/>
                      <w:color w:val="auto"/>
                      <w:kern w:val="0"/>
                    </w:rPr>
                    <w:t>项目新建</w:t>
                  </w:r>
                  <w:r>
                    <w:rPr>
                      <w:color w:val="auto"/>
                      <w:kern w:val="0"/>
                    </w:rPr>
                    <w:t>事故油池，</w:t>
                  </w:r>
                  <w:r>
                    <w:rPr>
                      <w:rFonts w:hint="eastAsia"/>
                      <w:color w:val="auto"/>
                      <w:kern w:val="0"/>
                    </w:rPr>
                    <w:t>检修产生的废油及</w:t>
                  </w:r>
                  <w:r>
                    <w:rPr>
                      <w:color w:val="auto"/>
                      <w:kern w:val="0"/>
                    </w:rPr>
                    <w:t>沾油抹布暂存于危废暂存间</w:t>
                  </w:r>
                  <w:r>
                    <w:rPr>
                      <w:color w:val="auto"/>
                      <w:kern w:val="0"/>
                      <w:highlight w:val="none"/>
                    </w:rPr>
                    <w:t>，</w:t>
                  </w:r>
                  <w:r>
                    <w:rPr>
                      <w:rFonts w:hint="eastAsia"/>
                      <w:color w:val="auto"/>
                      <w:kern w:val="0"/>
                      <w:highlight w:val="none"/>
                    </w:rPr>
                    <w:t>检修废油、事故废油、</w:t>
                  </w:r>
                  <w:r>
                    <w:rPr>
                      <w:color w:val="auto"/>
                      <w:kern w:val="0"/>
                      <w:highlight w:val="none"/>
                    </w:rPr>
                    <w:t>沾油抹布</w:t>
                  </w:r>
                  <w:r>
                    <w:rPr>
                      <w:rFonts w:hint="eastAsia"/>
                      <w:color w:val="auto"/>
                      <w:kern w:val="0"/>
                      <w:highlight w:val="none"/>
                    </w:rPr>
                    <w:t>最终统一由承德双然环保科技有限公司运输至乐亭县海畅环保科技有限公</w:t>
                  </w:r>
                  <w:r>
                    <w:rPr>
                      <w:rFonts w:hint="eastAsia"/>
                      <w:kern w:val="0"/>
                      <w:highlight w:val="none"/>
                    </w:rPr>
                    <w:t>司处理</w:t>
                  </w:r>
                  <w:r>
                    <w:rPr>
                      <w:rFonts w:ascii="Times New Roman"/>
                      <w:kern w:val="0"/>
                      <w:highlight w:val="none"/>
                    </w:rPr>
                    <w:t>。</w:t>
                  </w:r>
                </w:p>
              </w:tc>
              <w:tc>
                <w:tcPr>
                  <w:tcW w:w="557" w:type="pct"/>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ascii="Times New Roman"/>
                      <w:kern w:val="0"/>
                    </w:rPr>
                  </w:pPr>
                  <w:r>
                    <w:rPr>
                      <w:rFonts w:ascii="Times New Roman"/>
                      <w:kern w:val="0"/>
                    </w:rPr>
                    <w:t>相符</w:t>
                  </w:r>
                </w:p>
              </w:tc>
            </w:tr>
          </w:tbl>
          <w:p>
            <w:pPr>
              <w:keepNext w:val="0"/>
              <w:keepLines w:val="0"/>
              <w:widowControl w:val="0"/>
              <w:suppressLineNumbers w:val="0"/>
              <w:autoSpaceDE w:val="0"/>
              <w:autoSpaceDN w:val="0"/>
              <w:adjustRightInd w:val="0"/>
              <w:snapToGrid w:val="0"/>
              <w:spacing w:before="120" w:beforeLines="50" w:beforeAutospacing="0" w:after="0" w:afterAutospacing="0" w:line="360" w:lineRule="auto"/>
              <w:ind w:left="0" w:right="0" w:firstLine="482" w:firstLineChars="200"/>
              <w:rPr>
                <w:rFonts w:ascii="Times New Roman"/>
                <w:b/>
                <w:kern w:val="0"/>
                <w:sz w:val="24"/>
              </w:rPr>
            </w:pPr>
            <w:r>
              <w:rPr>
                <w:rFonts w:ascii="Times New Roman"/>
                <w:b/>
                <w:kern w:val="0"/>
                <w:sz w:val="24"/>
              </w:rPr>
              <w:t>7、与其他文件相符性</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(1)本项目与《</w:t>
            </w:r>
            <w:r>
              <w:rPr>
                <w:rFonts w:ascii="Times New Roman"/>
                <w:spacing w:val="-2"/>
                <w:sz w:val="24"/>
              </w:rPr>
              <w:t>承德市生态环境保护</w:t>
            </w:r>
            <w:r>
              <w:rPr>
                <w:rFonts w:ascii="Times New Roman" w:eastAsia="Times New Roman"/>
                <w:spacing w:val="-2"/>
                <w:sz w:val="24"/>
              </w:rPr>
              <w:t>“</w:t>
            </w:r>
            <w:r>
              <w:rPr>
                <w:rFonts w:ascii="Times New Roman"/>
                <w:spacing w:val="-2"/>
                <w:sz w:val="24"/>
              </w:rPr>
              <w:t>十四五</w:t>
            </w:r>
            <w:r>
              <w:rPr>
                <w:rFonts w:ascii="Times New Roman" w:eastAsia="Times New Roman"/>
                <w:spacing w:val="-2"/>
                <w:sz w:val="24"/>
              </w:rPr>
              <w:t>”</w:t>
            </w:r>
            <w:r>
              <w:rPr>
                <w:rFonts w:ascii="Times New Roman"/>
                <w:spacing w:val="-4"/>
                <w:sz w:val="24"/>
              </w:rPr>
              <w:t>规划》(市政府办公室 承市政字〔2022〕16号)符合性分析</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依据该规划：“十四五”期间，生态环境保护主要目标如下：</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绿色低碳转型成效显著。国土空间开发保护格局得到优化，绿色低碳发展加快推进，能源资源配置更加合理、利用效率大幅提高，单位地区生产总值能源消耗和碳排放强度持续降低，简约适度、绿色低碳的生活方式加快形成，绿色发展的产业体系和体制机制基本形成。</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生态环境质量持续改善。主要污染物排放持续减少，环境空气质量全面改善，优良天数比率持续提高，基本消除重污染天气。水环境质量稳步提升，国、省考地表水断面达到或好于Ⅲ类水质比例达到考核目标要求，水生态功能得到明显恢复，城乡人居环境明显改善。</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生态服务功能稳步提升。生态安全屏障更加牢固，生物多样性得到有效保护，自然保护地体系逐步完善，滦潮河流域环境整治取得明显成效，塞罕坝二次创业取得新成果，“生态支撑、水源涵养”建设取得明显成效，探索实践“绿水青山就是金山银山”的路径模式取得重大进展，“承德山水”生态品牌影响力和知名度持续提升。</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环境风险得到有效防控。土壤污染风险得到有效管控，危险废物和新污染物治理能力明显增强，核与辐射环境风险有效管控，防范化解生态环境风险能力显著增强，受污染耕地和建设用地风险管控措施实现全覆盖。</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本项目升压站选址符合国土空间规划，项目建设施工期、运行期采取有效可靠的污染防治措施，对该地区的生态环境功能影响很小，项目建设符合该规划要求。</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(2)本项目建设与</w:t>
            </w:r>
            <w:r>
              <w:rPr>
                <w:rFonts w:ascii="Times New Roman"/>
                <w:kern w:val="0"/>
                <w:sz w:val="24"/>
                <w:szCs w:val="24"/>
              </w:rPr>
              <w:t>《承德市国土空间总体规划(2021-2035年)》(承德市自然资源和规划局 2023年1月5日)相符性</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依据该规划，承德市发展定位为“京津冀水源涵养功能区、国家生态文明建设先行区”。承德县为国家级重点生态功能区。</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sz w:val="24"/>
                <w:szCs w:val="24"/>
                <w:highlight w:val="none"/>
              </w:rPr>
            </w:pPr>
            <w:r>
              <w:rPr>
                <w:rFonts w:hint="eastAsia" w:ascii="Times New Roman"/>
                <w:sz w:val="24"/>
                <w:szCs w:val="24"/>
              </w:rPr>
              <w:t>依据承德县土地储备中心《承德县土地储备中心关于承德卓云信息科技有限公司承德县源网荷储一体化和多能互补示范项目拟使用承德县新杖子镇鹰手营村58.9965亩建设用地说明》，承德县源网荷储一体化和多能互补示范项目占用地类情况的函已收悉。该项目用地位于新杖子镇鹰手营村，主要用于升压站建设。根据你单位提供项目用地范围坐标(TXT2000坐标)，经在河北自然资源电子政务一张图数管平台查询，该项目用地范围，总面积58.9965亩，为2012年获批的建</w:t>
            </w:r>
            <w:r>
              <w:rPr>
                <w:rFonts w:hint="eastAsia" w:ascii="Times New Roman"/>
                <w:sz w:val="24"/>
                <w:szCs w:val="24"/>
                <w:highlight w:val="none"/>
              </w:rPr>
              <w:t>设用地范围内，该地块不涉及“三区三线”2022永久基本农田，不涉及“三区三线”2022生态保护红线。</w:t>
            </w:r>
            <w:r>
              <w:rPr>
                <w:rFonts w:ascii="Times New Roman"/>
                <w:sz w:val="24"/>
                <w:szCs w:val="24"/>
                <w:highlight w:val="none"/>
              </w:rPr>
              <w:t>本项目选址与“三条控制线”相对位置关系图详见附图2，与承德市国土空间格局主体功能定位关系详见附图3，与自然保护区位置关系图详见附图4。</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sz w:val="24"/>
                <w:szCs w:val="24"/>
                <w:highlight w:val="none"/>
              </w:rPr>
            </w:pPr>
            <w:r>
              <w:rPr>
                <w:rFonts w:ascii="Times New Roman"/>
                <w:sz w:val="24"/>
                <w:szCs w:val="24"/>
                <w:highlight w:val="none"/>
              </w:rPr>
              <w:t>(3)本项目</w:t>
            </w:r>
            <w:r>
              <w:rPr>
                <w:rFonts w:ascii="Times New Roman"/>
                <w:kern w:val="0"/>
                <w:sz w:val="24"/>
                <w:szCs w:val="24"/>
                <w:highlight w:val="none"/>
              </w:rPr>
              <w:t>建设与《</w:t>
            </w:r>
            <w:r>
              <w:rPr>
                <w:rFonts w:ascii="Times New Roman"/>
                <w:sz w:val="24"/>
                <w:szCs w:val="24"/>
                <w:highlight w:val="none"/>
              </w:rPr>
              <w:t>承德市城市总体规划(2016-2030年)</w:t>
            </w:r>
            <w:r>
              <w:rPr>
                <w:rFonts w:ascii="Times New Roman"/>
                <w:spacing w:val="-2"/>
                <w:sz w:val="24"/>
                <w:szCs w:val="24"/>
                <w:highlight w:val="none"/>
              </w:rPr>
              <w:t>》(承德市人民政府 2016年12月29日)</w:t>
            </w:r>
            <w:r>
              <w:rPr>
                <w:rFonts w:ascii="Times New Roman"/>
                <w:kern w:val="0"/>
                <w:sz w:val="24"/>
                <w:szCs w:val="24"/>
                <w:highlight w:val="none"/>
              </w:rPr>
              <w:t>相符性</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b/>
                <w:bCs/>
                <w:sz w:val="24"/>
                <w:szCs w:val="24"/>
                <w:highlight w:val="none"/>
              </w:rPr>
            </w:pPr>
            <w:r>
              <w:rPr>
                <w:rFonts w:ascii="Times New Roman"/>
                <w:sz w:val="24"/>
                <w:szCs w:val="24"/>
                <w:highlight w:val="none"/>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highlight w:val="none"/>
              </w:rPr>
              <w:t>本项目所属区域为河北省承德市承德县地段，根据承德市总体规划，该地段属于</w:t>
            </w:r>
            <w:r>
              <w:rPr>
                <w:rFonts w:hint="eastAsia" w:ascii="Times New Roman"/>
                <w:sz w:val="24"/>
                <w:szCs w:val="24"/>
                <w:highlight w:val="none"/>
              </w:rPr>
              <w:t>“</w:t>
            </w:r>
            <w:r>
              <w:rPr>
                <w:rFonts w:ascii="Times New Roman"/>
                <w:sz w:val="24"/>
                <w:szCs w:val="24"/>
                <w:highlight w:val="none"/>
              </w:rPr>
              <w:t>冀北及燕山山地生态区(Ⅱ)—</w:t>
            </w:r>
            <w:r>
              <w:rPr>
                <w:rFonts w:hint="eastAsia" w:ascii="Times New Roman"/>
                <w:sz w:val="24"/>
                <w:szCs w:val="24"/>
                <w:highlight w:val="none"/>
              </w:rPr>
              <w:t>七老图山森林灌草生态亚区</w:t>
            </w:r>
            <w:r>
              <w:rPr>
                <w:rFonts w:ascii="Times New Roman"/>
                <w:sz w:val="24"/>
                <w:szCs w:val="24"/>
                <w:highlight w:val="none"/>
              </w:rPr>
              <w:t>(Ⅱ-2)—</w:t>
            </w:r>
            <w:r>
              <w:rPr>
                <w:rFonts w:hint="eastAsia" w:ascii="Times New Roman"/>
                <w:sz w:val="24"/>
                <w:szCs w:val="24"/>
                <w:highlight w:val="none"/>
              </w:rPr>
              <w:t>承德东部水资源保护、水源涵养与生态多样性保护功能区</w:t>
            </w:r>
            <w:r>
              <w:rPr>
                <w:rFonts w:ascii="Times New Roman"/>
                <w:sz w:val="24"/>
                <w:szCs w:val="24"/>
                <w:highlight w:val="none"/>
              </w:rPr>
              <w:t>(Ⅱ-2-1)</w:t>
            </w:r>
            <w:r>
              <w:rPr>
                <w:rFonts w:hint="eastAsia" w:ascii="Times New Roman"/>
                <w:sz w:val="24"/>
                <w:szCs w:val="24"/>
                <w:highlight w:val="none"/>
              </w:rPr>
              <w:t>”</w:t>
            </w:r>
            <w:r>
              <w:rPr>
                <w:rFonts w:ascii="Times New Roman"/>
                <w:sz w:val="24"/>
                <w:szCs w:val="24"/>
              </w:rPr>
              <w:t>。</w:t>
            </w:r>
          </w:p>
          <w:p>
            <w:pPr>
              <w:pStyle w:val="27"/>
              <w:keepNext w:val="0"/>
              <w:keepLines w:val="0"/>
              <w:widowControl/>
              <w:suppressLineNumbers w:val="0"/>
              <w:spacing w:before="0" w:beforeAutospacing="0" w:after="0" w:afterAutospacing="0" w:line="360" w:lineRule="auto"/>
              <w:ind w:left="0" w:leftChars="0" w:right="0" w:firstLine="480" w:firstLineChars="200"/>
              <w:rPr>
                <w:rFonts w:ascii="Times New Roman"/>
                <w:sz w:val="24"/>
                <w:szCs w:val="24"/>
              </w:rPr>
            </w:pPr>
            <w:r>
              <w:rPr>
                <w:rFonts w:ascii="Times New Roman"/>
                <w:sz w:val="24"/>
                <w:szCs w:val="24"/>
              </w:rPr>
              <w:t>本项目为变电工程建设项目，在采取相应措施的情况下，项目不会对周边生态环境造成明显不利影响，不会改变区域生态功能。本项目建设符合《承德市城市总体规划(2016-2030年)》中生态功能区划相关功能分区的相关要求。本项目与承德市城</w:t>
            </w:r>
            <w:r>
              <w:rPr>
                <w:rFonts w:hint="eastAsia" w:ascii="Times New Roman"/>
                <w:sz w:val="24"/>
                <w:szCs w:val="24"/>
                <w:lang w:val="en-US" w:eastAsia="zh-CN"/>
              </w:rPr>
              <w:t>市</w:t>
            </w:r>
            <w:r>
              <w:rPr>
                <w:rFonts w:ascii="Times New Roman"/>
                <w:sz w:val="24"/>
                <w:szCs w:val="24"/>
              </w:rPr>
              <w:t>总体规划的“市域环境功</w:t>
            </w:r>
            <w:r>
              <w:rPr>
                <w:rFonts w:ascii="Times New Roman"/>
                <w:sz w:val="24"/>
                <w:szCs w:val="24"/>
                <w:highlight w:val="none"/>
              </w:rPr>
              <w:t>能区划”关系见附图5。</w:t>
            </w:r>
          </w:p>
          <w:p>
            <w:pPr>
              <w:keepNext w:val="0"/>
              <w:keepLines w:val="0"/>
              <w:widowControl w:val="0"/>
              <w:suppressLineNumbers w:val="0"/>
              <w:autoSpaceDE w:val="0"/>
              <w:autoSpaceDN w:val="0"/>
              <w:adjustRightInd w:val="0"/>
              <w:snapToGrid w:val="0"/>
              <w:spacing w:before="0" w:beforeAutospacing="0" w:after="0" w:afterAutospacing="0" w:line="360" w:lineRule="auto"/>
              <w:ind w:left="105" w:leftChars="50" w:right="0" w:firstLine="360" w:firstLineChars="150"/>
              <w:rPr>
                <w:rFonts w:ascii="Times New Roman"/>
                <w:kern w:val="0"/>
                <w:sz w:val="24"/>
              </w:rPr>
            </w:pPr>
            <w:r>
              <w:rPr>
                <w:rFonts w:ascii="Times New Roman"/>
                <w:kern w:val="0"/>
                <w:sz w:val="24"/>
              </w:rPr>
              <w:t>(6)与《承德市重点水源涵养生态功能保护区规划》(承德市生态环境局2010年4月)符合性分析</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根据《承德市重点水源涵养生态功能保护区规划》，承德市重点水源涵养生态功能保护区在承德市的八县二区均有分布，涉及滦平县、隆化县、丰宁满族自治县、围场县兴隆县、平泉县、宽城县、承德县、双桥区、双滦区，包含61个乡镇保护区总面积8015.92km</w:t>
            </w:r>
            <w:r>
              <w:rPr>
                <w:rFonts w:ascii="Times New Roman"/>
                <w:kern w:val="0"/>
                <w:sz w:val="24"/>
                <w:vertAlign w:val="superscript"/>
              </w:rPr>
              <w:t>2</w:t>
            </w:r>
            <w:r>
              <w:rPr>
                <w:rFonts w:ascii="Times New Roman"/>
                <w:kern w:val="0"/>
                <w:sz w:val="24"/>
              </w:rPr>
              <w:t>。本项目升压站站址位于承德市承德县</w:t>
            </w:r>
            <w:r>
              <w:rPr>
                <w:rFonts w:hint="eastAsia" w:ascii="Times New Roman"/>
                <w:sz w:val="24"/>
              </w:rPr>
              <w:t>新杖子镇</w:t>
            </w:r>
            <w:r>
              <w:rPr>
                <w:rFonts w:ascii="Times New Roman"/>
                <w:kern w:val="0"/>
                <w:sz w:val="24"/>
              </w:rPr>
              <w:t>，未在承德县、双桥燕山山地北部灌草生态系统水源涵养、水</w:t>
            </w:r>
            <w:r>
              <w:rPr>
                <w:rFonts w:hint="eastAsia" w:ascii="Times New Roman"/>
                <w:kern w:val="0"/>
                <w:sz w:val="24"/>
                <w:lang w:eastAsia="zh-CN"/>
              </w:rPr>
              <w:t>土</w:t>
            </w:r>
            <w:bookmarkStart w:id="44" w:name="_GoBack"/>
            <w:bookmarkEnd w:id="44"/>
            <w:r>
              <w:rPr>
                <w:rFonts w:ascii="Times New Roman"/>
                <w:kern w:val="0"/>
                <w:sz w:val="24"/>
              </w:rPr>
              <w:t>保持(水土流失重点防治)功能保护区，本项目与承德市重点水源涵养生态功能保护区功能</w:t>
            </w:r>
            <w:r>
              <w:rPr>
                <w:rFonts w:ascii="Times New Roman"/>
                <w:kern w:val="0"/>
                <w:sz w:val="24"/>
                <w:highlight w:val="none"/>
              </w:rPr>
              <w:t>分区位置关系见附图6。</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kern w:val="0"/>
                <w:sz w:val="24"/>
              </w:rPr>
              <w:t>本项目属承德县源网荷储一体化和多能互补示范项目中配套工程，为该光伏项目提供后续保障，将对当地经济建设起到积极的支持作用，符合规划要求。</w:t>
            </w:r>
          </w:p>
          <w:p>
            <w:pPr>
              <w:pStyle w:val="27"/>
              <w:keepNext w:val="0"/>
              <w:keepLines w:val="0"/>
              <w:widowControl/>
              <w:suppressLineNumbers w:val="0"/>
              <w:spacing w:before="0" w:beforeAutospacing="0" w:after="0" w:afterAutospacing="0"/>
              <w:ind w:right="0"/>
            </w:pPr>
          </w:p>
          <w:p>
            <w:pPr>
              <w:keepNext w:val="0"/>
              <w:keepLines w:val="0"/>
              <w:widowControl/>
              <w:suppressLineNumbers w:val="0"/>
              <w:spacing w:before="0" w:beforeAutospacing="0" w:after="0" w:afterAutospacing="0"/>
              <w:ind w:left="0" w:right="0"/>
            </w:pPr>
          </w:p>
          <w:p>
            <w:pPr>
              <w:pStyle w:val="27"/>
              <w:keepNext w:val="0"/>
              <w:keepLines w:val="0"/>
              <w:widowControl/>
              <w:suppressLineNumbers w:val="0"/>
              <w:spacing w:before="0" w:beforeAutospacing="0" w:after="0" w:afterAutospacing="0"/>
              <w:ind w:right="0"/>
            </w:pPr>
          </w:p>
          <w:p>
            <w:pPr>
              <w:pStyle w:val="27"/>
              <w:keepNext w:val="0"/>
              <w:keepLines w:val="0"/>
              <w:widowControl/>
              <w:suppressLineNumbers w:val="0"/>
              <w:spacing w:before="0" w:beforeAutospacing="0" w:after="0" w:afterAutospacing="0"/>
              <w:ind w:right="0"/>
            </w:pPr>
          </w:p>
          <w:p>
            <w:pPr>
              <w:keepNext w:val="0"/>
              <w:keepLines w:val="0"/>
              <w:widowControl/>
              <w:suppressLineNumbers w:val="0"/>
              <w:spacing w:before="0" w:beforeAutospacing="0" w:after="0" w:afterAutospacing="0"/>
              <w:ind w:left="0" w:right="0"/>
            </w:pPr>
          </w:p>
          <w:p>
            <w:pPr>
              <w:pStyle w:val="27"/>
              <w:keepNext w:val="0"/>
              <w:keepLines w:val="0"/>
              <w:widowControl/>
              <w:suppressLineNumbers w:val="0"/>
              <w:spacing w:before="0" w:beforeAutospacing="0" w:after="0" w:afterAutospacing="0"/>
              <w:ind w:right="0"/>
            </w:pPr>
          </w:p>
          <w:p>
            <w:pPr>
              <w:pStyle w:val="27"/>
              <w:keepNext w:val="0"/>
              <w:keepLines w:val="0"/>
              <w:widowControl/>
              <w:suppressLineNumbers w:val="0"/>
              <w:spacing w:before="0" w:beforeAutospacing="0" w:after="0" w:afterAutospacing="0"/>
              <w:ind w:right="0"/>
            </w:pPr>
          </w:p>
          <w:p>
            <w:pPr>
              <w:keepNext w:val="0"/>
              <w:keepLines w:val="0"/>
              <w:widowControl/>
              <w:suppressLineNumbers w:val="0"/>
              <w:spacing w:before="0" w:beforeAutospacing="0" w:after="0" w:afterAutospacing="0"/>
              <w:ind w:left="0" w:right="0"/>
            </w:pPr>
          </w:p>
          <w:p>
            <w:pPr>
              <w:pStyle w:val="27"/>
              <w:keepNext w:val="0"/>
              <w:keepLines w:val="0"/>
              <w:widowControl/>
              <w:suppressLineNumbers w:val="0"/>
              <w:spacing w:before="0" w:beforeAutospacing="0" w:after="0" w:afterAutospacing="0"/>
              <w:ind w:left="0" w:leftChars="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p>
        </w:tc>
      </w:tr>
    </w:tbl>
    <w:p>
      <w:pPr>
        <w:pStyle w:val="48"/>
        <w:spacing w:after="0" w:afterAutospacing="0" w:line="360" w:lineRule="auto"/>
        <w:jc w:val="center"/>
        <w:outlineLvl w:val="0"/>
        <w:rPr>
          <w:rFonts w:ascii="Times New Roman" w:hAnsi="Times New Roman"/>
          <w:b/>
          <w:bCs/>
          <w:snapToGrid w:val="0"/>
          <w:sz w:val="30"/>
          <w:szCs w:val="30"/>
        </w:rPr>
      </w:pPr>
      <w:bookmarkStart w:id="19" w:name="_Toc157070560"/>
      <w:r>
        <w:rPr>
          <w:rFonts w:ascii="Times New Roman" w:hAnsi="Times New Roman"/>
          <w:b/>
          <w:bCs/>
          <w:snapToGrid w:val="0"/>
          <w:sz w:val="30"/>
          <w:szCs w:val="30"/>
        </w:rPr>
        <w:t>二、建设项目工程分析</w:t>
      </w:r>
      <w:bookmarkEnd w:id="19"/>
    </w:p>
    <w:tbl>
      <w:tblPr>
        <w:tblStyle w:val="54"/>
        <w:tblW w:w="74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56"/>
        <w:gridCol w:w="855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6" w:type="dxa"/>
            <w:vAlign w:val="center"/>
          </w:tcPr>
          <w:p>
            <w:pPr>
              <w:pStyle w:val="48"/>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hAnsi="Times New Roman"/>
                <w:szCs w:val="24"/>
              </w:rPr>
            </w:pPr>
            <w:r>
              <w:rPr>
                <w:rFonts w:ascii="Times New Roman" w:hAnsi="Times New Roman"/>
                <w:szCs w:val="24"/>
              </w:rPr>
              <w:t>建设内容</w:t>
            </w:r>
          </w:p>
        </w:tc>
        <w:tc>
          <w:tcPr>
            <w:tcW w:w="7036" w:type="dxa"/>
          </w:tcPr>
          <w:p>
            <w:pPr>
              <w:keepNext w:val="0"/>
              <w:keepLines w:val="0"/>
              <w:widowControl w:val="0"/>
              <w:suppressLineNumbers w:val="0"/>
              <w:adjustRightInd w:val="0"/>
              <w:snapToGrid w:val="0"/>
              <w:spacing w:before="120" w:beforeAutospacing="0" w:after="0" w:afterAutospacing="0" w:line="360" w:lineRule="auto"/>
              <w:ind w:left="0" w:right="0" w:firstLine="482" w:firstLineChars="200"/>
              <w:rPr>
                <w:rFonts w:ascii="Times New Roman"/>
                <w:b/>
                <w:bCs/>
                <w:sz w:val="24"/>
                <w:szCs w:val="24"/>
              </w:rPr>
            </w:pPr>
            <w:r>
              <w:rPr>
                <w:rFonts w:ascii="Times New Roman"/>
                <w:b/>
                <w:bCs/>
                <w:sz w:val="24"/>
                <w:szCs w:val="24"/>
              </w:rPr>
              <w:t>1、项目由来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szCs w:val="24"/>
              </w:rPr>
            </w:pPr>
            <w:r>
              <w:rPr>
                <w:rFonts w:hint="eastAsia" w:ascii="Times New Roman"/>
                <w:bCs/>
                <w:sz w:val="24"/>
                <w:szCs w:val="24"/>
              </w:rPr>
              <w:t>(</w:t>
            </w:r>
            <w:r>
              <w:rPr>
                <w:rFonts w:ascii="Times New Roman"/>
                <w:bCs/>
                <w:sz w:val="24"/>
                <w:szCs w:val="24"/>
              </w:rPr>
              <w:t>1)</w:t>
            </w:r>
            <w:r>
              <w:rPr>
                <w:rFonts w:hint="eastAsia" w:ascii="Times New Roman"/>
                <w:bCs/>
                <w:sz w:val="24"/>
                <w:szCs w:val="24"/>
              </w:rPr>
              <w:t>项目建设背景</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szCs w:val="24"/>
              </w:rPr>
            </w:pPr>
            <w:r>
              <w:rPr>
                <w:rFonts w:ascii="Times New Roman"/>
                <w:bCs/>
                <w:sz w:val="24"/>
                <w:szCs w:val="24"/>
              </w:rPr>
              <w:t>承德县隶属河北省承德市，地处河北省东北部，距省会石家庄538公里，县境东、南、北三面环抱承德市区，距市区40公里，西南邻京津唐秦，东北接辽宁、内蒙古，县域面积3633平方公里。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szCs w:val="24"/>
              </w:rPr>
            </w:pPr>
            <w:r>
              <w:rPr>
                <w:rFonts w:ascii="Times New Roman"/>
                <w:bCs/>
                <w:sz w:val="24"/>
                <w:szCs w:val="24"/>
              </w:rPr>
              <w:t>承德县属于温带半湿润间半干旱大陆性季风型燕山山地气候，具有光照充足，四季分明，雨热同期和局部气候差异明显的特点。春季风多干旱，夏季高温多雨，秋季天高气爽，冬季雪少寒冷，昼夜温差较大。</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szCs w:val="24"/>
              </w:rPr>
            </w:pPr>
            <w:r>
              <w:rPr>
                <w:rFonts w:hint="eastAsia" w:ascii="Times New Roman"/>
                <w:bCs/>
                <w:sz w:val="24"/>
                <w:szCs w:val="24"/>
              </w:rPr>
              <w:t>依据河北省发展和改革委员会下发《河北省2021年度电力源网荷储一体化和多能互补试点项目公示》(2021年12月20日)承德县网源荷储一体化和多能互补示范项目已列入2021年度电力源网荷储一体化和多能互补试点项目。承德卓云信息科技有限公司具体实施工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szCs w:val="24"/>
                <w:highlight w:val="none"/>
              </w:rPr>
            </w:pPr>
            <w:r>
              <w:rPr>
                <w:rFonts w:hint="eastAsia" w:ascii="Times New Roman"/>
                <w:bCs/>
                <w:sz w:val="24"/>
                <w:szCs w:val="24"/>
              </w:rPr>
              <w:t>承德县源网荷储一体化和多能互补示范项目，拟在承德县利用新杖子镇胖和尚沟村、鹰手营村、小营村、四方营村、苇子峪村、大东营村、两益城村</w:t>
            </w:r>
            <w:r>
              <w:rPr>
                <w:rFonts w:hint="eastAsia" w:ascii="Times New Roman"/>
                <w:bCs/>
                <w:sz w:val="24"/>
                <w:szCs w:val="24"/>
                <w:highlight w:val="none"/>
              </w:rPr>
              <w:t>等1</w:t>
            </w:r>
            <w:r>
              <w:rPr>
                <w:rFonts w:ascii="Times New Roman"/>
                <w:bCs/>
                <w:sz w:val="24"/>
                <w:szCs w:val="24"/>
                <w:highlight w:val="none"/>
              </w:rPr>
              <w:t>2</w:t>
            </w:r>
            <w:r>
              <w:rPr>
                <w:rFonts w:hint="eastAsia" w:ascii="Times New Roman"/>
                <w:bCs/>
                <w:sz w:val="24"/>
                <w:szCs w:val="24"/>
                <w:highlight w:val="none"/>
              </w:rPr>
              <w:t>000亩地建设400MW光伏电站+84MW/168MWh储能项目。光伏区交流侧布置容量为400MW，直流侧布置容量为512MW，容配比为1:1.28。承德县源网荷储一体化和多能互补示范项目拟采用775758块660Wp的光伏组件。逆变器选型为320kW，每8台逆变器汇集到1台2.56MVA箱变。逆变器数量为1250台，箱变数量为157台，光伏场区采用21回35kV架空线路汇集，选用LGJ钢芯铝绞线，其中单回路35kV架空集电线路长度为28km，双回35kV架空集电线路长度为23km，统一汇集后接至场内拟建的升压站35kV侧。</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szCs w:val="24"/>
              </w:rPr>
            </w:pPr>
            <w:r>
              <w:rPr>
                <w:rFonts w:hint="eastAsia" w:ascii="Times New Roman"/>
                <w:bCs/>
                <w:sz w:val="24"/>
                <w:szCs w:val="24"/>
                <w:highlight w:val="none"/>
              </w:rPr>
              <w:t>储能系统总容量为84MW/168MWh，采用高压液冷集成技术，储能系</w:t>
            </w:r>
            <w:r>
              <w:rPr>
                <w:rFonts w:hint="eastAsia" w:ascii="Times New Roman"/>
                <w:bCs/>
                <w:sz w:val="24"/>
                <w:szCs w:val="24"/>
              </w:rPr>
              <w:t>统通过4回35kV集电线路接至升压站，共配置17套储能子系统，</w:t>
            </w:r>
            <w:r>
              <w:rPr>
                <w:rFonts w:ascii="Times New Roman"/>
                <w:bCs/>
                <w:sz w:val="24"/>
                <w:szCs w:val="24"/>
              </w:rPr>
              <w:t>其中16套采用5MW/10.031MWh，1套采用4MW/8.359MWh储能系统，直流侧标称配置容量为168.855MWh。每套5MW/10.031MWh系统由2套20ft的5.015MWh电池集装箱+1套升压变流一体机组成，每套电池集装箱由12个电池簇组成，每个电池簇由4个电池PACK组成；每套4MW/8.359MWh系统由2套20ft的4.179MWh电池集装箱+1套升压变流一体机组成，每套电池集装箱由10个电池簇组成，每个电池簇由4个电池PACK组成</w:t>
            </w:r>
            <w:r>
              <w:rPr>
                <w:rFonts w:hint="eastAsia" w:ascii="Times New Roman"/>
                <w:bCs/>
                <w:sz w:val="24"/>
                <w:szCs w:val="24"/>
              </w:rPr>
              <w:t>。本项目内拟建设1座220kV升压站，电压等级为220/35kV。站内主变规划建设规模2×2</w:t>
            </w:r>
            <w:r>
              <w:rPr>
                <w:rFonts w:ascii="Times New Roman"/>
                <w:bCs/>
                <w:sz w:val="24"/>
                <w:szCs w:val="24"/>
              </w:rPr>
              <w:t>1</w:t>
            </w:r>
            <w:r>
              <w:rPr>
                <w:rFonts w:hint="eastAsia" w:ascii="Times New Roman"/>
                <w:bCs/>
                <w:sz w:val="24"/>
                <w:szCs w:val="24"/>
              </w:rPr>
              <w:t>0MVA，本期建成。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w:t>
            </w:r>
            <w:r>
              <w:rPr>
                <w:rFonts w:ascii="Times New Roman"/>
                <w:sz w:val="24"/>
                <w:szCs w:val="24"/>
              </w:rPr>
              <w:t>2)承德县源网荷储一体化和多能互补示范项目</w:t>
            </w:r>
            <w:r>
              <w:rPr>
                <w:rFonts w:hint="eastAsia" w:ascii="Times New Roman"/>
                <w:sz w:val="24"/>
                <w:szCs w:val="24"/>
              </w:rPr>
              <w:t>环评开展情况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szCs w:val="24"/>
              </w:rPr>
            </w:pPr>
            <w:r>
              <w:rPr>
                <w:rFonts w:ascii="Times New Roman"/>
                <w:sz w:val="24"/>
                <w:szCs w:val="24"/>
              </w:rPr>
              <w:t>承德县源网荷储一体化和多能互补示范项目</w:t>
            </w:r>
            <w:r>
              <w:rPr>
                <w:rFonts w:ascii="Times New Roman"/>
                <w:bCs/>
                <w:sz w:val="24"/>
                <w:szCs w:val="24"/>
              </w:rPr>
              <w:t>已获得承德市生态环境局承德县分局批复，文号为承县环评审[202</w:t>
            </w:r>
            <w:r>
              <w:rPr>
                <w:rFonts w:hint="eastAsia" w:ascii="Times New Roman"/>
                <w:bCs/>
                <w:sz w:val="24"/>
                <w:szCs w:val="24"/>
              </w:rPr>
              <w:t>4</w:t>
            </w:r>
            <w:r>
              <w:rPr>
                <w:rFonts w:ascii="Times New Roman"/>
                <w:bCs/>
                <w:sz w:val="24"/>
                <w:szCs w:val="24"/>
              </w:rPr>
              <w:t>]</w:t>
            </w:r>
            <w:r>
              <w:rPr>
                <w:rFonts w:hint="eastAsia" w:ascii="Times New Roman"/>
                <w:bCs/>
                <w:sz w:val="24"/>
                <w:szCs w:val="24"/>
              </w:rPr>
              <w:t>0</w:t>
            </w:r>
            <w:r>
              <w:rPr>
                <w:rFonts w:ascii="Times New Roman"/>
                <w:bCs/>
                <w:sz w:val="24"/>
                <w:szCs w:val="24"/>
              </w:rPr>
              <w:t>3号(详见附件5)。</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napToGrid w:val="0"/>
                <w:color w:val="auto"/>
                <w:sz w:val="24"/>
                <w:szCs w:val="24"/>
                <w:highlight w:val="none"/>
              </w:rPr>
            </w:pPr>
            <w:r>
              <w:rPr>
                <w:rFonts w:hint="eastAsia" w:ascii="Times New Roman"/>
                <w:bCs/>
                <w:sz w:val="24"/>
                <w:szCs w:val="24"/>
              </w:rPr>
              <w:t>该评价主要建设内容为：承德县源网</w:t>
            </w:r>
            <w:r>
              <w:rPr>
                <w:rFonts w:hint="eastAsia" w:ascii="Times New Roman"/>
                <w:bCs/>
                <w:sz w:val="24"/>
                <w:szCs w:val="24"/>
                <w:highlight w:val="none"/>
              </w:rPr>
              <w:t>荷储一体化和多能互补示范项目位于承德市承德县新杖子镇</w:t>
            </w:r>
            <w:r>
              <w:rPr>
                <w:rFonts w:hint="eastAsia" w:ascii="Times New Roman"/>
                <w:snapToGrid w:val="0"/>
                <w:sz w:val="24"/>
                <w:szCs w:val="24"/>
                <w:highlight w:val="none"/>
              </w:rPr>
              <w:t>，由192个地块组成，合计12000亩(永久占地51.94亩，临时占地11948.06亩)，新建220kV升压站一</w:t>
            </w:r>
            <w:r>
              <w:rPr>
                <w:rFonts w:hint="eastAsia" w:ascii="Times New Roman"/>
                <w:snapToGrid w:val="0"/>
                <w:sz w:val="24"/>
                <w:szCs w:val="24"/>
              </w:rPr>
              <w:t>座，站内建筑物包括储能电站1座，容量为84MW/168MWh，总建筑面积约1199.07m</w:t>
            </w:r>
            <w:r>
              <w:rPr>
                <w:rFonts w:hint="eastAsia" w:ascii="Times New Roman"/>
                <w:snapToGrid w:val="0"/>
                <w:sz w:val="24"/>
                <w:szCs w:val="24"/>
                <w:vertAlign w:val="superscript"/>
              </w:rPr>
              <w:t>2</w:t>
            </w:r>
            <w:r>
              <w:rPr>
                <w:rFonts w:hint="eastAsia" w:ascii="Times New Roman"/>
                <w:snapToGrid w:val="0"/>
                <w:sz w:val="24"/>
                <w:szCs w:val="24"/>
              </w:rPr>
              <w:t>，其中综合楼890.72m</w:t>
            </w:r>
            <w:r>
              <w:rPr>
                <w:rFonts w:hint="eastAsia" w:ascii="Times New Roman"/>
                <w:snapToGrid w:val="0"/>
                <w:sz w:val="24"/>
                <w:szCs w:val="24"/>
                <w:vertAlign w:val="superscript"/>
              </w:rPr>
              <w:t>2</w:t>
            </w:r>
            <w:r>
              <w:rPr>
                <w:rFonts w:hint="eastAsia" w:ascii="Times New Roman"/>
                <w:snapToGrid w:val="0"/>
                <w:sz w:val="24"/>
                <w:szCs w:val="24"/>
              </w:rPr>
              <w:t>、继电器室223.1m</w:t>
            </w:r>
            <w:r>
              <w:rPr>
                <w:rFonts w:hint="eastAsia" w:ascii="Times New Roman"/>
                <w:snapToGrid w:val="0"/>
                <w:sz w:val="24"/>
                <w:szCs w:val="24"/>
                <w:vertAlign w:val="superscript"/>
              </w:rPr>
              <w:t>2</w:t>
            </w:r>
            <w:r>
              <w:rPr>
                <w:rFonts w:hint="eastAsia" w:ascii="Times New Roman"/>
                <w:snapToGrid w:val="0"/>
                <w:sz w:val="24"/>
                <w:szCs w:val="24"/>
              </w:rPr>
              <w:t>、危废品库85.25m</w:t>
            </w:r>
            <w:r>
              <w:rPr>
                <w:rFonts w:hint="eastAsia" w:ascii="Times New Roman"/>
                <w:snapToGrid w:val="0"/>
                <w:sz w:val="24"/>
                <w:szCs w:val="24"/>
                <w:vertAlign w:val="superscript"/>
              </w:rPr>
              <w:t>2</w:t>
            </w:r>
            <w:r>
              <w:rPr>
                <w:rFonts w:hint="eastAsia" w:ascii="Times New Roman"/>
                <w:snapToGrid w:val="0"/>
                <w:sz w:val="24"/>
                <w:szCs w:val="24"/>
              </w:rPr>
              <w:t>，构筑物为地埋</w:t>
            </w:r>
            <w:r>
              <w:rPr>
                <w:rFonts w:hint="eastAsia" w:ascii="Times New Roman"/>
                <w:snapToGrid w:val="0"/>
                <w:color w:val="auto"/>
                <w:sz w:val="24"/>
                <w:szCs w:val="24"/>
              </w:rPr>
              <w:t>型一体化泵站占地面积约143m</w:t>
            </w:r>
            <w:r>
              <w:rPr>
                <w:rFonts w:hint="eastAsia" w:ascii="Times New Roman"/>
                <w:snapToGrid w:val="0"/>
                <w:color w:val="auto"/>
                <w:sz w:val="24"/>
                <w:szCs w:val="24"/>
                <w:vertAlign w:val="superscript"/>
              </w:rPr>
              <w:t>2</w:t>
            </w:r>
            <w:r>
              <w:rPr>
                <w:rFonts w:hint="eastAsia" w:ascii="Times New Roman"/>
                <w:snapToGrid w:val="0"/>
                <w:color w:val="auto"/>
                <w:sz w:val="24"/>
                <w:szCs w:val="24"/>
              </w:rPr>
              <w:t>，消防水池有效容积约216m</w:t>
            </w:r>
            <w:r>
              <w:rPr>
                <w:rFonts w:hint="eastAsia" w:ascii="Times New Roman"/>
                <w:snapToGrid w:val="0"/>
                <w:color w:val="auto"/>
                <w:sz w:val="24"/>
                <w:szCs w:val="24"/>
                <w:vertAlign w:val="superscript"/>
              </w:rPr>
              <w:t>3</w:t>
            </w:r>
            <w:r>
              <w:rPr>
                <w:rFonts w:hint="eastAsia" w:ascii="Times New Roman"/>
                <w:snapToGrid w:val="0"/>
                <w:color w:val="auto"/>
                <w:sz w:val="24"/>
                <w:szCs w:val="24"/>
              </w:rPr>
              <w:t>、事故油池占地面积约54m</w:t>
            </w:r>
            <w:r>
              <w:rPr>
                <w:rFonts w:hint="eastAsia" w:ascii="Times New Roman"/>
                <w:snapToGrid w:val="0"/>
                <w:color w:val="auto"/>
                <w:sz w:val="24"/>
                <w:szCs w:val="24"/>
                <w:vertAlign w:val="superscript"/>
              </w:rPr>
              <w:t>2</w:t>
            </w:r>
            <w:r>
              <w:rPr>
                <w:rFonts w:hint="eastAsia" w:ascii="Times New Roman"/>
                <w:snapToGrid w:val="0"/>
                <w:color w:val="auto"/>
                <w:sz w:val="24"/>
                <w:szCs w:val="24"/>
              </w:rPr>
              <w:t>，有效容积约153m</w:t>
            </w:r>
            <w:r>
              <w:rPr>
                <w:rFonts w:hint="eastAsia" w:ascii="Times New Roman"/>
                <w:snapToGrid w:val="0"/>
                <w:color w:val="auto"/>
                <w:sz w:val="24"/>
                <w:szCs w:val="24"/>
                <w:vertAlign w:val="superscript"/>
              </w:rPr>
              <w:t>3</w:t>
            </w:r>
            <w:r>
              <w:rPr>
                <w:rFonts w:hint="eastAsia" w:ascii="Times New Roman"/>
                <w:snapToGrid w:val="0"/>
                <w:color w:val="auto"/>
                <w:sz w:val="24"/>
                <w:szCs w:val="24"/>
              </w:rPr>
              <w:t>。光伏场区建设包括太阳能光伏板基础及组件安装、逆变器、集电线路、通信工程、道路工程、施工辅助工程等。该项目规划总装机容量约为400MW。年发电量5.8亿千</w:t>
            </w:r>
            <w:r>
              <w:rPr>
                <w:rFonts w:hint="eastAsia" w:ascii="Times New Roman"/>
                <w:snapToGrid w:val="0"/>
                <w:color w:val="auto"/>
                <w:sz w:val="24"/>
                <w:szCs w:val="24"/>
                <w:highlight w:val="none"/>
              </w:rPr>
              <w:t>瓦时。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napToGrid w:val="0"/>
                <w:color w:val="auto"/>
                <w:sz w:val="24"/>
                <w:szCs w:val="24"/>
                <w:highlight w:val="none"/>
              </w:rPr>
            </w:pPr>
            <w:r>
              <w:rPr>
                <w:rFonts w:ascii="Times New Roman"/>
                <w:snapToGrid w:val="0"/>
                <w:color w:val="auto"/>
                <w:sz w:val="24"/>
                <w:szCs w:val="24"/>
                <w:highlight w:val="none"/>
              </w:rPr>
              <w:t>(</w:t>
            </w:r>
            <w:r>
              <w:rPr>
                <w:rFonts w:hint="eastAsia" w:ascii="Times New Roman"/>
                <w:snapToGrid w:val="0"/>
                <w:color w:val="auto"/>
                <w:sz w:val="24"/>
                <w:szCs w:val="24"/>
                <w:highlight w:val="none"/>
              </w:rPr>
              <w:t>3</w:t>
            </w:r>
            <w:r>
              <w:rPr>
                <w:rFonts w:ascii="Times New Roman"/>
                <w:snapToGrid w:val="0"/>
                <w:color w:val="auto"/>
                <w:sz w:val="24"/>
                <w:szCs w:val="24"/>
                <w:highlight w:val="none"/>
              </w:rPr>
              <w:t>)</w:t>
            </w:r>
            <w:r>
              <w:rPr>
                <w:rFonts w:hint="eastAsia" w:ascii="Times New Roman"/>
                <w:snapToGrid w:val="0"/>
                <w:color w:val="auto"/>
                <w:sz w:val="24"/>
                <w:szCs w:val="24"/>
                <w:highlight w:val="none"/>
              </w:rPr>
              <w:t>本项目建设情况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color w:val="auto"/>
                <w:sz w:val="24"/>
                <w:szCs w:val="24"/>
                <w:highlight w:val="none"/>
              </w:rPr>
            </w:pPr>
            <w:r>
              <w:rPr>
                <w:rFonts w:hint="eastAsia" w:ascii="Times New Roman"/>
                <w:color w:val="auto"/>
                <w:sz w:val="24"/>
                <w:szCs w:val="24"/>
                <w:highlight w:val="none"/>
              </w:rPr>
              <w:t>本项目升压站内建设地点与</w:t>
            </w:r>
            <w:r>
              <w:rPr>
                <w:rFonts w:hint="eastAsia" w:ascii="Times New Roman"/>
                <w:bCs/>
                <w:color w:val="auto"/>
                <w:sz w:val="24"/>
                <w:szCs w:val="24"/>
                <w:highlight w:val="none"/>
              </w:rPr>
              <w:t>原环评发生改变</w:t>
            </w:r>
            <w:r>
              <w:rPr>
                <w:rFonts w:hint="eastAsia" w:ascii="Times New Roman"/>
                <w:color w:val="auto"/>
                <w:sz w:val="24"/>
                <w:szCs w:val="24"/>
                <w:highlight w:val="none"/>
              </w:rPr>
              <w:t>，现升压站未动工。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hint="default" w:ascii="Times New Roman"/>
                <w:bCs/>
                <w:color w:val="auto"/>
                <w:sz w:val="24"/>
                <w:szCs w:val="24"/>
                <w:highlight w:val="none"/>
                <w:lang w:val="en-US" w:eastAsia="zh-CN"/>
              </w:rPr>
            </w:pPr>
            <w:r>
              <w:rPr>
                <w:rFonts w:hint="eastAsia" w:ascii="Times New Roman"/>
                <w:color w:val="auto"/>
                <w:sz w:val="24"/>
                <w:szCs w:val="24"/>
                <w:highlight w:val="none"/>
              </w:rPr>
              <w:t>主要变动内容：本项目建设地点发生改变，本次建设地点为</w:t>
            </w:r>
            <w:r>
              <w:rPr>
                <w:rFonts w:hint="eastAsia" w:ascii="Times New Roman"/>
                <w:bCs/>
                <w:color w:val="auto"/>
                <w:sz w:val="24"/>
                <w:szCs w:val="24"/>
                <w:highlight w:val="none"/>
              </w:rPr>
              <w:t>承德县新杖子镇鹰手营村，升压站占地面积及建筑面积发生改变，站内构筑物总平面布置发生改变。</w:t>
            </w:r>
            <w:r>
              <w:rPr>
                <w:rFonts w:hint="eastAsia" w:ascii="Times New Roman"/>
                <w:color w:val="auto"/>
                <w:sz w:val="24"/>
                <w:szCs w:val="24"/>
                <w:highlight w:val="none"/>
              </w:rPr>
              <w:t>电气化总平面布置图进行的变更，主要设备未发生变化。</w:t>
            </w:r>
            <w:r>
              <w:rPr>
                <w:rFonts w:hint="eastAsia" w:ascii="Times New Roman"/>
                <w:bCs/>
                <w:color w:val="auto"/>
                <w:sz w:val="24"/>
                <w:szCs w:val="24"/>
                <w:highlight w:val="none"/>
                <w:lang w:val="en-US" w:eastAsia="zh-CN"/>
              </w:rPr>
              <w:t>根据</w:t>
            </w:r>
            <w:r>
              <w:rPr>
                <w:rFonts w:hint="eastAsia" w:ascii="Times New Roman"/>
                <w:bCs/>
                <w:color w:val="auto"/>
                <w:sz w:val="24"/>
                <w:szCs w:val="24"/>
                <w:highlight w:val="none"/>
              </w:rPr>
              <w:t>《污染影响类建设项目重大变动清单（试行）》</w:t>
            </w:r>
            <w:r>
              <w:rPr>
                <w:rFonts w:hint="eastAsia" w:ascii="Times New Roman"/>
                <w:bCs/>
                <w:color w:val="auto"/>
                <w:sz w:val="24"/>
                <w:szCs w:val="24"/>
                <w:highlight w:val="none"/>
                <w:lang w:eastAsia="zh-CN"/>
              </w:rPr>
              <w:t>“</w:t>
            </w:r>
            <w:r>
              <w:rPr>
                <w:rFonts w:hint="eastAsia" w:ascii="Times New Roman"/>
                <w:bCs/>
                <w:color w:val="auto"/>
                <w:sz w:val="24"/>
                <w:szCs w:val="24"/>
                <w:highlight w:val="none"/>
                <w:lang w:val="en-US" w:eastAsia="zh-CN"/>
              </w:rPr>
              <w:t>5、重新选址</w:t>
            </w:r>
            <w:r>
              <w:rPr>
                <w:rFonts w:hint="eastAsia" w:ascii="Times New Roman"/>
                <w:bCs/>
                <w:color w:val="auto"/>
                <w:sz w:val="24"/>
                <w:szCs w:val="24"/>
                <w:highlight w:val="none"/>
                <w:lang w:eastAsia="zh-CN"/>
              </w:rPr>
              <w:t>”，</w:t>
            </w:r>
            <w:r>
              <w:rPr>
                <w:rFonts w:hint="eastAsia" w:ascii="Times New Roman"/>
                <w:bCs/>
                <w:color w:val="auto"/>
                <w:sz w:val="24"/>
                <w:szCs w:val="24"/>
                <w:highlight w:val="none"/>
                <w:lang w:val="en-US" w:eastAsia="zh-CN"/>
              </w:rPr>
              <w:t>项目选址发生变化，属于重大变动的应当重新报批环境影响评价文件。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color w:val="auto"/>
                <w:sz w:val="24"/>
                <w:szCs w:val="24"/>
              </w:rPr>
            </w:pPr>
            <w:r>
              <w:rPr>
                <w:rFonts w:ascii="Times New Roman"/>
                <w:color w:val="auto"/>
                <w:sz w:val="24"/>
                <w:szCs w:val="24"/>
                <w:highlight w:val="none"/>
              </w:rPr>
              <w:t>本项目依托的道路工程、</w:t>
            </w:r>
            <w:r>
              <w:rPr>
                <w:rFonts w:hint="eastAsia" w:ascii="Times New Roman"/>
                <w:color w:val="auto"/>
                <w:sz w:val="24"/>
                <w:szCs w:val="24"/>
                <w:highlight w:val="none"/>
              </w:rPr>
              <w:t>集电线路、</w:t>
            </w:r>
            <w:r>
              <w:rPr>
                <w:rFonts w:ascii="Times New Roman"/>
                <w:color w:val="auto"/>
                <w:sz w:val="24"/>
                <w:szCs w:val="24"/>
                <w:highlight w:val="none"/>
              </w:rPr>
              <w:t>升压站综合楼工程(涉及食堂油烟及含油废水)的环境影响已包含在《承德县源网荷储一体化和多能互补示范项目环境影响报告表》中，故在此不再赘述。</w:t>
            </w:r>
            <w:r>
              <w:rPr>
                <w:rFonts w:hint="eastAsia" w:ascii="Times New Roman"/>
                <w:bCs/>
                <w:color w:val="auto"/>
                <w:sz w:val="24"/>
                <w:szCs w:val="24"/>
                <w:highlight w:val="none"/>
              </w:rPr>
              <w:t>本次</w:t>
            </w:r>
            <w:r>
              <w:rPr>
                <w:rFonts w:ascii="Times New Roman"/>
                <w:bCs/>
                <w:color w:val="auto"/>
                <w:sz w:val="24"/>
                <w:szCs w:val="24"/>
                <w:highlight w:val="none"/>
              </w:rPr>
              <w:t>评价内容仅为升压站项目辐射环境影响评价，不包含220kV及35kV输电线路。</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napToGrid w:val="0"/>
                <w:sz w:val="24"/>
                <w:szCs w:val="24"/>
              </w:rPr>
              <w:t>根据《中华人民共和国环境影响评价法》、《建设项目环境保护管理条例(2017年修正本)》(国务院第253号令)及《建设项目环境影响评价分类管理名录》(2021版)等国家有关建设项目环境管理的规定，</w:t>
            </w:r>
            <w:r>
              <w:rPr>
                <w:rFonts w:ascii="Times New Roman"/>
                <w:sz w:val="24"/>
                <w:szCs w:val="24"/>
              </w:rPr>
              <w:t>承德县源网荷储一体化和多能互补示范项目(220kV升压站工程)项目</w:t>
            </w:r>
            <w:r>
              <w:rPr>
                <w:rFonts w:ascii="Times New Roman"/>
                <w:snapToGrid w:val="0"/>
                <w:sz w:val="24"/>
                <w:szCs w:val="24"/>
              </w:rPr>
              <w:t>属于名录中“五十五、核与辐射 161输变电工程其他(100千伏以下除外)”类别，需进行辐射环境影响评价并编制环境影响报告表。</w:t>
            </w:r>
            <w:r>
              <w:rPr>
                <w:rFonts w:ascii="Times New Roman"/>
                <w:snapToGrid w:val="0"/>
                <w:sz w:val="24"/>
                <w:szCs w:val="24"/>
                <w:highlight w:val="none"/>
              </w:rPr>
              <w:t>承德卓云信息科技有限公司于202</w:t>
            </w:r>
            <w:r>
              <w:rPr>
                <w:rFonts w:hint="eastAsia" w:ascii="Times New Roman"/>
                <w:snapToGrid w:val="0"/>
                <w:sz w:val="24"/>
                <w:szCs w:val="24"/>
                <w:highlight w:val="none"/>
              </w:rPr>
              <w:t>4</w:t>
            </w:r>
            <w:r>
              <w:rPr>
                <w:rFonts w:ascii="Times New Roman"/>
                <w:snapToGrid w:val="0"/>
                <w:sz w:val="24"/>
                <w:szCs w:val="24"/>
                <w:highlight w:val="none"/>
              </w:rPr>
              <w:t>年</w:t>
            </w:r>
            <w:r>
              <w:rPr>
                <w:rFonts w:hint="eastAsia" w:ascii="Times New Roman"/>
                <w:snapToGrid w:val="0"/>
                <w:sz w:val="24"/>
                <w:szCs w:val="24"/>
                <w:highlight w:val="none"/>
              </w:rPr>
              <w:t>9</w:t>
            </w:r>
            <w:r>
              <w:rPr>
                <w:rFonts w:ascii="Times New Roman"/>
                <w:snapToGrid w:val="0"/>
                <w:sz w:val="24"/>
                <w:szCs w:val="24"/>
                <w:highlight w:val="none"/>
              </w:rPr>
              <w:t>月委托我公司承担环境影响评价工</w:t>
            </w:r>
            <w:r>
              <w:rPr>
                <w:rFonts w:ascii="Times New Roman"/>
                <w:sz w:val="24"/>
                <w:szCs w:val="24"/>
                <w:highlight w:val="none"/>
              </w:rPr>
              <w:t>作，</w:t>
            </w:r>
            <w:r>
              <w:rPr>
                <w:rFonts w:hint="eastAsia" w:ascii="Times New Roman"/>
                <w:sz w:val="24"/>
                <w:szCs w:val="24"/>
                <w:highlight w:val="none"/>
              </w:rPr>
              <w:t>于</w:t>
            </w:r>
            <w:r>
              <w:rPr>
                <w:rFonts w:ascii="Times New Roman"/>
                <w:sz w:val="24"/>
                <w:szCs w:val="24"/>
                <w:highlight w:val="none"/>
              </w:rPr>
              <w:t>2024年</w:t>
            </w:r>
            <w:r>
              <w:rPr>
                <w:rFonts w:hint="eastAsia" w:ascii="Times New Roman"/>
                <w:sz w:val="24"/>
                <w:szCs w:val="24"/>
                <w:highlight w:val="none"/>
              </w:rPr>
              <w:t>10</w:t>
            </w:r>
            <w:r>
              <w:rPr>
                <w:rFonts w:ascii="Times New Roman"/>
                <w:sz w:val="24"/>
                <w:szCs w:val="24"/>
                <w:highlight w:val="none"/>
              </w:rPr>
              <w:t>月委托</w:t>
            </w:r>
            <w:r>
              <w:rPr>
                <w:rFonts w:hint="eastAsia" w:ascii="Times New Roman"/>
                <w:sz w:val="24"/>
                <w:szCs w:val="24"/>
                <w:highlight w:val="none"/>
              </w:rPr>
              <w:t>河</w:t>
            </w:r>
            <w:r>
              <w:rPr>
                <w:rFonts w:hint="eastAsia" w:ascii="Times New Roman"/>
                <w:sz w:val="24"/>
                <w:szCs w:val="24"/>
              </w:rPr>
              <w:t>北省华川检验检测技术服务有限公司</w:t>
            </w:r>
            <w:r>
              <w:rPr>
                <w:rFonts w:ascii="Times New Roman"/>
                <w:sz w:val="24"/>
                <w:szCs w:val="24"/>
              </w:rPr>
              <w:t>进行了现状监测，我公</w:t>
            </w:r>
            <w:r>
              <w:rPr>
                <w:rFonts w:ascii="Times New Roman"/>
                <w:snapToGrid w:val="0"/>
                <w:sz w:val="24"/>
                <w:szCs w:val="24"/>
              </w:rPr>
              <w:t>司依据相关资料及现状监测报告编制完成了本项目环境影响报告表。</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b/>
                <w:sz w:val="24"/>
                <w:szCs w:val="24"/>
              </w:rPr>
            </w:pPr>
            <w:r>
              <w:rPr>
                <w:rFonts w:ascii="Times New Roman"/>
                <w:b/>
                <w:sz w:val="24"/>
                <w:szCs w:val="24"/>
              </w:rPr>
              <w:t>2、工程概况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hint="eastAsia" w:ascii="Times New Roman"/>
                <w:sz w:val="24"/>
                <w:szCs w:val="24"/>
                <w:lang w:val="en-US" w:eastAsia="zh-CN"/>
              </w:rPr>
            </w:pPr>
            <w:bookmarkStart w:id="20" w:name="_Hlk110004228"/>
            <w:r>
              <w:rPr>
                <w:rFonts w:ascii="Times New Roman"/>
                <w:sz w:val="24"/>
                <w:szCs w:val="24"/>
              </w:rPr>
              <w:t>(1)工程名称：承德县源网荷储一体化和多能互补示范项目(220kV升压站工程)</w:t>
            </w:r>
            <w:r>
              <w:rPr>
                <w:rFonts w:hint="eastAsia" w:ascii="Times New Roman"/>
                <w:sz w:val="24"/>
                <w:szCs w:val="24"/>
                <w:lang w:val="en-US" w:eastAsia="zh-CN"/>
              </w:rPr>
              <w:t>变更</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(2)建设性质：新建</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(3)建设单位：承德卓云信息科技有限公司</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(4)建设地点：</w:t>
            </w:r>
            <w:r>
              <w:rPr>
                <w:rFonts w:ascii="Times New Roman"/>
                <w:sz w:val="24"/>
              </w:rPr>
              <w:t>河北省承德市承德县</w:t>
            </w:r>
            <w:r>
              <w:rPr>
                <w:rFonts w:hint="eastAsia" w:ascii="Times New Roman"/>
                <w:sz w:val="24"/>
              </w:rPr>
              <w:t>新杖子镇鹰手营村</w:t>
            </w:r>
            <w:r>
              <w:rPr>
                <w:rFonts w:ascii="Times New Roman"/>
                <w:sz w:val="24"/>
                <w:szCs w:val="24"/>
              </w:rPr>
              <w:t>。</w:t>
            </w:r>
          </w:p>
          <w:p>
            <w:pPr>
              <w:pStyle w:val="27"/>
              <w:keepNext w:val="0"/>
              <w:keepLines w:val="0"/>
              <w:widowControl w:val="0"/>
              <w:suppressLineNumbers w:val="0"/>
              <w:adjustRightInd w:val="0"/>
              <w:snapToGrid w:val="0"/>
              <w:spacing w:before="0" w:beforeAutospacing="0" w:after="0" w:afterAutospacing="0" w:line="360" w:lineRule="auto"/>
              <w:ind w:left="0" w:leftChars="0" w:right="0" w:firstLine="480" w:firstLineChars="200"/>
              <w:rPr>
                <w:rFonts w:ascii="Times New Roman"/>
                <w:sz w:val="24"/>
                <w:szCs w:val="24"/>
              </w:rPr>
            </w:pPr>
            <w:r>
              <w:rPr>
                <w:rFonts w:ascii="Times New Roman"/>
                <w:sz w:val="24"/>
                <w:szCs w:val="24"/>
              </w:rPr>
              <w:t>(5)工作制度与职工人数：</w:t>
            </w:r>
            <w:r>
              <w:rPr>
                <w:rFonts w:hint="eastAsia" w:ascii="Times New Roman"/>
                <w:sz w:val="24"/>
                <w:szCs w:val="24"/>
              </w:rPr>
              <w:t>升压站全年365天，每天24小时运行，全站定员20人，3班制。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(6)工程投资：</w:t>
            </w:r>
            <w:bookmarkStart w:id="21" w:name="_Hlk151019358"/>
            <w:r>
              <w:rPr>
                <w:rFonts w:hint="eastAsia" w:ascii="Times New Roman"/>
                <w:sz w:val="24"/>
                <w:szCs w:val="24"/>
              </w:rPr>
              <w:t>本</w:t>
            </w:r>
            <w:r>
              <w:rPr>
                <w:rFonts w:ascii="Times New Roman"/>
                <w:sz w:val="24"/>
                <w:szCs w:val="24"/>
              </w:rPr>
              <w:t>项目总投资</w:t>
            </w:r>
            <w:r>
              <w:rPr>
                <w:rFonts w:hint="eastAsia" w:ascii="Times New Roman"/>
                <w:sz w:val="24"/>
                <w:szCs w:val="24"/>
              </w:rPr>
              <w:t>22671</w:t>
            </w:r>
            <w:r>
              <w:rPr>
                <w:rFonts w:ascii="Times New Roman"/>
                <w:sz w:val="24"/>
                <w:szCs w:val="24"/>
              </w:rPr>
              <w:t>万元，环保投资</w:t>
            </w:r>
            <w:r>
              <w:rPr>
                <w:rFonts w:hint="eastAsia" w:ascii="Times New Roman"/>
                <w:sz w:val="24"/>
                <w:szCs w:val="24"/>
              </w:rPr>
              <w:t>195</w:t>
            </w:r>
            <w:r>
              <w:rPr>
                <w:rFonts w:ascii="Times New Roman"/>
                <w:sz w:val="24"/>
                <w:szCs w:val="24"/>
              </w:rPr>
              <w:t>万元</w:t>
            </w:r>
            <w:bookmarkEnd w:id="21"/>
            <w:r>
              <w:rPr>
                <w:rFonts w:ascii="Times New Roman"/>
                <w:sz w:val="24"/>
                <w:szCs w:val="24"/>
              </w:rPr>
              <w:t>，环保投资比例</w:t>
            </w:r>
            <w:r>
              <w:rPr>
                <w:rFonts w:hint="eastAsia" w:ascii="Times New Roman"/>
                <w:sz w:val="24"/>
                <w:szCs w:val="24"/>
              </w:rPr>
              <w:t>0.86</w:t>
            </w:r>
            <w:r>
              <w:rPr>
                <w:rFonts w:ascii="Times New Roman"/>
                <w:sz w:val="24"/>
                <w:szCs w:val="24"/>
              </w:rPr>
              <w:t>%。</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b/>
                <w:sz w:val="24"/>
                <w:szCs w:val="24"/>
              </w:rPr>
            </w:pPr>
            <w:r>
              <w:rPr>
                <w:rFonts w:ascii="Times New Roman"/>
                <w:b/>
                <w:sz w:val="24"/>
                <w:szCs w:val="24"/>
              </w:rPr>
              <w:t>3、工程内容及规模</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本项目新建220kV升压站。本项目主要建设内容详见表2-1。</w:t>
            </w:r>
          </w:p>
          <w:p>
            <w:pPr>
              <w:keepNext w:val="0"/>
              <w:keepLines w:val="0"/>
              <w:widowControl/>
              <w:suppressLineNumbers w:val="0"/>
              <w:spacing w:before="0" w:beforeAutospacing="0" w:after="0" w:afterAutospacing="0" w:line="360" w:lineRule="auto"/>
              <w:ind w:left="0" w:right="0"/>
              <w:jc w:val="center"/>
              <w:rPr>
                <w:rFonts w:ascii="Times New Roman"/>
                <w:b/>
                <w:bCs/>
                <w:sz w:val="24"/>
                <w:szCs w:val="24"/>
              </w:rPr>
            </w:pPr>
            <w:r>
              <w:rPr>
                <w:rFonts w:ascii="Times New Roman"/>
                <w:b/>
                <w:bCs/>
                <w:sz w:val="24"/>
                <w:szCs w:val="24"/>
              </w:rPr>
              <w:t>表2-1  本项目主要建设内容</w:t>
            </w:r>
          </w:p>
          <w:bookmarkEnd w:id="20"/>
          <w:tbl>
            <w:tblPr>
              <w:tblStyle w:val="54"/>
              <w:tblW w:w="472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78"/>
              <w:gridCol w:w="569"/>
              <w:gridCol w:w="844"/>
              <w:gridCol w:w="54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3" w:hRule="atLeast"/>
                <w:jc w:val="center"/>
              </w:trPr>
              <w:tc>
                <w:tcPr>
                  <w:tcW w:w="1518" w:type="pct"/>
                  <w:gridSpan w:val="3"/>
                  <w:tcBorders>
                    <w:top w:val="single" w:color="auto" w:sz="12" w:space="0"/>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b/>
                      <w:bCs/>
                    </w:rPr>
                  </w:pPr>
                  <w:r>
                    <w:rPr>
                      <w:rFonts w:ascii="Times New Roman"/>
                      <w:b/>
                      <w:bCs/>
                    </w:rPr>
                    <w:t>项目名称</w:t>
                  </w:r>
                </w:p>
              </w:tc>
              <w:tc>
                <w:tcPr>
                  <w:tcW w:w="3481" w:type="pct"/>
                  <w:tcBorders>
                    <w:top w:val="single" w:color="auto" w:sz="12"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jc w:val="center"/>
                    <w:rPr>
                      <w:rFonts w:ascii="Times New Roman"/>
                      <w:b/>
                      <w:bCs/>
                    </w:rPr>
                  </w:pPr>
                  <w:r>
                    <w:rPr>
                      <w:rFonts w:ascii="Times New Roman"/>
                      <w:b/>
                      <w:bCs/>
                    </w:rPr>
                    <w:t>主要内容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22" w:hRule="atLeast"/>
                <w:jc w:val="center"/>
              </w:trPr>
              <w:tc>
                <w:tcPr>
                  <w:tcW w:w="621" w:type="pct"/>
                  <w:vMerge w:val="restart"/>
                  <w:tcBorders>
                    <w:top w:val="single" w:color="auto" w:sz="6" w:space="0"/>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主体</w:t>
                  </w:r>
                </w:p>
                <w:p>
                  <w:pPr>
                    <w:keepNext w:val="0"/>
                    <w:keepLines w:val="0"/>
                    <w:widowControl/>
                    <w:suppressLineNumbers w:val="0"/>
                    <w:spacing w:before="0" w:beforeAutospacing="0" w:after="0" w:afterAutospacing="0"/>
                    <w:ind w:left="0" w:right="0"/>
                    <w:jc w:val="center"/>
                    <w:rPr>
                      <w:rFonts w:ascii="Times New Roman"/>
                    </w:rPr>
                  </w:pPr>
                  <w:r>
                    <w:rPr>
                      <w:rFonts w:ascii="Times New Roman"/>
                    </w:rPr>
                    <w:t>工程</w:t>
                  </w:r>
                </w:p>
              </w:tc>
              <w:tc>
                <w:tcPr>
                  <w:tcW w:w="361" w:type="pct"/>
                  <w:vMerge w:val="restart"/>
                  <w:tcBorders>
                    <w:top w:val="single" w:color="auto" w:sz="6" w:space="0"/>
                    <w:left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升压站</w:t>
                  </w:r>
                </w:p>
              </w:tc>
              <w:tc>
                <w:tcPr>
                  <w:tcW w:w="535" w:type="pct"/>
                  <w:tcBorders>
                    <w:top w:val="single" w:color="auto" w:sz="6" w:space="0"/>
                    <w:left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主变压器</w:t>
                  </w:r>
                </w:p>
              </w:tc>
              <w:tc>
                <w:tcPr>
                  <w:tcW w:w="3481" w:type="pct"/>
                  <w:tcBorders>
                    <w:top w:val="single" w:color="auto" w:sz="6" w:space="0"/>
                    <w:left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hint="eastAsia" w:ascii="Times New Roman"/>
                    </w:rPr>
                    <w:t>主变压器容量：规划建设</w:t>
                  </w:r>
                  <w:r>
                    <w:rPr>
                      <w:rFonts w:ascii="Times New Roman"/>
                    </w:rPr>
                    <w:t>2</w:t>
                  </w:r>
                  <w:r>
                    <w:rPr>
                      <w:rFonts w:hint="eastAsia" w:ascii="Times New Roman"/>
                    </w:rPr>
                    <w:t>×220MVA主变压器，本期建设</w:t>
                  </w:r>
                  <w:r>
                    <w:rPr>
                      <w:rFonts w:ascii="Times New Roman"/>
                    </w:rPr>
                    <w:t>2</w:t>
                  </w:r>
                  <w:r>
                    <w:rPr>
                      <w:rFonts w:hint="eastAsia" w:ascii="Times New Roman"/>
                    </w:rPr>
                    <w:t>×220MVA主变压器；电压等级：220kV；变比：220/3</w:t>
                  </w:r>
                  <w:r>
                    <w:rPr>
                      <w:rFonts w:ascii="Times New Roman"/>
                    </w:rPr>
                    <w:t>5</w:t>
                  </w:r>
                  <w:r>
                    <w:rPr>
                      <w:rFonts w:hint="eastAsia" w:ascii="Times New Roman"/>
                    </w:rPr>
                    <w:t>kV。</w:t>
                  </w:r>
                </w:p>
                <w:p>
                  <w:pPr>
                    <w:keepNext w:val="0"/>
                    <w:keepLines w:val="0"/>
                    <w:widowControl/>
                    <w:suppressLineNumbers w:val="0"/>
                    <w:spacing w:before="0" w:beforeAutospacing="0" w:after="0" w:afterAutospacing="0"/>
                    <w:ind w:left="0" w:right="0"/>
                    <w:rPr>
                      <w:rFonts w:ascii="Times New Roman"/>
                    </w:rPr>
                  </w:pPr>
                  <w:r>
                    <w:rPr>
                      <w:rFonts w:hint="eastAsia" w:ascii="Times New Roman"/>
                    </w:rPr>
                    <w:t>布置方式：户外布置。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21" w:type="pct"/>
                  <w:vMerge w:val="continue"/>
                  <w:tcBorders>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361" w:type="pct"/>
                  <w:vMerge w:val="continue"/>
                  <w:tcBorders>
                    <w:left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535"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配电装置</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ascii="Times New Roman"/>
                    </w:rPr>
                    <w:t>220kV配电装置；户外布置</w:t>
                  </w:r>
                  <w:r>
                    <w:rPr>
                      <w:rFonts w:hint="eastAsia" w:ascii="Times New Roman"/>
                    </w:rPr>
                    <w:t>(预制舱</w:t>
                  </w:r>
                  <w:r>
                    <w:rPr>
                      <w:rFonts w:asci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1" w:type="pct"/>
                  <w:vMerge w:val="continue"/>
                  <w:tcBorders>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361" w:type="pct"/>
                  <w:vMerge w:val="continue"/>
                  <w:tcBorders>
                    <w:left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535"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220kV出线</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hint="eastAsia" w:ascii="Times New Roman"/>
                    </w:rPr>
                    <w:t>规划出线1回，本期出线1回，接入热河220kV变电站(不在本次评价范围之内</w:t>
                  </w:r>
                  <w:r>
                    <w:rPr>
                      <w:rFonts w:ascii="Times New Roman"/>
                    </w:rPr>
                    <w:t>)</w:t>
                  </w:r>
                  <w:r>
                    <w:rPr>
                      <w:rFonts w:hint="eastAsia" w:asci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1" w:type="pct"/>
                  <w:vMerge w:val="continue"/>
                  <w:tcBorders>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361" w:type="pct"/>
                  <w:vMerge w:val="continue"/>
                  <w:tcBorders>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535" w:type="pct"/>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35kV进线</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hint="eastAsia" w:ascii="Times New Roman"/>
                    </w:rPr>
                    <w:t>本期建设20回（光伏区16回，储能区4回）。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1" w:type="pct"/>
                  <w:vMerge w:val="continue"/>
                  <w:tcBorders>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hint="eastAsia" w:ascii="Times New Roman"/>
                    </w:rPr>
                    <w:t>储能装置</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Style w:val="233"/>
                      <w:rFonts w:hint="default" w:ascii="Times New Roman" w:hAnsi="Times New Roman"/>
                      <w:color w:val="auto"/>
                      <w:sz w:val="21"/>
                      <w:szCs w:val="21"/>
                    </w:rPr>
                    <w:t>储能系统总容量为84MW/168MWh，采用液冷集成技术，储能系统通过4回35kV集电线路接至升压站，共配置17套储能子系统，其中16套采用5MW/10.031MWh，1套采用4MW/8.359MWh储能系统，直流侧标称配置容量为168.855MWh。每套5MW/10.031MWh系统由2套20ft的5.015MWh电池集装箱+1套升压变流一体机组成，每套电池集装箱由12个电池簇组成，每个电池簇由4个电池PACK组成；每套4MW/8.359MWh系统由2套20ft的4.179MWh电池集装箱+1套升压变流一体机组成，每套电池集装箱由10个电池簇组成，每个电池簇由4个电池PACK组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7" w:hRule="atLeast"/>
                <w:jc w:val="center"/>
              </w:trPr>
              <w:tc>
                <w:tcPr>
                  <w:tcW w:w="621" w:type="pct"/>
                  <w:vMerge w:val="restart"/>
                  <w:tcBorders>
                    <w:top w:val="single" w:color="auto" w:sz="6" w:space="0"/>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hint="eastAsia" w:ascii="Times New Roman"/>
                    </w:rPr>
                    <w:t>配套</w:t>
                  </w:r>
                </w:p>
                <w:p>
                  <w:pPr>
                    <w:keepNext w:val="0"/>
                    <w:keepLines w:val="0"/>
                    <w:widowControl/>
                    <w:suppressLineNumbers w:val="0"/>
                    <w:spacing w:before="0" w:beforeAutospacing="0" w:after="0" w:afterAutospacing="0"/>
                    <w:ind w:left="0" w:right="0"/>
                    <w:jc w:val="center"/>
                    <w:rPr>
                      <w:rFonts w:ascii="Times New Roman"/>
                    </w:rPr>
                  </w:pPr>
                  <w:r>
                    <w:rPr>
                      <w:rFonts w:hint="eastAsia" w:ascii="Times New Roman"/>
                    </w:rPr>
                    <w:t>工程</w:t>
                  </w: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道路</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hint="eastAsia" w:ascii="Times New Roman"/>
                    </w:rPr>
                    <w:t>路基宽度为4.5m，路面宽度为4.0m，路面结构为20cm泥结碎石面层，路线平面转弯半径不小于10m满足消防要求，便于设备运输、安装、检修及消防车辆通行。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7" w:hRule="atLeast"/>
                <w:jc w:val="center"/>
              </w:trPr>
              <w:tc>
                <w:tcPr>
                  <w:tcW w:w="621" w:type="pct"/>
                  <w:vMerge w:val="continue"/>
                  <w:tcBorders>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Style w:val="233"/>
                      <w:rFonts w:hint="default" w:ascii="Times New Roman" w:hAnsi="Times New Roman"/>
                      <w:color w:val="auto"/>
                      <w:sz w:val="21"/>
                      <w:szCs w:val="21"/>
                    </w:rPr>
                    <w:t>围栏</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Style w:val="233"/>
                      <w:rFonts w:hint="default" w:ascii="Times New Roman" w:hAnsi="Times New Roman"/>
                      <w:color w:val="auto"/>
                      <w:sz w:val="21"/>
                      <w:szCs w:val="21"/>
                    </w:rPr>
                    <w:t>升压站围墙为实体围墙，240mm厚，高度约为2.3m，升压站主入口采用电动伸缩门，并设置门禁系统。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21" w:type="pct"/>
                  <w:vMerge w:val="restart"/>
                  <w:tcBorders>
                    <w:top w:val="single" w:color="auto" w:sz="6" w:space="0"/>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公用</w:t>
                  </w:r>
                </w:p>
                <w:p>
                  <w:pPr>
                    <w:keepNext w:val="0"/>
                    <w:keepLines w:val="0"/>
                    <w:widowControl/>
                    <w:suppressLineNumbers w:val="0"/>
                    <w:spacing w:before="0" w:beforeAutospacing="0" w:after="0" w:afterAutospacing="0"/>
                    <w:ind w:left="0" w:right="0"/>
                    <w:jc w:val="center"/>
                    <w:rPr>
                      <w:rFonts w:ascii="Times New Roman"/>
                    </w:rPr>
                  </w:pPr>
                  <w:r>
                    <w:rPr>
                      <w:rFonts w:ascii="Times New Roman"/>
                    </w:rPr>
                    <w:t>工程</w:t>
                  </w: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hint="eastAsia" w:ascii="Times New Roman"/>
                    </w:rPr>
                    <w:t>综合楼</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highlight w:val="none"/>
                    </w:rPr>
                  </w:pPr>
                  <w:r>
                    <w:rPr>
                      <w:rFonts w:hint="eastAsia" w:ascii="Times New Roman"/>
                      <w:highlight w:val="none"/>
                    </w:rPr>
                    <w:t>包括办公室、会议室、控制室、卫生间、楼梯间、休息室、厨房、餐厅、工具间、活动室等，两层平屋顶框架结构建筑，层高3.9m/3.9m，建筑面积890.72</w:t>
                  </w:r>
                  <w:r>
                    <w:rPr>
                      <w:rFonts w:ascii="Times New Roman"/>
                      <w:highlight w:val="none"/>
                    </w:rPr>
                    <w:t>m</w:t>
                  </w:r>
                  <w:r>
                    <w:rPr>
                      <w:rFonts w:ascii="Times New Roman"/>
                      <w:highlight w:val="none"/>
                      <w:vertAlign w:val="superscript"/>
                    </w:rPr>
                    <w:t>2</w:t>
                  </w:r>
                  <w:r>
                    <w:rPr>
                      <w:rFonts w:hint="eastAsia" w:ascii="Times New Roman"/>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1" w:type="pct"/>
                  <w:vMerge w:val="continue"/>
                  <w:tcBorders>
                    <w:top w:val="single" w:color="auto" w:sz="6" w:space="0"/>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hint="eastAsia" w:ascii="Times New Roman"/>
                    </w:rPr>
                    <w:t>继电器室</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val="0"/>
                    <w:suppressLineNumbers w:val="0"/>
                    <w:autoSpaceDE w:val="0"/>
                    <w:autoSpaceDN w:val="0"/>
                    <w:adjustRightInd w:val="0"/>
                    <w:spacing w:before="0" w:beforeAutospacing="0" w:after="0" w:afterAutospacing="0"/>
                    <w:ind w:left="0" w:right="0"/>
                    <w:rPr>
                      <w:rFonts w:ascii="Times New Roman"/>
                      <w:kern w:val="0"/>
                      <w:highlight w:val="none"/>
                    </w:rPr>
                  </w:pPr>
                  <w:r>
                    <w:rPr>
                      <w:rFonts w:hint="eastAsia" w:ascii="Times New Roman"/>
                      <w:kern w:val="0"/>
                      <w:highlight w:val="none"/>
                    </w:rPr>
                    <w:t>继电器室</w:t>
                  </w:r>
                  <w:r>
                    <w:rPr>
                      <w:rFonts w:ascii="Times New Roman"/>
                      <w:kern w:val="0"/>
                      <w:highlight w:val="none"/>
                    </w:rPr>
                    <w:t>为一层平屋顶框架结构，层高</w:t>
                  </w:r>
                  <w:r>
                    <w:rPr>
                      <w:rFonts w:hint="eastAsia" w:ascii="Times New Roman"/>
                      <w:kern w:val="0"/>
                      <w:highlight w:val="none"/>
                    </w:rPr>
                    <w:t>5.5</w:t>
                  </w:r>
                  <w:r>
                    <w:rPr>
                      <w:rFonts w:ascii="Times New Roman"/>
                      <w:kern w:val="0"/>
                      <w:highlight w:val="none"/>
                    </w:rPr>
                    <w:t>m，总面积为</w:t>
                  </w:r>
                  <w:r>
                    <w:rPr>
                      <w:rFonts w:hint="eastAsia" w:ascii="Times New Roman"/>
                      <w:kern w:val="0"/>
                      <w:highlight w:val="none"/>
                    </w:rPr>
                    <w:t>223.10</w:t>
                  </w:r>
                  <w:r>
                    <w:rPr>
                      <w:rFonts w:ascii="Times New Roman"/>
                      <w:highlight w:val="none"/>
                    </w:rPr>
                    <w:t>m</w:t>
                  </w:r>
                  <w:r>
                    <w:rPr>
                      <w:rFonts w:ascii="Times New Roman"/>
                      <w:highlight w:val="none"/>
                      <w:vertAlign w:val="superscript"/>
                    </w:rPr>
                    <w:t>2</w:t>
                  </w:r>
                  <w:r>
                    <w:rPr>
                      <w:rFonts w:ascii="Times New Roman"/>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1" w:type="pct"/>
                  <w:vMerge w:val="continue"/>
                  <w:tcBorders>
                    <w:top w:val="single" w:color="auto" w:sz="6" w:space="0"/>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Style w:val="233"/>
                      <w:rFonts w:hint="default" w:ascii="Times New Roman" w:hAnsi="Times New Roman"/>
                      <w:color w:val="auto"/>
                      <w:sz w:val="21"/>
                      <w:szCs w:val="21"/>
                    </w:rPr>
                    <w:t>危废</w:t>
                  </w:r>
                  <w:r>
                    <w:rPr>
                      <w:rStyle w:val="233"/>
                      <w:rFonts w:hint="default" w:ascii="Times New Roman"/>
                      <w:color w:val="auto"/>
                      <w:sz w:val="21"/>
                      <w:szCs w:val="21"/>
                    </w:rPr>
                    <w:t>暂</w:t>
                  </w:r>
                  <w:r>
                    <w:rPr>
                      <w:rStyle w:val="233"/>
                      <w:rFonts w:hint="default" w:ascii="Times New Roman" w:hAnsi="Times New Roman"/>
                      <w:color w:val="auto"/>
                      <w:sz w:val="21"/>
                      <w:szCs w:val="21"/>
                    </w:rPr>
                    <w:t>存间</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b/>
                      <w:bCs/>
                      <w:highlight w:val="none"/>
                    </w:rPr>
                  </w:pPr>
                  <w:r>
                    <w:rPr>
                      <w:rFonts w:hint="eastAsia" w:ascii="Times New Roman"/>
                      <w:highlight w:val="none"/>
                    </w:rPr>
                    <w:t>危废暂存间位于升压站东南角，建筑面积约85.25m</w:t>
                  </w:r>
                  <w:r>
                    <w:rPr>
                      <w:rFonts w:hint="eastAsia" w:ascii="Times New Roman"/>
                      <w:highlight w:val="none"/>
                      <w:vertAlign w:val="superscript"/>
                    </w:rPr>
                    <w:t>2</w:t>
                  </w:r>
                  <w:r>
                    <w:rPr>
                      <w:rFonts w:hint="eastAsia" w:ascii="Times New Roman"/>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621" w:type="pct"/>
                  <w:vMerge w:val="continue"/>
                  <w:tcBorders>
                    <w:top w:val="single" w:color="auto" w:sz="6" w:space="0"/>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事故油池</w:t>
                  </w:r>
                </w:p>
              </w:tc>
              <w:tc>
                <w:tcPr>
                  <w:tcW w:w="3481" w:type="pct"/>
                  <w:tcBorders>
                    <w:top w:val="single" w:color="auto" w:sz="6" w:space="0"/>
                    <w:left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b/>
                      <w:bCs/>
                      <w:highlight w:val="none"/>
                    </w:rPr>
                  </w:pPr>
                  <w:r>
                    <w:rPr>
                      <w:rStyle w:val="233"/>
                      <w:rFonts w:hint="default" w:ascii="Times New Roman" w:hAnsi="Times New Roman"/>
                      <w:color w:val="auto"/>
                      <w:sz w:val="21"/>
                      <w:szCs w:val="21"/>
                      <w:highlight w:val="none"/>
                    </w:rPr>
                    <w:t>升压站内设</w:t>
                  </w:r>
                  <w:r>
                    <w:rPr>
                      <w:rFonts w:ascii="Times New Roman"/>
                      <w:highlight w:val="none"/>
                    </w:rPr>
                    <w:t>事故油池</w:t>
                  </w:r>
                  <w:r>
                    <w:rPr>
                      <w:rStyle w:val="233"/>
                      <w:rFonts w:hint="default" w:ascii="Times New Roman" w:hAnsi="Times New Roman"/>
                      <w:color w:val="auto"/>
                      <w:sz w:val="21"/>
                      <w:szCs w:val="21"/>
                      <w:highlight w:val="none"/>
                    </w:rPr>
                    <w:t>1座，容积</w:t>
                  </w:r>
                  <w:r>
                    <w:rPr>
                      <w:rStyle w:val="233"/>
                      <w:rFonts w:hint="default" w:ascii="Times New Roman"/>
                      <w:color w:val="auto"/>
                      <w:sz w:val="21"/>
                      <w:szCs w:val="21"/>
                      <w:highlight w:val="none"/>
                    </w:rPr>
                    <w:t>153</w:t>
                  </w:r>
                  <w:r>
                    <w:rPr>
                      <w:rStyle w:val="233"/>
                      <w:rFonts w:hint="default" w:ascii="Times New Roman" w:hAnsi="Times New Roman"/>
                      <w:color w:val="auto"/>
                      <w:sz w:val="21"/>
                      <w:szCs w:val="21"/>
                      <w:highlight w:val="none"/>
                    </w:rPr>
                    <w:t>m</w:t>
                  </w:r>
                  <w:r>
                    <w:rPr>
                      <w:rStyle w:val="233"/>
                      <w:rFonts w:hint="default" w:ascii="Times New Roman" w:hAnsi="Times New Roman"/>
                      <w:color w:val="auto"/>
                      <w:sz w:val="21"/>
                      <w:szCs w:val="21"/>
                      <w:highlight w:val="none"/>
                      <w:vertAlign w:val="superscript"/>
                    </w:rPr>
                    <w:t>3</w:t>
                  </w:r>
                  <w:r>
                    <w:rPr>
                      <w:rStyle w:val="233"/>
                      <w:rFonts w:hint="default" w:ascii="Times New Roman" w:hAnsi="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621" w:type="pct"/>
                  <w:vMerge w:val="continue"/>
                  <w:tcBorders>
                    <w:top w:val="single" w:color="auto" w:sz="6" w:space="0"/>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hint="eastAsia" w:ascii="Times New Roman"/>
                    </w:rPr>
                    <w:t>消防水池</w:t>
                  </w:r>
                </w:p>
              </w:tc>
              <w:tc>
                <w:tcPr>
                  <w:tcW w:w="3481" w:type="pct"/>
                  <w:tcBorders>
                    <w:top w:val="single" w:color="auto" w:sz="6" w:space="0"/>
                    <w:left w:val="single" w:color="auto" w:sz="6" w:space="0"/>
                    <w:right w:val="nil"/>
                  </w:tcBorders>
                  <w:vAlign w:val="center"/>
                </w:tcPr>
                <w:p>
                  <w:pPr>
                    <w:keepNext w:val="0"/>
                    <w:keepLines w:val="0"/>
                    <w:widowControl/>
                    <w:suppressLineNumbers w:val="0"/>
                    <w:spacing w:before="0" w:beforeAutospacing="0" w:after="0" w:afterAutospacing="0"/>
                    <w:ind w:left="0" w:right="0"/>
                    <w:rPr>
                      <w:rStyle w:val="233"/>
                      <w:rFonts w:hint="default" w:ascii="Times New Roman" w:hAnsi="Times New Roman"/>
                      <w:color w:val="auto"/>
                      <w:sz w:val="21"/>
                      <w:szCs w:val="21"/>
                      <w:highlight w:val="none"/>
                    </w:rPr>
                  </w:pPr>
                  <w:r>
                    <w:rPr>
                      <w:rFonts w:hint="eastAsia"/>
                      <w:highlight w:val="none"/>
                    </w:rPr>
                    <w:t>地下钢筋混凝土结构，</w:t>
                  </w:r>
                  <w:r>
                    <w:rPr>
                      <w:rStyle w:val="233"/>
                      <w:rFonts w:hint="default" w:ascii="Times New Roman" w:hAnsi="Times New Roman"/>
                      <w:color w:val="auto"/>
                      <w:sz w:val="21"/>
                      <w:szCs w:val="21"/>
                      <w:highlight w:val="none"/>
                    </w:rPr>
                    <w:t>容积</w:t>
                  </w:r>
                  <w:r>
                    <w:rPr>
                      <w:rFonts w:hint="eastAsia"/>
                      <w:highlight w:val="none"/>
                    </w:rPr>
                    <w:t>216m</w:t>
                  </w:r>
                  <w:r>
                    <w:rPr>
                      <w:rFonts w:hint="eastAsia"/>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1" w:type="pct"/>
                  <w:vMerge w:val="continue"/>
                  <w:tcBorders>
                    <w:top w:val="single" w:color="auto" w:sz="6" w:space="0"/>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给水</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ascii="Times New Roman"/>
                      <w:b/>
                      <w:bCs/>
                    </w:rPr>
                    <w:t>施工期：</w:t>
                  </w:r>
                  <w:r>
                    <w:rPr>
                      <w:rFonts w:ascii="Times New Roman"/>
                    </w:rPr>
                    <w:t>施工人员生活用水及施工用水</w:t>
                  </w:r>
                  <w:r>
                    <w:t>用罐车到附近村庄拉水供给</w:t>
                  </w:r>
                  <w:r>
                    <w:rPr>
                      <w:rFonts w:ascii="Times New Roman"/>
                    </w:rPr>
                    <w:t>。</w:t>
                  </w:r>
                </w:p>
                <w:p>
                  <w:pPr>
                    <w:keepNext w:val="0"/>
                    <w:keepLines w:val="0"/>
                    <w:widowControl/>
                    <w:suppressLineNumbers w:val="0"/>
                    <w:spacing w:before="0" w:beforeAutospacing="0" w:after="0" w:afterAutospacing="0"/>
                    <w:ind w:left="0" w:right="0"/>
                    <w:rPr>
                      <w:rFonts w:ascii="Times New Roman"/>
                      <w:b/>
                      <w:bCs/>
                    </w:rPr>
                  </w:pPr>
                  <w:r>
                    <w:rPr>
                      <w:rFonts w:ascii="Times New Roman"/>
                      <w:b/>
                      <w:bCs/>
                    </w:rPr>
                    <w:t>运行期：</w:t>
                  </w:r>
                  <w:r>
                    <w:rPr>
                      <w:rFonts w:ascii="Times New Roman"/>
                    </w:rPr>
                    <w:t>主要包括升压站内生活用水及消防用水，由</w:t>
                  </w:r>
                  <w:r>
                    <w:rPr>
                      <w:rFonts w:hint="eastAsia" w:ascii="Times New Roman"/>
                    </w:rPr>
                    <w:t>附近村庄拉运</w:t>
                  </w:r>
                  <w:r>
                    <w:rPr>
                      <w:rFonts w:asci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1" w:type="pct"/>
                  <w:vMerge w:val="continue"/>
                  <w:tcBorders>
                    <w:top w:val="single" w:color="auto" w:sz="6" w:space="0"/>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排水</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ascii="Times New Roman"/>
                      <w:b/>
                      <w:bCs/>
                    </w:rPr>
                    <w:t>施工期：</w:t>
                  </w:r>
                  <w:r>
                    <w:rPr>
                      <w:rFonts w:ascii="Times New Roman"/>
                    </w:rPr>
                    <w:t>主要为施工废水和生活污水。施工废水经沉淀池处理后用于场地抑尘；升压站施工人员</w:t>
                  </w:r>
                  <w:r>
                    <w:rPr>
                      <w:rFonts w:hint="eastAsia" w:ascii="Times New Roman"/>
                    </w:rPr>
                    <w:t>主要为附近村庄居民，生活废水分散于周边村庄，依托村镇现有污水处理设施处理</w:t>
                  </w:r>
                  <w:r>
                    <w:rPr>
                      <w:rFonts w:ascii="Times New Roman"/>
                    </w:rPr>
                    <w:t>。</w:t>
                  </w:r>
                </w:p>
                <w:p>
                  <w:pPr>
                    <w:keepNext w:val="0"/>
                    <w:keepLines w:val="0"/>
                    <w:widowControl/>
                    <w:suppressLineNumbers w:val="0"/>
                    <w:spacing w:before="0" w:beforeAutospacing="0" w:after="0" w:afterAutospacing="0"/>
                    <w:ind w:left="0" w:right="0"/>
                    <w:rPr>
                      <w:rFonts w:ascii="Times New Roman"/>
                    </w:rPr>
                  </w:pPr>
                  <w:r>
                    <w:rPr>
                      <w:rFonts w:ascii="Times New Roman"/>
                      <w:b/>
                      <w:bCs/>
                    </w:rPr>
                    <w:t>运行期：</w:t>
                  </w:r>
                  <w:r>
                    <w:rPr>
                      <w:rFonts w:ascii="Times New Roman"/>
                    </w:rPr>
                    <w:t>本项目采用雨污分流，</w:t>
                  </w:r>
                  <w:r>
                    <w:rPr>
                      <w:rFonts w:hint="eastAsia"/>
                    </w:rPr>
                    <w:t>在升压站周边设置排水沟进行雨水收集</w:t>
                  </w:r>
                  <w:r>
                    <w:rPr>
                      <w:rFonts w:ascii="Times New Roman"/>
                    </w:rPr>
                    <w:t>；本项目运行期不产生生产废水；</w:t>
                  </w:r>
                  <w:r>
                    <w:rPr>
                      <w:rFonts w:hint="eastAsia" w:ascii="Times New Roman"/>
                    </w:rPr>
                    <w:t>食堂废水经隔油池处理、其他生活废水经化粪池处理后一同进入污水一体化处理设备处理，处理后满足《城市污水再生利用城市杂用水水质》中城市绿化、道路清扫、消防用水水质标准，用于厂区洒水抑尘</w:t>
                  </w:r>
                  <w:r>
                    <w:rPr>
                      <w:rFonts w:asci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1" w:type="pct"/>
                  <w:vMerge w:val="continue"/>
                  <w:tcBorders>
                    <w:top w:val="single" w:color="auto" w:sz="6" w:space="0"/>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供热</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ascii="Times New Roman"/>
                    </w:rPr>
                    <w:t>人员活动场所及设备室内安装空调，不设燃煤、燃气设施，生产无需供热。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1" w:type="pct"/>
                  <w:vMerge w:val="continue"/>
                  <w:tcBorders>
                    <w:top w:val="single" w:color="auto" w:sz="6" w:space="0"/>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供电</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ascii="Times New Roman"/>
                      <w:b/>
                      <w:bCs/>
                    </w:rPr>
                    <w:t>施工期</w:t>
                  </w:r>
                  <w:r>
                    <w:rPr>
                      <w:rFonts w:ascii="Times New Roman"/>
                    </w:rPr>
                    <w:t>：</w:t>
                  </w:r>
                  <w:r>
                    <w:rPr>
                      <w:rFonts w:hint="eastAsia" w:ascii="Times New Roman"/>
                    </w:rPr>
                    <w:t>施工电源从附近以10kV引接，设变压器降压后供施工用电，另外选择使用5台50kW柴油发电机备用发电。</w:t>
                  </w:r>
                </w:p>
                <w:p>
                  <w:pPr>
                    <w:keepNext w:val="0"/>
                    <w:keepLines w:val="0"/>
                    <w:widowControl/>
                    <w:suppressLineNumbers w:val="0"/>
                    <w:spacing w:before="0" w:beforeAutospacing="0" w:after="0" w:afterAutospacing="0"/>
                    <w:ind w:left="0" w:right="0"/>
                    <w:rPr>
                      <w:rFonts w:ascii="Times New Roman"/>
                    </w:rPr>
                  </w:pPr>
                  <w:r>
                    <w:rPr>
                      <w:rFonts w:ascii="Times New Roman"/>
                      <w:b/>
                      <w:bCs/>
                    </w:rPr>
                    <w:t>运行期：</w:t>
                  </w:r>
                  <w:r>
                    <w:rPr>
                      <w:rFonts w:hint="eastAsia" w:ascii="Times New Roman"/>
                    </w:rPr>
                    <w:t>升压站的所用电电源拟从厂外线路T接1路做为站内生产、生活的常用电源，备用电源引自光伏电站的10kV高压母线。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21" w:type="pct"/>
                  <w:vMerge w:val="restart"/>
                  <w:tcBorders>
                    <w:top w:val="single" w:color="auto" w:sz="6" w:space="0"/>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环保</w:t>
                  </w:r>
                </w:p>
                <w:p>
                  <w:pPr>
                    <w:keepNext w:val="0"/>
                    <w:keepLines w:val="0"/>
                    <w:widowControl/>
                    <w:suppressLineNumbers w:val="0"/>
                    <w:spacing w:before="0" w:beforeAutospacing="0" w:after="0" w:afterAutospacing="0"/>
                    <w:ind w:left="0" w:right="0"/>
                    <w:jc w:val="center"/>
                    <w:rPr>
                      <w:rFonts w:ascii="Times New Roman"/>
                    </w:rPr>
                  </w:pPr>
                  <w:r>
                    <w:rPr>
                      <w:rFonts w:ascii="Times New Roman"/>
                    </w:rPr>
                    <w:t>工程</w:t>
                  </w: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废气</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ascii="Times New Roman"/>
                      <w:b/>
                      <w:bCs/>
                    </w:rPr>
                    <w:t>施工期：</w:t>
                  </w:r>
                  <w:r>
                    <w:rPr>
                      <w:bCs/>
                    </w:rPr>
                    <w:t>升压站施工场地区进出口道路硬化，施工道路及裸露地面定期洒水；装卸建筑材料，必须采用封闭式车辆运输；大风天禁止作业。</w:t>
                  </w:r>
                </w:p>
                <w:p>
                  <w:pPr>
                    <w:keepNext w:val="0"/>
                    <w:keepLines w:val="0"/>
                    <w:widowControl/>
                    <w:suppressLineNumbers w:val="0"/>
                    <w:spacing w:before="0" w:beforeAutospacing="0" w:after="0" w:afterAutospacing="0"/>
                    <w:ind w:left="0" w:right="0"/>
                    <w:rPr>
                      <w:rFonts w:ascii="Times New Roman"/>
                    </w:rPr>
                  </w:pPr>
                  <w:r>
                    <w:rPr>
                      <w:rFonts w:ascii="Times New Roman"/>
                      <w:b/>
                      <w:bCs/>
                    </w:rPr>
                    <w:t>运行期：</w:t>
                  </w:r>
                  <w:r>
                    <w:rPr>
                      <w:bCs/>
                    </w:rPr>
                    <w:t>食堂设置餐饮油烟净化器，油烟净化器处理效率不小于60%，食堂油烟经净化处理后经专用烟道引至屋顶排放。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21" w:type="pct"/>
                  <w:vMerge w:val="continue"/>
                  <w:tcBorders>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废水</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ascii="Times New Roman"/>
                      <w:b/>
                      <w:bCs/>
                    </w:rPr>
                    <w:t>施工期：</w:t>
                  </w:r>
                  <w:r>
                    <w:rPr>
                      <w:rFonts w:ascii="Times New Roman"/>
                    </w:rPr>
                    <w:t>施工废水经沉淀池处理后用于场地抑尘。升压站施工人员</w:t>
                  </w:r>
                  <w:r>
                    <w:rPr>
                      <w:rFonts w:hint="eastAsia" w:ascii="Times New Roman"/>
                    </w:rPr>
                    <w:t>主要为附近村庄居民，生活废水分散于周边村庄，依托村镇现有污水处理设施处理</w:t>
                  </w:r>
                  <w:r>
                    <w:rPr>
                      <w:rFonts w:ascii="Times New Roman"/>
                    </w:rPr>
                    <w:t>。</w:t>
                  </w:r>
                </w:p>
                <w:p>
                  <w:pPr>
                    <w:keepNext w:val="0"/>
                    <w:keepLines w:val="0"/>
                    <w:widowControl/>
                    <w:suppressLineNumbers w:val="0"/>
                    <w:spacing w:before="0" w:beforeAutospacing="0" w:after="0" w:afterAutospacing="0"/>
                    <w:ind w:left="0" w:right="0"/>
                    <w:rPr>
                      <w:rFonts w:ascii="Times New Roman"/>
                    </w:rPr>
                  </w:pPr>
                  <w:r>
                    <w:rPr>
                      <w:rFonts w:ascii="Times New Roman"/>
                      <w:b/>
                      <w:bCs/>
                    </w:rPr>
                    <w:t>运行期：</w:t>
                  </w:r>
                  <w:r>
                    <w:rPr>
                      <w:rFonts w:hint="eastAsia" w:ascii="Times New Roman"/>
                    </w:rPr>
                    <w:t>食堂废水经隔油池处理、其他生活废水经化粪池处理后一同进入污水一体化处理设备处理后满足《城市污水再生利用城市杂用水水质》中城市绿化、道路清扫、消防用水水质标准，用于厂区洒水抑尘。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621" w:type="pct"/>
                  <w:vMerge w:val="continue"/>
                  <w:tcBorders>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固体废物</w:t>
                  </w: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ascii="Times New Roman"/>
                      <w:b/>
                      <w:bCs/>
                    </w:rPr>
                    <w:t>施工期：</w:t>
                  </w:r>
                  <w:r>
                    <w:rPr>
                      <w:rFonts w:ascii="Times New Roman"/>
                    </w:rPr>
                    <w:t>土石方合理平衡，并做好相应水保和植被恢复，施工废弃物，少量废弃金具、包装物及施工人员生活垃圾集中收集，按当地环卫部门要求处置。</w:t>
                  </w:r>
                </w:p>
                <w:p>
                  <w:pPr>
                    <w:keepNext w:val="0"/>
                    <w:keepLines w:val="0"/>
                    <w:widowControl/>
                    <w:suppressLineNumbers w:val="0"/>
                    <w:spacing w:before="0" w:beforeAutospacing="0" w:after="0" w:afterAutospacing="0"/>
                    <w:ind w:left="0" w:right="0"/>
                    <w:rPr>
                      <w:rFonts w:ascii="Times New Roman"/>
                    </w:rPr>
                  </w:pPr>
                  <w:r>
                    <w:rPr>
                      <w:rFonts w:ascii="Times New Roman"/>
                      <w:b/>
                      <w:bCs/>
                    </w:rPr>
                    <w:t>运行期：</w:t>
                  </w:r>
                  <w:r>
                    <w:rPr>
                      <w:rFonts w:hint="eastAsia" w:ascii="Times New Roman"/>
                    </w:rPr>
                    <w:t>固体废物主要为值班工作人员产生的生活垃圾、废旧铅酸蓄电池、废旧磷酸铁锂电池、变压器事故油。升压站内设置带盖垃圾箱，生活垃圾经集中收集后，由当地环卫部门统一清运处理。废旧磷酸铁锂电池由厂家更换处理，不暂存。</w:t>
                  </w:r>
                  <w:r>
                    <w:rPr>
                      <w:kern w:val="0"/>
                    </w:rPr>
                    <w:t>废铅酸蓄电池</w:t>
                  </w:r>
                  <w:r>
                    <w:rPr>
                      <w:rFonts w:hint="eastAsia"/>
                      <w:kern w:val="0"/>
                    </w:rPr>
                    <w:t>暂存于危废间定期由承德雅舍再生资源回收有限公司运输、回收处理；</w:t>
                  </w:r>
                  <w:r>
                    <w:rPr>
                      <w:kern w:val="0"/>
                    </w:rPr>
                    <w:t>主变</w:t>
                  </w:r>
                  <w:r>
                    <w:rPr>
                      <w:rFonts w:hint="eastAsia"/>
                      <w:kern w:val="0"/>
                    </w:rPr>
                    <w:t>压器检修产生的废油及</w:t>
                  </w:r>
                  <w:r>
                    <w:rPr>
                      <w:kern w:val="0"/>
                    </w:rPr>
                    <w:t>事故状态下产生的事故油排入</w:t>
                  </w:r>
                  <w:r>
                    <w:rPr>
                      <w:rFonts w:hint="eastAsia"/>
                      <w:kern w:val="0"/>
                    </w:rPr>
                    <w:t>项目新建</w:t>
                  </w:r>
                  <w:r>
                    <w:rPr>
                      <w:kern w:val="0"/>
                    </w:rPr>
                    <w:t>事故油池，沾油抹布暂存于危废暂存间，</w:t>
                  </w:r>
                  <w:r>
                    <w:rPr>
                      <w:rFonts w:hint="eastAsia"/>
                      <w:kern w:val="0"/>
                    </w:rPr>
                    <w:t>检修废油、事故废油、</w:t>
                  </w:r>
                  <w:r>
                    <w:rPr>
                      <w:kern w:val="0"/>
                    </w:rPr>
                    <w:t>沾油抹布</w:t>
                  </w:r>
                  <w:r>
                    <w:rPr>
                      <w:rFonts w:hint="eastAsia"/>
                      <w:kern w:val="0"/>
                    </w:rPr>
                    <w:t>最终统一由承德双然环保科技有限公司运输至乐亭县海畅环保科技有限公司处理</w:t>
                  </w:r>
                  <w:r>
                    <w:rPr>
                      <w:rFonts w:ascii="Times New Roman"/>
                      <w:kern w:val="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21" w:type="pct"/>
                  <w:vMerge w:val="continue"/>
                  <w:tcBorders>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ascii="Times New Roman"/>
                    </w:rPr>
                    <w:t>噪声</w:t>
                  </w:r>
                </w:p>
              </w:tc>
              <w:tc>
                <w:tcPr>
                  <w:tcW w:w="3481" w:type="pct"/>
                  <w:tcBorders>
                    <w:top w:val="single" w:color="auto" w:sz="6" w:space="0"/>
                    <w:left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rPr>
                  </w:pPr>
                  <w:r>
                    <w:rPr>
                      <w:rFonts w:ascii="Times New Roman"/>
                      <w:b/>
                      <w:bCs/>
                    </w:rPr>
                    <w:t>施工期：</w:t>
                  </w:r>
                  <w:r>
                    <w:rPr>
                      <w:rFonts w:ascii="Times New Roman"/>
                    </w:rPr>
                    <w:t>禁止夜间施工，选用低噪声设备，通过村庄时减速。</w:t>
                  </w:r>
                </w:p>
                <w:p>
                  <w:pPr>
                    <w:keepNext w:val="0"/>
                    <w:keepLines w:val="0"/>
                    <w:widowControl/>
                    <w:suppressLineNumbers w:val="0"/>
                    <w:spacing w:before="0" w:beforeAutospacing="0" w:after="0" w:afterAutospacing="0"/>
                    <w:ind w:left="0" w:right="0"/>
                    <w:rPr>
                      <w:rFonts w:ascii="Times New Roman"/>
                    </w:rPr>
                  </w:pPr>
                  <w:r>
                    <w:rPr>
                      <w:rFonts w:ascii="Times New Roman"/>
                      <w:b/>
                      <w:bCs/>
                    </w:rPr>
                    <w:t>运行期：</w:t>
                  </w:r>
                  <w:r>
                    <w:rPr>
                      <w:kern w:val="0"/>
                    </w:rPr>
                    <w:t>选用低噪声变压器设备、安装减振器、铺设橡胶减振垫、围墙隔声等；加强设备保养和施工管理。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9" w:hRule="atLeast"/>
                <w:jc w:val="center"/>
              </w:trPr>
              <w:tc>
                <w:tcPr>
                  <w:tcW w:w="621" w:type="pct"/>
                  <w:vMerge w:val="restart"/>
                  <w:tcBorders>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t>环境风险防范措施</w:t>
                  </w:r>
                </w:p>
              </w:tc>
              <w:tc>
                <w:tcPr>
                  <w:tcW w:w="896" w:type="pct"/>
                  <w:gridSpan w:val="2"/>
                  <w:vMerge w:val="restart"/>
                  <w:tcBorders>
                    <w:top w:val="single" w:color="auto" w:sz="6" w:space="0"/>
                    <w:left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hint="eastAsia" w:ascii="Times New Roman"/>
                    </w:rPr>
                    <w:t>主变事故油池</w:t>
                  </w:r>
                </w:p>
              </w:tc>
              <w:tc>
                <w:tcPr>
                  <w:tcW w:w="3481" w:type="pct"/>
                  <w:tcBorders>
                    <w:top w:val="single" w:color="auto" w:sz="6" w:space="0"/>
                    <w:left w:val="single" w:color="auto" w:sz="6" w:space="0"/>
                    <w:right w:val="nil"/>
                  </w:tcBorders>
                  <w:vAlign w:val="center"/>
                </w:tcPr>
                <w:p>
                  <w:pPr>
                    <w:keepNext w:val="0"/>
                    <w:keepLines w:val="0"/>
                    <w:widowControl/>
                    <w:suppressLineNumbers w:val="0"/>
                    <w:spacing w:before="0" w:beforeAutospacing="0" w:after="0" w:afterAutospacing="0" w:line="240" w:lineRule="atLeast"/>
                    <w:ind w:left="0" w:right="0" w:firstLine="480"/>
                    <w:rPr>
                      <w:rFonts w:ascii="Times New Roman"/>
                      <w:b/>
                      <w:bCs/>
                    </w:rPr>
                  </w:pPr>
                  <w:r>
                    <w:t>本项目设置1座容积为</w:t>
                  </w:r>
                  <w:r>
                    <w:rPr>
                      <w:rFonts w:hint="eastAsia"/>
                    </w:rPr>
                    <w:t>153</w:t>
                  </w:r>
                  <w:r>
                    <w:rPr>
                      <w:kern w:val="0"/>
                    </w:rPr>
                    <w:t>m</w:t>
                  </w:r>
                  <w:r>
                    <w:rPr>
                      <w:kern w:val="0"/>
                      <w:vertAlign w:val="superscript"/>
                    </w:rPr>
                    <w:t>3</w:t>
                  </w:r>
                  <w:r>
                    <w:rPr>
                      <w:kern w:val="0"/>
                    </w:rPr>
                    <w:t>事故</w:t>
                  </w:r>
                  <w:r>
                    <w:t>油池，用于收集主变压器</w:t>
                  </w:r>
                  <w:r>
                    <w:rPr>
                      <w:rFonts w:hint="eastAsia"/>
                    </w:rPr>
                    <w:t>泄漏的事故油。</w:t>
                  </w:r>
                  <w:r>
                    <w:t>在主变压器下方设有管道，与事故油池检查井连接并排入事故油池</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9" w:hRule="atLeast"/>
                <w:jc w:val="center"/>
              </w:trPr>
              <w:tc>
                <w:tcPr>
                  <w:tcW w:w="621" w:type="pct"/>
                  <w:vMerge w:val="continue"/>
                  <w:tcBorders>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vMerge w:val="continue"/>
                  <w:tcBorders>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3481" w:type="pct"/>
                  <w:tcBorders>
                    <w:top w:val="single" w:color="auto" w:sz="6" w:space="0"/>
                    <w:left w:val="single" w:color="auto" w:sz="6" w:space="0"/>
                    <w:right w:val="nil"/>
                  </w:tcBorders>
                  <w:vAlign w:val="center"/>
                </w:tcPr>
                <w:p>
                  <w:pPr>
                    <w:keepNext w:val="0"/>
                    <w:keepLines w:val="0"/>
                    <w:widowControl/>
                    <w:suppressLineNumbers w:val="0"/>
                    <w:spacing w:before="0" w:beforeAutospacing="0" w:after="0" w:afterAutospacing="0" w:line="240" w:lineRule="atLeast"/>
                    <w:ind w:left="0" w:right="0" w:firstLine="480"/>
                    <w:rPr>
                      <w:rFonts w:ascii="Times New Roman"/>
                      <w:b/>
                      <w:bCs/>
                    </w:rPr>
                  </w:pPr>
                  <w:r>
                    <w:t>防渗：</w:t>
                  </w:r>
                  <w:r>
                    <w:rPr>
                      <w:bCs/>
                      <w:kern w:val="24"/>
                    </w:rPr>
                    <w:t>事故油池</w:t>
                  </w:r>
                  <w:r>
                    <w:t>采取全面防腐、防渗处理，防渗层为2mm厚高密度聚乙烯，或2mm厚的其它人工材料（防渗层渗透系数小于1×10</w:t>
                  </w:r>
                  <w:r>
                    <w:rPr>
                      <w:vertAlign w:val="superscript"/>
                    </w:rPr>
                    <w:t>-10</w:t>
                  </w:r>
                  <w:r>
                    <w:t>cm/s）。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21" w:type="pct"/>
                  <w:vMerge w:val="continue"/>
                  <w:tcBorders>
                    <w:left w:val="nil"/>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hint="eastAsia" w:ascii="Times New Roman"/>
                    </w:rPr>
                    <w:t>危废间</w:t>
                  </w:r>
                </w:p>
              </w:tc>
              <w:tc>
                <w:tcPr>
                  <w:tcW w:w="3481" w:type="pct"/>
                  <w:tcBorders>
                    <w:top w:val="single" w:color="auto" w:sz="6" w:space="0"/>
                    <w:left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b/>
                      <w:bCs/>
                      <w:color w:val="auto"/>
                    </w:rPr>
                  </w:pPr>
                  <w:r>
                    <w:rPr>
                      <w:color w:val="auto"/>
                      <w:spacing w:val="-2"/>
                    </w:rPr>
                    <w:t>危废暂存间进行防渗处理，</w:t>
                  </w:r>
                  <w:r>
                    <w:rPr>
                      <w:color w:val="auto"/>
                    </w:rPr>
                    <w:t>防渗层</w:t>
                  </w:r>
                  <w:r>
                    <w:rPr>
                      <w:rFonts w:hint="eastAsia"/>
                      <w:color w:val="auto"/>
                    </w:rPr>
                    <w:t>至少1m厚黏土层（渗透系数不大于10</w:t>
                  </w:r>
                  <w:r>
                    <w:rPr>
                      <w:rFonts w:hint="eastAsia"/>
                      <w:color w:val="auto"/>
                      <w:vertAlign w:val="superscript"/>
                    </w:rPr>
                    <w:t>-7</w:t>
                  </w:r>
                  <w:r>
                    <w:rPr>
                      <w:rFonts w:hint="eastAsia"/>
                      <w:color w:val="auto"/>
                    </w:rPr>
                    <w:t>cm/s），或至少2mm厚高密度聚乙烯膜等人工防渗材料（渗透系数不大于10</w:t>
                  </w:r>
                  <w:r>
                    <w:rPr>
                      <w:rFonts w:hint="eastAsia"/>
                      <w:color w:val="auto"/>
                      <w:vertAlign w:val="superscript"/>
                    </w:rPr>
                    <w:t>-10</w:t>
                  </w:r>
                  <w:r>
                    <w:rPr>
                      <w:rFonts w:hint="eastAsia"/>
                      <w:color w:val="auto"/>
                    </w:rPr>
                    <w:t>cm/s），或其他防渗性能等效的材料</w:t>
                  </w:r>
                  <w:r>
                    <w:rPr>
                      <w:color w:val="auto"/>
                      <w:spacing w:val="-2"/>
                    </w:rPr>
                    <w:t>，占地面积</w:t>
                  </w:r>
                  <w:r>
                    <w:rPr>
                      <w:rFonts w:hint="eastAsia"/>
                      <w:color w:val="auto"/>
                      <w:spacing w:val="-2"/>
                      <w:lang w:eastAsia="zh-CN"/>
                    </w:rPr>
                    <w:t>82.25</w:t>
                  </w:r>
                  <w:r>
                    <w:rPr>
                      <w:color w:val="auto"/>
                      <w:spacing w:val="-2"/>
                    </w:rPr>
                    <w:t>m</w:t>
                  </w:r>
                  <w:r>
                    <w:rPr>
                      <w:color w:val="auto"/>
                      <w:spacing w:val="-2"/>
                      <w:vertAlign w:val="superscript"/>
                    </w:rPr>
                    <w:t>2</w:t>
                  </w:r>
                  <w:r>
                    <w:rPr>
                      <w:rFonts w:hint="eastAsia"/>
                      <w:color w:val="auto"/>
                      <w:spacing w:val="-2"/>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621" w:type="pct"/>
                  <w:tcBorders>
                    <w:left w:val="nil"/>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r>
                    <w:rPr>
                      <w:rFonts w:hint="eastAsia"/>
                    </w:rPr>
                    <w:t>生态</w:t>
                  </w:r>
                  <w:r>
                    <w:t>影响、水土流失防治措施</w:t>
                  </w:r>
                </w:p>
              </w:tc>
              <w:tc>
                <w:tcPr>
                  <w:tcW w:w="896" w:type="pct"/>
                  <w:gridSpan w:val="2"/>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ascii="Times New Roman"/>
                    </w:rPr>
                  </w:pPr>
                </w:p>
              </w:tc>
              <w:tc>
                <w:tcPr>
                  <w:tcW w:w="3481" w:type="pct"/>
                  <w:tcBorders>
                    <w:top w:val="single" w:color="auto" w:sz="6" w:space="0"/>
                    <w:left w:val="single" w:color="auto" w:sz="6" w:space="0"/>
                    <w:bottom w:val="single" w:color="auto" w:sz="6" w:space="0"/>
                    <w:right w:val="nil"/>
                  </w:tcBorders>
                  <w:vAlign w:val="center"/>
                </w:tcPr>
                <w:p>
                  <w:pPr>
                    <w:keepNext w:val="0"/>
                    <w:keepLines w:val="0"/>
                    <w:widowControl/>
                    <w:suppressLineNumbers w:val="0"/>
                    <w:spacing w:before="0" w:beforeAutospacing="0" w:after="0" w:afterAutospacing="0"/>
                    <w:ind w:left="0" w:right="0"/>
                    <w:rPr>
                      <w:rFonts w:ascii="Times New Roman"/>
                      <w:b/>
                      <w:bCs/>
                      <w:color w:val="auto"/>
                    </w:rPr>
                  </w:pPr>
                  <w:r>
                    <w:rPr>
                      <w:rFonts w:ascii="Times New Roman"/>
                      <w:b/>
                      <w:bCs/>
                      <w:color w:val="auto"/>
                    </w:rPr>
                    <w:t>施工期：</w:t>
                  </w:r>
                </w:p>
                <w:p>
                  <w:pPr>
                    <w:pStyle w:val="27"/>
                    <w:keepNext w:val="0"/>
                    <w:keepLines w:val="0"/>
                    <w:widowControl/>
                    <w:suppressLineNumbers w:val="0"/>
                    <w:spacing w:before="0" w:beforeAutospacing="0" w:after="0" w:afterAutospacing="0"/>
                    <w:ind w:left="0" w:leftChars="0" w:right="0" w:firstLine="480"/>
                    <w:rPr>
                      <w:rFonts w:ascii="Times New Roman"/>
                      <w:color w:val="auto"/>
                    </w:rPr>
                  </w:pPr>
                  <w:r>
                    <w:rPr>
                      <w:color w:val="auto"/>
                    </w:rPr>
                    <w:t>根据原有地貌的植被类型进行植被恢复；临时堆土区布设密目网遮盖措施；对施工场地临时堆</w:t>
                  </w:r>
                  <w:r>
                    <w:rPr>
                      <w:rFonts w:hint="eastAsia"/>
                      <w:color w:val="auto"/>
                    </w:rPr>
                    <w:t>放的</w:t>
                  </w:r>
                  <w:r>
                    <w:rPr>
                      <w:color w:val="auto"/>
                    </w:rPr>
                    <w:t>表土进行拦挡防护；</w:t>
                  </w:r>
                  <w:r>
                    <w:rPr>
                      <w:color w:val="auto"/>
                      <w:kern w:val="0"/>
                    </w:rPr>
                    <w:t>在临时堆土区四周设排水沟，采用临时围挡措施</w:t>
                  </w:r>
                  <w:r>
                    <w:rPr>
                      <w:color w:val="auto"/>
                    </w:rPr>
                    <w:t>；施工结束后，拆除临时建筑物；</w:t>
                  </w:r>
                  <w:r>
                    <w:rPr>
                      <w:bCs/>
                      <w:color w:val="auto"/>
                    </w:rPr>
                    <w:t>尽量减少土方开挖量和临时占地量；</w:t>
                  </w:r>
                  <w:r>
                    <w:rPr>
                      <w:color w:val="auto"/>
                    </w:rPr>
                    <w:t>表土剥离保护，施工完毕后将剥离的表层土返还，覆土平整且绿化，</w:t>
                  </w:r>
                  <w:r>
                    <w:rPr>
                      <w:rFonts w:hint="eastAsia"/>
                      <w:color w:val="auto"/>
                    </w:rPr>
                    <w:t xml:space="preserve"> </w:t>
                  </w:r>
                  <w:r>
                    <w:rPr>
                      <w:color w:val="auto"/>
                    </w:rPr>
                    <w:t>挖方、填方基本平衡；</w:t>
                  </w:r>
                  <w:r>
                    <w:rPr>
                      <w:bCs/>
                      <w:color w:val="auto"/>
                    </w:rPr>
                    <w:t>施工活动严格限定在用地范围内，严禁随意占压、扰动和破坏地表；道路区做好排水、护坡和植物措施；</w:t>
                  </w:r>
                  <w:r>
                    <w:rPr>
                      <w:color w:val="auto"/>
                    </w:rPr>
                    <w:t>严格限制施工作业带范围内施工（施工临时占地全部在用地占地范围内）。</w:t>
                  </w:r>
                </w:p>
                <w:p>
                  <w:pPr>
                    <w:keepNext w:val="0"/>
                    <w:keepLines w:val="0"/>
                    <w:widowControl/>
                    <w:suppressLineNumbers w:val="0"/>
                    <w:spacing w:before="0" w:beforeAutospacing="0" w:after="0" w:afterAutospacing="0"/>
                    <w:ind w:left="0" w:right="0"/>
                    <w:rPr>
                      <w:rFonts w:ascii="Times New Roman"/>
                      <w:b/>
                      <w:bCs/>
                      <w:color w:val="auto"/>
                    </w:rPr>
                  </w:pPr>
                  <w:r>
                    <w:rPr>
                      <w:rFonts w:ascii="Times New Roman"/>
                      <w:b/>
                      <w:bCs/>
                      <w:color w:val="auto"/>
                    </w:rPr>
                    <w:t>运行期：</w:t>
                  </w:r>
                </w:p>
                <w:p>
                  <w:pPr>
                    <w:pStyle w:val="27"/>
                    <w:keepNext w:val="0"/>
                    <w:keepLines w:val="0"/>
                    <w:widowControl/>
                    <w:suppressLineNumbers w:val="0"/>
                    <w:spacing w:before="0" w:beforeAutospacing="0" w:after="0" w:afterAutospacing="0"/>
                    <w:ind w:left="0" w:leftChars="0" w:right="0" w:firstLine="480"/>
                    <w:rPr>
                      <w:rFonts w:ascii="Times New Roman"/>
                      <w:color w:val="auto"/>
                    </w:rPr>
                  </w:pPr>
                  <w:r>
                    <w:rPr>
                      <w:bCs/>
                      <w:color w:val="auto"/>
                    </w:rPr>
                    <w:t>施工结束后，对碾压土地进行土壤疏松处理，及时播种</w:t>
                  </w:r>
                  <w:r>
                    <w:rPr>
                      <w:rFonts w:hint="eastAsia"/>
                      <w:bCs/>
                      <w:color w:val="auto"/>
                    </w:rPr>
                    <w:t>紫穗槐、爬山虎</w:t>
                  </w:r>
                  <w:r>
                    <w:rPr>
                      <w:bCs/>
                      <w:color w:val="auto"/>
                    </w:rPr>
                    <w:t>和披碱草，进行恢复性种植</w:t>
                  </w:r>
                  <w:r>
                    <w:rPr>
                      <w:bCs/>
                      <w:color w:val="auto"/>
                      <w:kern w:val="0"/>
                    </w:rPr>
                    <w:t>。升压站内</w:t>
                  </w:r>
                  <w:r>
                    <w:rPr>
                      <w:bCs/>
                      <w:color w:val="auto"/>
                    </w:rPr>
                    <w:t>充分利用路旁、建筑物旁以及其它空闲场地，种植生长力强、维护量小的绿色植物。</w:t>
                  </w:r>
                </w:p>
                <w:p>
                  <w:pPr>
                    <w:keepNext w:val="0"/>
                    <w:keepLines w:val="0"/>
                    <w:widowControl/>
                    <w:suppressLineNumbers w:val="0"/>
                    <w:spacing w:before="0" w:beforeAutospacing="0" w:after="0" w:afterAutospacing="0"/>
                    <w:ind w:left="0" w:right="0"/>
                    <w:rPr>
                      <w:rFonts w:ascii="Times New Roman"/>
                      <w:b/>
                      <w:bCs/>
                      <w:color w:val="auto"/>
                    </w:rPr>
                  </w:pPr>
                  <w:r>
                    <w:rPr>
                      <w:rFonts w:ascii="Times New Roman"/>
                      <w:b/>
                      <w:bCs/>
                      <w:color w:val="auto"/>
                    </w:rPr>
                    <w:t>服务期满后：</w:t>
                  </w:r>
                </w:p>
                <w:p>
                  <w:pPr>
                    <w:pStyle w:val="27"/>
                    <w:keepNext w:val="0"/>
                    <w:keepLines w:val="0"/>
                    <w:widowControl/>
                    <w:suppressLineNumbers w:val="0"/>
                    <w:spacing w:before="0" w:beforeAutospacing="0" w:after="0" w:afterAutospacing="0"/>
                    <w:ind w:left="0" w:leftChars="0" w:right="0" w:firstLine="480"/>
                    <w:rPr>
                      <w:rFonts w:ascii="Times New Roman"/>
                      <w:color w:val="auto"/>
                    </w:rPr>
                  </w:pPr>
                  <w:r>
                    <w:rPr>
                      <w:rFonts w:ascii="Times New Roman"/>
                      <w:color w:val="auto"/>
                    </w:rPr>
                    <w:t>掘除硬化地面基础，拆除过程中应尽量减少对土地的扰动，对场地进行平整、恢复、洒水和压实，以固结地表。覆土厚度30cm，在场区内播撒耐旱草籽，草种优先选用原著种；加大绿化面积。</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0" w:firstLineChars="200"/>
              <w:rPr>
                <w:rFonts w:ascii="Times New Roman"/>
                <w:sz w:val="24"/>
                <w:szCs w:val="24"/>
              </w:rPr>
            </w:pPr>
            <w:r>
              <w:rPr>
                <w:rFonts w:ascii="Times New Roman"/>
                <w:sz w:val="24"/>
                <w:szCs w:val="24"/>
              </w:rPr>
              <w:t>(1)项目选址</w:t>
            </w:r>
          </w:p>
          <w:p>
            <w:pPr>
              <w:keepNext w:val="0"/>
              <w:keepLines w:val="0"/>
              <w:widowControl w:val="0"/>
              <w:suppressLineNumbers w:val="0"/>
              <w:tabs>
                <w:tab w:val="left" w:pos="2852"/>
              </w:tabs>
              <w:adjustRightInd w:val="0"/>
              <w:snapToGrid w:val="0"/>
              <w:spacing w:before="0" w:beforeAutospacing="0" w:after="0" w:afterAutospacing="0" w:line="360" w:lineRule="auto"/>
              <w:ind w:left="0" w:right="0" w:firstLine="480" w:firstLineChars="200"/>
              <w:rPr>
                <w:rFonts w:ascii="Times New Roman"/>
                <w:sz w:val="24"/>
                <w:szCs w:val="24"/>
              </w:rPr>
            </w:pPr>
            <w:bookmarkStart w:id="22" w:name="_Hlk156166166"/>
            <w:r>
              <w:rPr>
                <w:rFonts w:ascii="Times New Roman"/>
                <w:sz w:val="24"/>
                <w:szCs w:val="24"/>
              </w:rPr>
              <w:t>拟建220kV升压站</w:t>
            </w:r>
            <w:r>
              <w:rPr>
                <w:rFonts w:hint="eastAsia" w:ascii="Times New Roman"/>
                <w:bCs/>
                <w:sz w:val="24"/>
                <w:szCs w:val="24"/>
              </w:rPr>
              <w:t>项目</w:t>
            </w:r>
            <w:r>
              <w:rPr>
                <w:rFonts w:ascii="Times New Roman"/>
                <w:sz w:val="24"/>
                <w:szCs w:val="24"/>
              </w:rPr>
              <w:t>位于</w:t>
            </w:r>
            <w:r>
              <w:rPr>
                <w:rFonts w:ascii="Times New Roman"/>
                <w:sz w:val="24"/>
              </w:rPr>
              <w:t>河北省承德市承德县</w:t>
            </w:r>
            <w:r>
              <w:rPr>
                <w:rFonts w:hint="eastAsia" w:ascii="Times New Roman"/>
                <w:sz w:val="24"/>
              </w:rPr>
              <w:t>新杖子镇鹰手营村</w:t>
            </w:r>
            <w:r>
              <w:rPr>
                <w:rFonts w:ascii="Times New Roman"/>
                <w:sz w:val="24"/>
                <w:szCs w:val="24"/>
              </w:rPr>
              <w:t>，</w:t>
            </w:r>
            <w:r>
              <w:rPr>
                <w:rFonts w:hint="eastAsia" w:ascii="Times New Roman"/>
                <w:bCs/>
                <w:sz w:val="24"/>
                <w:szCs w:val="24"/>
              </w:rPr>
              <w:t>占地面</w:t>
            </w:r>
            <w:r>
              <w:rPr>
                <w:rFonts w:hint="eastAsia" w:ascii="Times New Roman"/>
                <w:bCs/>
                <w:color w:val="000000" w:themeColor="text1"/>
                <w:sz w:val="24"/>
                <w:szCs w:val="24"/>
              </w:rPr>
              <w:t>积</w:t>
            </w:r>
            <w:r>
              <w:rPr>
                <w:rFonts w:hint="eastAsia"/>
                <w:color w:val="000000" w:themeColor="text1"/>
                <w:sz w:val="24"/>
                <w:szCs w:val="24"/>
              </w:rPr>
              <w:t>39331.03m²</w:t>
            </w:r>
            <w:r>
              <w:rPr>
                <w:rFonts w:hint="eastAsia" w:ascii="Times New Roman"/>
                <w:bCs/>
                <w:color w:val="000000" w:themeColor="text1"/>
                <w:sz w:val="24"/>
                <w:szCs w:val="24"/>
              </w:rPr>
              <w:t>，(其中升压站场26631.03m</w:t>
            </w:r>
            <w:r>
              <w:rPr>
                <w:rFonts w:hint="eastAsia" w:ascii="Times New Roman"/>
                <w:bCs/>
                <w:color w:val="000000" w:themeColor="text1"/>
                <w:sz w:val="24"/>
                <w:szCs w:val="24"/>
                <w:vertAlign w:val="superscript"/>
              </w:rPr>
              <w:t>2</w:t>
            </w:r>
            <w:r>
              <w:rPr>
                <w:rFonts w:hint="eastAsia" w:ascii="Times New Roman"/>
                <w:bCs/>
                <w:color w:val="000000" w:themeColor="text1"/>
                <w:sz w:val="24"/>
                <w:szCs w:val="24"/>
              </w:rPr>
              <w:t>、护坡12700m</w:t>
            </w:r>
            <w:r>
              <w:rPr>
                <w:rFonts w:hint="eastAsia" w:ascii="Times New Roman"/>
                <w:bCs/>
                <w:color w:val="000000" w:themeColor="text1"/>
                <w:sz w:val="24"/>
                <w:szCs w:val="24"/>
                <w:vertAlign w:val="superscript"/>
              </w:rPr>
              <w:t>2</w:t>
            </w:r>
            <w:r>
              <w:rPr>
                <w:rFonts w:hint="eastAsia" w:ascii="Times New Roman"/>
                <w:bCs/>
                <w:color w:val="000000" w:themeColor="text1"/>
                <w:sz w:val="24"/>
                <w:szCs w:val="24"/>
              </w:rPr>
              <w:t>)，升压站场</w:t>
            </w:r>
            <w:r>
              <w:rPr>
                <w:rFonts w:hint="eastAsia" w:ascii="Times New Roman"/>
                <w:bCs/>
                <w:sz w:val="24"/>
                <w:szCs w:val="24"/>
              </w:rPr>
              <w:t>南北向长约158m，东西向长约118m，由生活区、生产区和储能区三个部分组成</w:t>
            </w:r>
            <w:r>
              <w:rPr>
                <w:rFonts w:ascii="Times New Roman"/>
                <w:bCs/>
                <w:sz w:val="24"/>
                <w:szCs w:val="24"/>
              </w:rPr>
              <w:t>。</w:t>
            </w:r>
            <w:bookmarkEnd w:id="22"/>
            <w:r>
              <w:rPr>
                <w:rFonts w:ascii="Times New Roman"/>
                <w:bCs/>
                <w:sz w:val="24"/>
                <w:szCs w:val="24"/>
              </w:rPr>
              <w:t>升压站</w:t>
            </w:r>
            <w:r>
              <w:rPr>
                <w:rFonts w:ascii="Times New Roman"/>
                <w:sz w:val="24"/>
                <w:szCs w:val="24"/>
              </w:rPr>
              <w:t>地理位置图详见附图7</w:t>
            </w:r>
            <w:r>
              <w:rPr>
                <w:rFonts w:hint="eastAsia" w:ascii="Times New Roman"/>
                <w:sz w:val="24"/>
                <w:szCs w:val="24"/>
              </w:rPr>
              <w:t>，本项目220kV升压站项目周边关系示意图详见附图8，升压站土地利用现状详见附图</w:t>
            </w:r>
            <w:r>
              <w:rPr>
                <w:rFonts w:ascii="Times New Roman"/>
                <w:sz w:val="24"/>
                <w:szCs w:val="24"/>
              </w:rPr>
              <w:t>9。</w:t>
            </w:r>
            <w:r>
              <w:rPr>
                <w:rFonts w:hint="eastAsia" w:ascii="Times New Roman"/>
                <w:sz w:val="24"/>
                <w:szCs w:val="24"/>
              </w:rPr>
              <w:t>升压站的拐点坐标详见表2</w:t>
            </w:r>
            <w:r>
              <w:rPr>
                <w:rFonts w:ascii="Times New Roman"/>
                <w:sz w:val="24"/>
                <w:szCs w:val="24"/>
              </w:rPr>
              <w:t>-2</w:t>
            </w:r>
            <w:r>
              <w:rPr>
                <w:rFonts w:hint="eastAsia" w:ascii="Times New Roman"/>
                <w:sz w:val="24"/>
                <w:szCs w:val="24"/>
              </w:rPr>
              <w:t>。</w:t>
            </w:r>
          </w:p>
          <w:p>
            <w:pPr>
              <w:keepNext w:val="0"/>
              <w:keepLines w:val="0"/>
              <w:widowControl w:val="0"/>
              <w:suppressLineNumbers w:val="0"/>
              <w:tabs>
                <w:tab w:val="left" w:pos="2852"/>
              </w:tabs>
              <w:adjustRightInd w:val="0"/>
              <w:snapToGrid w:val="0"/>
              <w:spacing w:before="0" w:beforeAutospacing="0" w:after="0" w:afterAutospacing="0" w:line="360" w:lineRule="auto"/>
              <w:ind w:left="0" w:right="0"/>
              <w:rPr>
                <w:rFonts w:ascii="Times New Roman"/>
                <w:sz w:val="24"/>
                <w:szCs w:val="24"/>
              </w:rPr>
            </w:pPr>
          </w:p>
          <w:p>
            <w:pPr>
              <w:pStyle w:val="27"/>
              <w:keepNext w:val="0"/>
              <w:keepLines w:val="0"/>
              <w:widowControl/>
              <w:suppressLineNumbers w:val="0"/>
              <w:spacing w:before="0" w:beforeAutospacing="0" w:after="0" w:afterAutospacing="0" w:line="360" w:lineRule="auto"/>
              <w:ind w:left="0" w:leftChars="0" w:right="0"/>
              <w:jc w:val="center"/>
              <w:rPr>
                <w:rFonts w:ascii="Times New Roman"/>
                <w:b/>
                <w:bCs/>
                <w:sz w:val="24"/>
                <w:szCs w:val="24"/>
              </w:rPr>
            </w:pPr>
            <w:r>
              <w:rPr>
                <w:rFonts w:ascii="Times New Roman"/>
                <w:b/>
                <w:bCs/>
                <w:sz w:val="24"/>
                <w:szCs w:val="24"/>
              </w:rPr>
              <w:t>表2-2  本项目升压站拐点坐标</w:t>
            </w:r>
          </w:p>
          <w:tbl>
            <w:tblPr>
              <w:tblStyle w:val="90"/>
              <w:tblW w:w="615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52"/>
              <w:gridCol w:w="2392"/>
              <w:gridCol w:w="24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52"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拐点</w:t>
                  </w:r>
                </w:p>
              </w:tc>
              <w:tc>
                <w:tcPr>
                  <w:tcW w:w="2392" w:type="dxa"/>
                  <w:vAlign w:val="center"/>
                </w:tcPr>
                <w:p>
                  <w:pPr>
                    <w:widowControl w:val="0"/>
                    <w:autoSpaceDE w:val="0"/>
                    <w:autoSpaceDN w:val="0"/>
                    <w:jc w:val="center"/>
                    <w:rPr>
                      <w:rFonts w:ascii="Times New Roman" w:hAnsi="Calibri"/>
                      <w:b/>
                      <w:bCs/>
                      <w:lang w:eastAsia="en-US"/>
                    </w:rPr>
                  </w:pPr>
                  <w:r>
                    <w:rPr>
                      <w:rFonts w:hint="eastAsia" w:ascii="Times New Roman" w:hAnsi="Calibri"/>
                      <w:b/>
                      <w:bCs/>
                      <w:lang w:eastAsia="en-US"/>
                    </w:rPr>
                    <w:t>东经</w:t>
                  </w:r>
                </w:p>
              </w:tc>
              <w:tc>
                <w:tcPr>
                  <w:tcW w:w="2410" w:type="dxa"/>
                  <w:vAlign w:val="center"/>
                </w:tcPr>
                <w:p>
                  <w:pPr>
                    <w:widowControl w:val="0"/>
                    <w:autoSpaceDE w:val="0"/>
                    <w:autoSpaceDN w:val="0"/>
                    <w:jc w:val="center"/>
                    <w:rPr>
                      <w:rFonts w:ascii="Times New Roman" w:hAnsi="Calibri"/>
                      <w:b/>
                      <w:bCs/>
                      <w:lang w:eastAsia="en-US"/>
                    </w:rPr>
                  </w:pPr>
                  <w:r>
                    <w:rPr>
                      <w:rFonts w:hint="eastAsia" w:ascii="Times New Roman" w:hAnsi="Calibri"/>
                      <w:b/>
                      <w:bCs/>
                      <w:lang w:eastAsia="en-US"/>
                    </w:rPr>
                    <w:t>北纬</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52" w:type="dxa"/>
                  <w:vAlign w:val="center"/>
                </w:tcPr>
                <w:p>
                  <w:pPr>
                    <w:widowControl w:val="0"/>
                    <w:autoSpaceDE w:val="0"/>
                    <w:autoSpaceDN w:val="0"/>
                    <w:jc w:val="center"/>
                    <w:rPr>
                      <w:rFonts w:ascii="Times New Roman" w:hAnsi="Calibri"/>
                      <w:lang w:eastAsia="en-US"/>
                    </w:rPr>
                  </w:pPr>
                  <w:r>
                    <w:rPr>
                      <w:rFonts w:ascii="Times New Roman" w:hAnsi="Calibri"/>
                      <w:lang w:eastAsia="en-US"/>
                    </w:rPr>
                    <w:t>J1</w:t>
                  </w:r>
                </w:p>
              </w:tc>
              <w:tc>
                <w:tcPr>
                  <w:tcW w:w="2392"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117°55′14.18160″</w:t>
                  </w:r>
                </w:p>
              </w:tc>
              <w:tc>
                <w:tcPr>
                  <w:tcW w:w="2410"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40°49′57.43200″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52" w:type="dxa"/>
                  <w:vAlign w:val="center"/>
                </w:tcPr>
                <w:p>
                  <w:pPr>
                    <w:widowControl w:val="0"/>
                    <w:autoSpaceDE w:val="0"/>
                    <w:autoSpaceDN w:val="0"/>
                    <w:jc w:val="center"/>
                    <w:rPr>
                      <w:rFonts w:ascii="Times New Roman" w:hAnsi="Calibri"/>
                      <w:lang w:eastAsia="en-US"/>
                    </w:rPr>
                  </w:pPr>
                  <w:r>
                    <w:rPr>
                      <w:rFonts w:ascii="Times New Roman" w:hAnsi="Calibri"/>
                      <w:lang w:eastAsia="en-US"/>
                    </w:rPr>
                    <w:t>J2</w:t>
                  </w:r>
                </w:p>
              </w:tc>
              <w:tc>
                <w:tcPr>
                  <w:tcW w:w="2392"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117°55′21.24840″</w:t>
                  </w:r>
                </w:p>
              </w:tc>
              <w:tc>
                <w:tcPr>
                  <w:tcW w:w="2410"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40°49′52.64400″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52" w:type="dxa"/>
                  <w:vAlign w:val="center"/>
                </w:tcPr>
                <w:p>
                  <w:pPr>
                    <w:widowControl w:val="0"/>
                    <w:autoSpaceDE w:val="0"/>
                    <w:autoSpaceDN w:val="0"/>
                    <w:jc w:val="center"/>
                    <w:rPr>
                      <w:rFonts w:ascii="Times New Roman" w:hAnsi="Calibri"/>
                      <w:lang w:eastAsia="en-US"/>
                    </w:rPr>
                  </w:pPr>
                  <w:r>
                    <w:rPr>
                      <w:rFonts w:ascii="Times New Roman" w:hAnsi="Calibri"/>
                      <w:lang w:eastAsia="en-US"/>
                    </w:rPr>
                    <w:t>J3</w:t>
                  </w:r>
                </w:p>
              </w:tc>
              <w:tc>
                <w:tcPr>
                  <w:tcW w:w="2392"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117°55′17.33160″</w:t>
                  </w:r>
                </w:p>
              </w:tc>
              <w:tc>
                <w:tcPr>
                  <w:tcW w:w="2410"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40°49′49.37880″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52" w:type="dxa"/>
                  <w:vAlign w:val="center"/>
                </w:tcPr>
                <w:p>
                  <w:pPr>
                    <w:widowControl w:val="0"/>
                    <w:autoSpaceDE w:val="0"/>
                    <w:autoSpaceDN w:val="0"/>
                    <w:jc w:val="center"/>
                    <w:rPr>
                      <w:rFonts w:ascii="Times New Roman" w:hAnsi="Calibri"/>
                      <w:lang w:eastAsia="en-US"/>
                    </w:rPr>
                  </w:pPr>
                  <w:r>
                    <w:rPr>
                      <w:rFonts w:ascii="Times New Roman" w:hAnsi="Calibri"/>
                      <w:lang w:eastAsia="en-US"/>
                    </w:rPr>
                    <w:t>J4</w:t>
                  </w:r>
                </w:p>
              </w:tc>
              <w:tc>
                <w:tcPr>
                  <w:tcW w:w="2392"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117°55′8.77800″</w:t>
                  </w:r>
                </w:p>
              </w:tc>
              <w:tc>
                <w:tcPr>
                  <w:tcW w:w="2410"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40°49′52.29480″</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0" w:firstLineChars="200"/>
              <w:rPr>
                <w:rFonts w:ascii="Times New Roman"/>
                <w:sz w:val="24"/>
                <w:szCs w:val="24"/>
              </w:rPr>
            </w:pPr>
            <w:r>
              <w:rPr>
                <w:rFonts w:ascii="Times New Roman"/>
                <w:sz w:val="24"/>
                <w:szCs w:val="24"/>
              </w:rPr>
              <w:t>(2)建设规模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bookmarkStart w:id="23" w:name="_Hlk156166177"/>
            <w:r>
              <w:rPr>
                <w:rFonts w:ascii="Times New Roman"/>
                <w:sz w:val="24"/>
                <w:szCs w:val="24"/>
              </w:rPr>
              <w:t>终期建设规模：2×210MVA主变压器，220kV配电装置主接线为单母线接线，规划220kV出线1回</w:t>
            </w:r>
            <w:r>
              <w:rPr>
                <w:rFonts w:hint="eastAsia" w:ascii="Times New Roman"/>
                <w:sz w:val="24"/>
                <w:szCs w:val="24"/>
              </w:rPr>
              <w:t>，接入热河220kV变电站(不在本次评价范围之内</w:t>
            </w:r>
            <w:r>
              <w:rPr>
                <w:rFonts w:ascii="Times New Roman"/>
                <w:sz w:val="24"/>
                <w:szCs w:val="24"/>
              </w:rPr>
              <w:t>)</w:t>
            </w:r>
            <w:r>
              <w:rPr>
                <w:rFonts w:hint="eastAsia" w:ascii="Times New Roman"/>
                <w:sz w:val="24"/>
                <w:szCs w:val="24"/>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本期建设规模：安装2台210MVA主变压器，电压等级为220/35kV。</w:t>
            </w:r>
            <w:r>
              <w:rPr>
                <w:rFonts w:hint="eastAsia" w:ascii="Times New Roman"/>
                <w:sz w:val="24"/>
                <w:szCs w:val="24"/>
              </w:rPr>
              <w:t>220kV采用GIS布置型式，采用单母线接线型式，本期建成单母线接线形式；35kV侧可采用多段单母线接线</w:t>
            </w:r>
            <w:r>
              <w:rPr>
                <w:rFonts w:ascii="Times New Roman"/>
                <w:sz w:val="24"/>
                <w:szCs w:val="24"/>
              </w:rPr>
              <w:t>。</w:t>
            </w:r>
            <w:r>
              <w:rPr>
                <w:rFonts w:hint="eastAsia" w:ascii="Times New Roman"/>
                <w:sz w:val="24"/>
                <w:szCs w:val="24"/>
              </w:rPr>
              <w:t>本工程光伏以及储能装置，通过20回（光伏区16回、储能区4回）35kV集电线路接入220kV升压站的35kV母线，35kV采用高压开关柜布置型式。</w:t>
            </w:r>
          </w:p>
          <w:bookmarkEnd w:id="23"/>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(3)升压站平面布置</w:t>
            </w:r>
          </w:p>
          <w:p>
            <w:pPr>
              <w:keepNext w:val="0"/>
              <w:keepLines w:val="0"/>
              <w:widowControl w:val="0"/>
              <w:suppressLineNumbers w:val="0"/>
              <w:tabs>
                <w:tab w:val="left" w:pos="2852"/>
              </w:tabs>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升压站内主要建(构)筑物包括：</w:t>
            </w:r>
            <w:r>
              <w:rPr>
                <w:rFonts w:hint="eastAsia" w:ascii="Times New Roman"/>
                <w:sz w:val="24"/>
                <w:szCs w:val="24"/>
              </w:rPr>
              <w:t>综合楼、继电器室、危废暂存间等建筑物和事故油池、消防水池</w:t>
            </w:r>
            <w:r>
              <w:rPr>
                <w:rFonts w:ascii="Times New Roman"/>
                <w:sz w:val="24"/>
                <w:szCs w:val="24"/>
              </w:rPr>
              <w:t>等构筑物。整个站区分为生活区、生产区及储能区三部分。生活区位于升压站</w:t>
            </w:r>
            <w:r>
              <w:rPr>
                <w:rFonts w:hint="eastAsia" w:ascii="Times New Roman"/>
                <w:sz w:val="24"/>
                <w:szCs w:val="24"/>
              </w:rPr>
              <w:t>东北部</w:t>
            </w:r>
            <w:r>
              <w:rPr>
                <w:rFonts w:ascii="Times New Roman"/>
                <w:sz w:val="24"/>
                <w:szCs w:val="24"/>
              </w:rPr>
              <w:t>，生产区位于升压站</w:t>
            </w:r>
            <w:r>
              <w:rPr>
                <w:rFonts w:hint="eastAsia" w:ascii="Times New Roman"/>
                <w:sz w:val="24"/>
                <w:szCs w:val="24"/>
              </w:rPr>
              <w:t>南</w:t>
            </w:r>
            <w:r>
              <w:rPr>
                <w:rFonts w:ascii="Times New Roman"/>
                <w:sz w:val="24"/>
                <w:szCs w:val="24"/>
              </w:rPr>
              <w:t>部，储能区域位于升压站</w:t>
            </w:r>
            <w:r>
              <w:rPr>
                <w:rFonts w:hint="eastAsia" w:ascii="Times New Roman"/>
                <w:sz w:val="24"/>
                <w:szCs w:val="24"/>
              </w:rPr>
              <w:t>北部</w:t>
            </w:r>
            <w:r>
              <w:rPr>
                <w:rFonts w:ascii="Times New Roman"/>
                <w:sz w:val="24"/>
                <w:szCs w:val="24"/>
              </w:rPr>
              <w:t>。</w:t>
            </w:r>
          </w:p>
          <w:p>
            <w:pPr>
              <w:keepNext w:val="0"/>
              <w:keepLines w:val="0"/>
              <w:widowControl w:val="0"/>
              <w:suppressLineNumbers w:val="0"/>
              <w:tabs>
                <w:tab w:val="left" w:pos="2852"/>
              </w:tabs>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生活区：综合楼布置在生活区中心，危废暂存间位于生活区东侧、消防水池位于生活区南侧；配电生产区布置在升压站中部，与生活区用围栏隔开，事故油池位于配电生产区西南角。</w:t>
            </w:r>
          </w:p>
          <w:p>
            <w:pPr>
              <w:keepNext w:val="0"/>
              <w:keepLines w:val="0"/>
              <w:widowControl w:val="0"/>
              <w:suppressLineNumbers w:val="0"/>
              <w:tabs>
                <w:tab w:val="left" w:pos="2852"/>
              </w:tabs>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生产区：35k</w:t>
            </w:r>
            <w:r>
              <w:rPr>
                <w:rFonts w:ascii="Times New Roman"/>
                <w:sz w:val="24"/>
                <w:szCs w:val="24"/>
              </w:rPr>
              <w:t>V</w:t>
            </w:r>
            <w:r>
              <w:rPr>
                <w:rFonts w:hint="eastAsia" w:ascii="Times New Roman"/>
                <w:sz w:val="24"/>
                <w:szCs w:val="24"/>
              </w:rPr>
              <w:t>配电装置、主变压器、站用变压器、SVG等布置于配电生产区内，配电装置区和储能装置区均设有环形道路。</w:t>
            </w:r>
          </w:p>
          <w:p>
            <w:pPr>
              <w:keepNext w:val="0"/>
              <w:keepLines w:val="0"/>
              <w:widowControl w:val="0"/>
              <w:suppressLineNumbers w:val="0"/>
              <w:tabs>
                <w:tab w:val="left" w:pos="2852"/>
              </w:tabs>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储能区：储能容量84MW/168MWh，</w:t>
            </w:r>
            <w:r>
              <w:rPr>
                <w:rFonts w:ascii="Times New Roman"/>
                <w:sz w:val="24"/>
                <w:szCs w:val="24"/>
              </w:rPr>
              <w:t>其中16套采用5MW/10.031MWh，1套采用4MW/8.359MWh储能系统</w:t>
            </w:r>
            <w:r>
              <w:rPr>
                <w:rFonts w:hint="eastAsia" w:ascii="Times New Roman"/>
                <w:sz w:val="24"/>
                <w:szCs w:val="24"/>
              </w:rPr>
              <w:t>，共17个单元，通过4回35kV并网线路分别接入升压站35kV母线，每个储能单元由升压户外柜机和储能一体化户外柜组成。储能一体化户外柜内集成磷酸铁锂电池组，储能变流器，液冷系统等。</w:t>
            </w:r>
          </w:p>
          <w:p>
            <w:pPr>
              <w:keepNext w:val="0"/>
              <w:keepLines w:val="0"/>
              <w:widowControl w:val="0"/>
              <w:suppressLineNumbers w:val="0"/>
              <w:tabs>
                <w:tab w:val="left" w:pos="2852"/>
              </w:tabs>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站址处现状照片如下：</w:t>
            </w:r>
          </w:p>
          <w:tbl>
            <w:tblPr>
              <w:tblStyle w:val="55"/>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4"/>
              <w:gridCol w:w="4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0" w:type="dxa"/>
                  <w:gridSpan w:val="2"/>
                </w:tcPr>
                <w:p>
                  <w:pPr>
                    <w:keepNext w:val="0"/>
                    <w:keepLines w:val="0"/>
                    <w:widowControl w:val="0"/>
                    <w:suppressLineNumbers w:val="0"/>
                    <w:adjustRightInd w:val="0"/>
                    <w:snapToGrid w:val="0"/>
                    <w:spacing w:before="0" w:beforeAutospacing="0" w:after="0" w:afterAutospacing="0"/>
                    <w:ind w:left="0" w:right="0"/>
                    <w:jc w:val="center"/>
                    <w:rPr>
                      <w:rFonts w:ascii="Times New Roman"/>
                      <w:bCs/>
                      <w:sz w:val="24"/>
                      <w:szCs w:val="24"/>
                    </w:rPr>
                  </w:pPr>
                  <w:r>
                    <w:rPr>
                      <w:rFonts w:hint="eastAsia" w:ascii="Times New Roman"/>
                      <w:bCs/>
                      <w:sz w:val="24"/>
                      <w:szCs w:val="24"/>
                    </w:rPr>
                    <w:drawing>
                      <wp:inline distT="0" distB="0" distL="114300" distR="114300">
                        <wp:extent cx="5073015" cy="3803650"/>
                        <wp:effectExtent l="0" t="0" r="1905" b="6350"/>
                        <wp:docPr id="11" name="图片 11" descr="a6a3338c61a80ddc0968a79121e6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6a3338c61a80ddc0968a79121e6ee5"/>
                                <pic:cNvPicPr>
                                  <a:picLocks noChangeAspect="1"/>
                                </pic:cNvPicPr>
                              </pic:nvPicPr>
                              <pic:blipFill>
                                <a:blip r:embed="rId21"/>
                                <a:stretch>
                                  <a:fillRect/>
                                </a:stretch>
                              </pic:blipFill>
                              <pic:spPr>
                                <a:xfrm>
                                  <a:off x="0" y="0"/>
                                  <a:ext cx="5073015" cy="3803650"/>
                                </a:xfrm>
                                <a:prstGeom prst="rect">
                                  <a:avLst/>
                                </a:prstGeom>
                              </pic:spPr>
                            </pic:pic>
                          </a:graphicData>
                        </a:graphic>
                      </wp:inline>
                    </w:drawing>
                  </w:r>
                </w:p>
                <w:p>
                  <w:pPr>
                    <w:pStyle w:val="27"/>
                    <w:keepNext w:val="0"/>
                    <w:keepLines w:val="0"/>
                    <w:widowControl w:val="0"/>
                    <w:suppressLineNumbers w:val="0"/>
                    <w:adjustRightInd w:val="0"/>
                    <w:snapToGrid w:val="0"/>
                    <w:spacing w:before="0" w:beforeAutospacing="0" w:after="0" w:afterAutospacing="0"/>
                    <w:ind w:left="0" w:leftChars="0" w:right="0"/>
                    <w:jc w:val="center"/>
                    <w:rPr>
                      <w:rFonts w:ascii="Times New Roman"/>
                    </w:rPr>
                  </w:pPr>
                  <w:r>
                    <w:rPr>
                      <w:rFonts w:ascii="Times New Roman"/>
                    </w:rPr>
                    <w:t>拟建站址处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99" w:type="dxa"/>
                </w:tcPr>
                <w:p>
                  <w:pPr>
                    <w:keepNext w:val="0"/>
                    <w:keepLines w:val="0"/>
                    <w:widowControl w:val="0"/>
                    <w:suppressLineNumbers w:val="0"/>
                    <w:adjustRightInd w:val="0"/>
                    <w:snapToGrid w:val="0"/>
                    <w:spacing w:before="0" w:beforeAutospacing="0" w:after="0" w:afterAutospacing="0"/>
                    <w:ind w:left="0" w:right="0"/>
                    <w:rPr>
                      <w:rFonts w:ascii="Times New Roman"/>
                      <w:bCs/>
                      <w:sz w:val="24"/>
                      <w:szCs w:val="24"/>
                    </w:rPr>
                  </w:pPr>
                  <w:r>
                    <w:rPr>
                      <w:rFonts w:hint="eastAsia" w:ascii="Times New Roman"/>
                      <w:bCs/>
                      <w:sz w:val="24"/>
                      <w:szCs w:val="24"/>
                    </w:rPr>
                    <w:drawing>
                      <wp:inline distT="0" distB="0" distL="114300" distR="114300">
                        <wp:extent cx="2464435" cy="1847215"/>
                        <wp:effectExtent l="0" t="0" r="4445" b="12065"/>
                        <wp:docPr id="13" name="图片 13"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东"/>
                                <pic:cNvPicPr>
                                  <a:picLocks noChangeAspect="1"/>
                                </pic:cNvPicPr>
                              </pic:nvPicPr>
                              <pic:blipFill>
                                <a:blip r:embed="rId22"/>
                                <a:stretch>
                                  <a:fillRect/>
                                </a:stretch>
                              </pic:blipFill>
                              <pic:spPr>
                                <a:xfrm>
                                  <a:off x="0" y="0"/>
                                  <a:ext cx="2464435" cy="1847215"/>
                                </a:xfrm>
                                <a:prstGeom prst="rect">
                                  <a:avLst/>
                                </a:prstGeom>
                              </pic:spPr>
                            </pic:pic>
                          </a:graphicData>
                        </a:graphic>
                      </wp:inline>
                    </w:drawing>
                  </w:r>
                </w:p>
                <w:p>
                  <w:pPr>
                    <w:pStyle w:val="27"/>
                    <w:keepNext w:val="0"/>
                    <w:keepLines w:val="0"/>
                    <w:widowControl w:val="0"/>
                    <w:suppressLineNumbers w:val="0"/>
                    <w:adjustRightInd w:val="0"/>
                    <w:snapToGrid w:val="0"/>
                    <w:spacing w:before="0" w:beforeAutospacing="0" w:after="0" w:afterAutospacing="0"/>
                    <w:ind w:left="0" w:leftChars="0" w:right="0"/>
                    <w:jc w:val="center"/>
                    <w:rPr>
                      <w:rFonts w:ascii="Times New Roman"/>
                    </w:rPr>
                  </w:pPr>
                  <w:r>
                    <w:rPr>
                      <w:rFonts w:ascii="Times New Roman"/>
                    </w:rPr>
                    <w:t>拟建站址东侧</w:t>
                  </w:r>
                </w:p>
              </w:tc>
              <w:tc>
                <w:tcPr>
                  <w:tcW w:w="4111" w:type="dxa"/>
                </w:tcPr>
                <w:p>
                  <w:pPr>
                    <w:keepNext w:val="0"/>
                    <w:keepLines w:val="0"/>
                    <w:widowControl w:val="0"/>
                    <w:suppressLineNumbers w:val="0"/>
                    <w:adjustRightInd w:val="0"/>
                    <w:snapToGrid w:val="0"/>
                    <w:spacing w:before="0" w:beforeAutospacing="0" w:after="0" w:afterAutospacing="0"/>
                    <w:ind w:left="0" w:right="0"/>
                    <w:rPr>
                      <w:rFonts w:ascii="Times New Roman"/>
                      <w:bCs/>
                      <w:sz w:val="24"/>
                      <w:szCs w:val="24"/>
                    </w:rPr>
                  </w:pPr>
                  <w:r>
                    <w:rPr>
                      <w:rFonts w:ascii="Times New Roman"/>
                    </w:rPr>
                    <w:drawing>
                      <wp:inline distT="0" distB="0" distL="114300" distR="114300">
                        <wp:extent cx="2471420" cy="1852930"/>
                        <wp:effectExtent l="0" t="0" r="12700" b="6350"/>
                        <wp:docPr id="14" name="图片 14" descr="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南1"/>
                                <pic:cNvPicPr>
                                  <a:picLocks noChangeAspect="1"/>
                                </pic:cNvPicPr>
                              </pic:nvPicPr>
                              <pic:blipFill>
                                <a:blip r:embed="rId23"/>
                                <a:stretch>
                                  <a:fillRect/>
                                </a:stretch>
                              </pic:blipFill>
                              <pic:spPr>
                                <a:xfrm>
                                  <a:off x="0" y="0"/>
                                  <a:ext cx="2471420" cy="1852930"/>
                                </a:xfrm>
                                <a:prstGeom prst="rect">
                                  <a:avLst/>
                                </a:prstGeom>
                              </pic:spPr>
                            </pic:pic>
                          </a:graphicData>
                        </a:graphic>
                      </wp:inline>
                    </w:drawing>
                  </w:r>
                </w:p>
                <w:p>
                  <w:pPr>
                    <w:pStyle w:val="27"/>
                    <w:keepNext w:val="0"/>
                    <w:keepLines w:val="0"/>
                    <w:widowControl w:val="0"/>
                    <w:suppressLineNumbers w:val="0"/>
                    <w:adjustRightInd w:val="0"/>
                    <w:snapToGrid w:val="0"/>
                    <w:spacing w:before="0" w:beforeAutospacing="0" w:after="0" w:afterAutospacing="0"/>
                    <w:ind w:left="0" w:leftChars="0" w:right="0"/>
                    <w:jc w:val="center"/>
                    <w:rPr>
                      <w:rFonts w:ascii="Times New Roman"/>
                    </w:rPr>
                  </w:pPr>
                  <w:r>
                    <w:rPr>
                      <w:rFonts w:ascii="Times New Roman"/>
                    </w:rPr>
                    <w:t>拟建站址南侧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9" w:type="dxa"/>
                </w:tcPr>
                <w:p>
                  <w:pPr>
                    <w:keepNext w:val="0"/>
                    <w:keepLines w:val="0"/>
                    <w:widowControl w:val="0"/>
                    <w:suppressLineNumbers w:val="0"/>
                    <w:adjustRightInd w:val="0"/>
                    <w:snapToGrid w:val="0"/>
                    <w:spacing w:before="0" w:beforeAutospacing="0" w:after="0" w:afterAutospacing="0"/>
                    <w:ind w:left="0" w:right="0"/>
                    <w:jc w:val="center"/>
                    <w:rPr>
                      <w:rFonts w:ascii="Times New Roman"/>
                      <w:bCs/>
                      <w:sz w:val="24"/>
                      <w:szCs w:val="24"/>
                    </w:rPr>
                  </w:pPr>
                  <w:r>
                    <w:rPr>
                      <w:rFonts w:hint="eastAsia" w:ascii="Times New Roman"/>
                      <w:bCs/>
                      <w:sz w:val="24"/>
                      <w:szCs w:val="24"/>
                    </w:rPr>
                    <w:drawing>
                      <wp:inline distT="0" distB="0" distL="114300" distR="114300">
                        <wp:extent cx="2464435" cy="1847215"/>
                        <wp:effectExtent l="0" t="0" r="4445" b="12065"/>
                        <wp:docPr id="15" name="图片 15" descr="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西1"/>
                                <pic:cNvPicPr>
                                  <a:picLocks noChangeAspect="1"/>
                                </pic:cNvPicPr>
                              </pic:nvPicPr>
                              <pic:blipFill>
                                <a:blip r:embed="rId24"/>
                                <a:stretch>
                                  <a:fillRect/>
                                </a:stretch>
                              </pic:blipFill>
                              <pic:spPr>
                                <a:xfrm>
                                  <a:off x="0" y="0"/>
                                  <a:ext cx="2464435" cy="1847215"/>
                                </a:xfrm>
                                <a:prstGeom prst="rect">
                                  <a:avLst/>
                                </a:prstGeom>
                              </pic:spPr>
                            </pic:pic>
                          </a:graphicData>
                        </a:graphic>
                      </wp:inline>
                    </w:drawing>
                  </w:r>
                </w:p>
                <w:p>
                  <w:pPr>
                    <w:pStyle w:val="27"/>
                    <w:keepNext w:val="0"/>
                    <w:keepLines w:val="0"/>
                    <w:widowControl w:val="0"/>
                    <w:suppressLineNumbers w:val="0"/>
                    <w:adjustRightInd w:val="0"/>
                    <w:snapToGrid w:val="0"/>
                    <w:spacing w:before="0" w:beforeAutospacing="0" w:after="0" w:afterAutospacing="0"/>
                    <w:ind w:left="0" w:leftChars="0" w:right="0"/>
                    <w:jc w:val="center"/>
                    <w:rPr>
                      <w:rFonts w:ascii="Times New Roman"/>
                    </w:rPr>
                  </w:pPr>
                  <w:r>
                    <w:rPr>
                      <w:rFonts w:ascii="Times New Roman"/>
                    </w:rPr>
                    <w:t>拟建站址西侧</w:t>
                  </w:r>
                </w:p>
              </w:tc>
              <w:tc>
                <w:tcPr>
                  <w:tcW w:w="4111" w:type="dxa"/>
                </w:tcPr>
                <w:p>
                  <w:pPr>
                    <w:keepNext w:val="0"/>
                    <w:keepLines w:val="0"/>
                    <w:widowControl w:val="0"/>
                    <w:suppressLineNumbers w:val="0"/>
                    <w:adjustRightInd w:val="0"/>
                    <w:snapToGrid w:val="0"/>
                    <w:spacing w:before="0" w:beforeAutospacing="0" w:after="0" w:afterAutospacing="0"/>
                    <w:ind w:left="0" w:right="0"/>
                    <w:jc w:val="center"/>
                    <w:rPr>
                      <w:rFonts w:ascii="Times New Roman"/>
                      <w:bCs/>
                      <w:sz w:val="24"/>
                      <w:szCs w:val="24"/>
                    </w:rPr>
                  </w:pPr>
                  <w:r>
                    <w:rPr>
                      <w:rFonts w:hint="eastAsia" w:ascii="Times New Roman"/>
                      <w:bCs/>
                      <w:sz w:val="24"/>
                      <w:szCs w:val="24"/>
                    </w:rPr>
                    <w:drawing>
                      <wp:inline distT="0" distB="0" distL="114300" distR="114300">
                        <wp:extent cx="2471420" cy="1852930"/>
                        <wp:effectExtent l="0" t="0" r="12700" b="6350"/>
                        <wp:docPr id="16" name="图片 16" descr="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北"/>
                                <pic:cNvPicPr>
                                  <a:picLocks noChangeAspect="1"/>
                                </pic:cNvPicPr>
                              </pic:nvPicPr>
                              <pic:blipFill>
                                <a:blip r:embed="rId25"/>
                                <a:stretch>
                                  <a:fillRect/>
                                </a:stretch>
                              </pic:blipFill>
                              <pic:spPr>
                                <a:xfrm>
                                  <a:off x="0" y="0"/>
                                  <a:ext cx="2471420" cy="1852930"/>
                                </a:xfrm>
                                <a:prstGeom prst="rect">
                                  <a:avLst/>
                                </a:prstGeom>
                              </pic:spPr>
                            </pic:pic>
                          </a:graphicData>
                        </a:graphic>
                      </wp:inline>
                    </w:drawing>
                  </w:r>
                </w:p>
                <w:p>
                  <w:pPr>
                    <w:pStyle w:val="27"/>
                    <w:keepNext w:val="0"/>
                    <w:keepLines w:val="0"/>
                    <w:widowControl w:val="0"/>
                    <w:suppressLineNumbers w:val="0"/>
                    <w:adjustRightInd w:val="0"/>
                    <w:snapToGrid w:val="0"/>
                    <w:spacing w:before="0" w:beforeAutospacing="0" w:after="0" w:afterAutospacing="0"/>
                    <w:ind w:left="0" w:leftChars="0" w:right="0"/>
                    <w:jc w:val="center"/>
                    <w:rPr>
                      <w:rFonts w:ascii="Times New Roman"/>
                    </w:rPr>
                  </w:pPr>
                  <w:r>
                    <w:rPr>
                      <w:rFonts w:ascii="Times New Roman"/>
                    </w:rPr>
                    <w:t>拟建站址北侧</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0" w:firstLineChars="200"/>
              <w:rPr>
                <w:rFonts w:ascii="Times New Roman"/>
                <w:bCs/>
                <w:sz w:val="24"/>
                <w:szCs w:val="24"/>
              </w:rPr>
            </w:pPr>
            <w:r>
              <w:rPr>
                <w:rFonts w:ascii="Times New Roman"/>
                <w:bCs/>
                <w:sz w:val="24"/>
                <w:szCs w:val="24"/>
              </w:rPr>
              <w:t>升压站电气化</w:t>
            </w:r>
            <w:r>
              <w:rPr>
                <w:rFonts w:hint="eastAsia" w:ascii="Times New Roman"/>
                <w:bCs/>
                <w:sz w:val="24"/>
                <w:szCs w:val="24"/>
              </w:rPr>
              <w:t>总平面</w:t>
            </w:r>
            <w:r>
              <w:rPr>
                <w:rFonts w:ascii="Times New Roman"/>
                <w:bCs/>
                <w:sz w:val="24"/>
                <w:szCs w:val="24"/>
              </w:rPr>
              <w:t>布置图详见附图10。</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(4)主要通用设备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(1)220kV配电装置</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本站220kV配电装置采用户外GIS方案(预制舱内放置)，建设主进间隔2套、出线间隔1套、PT间隔1套、预留主进间隔1套，进出线采用架空型式。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(2)35kV配电装置</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本站35kV配电装置采用手车式户内高压开关柜，35kV侧选用扩大单元接线，35kV母线采用两个分支，用35kV绝缘管母线跨接的方案</w:t>
            </w:r>
            <w:r>
              <w:rPr>
                <w:rFonts w:ascii="Times New Roman"/>
                <w:sz w:val="24"/>
                <w:szCs w:val="24"/>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GIS与35kV预制舱成对侧布置，分别布置在主变压器的高低压侧。主变压器高压侧采用架空线与220kVGIS相连，低压侧通过绝缘管母线与35kV开关柜相连。</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升压站内设备主要见表2-3。</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center"/>
              <w:rPr>
                <w:rFonts w:ascii="Times New Roman"/>
                <w:b/>
                <w:bCs/>
                <w:sz w:val="24"/>
                <w:szCs w:val="24"/>
              </w:rPr>
            </w:pPr>
            <w:r>
              <w:rPr>
                <w:rFonts w:ascii="Times New Roman"/>
                <w:b/>
                <w:bCs/>
                <w:sz w:val="24"/>
                <w:szCs w:val="24"/>
              </w:rPr>
              <w:t>表2-3  升压站内主要设备</w:t>
            </w:r>
          </w:p>
          <w:tbl>
            <w:tblPr>
              <w:tblStyle w:val="54"/>
              <w:tblW w:w="807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948"/>
              <w:gridCol w:w="948"/>
              <w:gridCol w:w="1975"/>
              <w:gridCol w:w="2785"/>
              <w:gridCol w:w="14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4" w:hRule="atLeast"/>
              </w:trPr>
              <w:tc>
                <w:tcPr>
                  <w:tcW w:w="8073" w:type="dxa"/>
                  <w:gridSpan w:val="5"/>
                  <w:tcBorders>
                    <w:top w:val="single" w:color="auto" w:sz="12" w:space="0"/>
                    <w:left w:val="nil"/>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rPr>
                      <w:rFonts w:ascii="Times New Roman"/>
                      <w:b/>
                      <w:bCs/>
                    </w:rPr>
                  </w:pPr>
                  <w:r>
                    <w:rPr>
                      <w:rFonts w:ascii="Times New Roman"/>
                      <w:b/>
                      <w:bCs/>
                      <w:sz w:val="24"/>
                      <w:szCs w:val="24"/>
                    </w:rPr>
                    <w:t>主变压器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项目</w:t>
                  </w:r>
                </w:p>
              </w:tc>
              <w:tc>
                <w:tcPr>
                  <w:tcW w:w="6177" w:type="dxa"/>
                  <w:gridSpan w:val="3"/>
                  <w:tcBorders>
                    <w:top w:val="single" w:color="auto" w:sz="4" w:space="0"/>
                    <w:left w:val="single" w:color="auto" w:sz="4" w:space="0"/>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参数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型式</w:t>
                  </w:r>
                </w:p>
              </w:tc>
              <w:tc>
                <w:tcPr>
                  <w:tcW w:w="6177" w:type="dxa"/>
                  <w:gridSpan w:val="3"/>
                  <w:tcBorders>
                    <w:top w:val="single" w:color="auto" w:sz="4" w:space="0"/>
                    <w:left w:val="single" w:color="auto" w:sz="4" w:space="0"/>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三相双绕组，油浸式有载调压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容量</w:t>
                  </w:r>
                </w:p>
              </w:tc>
              <w:tc>
                <w:tcPr>
                  <w:tcW w:w="6177" w:type="dxa"/>
                  <w:gridSpan w:val="3"/>
                  <w:tcBorders>
                    <w:top w:val="single" w:color="auto" w:sz="4" w:space="0"/>
                    <w:left w:val="single" w:color="auto" w:sz="4" w:space="0"/>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21</w:t>
                  </w:r>
                  <w:r>
                    <w:rPr>
                      <w:rFonts w:ascii="Times New Roman"/>
                    </w:rPr>
                    <w:t>0/</w:t>
                  </w:r>
                  <w:r>
                    <w:rPr>
                      <w:rFonts w:hint="eastAsia" w:ascii="Times New Roman"/>
                    </w:rPr>
                    <w:t>2</w:t>
                  </w:r>
                  <w:r>
                    <w:rPr>
                      <w:rFonts w:ascii="Times New Roman"/>
                    </w:rPr>
                    <w:t>10MVA</w:t>
                  </w:r>
                  <w:r>
                    <w:rPr>
                      <w:rFonts w:hint="eastAsia" w:ascii="Times New Roman"/>
                    </w:rPr>
                    <w:t>，2台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额定电压</w:t>
                  </w:r>
                </w:p>
              </w:tc>
              <w:tc>
                <w:tcPr>
                  <w:tcW w:w="6177" w:type="dxa"/>
                  <w:gridSpan w:val="3"/>
                  <w:tcBorders>
                    <w:top w:val="single" w:color="auto" w:sz="4" w:space="0"/>
                    <w:left w:val="single" w:color="auto" w:sz="4" w:space="0"/>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230</w:t>
                  </w:r>
                  <w:r>
                    <w:rPr>
                      <w:rFonts w:ascii="Times New Roman"/>
                    </w:rPr>
                    <w:t>±8×1.25%/37kV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接线组别</w:t>
                  </w:r>
                </w:p>
              </w:tc>
              <w:tc>
                <w:tcPr>
                  <w:tcW w:w="6177" w:type="dxa"/>
                  <w:gridSpan w:val="3"/>
                  <w:tcBorders>
                    <w:top w:val="single" w:color="auto" w:sz="4" w:space="0"/>
                    <w:left w:val="single" w:color="auto" w:sz="4" w:space="0"/>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YNd11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阻抗电压</w:t>
                  </w:r>
                </w:p>
              </w:tc>
              <w:tc>
                <w:tcPr>
                  <w:tcW w:w="6177" w:type="dxa"/>
                  <w:gridSpan w:val="3"/>
                  <w:tcBorders>
                    <w:top w:val="single" w:color="auto" w:sz="4" w:space="0"/>
                    <w:left w:val="single" w:color="auto" w:sz="4" w:space="0"/>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Uk%＝1</w:t>
                  </w:r>
                  <w:r>
                    <w:rPr>
                      <w:rFonts w:hint="eastAsia" w:ascii="Times New Roman"/>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冷却方式</w:t>
                  </w:r>
                </w:p>
              </w:tc>
              <w:tc>
                <w:tcPr>
                  <w:tcW w:w="6177" w:type="dxa"/>
                  <w:gridSpan w:val="3"/>
                  <w:tcBorders>
                    <w:top w:val="single" w:color="auto" w:sz="4" w:space="0"/>
                    <w:left w:val="single" w:color="auto" w:sz="4" w:space="0"/>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自然油循环自冷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套管CT</w:t>
                  </w:r>
                </w:p>
              </w:tc>
              <w:tc>
                <w:tcPr>
                  <w:tcW w:w="1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高压套管</w:t>
                  </w:r>
                </w:p>
              </w:tc>
              <w:tc>
                <w:tcPr>
                  <w:tcW w:w="4202" w:type="dxa"/>
                  <w:gridSpan w:val="2"/>
                  <w:tcBorders>
                    <w:top w:val="single" w:color="auto" w:sz="4" w:space="0"/>
                    <w:left w:val="single" w:color="auto" w:sz="4" w:space="0"/>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75</w:t>
                  </w:r>
                  <w:r>
                    <w:rPr>
                      <w:rFonts w:ascii="Times New Roman"/>
                    </w:rPr>
                    <w:t>0/1A  0.5</w:t>
                  </w:r>
                </w:p>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25</w:t>
                  </w:r>
                  <w:r>
                    <w:rPr>
                      <w:rFonts w:ascii="Times New Roman"/>
                    </w:rPr>
                    <w:t>00/1A   5P30/5P30</w:t>
                  </w:r>
                </w:p>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外绝缘爬电距离不小于</w:t>
                  </w:r>
                  <w:r>
                    <w:rPr>
                      <w:rFonts w:hint="eastAsia" w:ascii="Times New Roman"/>
                    </w:rPr>
                    <w:t>7812</w:t>
                  </w:r>
                  <w:r>
                    <w:rPr>
                      <w:rFonts w:ascii="Times New Roman"/>
                    </w:rPr>
                    <w:t>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rPr>
                      <w:rFonts w:ascii="Times New Roman"/>
                    </w:rPr>
                  </w:pPr>
                </w:p>
              </w:tc>
              <w:tc>
                <w:tcPr>
                  <w:tcW w:w="1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低压套管</w:t>
                  </w:r>
                </w:p>
              </w:tc>
              <w:tc>
                <w:tcPr>
                  <w:tcW w:w="4202" w:type="dxa"/>
                  <w:gridSpan w:val="2"/>
                  <w:tcBorders>
                    <w:top w:val="single" w:color="auto" w:sz="4" w:space="0"/>
                    <w:left w:val="single" w:color="auto" w:sz="4" w:space="0"/>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无CT；外绝缘爬电距离不小于1256mm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vMerge w:val="continue"/>
                  <w:tcBorders>
                    <w:top w:val="single" w:color="auto" w:sz="4" w:space="0"/>
                    <w:left w:val="nil"/>
                    <w:bottom w:val="single" w:color="auto" w:sz="12" w:space="0"/>
                    <w:right w:val="single" w:color="auto" w:sz="4" w:space="0"/>
                  </w:tcBorders>
                  <w:vAlign w:val="center"/>
                </w:tcPr>
                <w:p>
                  <w:pPr>
                    <w:keepNext w:val="0"/>
                    <w:keepLines w:val="0"/>
                    <w:widowControl/>
                    <w:suppressLineNumbers w:val="0"/>
                    <w:snapToGrid w:val="0"/>
                    <w:spacing w:before="0" w:beforeAutospacing="0" w:after="0" w:afterAutospacing="0"/>
                    <w:ind w:left="0" w:right="0"/>
                    <w:rPr>
                      <w:rFonts w:ascii="Times New Roman"/>
                    </w:rPr>
                  </w:pPr>
                </w:p>
              </w:tc>
              <w:tc>
                <w:tcPr>
                  <w:tcW w:w="1975" w:type="dxa"/>
                  <w:tcBorders>
                    <w:top w:val="single" w:color="auto" w:sz="4" w:space="0"/>
                    <w:left w:val="single" w:color="auto" w:sz="4" w:space="0"/>
                    <w:bottom w:val="single" w:color="auto" w:sz="12"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高压中性点套管</w:t>
                  </w:r>
                </w:p>
              </w:tc>
              <w:tc>
                <w:tcPr>
                  <w:tcW w:w="4202" w:type="dxa"/>
                  <w:gridSpan w:val="2"/>
                  <w:tcBorders>
                    <w:top w:val="single" w:color="auto" w:sz="4" w:space="0"/>
                    <w:left w:val="single" w:color="auto" w:sz="4" w:space="0"/>
                    <w:bottom w:val="single" w:color="auto" w:sz="12"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300/1A</w:t>
                  </w:r>
                </w:p>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5P30/5P30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8073" w:type="dxa"/>
                  <w:gridSpan w:val="5"/>
                  <w:tcBorders>
                    <w:top w:val="single" w:color="auto" w:sz="12" w:space="0"/>
                    <w:left w:val="nil"/>
                    <w:bottom w:val="single" w:color="auto" w:sz="12" w:space="0"/>
                    <w:right w:val="nil"/>
                  </w:tcBorders>
                  <w:vAlign w:val="center"/>
                </w:tcPr>
                <w:p>
                  <w:pPr>
                    <w:keepNext w:val="0"/>
                    <w:keepLines w:val="0"/>
                    <w:widowControl/>
                    <w:suppressLineNumbers w:val="0"/>
                    <w:snapToGrid w:val="0"/>
                    <w:spacing w:before="0" w:beforeAutospacing="0" w:after="0" w:afterAutospacing="0"/>
                    <w:ind w:left="0" w:right="0"/>
                    <w:rPr>
                      <w:rFonts w:ascii="Times New Roman"/>
                      <w:b/>
                      <w:bCs/>
                    </w:rPr>
                  </w:pPr>
                  <w:r>
                    <w:rPr>
                      <w:rFonts w:ascii="Times New Roman"/>
                      <w:b/>
                      <w:bCs/>
                      <w:sz w:val="24"/>
                      <w:szCs w:val="24"/>
                    </w:rPr>
                    <w:t>220kV主要设备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top w:val="single" w:color="auto" w:sz="12" w:space="0"/>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设备名称</w:t>
                  </w:r>
                </w:p>
              </w:tc>
              <w:tc>
                <w:tcPr>
                  <w:tcW w:w="4760" w:type="dxa"/>
                  <w:gridSpan w:val="2"/>
                  <w:tcBorders>
                    <w:top w:val="single" w:color="auto" w:sz="12"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型式及主要参数</w:t>
                  </w:r>
                </w:p>
              </w:tc>
              <w:tc>
                <w:tcPr>
                  <w:tcW w:w="1417" w:type="dxa"/>
                  <w:tcBorders>
                    <w:top w:val="single" w:color="auto" w:sz="12"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断路器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2</w:t>
                  </w:r>
                  <w:r>
                    <w:rPr>
                      <w:rFonts w:hint="eastAsia" w:ascii="Times New Roman"/>
                    </w:rPr>
                    <w:t>52</w:t>
                  </w:r>
                  <w:r>
                    <w:rPr>
                      <w:rFonts w:ascii="Times New Roman"/>
                    </w:rPr>
                    <w:t>kV，2</w:t>
                  </w:r>
                  <w:r>
                    <w:rPr>
                      <w:rFonts w:hint="eastAsia" w:ascii="Times New Roman"/>
                    </w:rPr>
                    <w:t>5</w:t>
                  </w:r>
                  <w:r>
                    <w:rPr>
                      <w:rFonts w:ascii="Times New Roman"/>
                    </w:rPr>
                    <w:t>00A，</w:t>
                  </w:r>
                  <w:r>
                    <w:rPr>
                      <w:rFonts w:hint="eastAsia" w:ascii="Times New Roman"/>
                    </w:rPr>
                    <w:t>5</w:t>
                  </w:r>
                  <w:r>
                    <w:rPr>
                      <w:rFonts w:ascii="Times New Roman"/>
                    </w:rPr>
                    <w:t>0kA，1</w:t>
                  </w:r>
                  <w:r>
                    <w:rPr>
                      <w:rFonts w:hint="eastAsia" w:ascii="Times New Roman"/>
                    </w:rPr>
                    <w:t>25</w:t>
                  </w:r>
                  <w:r>
                    <w:rPr>
                      <w:rFonts w:ascii="Times New Roman"/>
                    </w:rPr>
                    <w:t>kA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rPr>
                      <w:rFonts w:asci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三工位隔离接地开关</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2</w:t>
                  </w:r>
                  <w:r>
                    <w:rPr>
                      <w:rFonts w:hint="eastAsia" w:ascii="Times New Roman"/>
                    </w:rPr>
                    <w:t>52</w:t>
                  </w:r>
                  <w:r>
                    <w:rPr>
                      <w:rFonts w:ascii="Times New Roman"/>
                    </w:rPr>
                    <w:t>kV，2</w:t>
                  </w:r>
                  <w:r>
                    <w:rPr>
                      <w:rFonts w:hint="eastAsia" w:ascii="Times New Roman"/>
                    </w:rPr>
                    <w:t>5</w:t>
                  </w:r>
                  <w:r>
                    <w:rPr>
                      <w:rFonts w:ascii="Times New Roman"/>
                    </w:rPr>
                    <w:t>00A，</w:t>
                  </w:r>
                  <w:r>
                    <w:rPr>
                      <w:rFonts w:hint="eastAsia" w:ascii="Times New Roman"/>
                    </w:rPr>
                    <w:t>5</w:t>
                  </w:r>
                  <w:r>
                    <w:rPr>
                      <w:rFonts w:ascii="Times New Roman"/>
                    </w:rPr>
                    <w:t>0kA，1</w:t>
                  </w:r>
                  <w:r>
                    <w:rPr>
                      <w:rFonts w:hint="eastAsia" w:ascii="Times New Roman"/>
                    </w:rPr>
                    <w:t>25</w:t>
                  </w:r>
                  <w:r>
                    <w:rPr>
                      <w:rFonts w:ascii="Times New Roman"/>
                    </w:rPr>
                    <w:t>kA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rPr>
                      <w:rFonts w:asci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4" w:hRule="atLeast"/>
              </w:trPr>
              <w:tc>
                <w:tcPr>
                  <w:tcW w:w="1896" w:type="dxa"/>
                  <w:gridSpan w:val="2"/>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检修接地开关</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252</w:t>
                  </w:r>
                  <w:r>
                    <w:rPr>
                      <w:rFonts w:ascii="Times New Roman"/>
                    </w:rPr>
                    <w:t>kV，</w:t>
                  </w:r>
                  <w:r>
                    <w:rPr>
                      <w:rFonts w:hint="eastAsia" w:ascii="Times New Roman"/>
                    </w:rPr>
                    <w:t>50kA</w:t>
                  </w:r>
                  <w:r>
                    <w:rPr>
                      <w:rFonts w:ascii="Times New Roman"/>
                    </w:rPr>
                    <w:t>/4s，1</w:t>
                  </w:r>
                  <w:r>
                    <w:rPr>
                      <w:rFonts w:hint="eastAsia" w:ascii="Times New Roman"/>
                    </w:rPr>
                    <w:t>25</w:t>
                  </w:r>
                  <w:r>
                    <w:rPr>
                      <w:rFonts w:ascii="Times New Roman"/>
                    </w:rPr>
                    <w:t>kA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rPr>
                      <w:rFonts w:asci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4" w:hRule="atLeast"/>
              </w:trPr>
              <w:tc>
                <w:tcPr>
                  <w:tcW w:w="1896" w:type="dxa"/>
                  <w:gridSpan w:val="2"/>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快速接地开关</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252</w:t>
                  </w:r>
                  <w:r>
                    <w:rPr>
                      <w:rFonts w:ascii="Times New Roman"/>
                    </w:rPr>
                    <w:t>kV，</w:t>
                  </w:r>
                  <w:r>
                    <w:rPr>
                      <w:rFonts w:hint="eastAsia" w:ascii="Times New Roman"/>
                    </w:rPr>
                    <w:t>50kA</w:t>
                  </w:r>
                  <w:r>
                    <w:rPr>
                      <w:rFonts w:ascii="Times New Roman"/>
                    </w:rPr>
                    <w:t>/4s，1</w:t>
                  </w:r>
                  <w:r>
                    <w:rPr>
                      <w:rFonts w:hint="eastAsia" w:ascii="Times New Roman"/>
                    </w:rPr>
                    <w:t>25</w:t>
                  </w:r>
                  <w:r>
                    <w:rPr>
                      <w:rFonts w:ascii="Times New Roman"/>
                    </w:rPr>
                    <w:t>kA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rPr>
                      <w:rFonts w:asci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4" w:hRule="atLeast"/>
              </w:trPr>
              <w:tc>
                <w:tcPr>
                  <w:tcW w:w="1896" w:type="dxa"/>
                  <w:gridSpan w:val="2"/>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电流互感器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22</w:t>
                  </w:r>
                  <w:r>
                    <w:rPr>
                      <w:rFonts w:ascii="Times New Roman"/>
                    </w:rPr>
                    <w:t>0kV</w:t>
                  </w:r>
                </w:p>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30</w:t>
                  </w:r>
                  <w:r>
                    <w:rPr>
                      <w:rFonts w:ascii="Times New Roman"/>
                    </w:rPr>
                    <w:t>00/1A，5P30/5P30/5P30   5P30/0.5/0.2S</w:t>
                  </w:r>
                </w:p>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lang w:val="fr-FR"/>
                    </w:rPr>
                    <w:t>20VA/20VA/20VA   20VA/10VA/10VA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出线间隔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4" w:hRule="atLeast"/>
              </w:trPr>
              <w:tc>
                <w:tcPr>
                  <w:tcW w:w="1896" w:type="dxa"/>
                  <w:gridSpan w:val="2"/>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电流互感器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22</w:t>
                  </w:r>
                  <w:r>
                    <w:rPr>
                      <w:rFonts w:ascii="Times New Roman"/>
                    </w:rPr>
                    <w:t>0kV</w:t>
                  </w:r>
                </w:p>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25</w:t>
                  </w:r>
                  <w:r>
                    <w:rPr>
                      <w:rFonts w:ascii="Times New Roman"/>
                    </w:rPr>
                    <w:t>00/1A， 5P30/5P30/5P30   5P30/0.5/0.2S</w:t>
                  </w:r>
                </w:p>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lang w:val="fr-FR"/>
                    </w:rPr>
                    <w:t>20VA/20VA/20VA   20VA/10VA/10VA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进线间隔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电磁式电压互感器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220/√3，0.1/√3，0.1/√3，0.1/√3，0.1kV，</w:t>
                  </w:r>
                </w:p>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0.2/0.5(3P)/3P/3P，75/75/75/100VA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rPr>
                      <w:rFonts w:asci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电容式电压互感器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220/√3，0.1/√3，0.1/√3，</w:t>
                  </w:r>
                </w:p>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0.5(3P)/0.5(3P)，75/75VA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rPr>
                      <w:rFonts w:asci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4" w:hRule="atLeast"/>
              </w:trPr>
              <w:tc>
                <w:tcPr>
                  <w:tcW w:w="1896" w:type="dxa"/>
                  <w:gridSpan w:val="2"/>
                  <w:tcBorders>
                    <w:left w:val="nil"/>
                    <w:bottom w:val="single" w:color="auto" w:sz="6"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避雷器</w:t>
                  </w:r>
                </w:p>
              </w:tc>
              <w:tc>
                <w:tcPr>
                  <w:tcW w:w="4760" w:type="dxa"/>
                  <w:gridSpan w:val="2"/>
                  <w:tcBorders>
                    <w:bottom w:val="single" w:color="auto" w:sz="6"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Y10W-204/532kV</w:t>
                  </w:r>
                </w:p>
              </w:tc>
              <w:tc>
                <w:tcPr>
                  <w:tcW w:w="1417" w:type="dxa"/>
                  <w:tcBorders>
                    <w:bottom w:val="single" w:color="auto" w:sz="6" w:space="0"/>
                    <w:right w:val="nil"/>
                  </w:tcBorders>
                  <w:vAlign w:val="center"/>
                </w:tcPr>
                <w:p>
                  <w:pPr>
                    <w:keepNext w:val="0"/>
                    <w:keepLines w:val="0"/>
                    <w:widowControl/>
                    <w:suppressLineNumbers w:val="0"/>
                    <w:snapToGrid w:val="0"/>
                    <w:spacing w:before="0" w:beforeAutospacing="0" w:after="0" w:afterAutospacing="0"/>
                    <w:ind w:left="0" w:right="0"/>
                    <w:rPr>
                      <w:rFonts w:asci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4" w:hRule="atLeast"/>
              </w:trPr>
              <w:tc>
                <w:tcPr>
                  <w:tcW w:w="8073" w:type="dxa"/>
                  <w:gridSpan w:val="5"/>
                  <w:tcBorders>
                    <w:left w:val="nil"/>
                    <w:bottom w:val="single" w:color="auto" w:sz="12" w:space="0"/>
                    <w:right w:val="nil"/>
                  </w:tcBorders>
                  <w:vAlign w:val="center"/>
                </w:tcPr>
                <w:p>
                  <w:pPr>
                    <w:keepNext w:val="0"/>
                    <w:keepLines w:val="0"/>
                    <w:widowControl/>
                    <w:suppressLineNumbers w:val="0"/>
                    <w:snapToGrid w:val="0"/>
                    <w:spacing w:before="0" w:beforeAutospacing="0" w:after="0" w:afterAutospacing="0"/>
                    <w:ind w:left="0" w:right="0"/>
                    <w:rPr>
                      <w:rFonts w:ascii="Times New Roman"/>
                      <w:b/>
                      <w:bCs/>
                    </w:rPr>
                  </w:pPr>
                  <w:r>
                    <w:rPr>
                      <w:rFonts w:ascii="Times New Roman"/>
                      <w:b/>
                      <w:bCs/>
                      <w:sz w:val="24"/>
                      <w:szCs w:val="24"/>
                    </w:rPr>
                    <w:t>35kV设备主要参数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4" w:hRule="atLeast"/>
              </w:trPr>
              <w:tc>
                <w:tcPr>
                  <w:tcW w:w="1896" w:type="dxa"/>
                  <w:gridSpan w:val="2"/>
                  <w:tcBorders>
                    <w:top w:val="single" w:color="auto" w:sz="12" w:space="0"/>
                    <w:left w:val="nil"/>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设备名称</w:t>
                  </w:r>
                </w:p>
              </w:tc>
              <w:tc>
                <w:tcPr>
                  <w:tcW w:w="4760"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型式及主要参数</w:t>
                  </w:r>
                </w:p>
              </w:tc>
              <w:tc>
                <w:tcPr>
                  <w:tcW w:w="1417" w:type="dxa"/>
                  <w:tcBorders>
                    <w:top w:val="single" w:color="auto" w:sz="12" w:space="0"/>
                    <w:left w:val="single" w:color="auto" w:sz="4" w:space="0"/>
                    <w:bottom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restart"/>
                  <w:tcBorders>
                    <w:top w:val="single" w:color="auto" w:sz="4" w:space="0"/>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35kV开关柜</w:t>
                  </w:r>
                </w:p>
              </w:tc>
              <w:tc>
                <w:tcPr>
                  <w:tcW w:w="948" w:type="dxa"/>
                  <w:vMerge w:val="restart"/>
                  <w:tcBorders>
                    <w:top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真空断路器</w:t>
                  </w:r>
                </w:p>
              </w:tc>
              <w:tc>
                <w:tcPr>
                  <w:tcW w:w="4760" w:type="dxa"/>
                  <w:gridSpan w:val="2"/>
                  <w:tcBorders>
                    <w:top w:val="single" w:color="auto" w:sz="4"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40.5kV，2500A，31.5kA/4s，80kA</w:t>
                  </w:r>
                </w:p>
              </w:tc>
              <w:tc>
                <w:tcPr>
                  <w:tcW w:w="1417" w:type="dxa"/>
                  <w:tcBorders>
                    <w:top w:val="single" w:color="auto" w:sz="4"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进线柜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40.5kV，1250A，31.5kA/4s，80kA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其余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SF6断路器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40.5kV，1250A，31.5kA/4s，80kA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SVG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接地开关</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40.5kV，31.5kA/4s，80kA</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Merge w:val="restar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电流互感器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2000/1A</w:t>
                  </w:r>
                </w:p>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5P30/5P30/5P30/5P30/0.5S/0.2S</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主变进线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600-1200/1A，5P30/5P30/0.5S/0.2S</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光伏出线1~</w:t>
                  </w:r>
                  <w:r>
                    <w:rPr>
                      <w:rFonts w:hint="eastAsia" w:ascii="Times New Roman"/>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400-800/1A，5P30/5P30/0.5S/0.2S</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储能出线1~</w:t>
                  </w:r>
                  <w:r>
                    <w:rPr>
                      <w:rFonts w:hint="eastAsia" w:ascii="Times New Roma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100-200-800/1A，5P30/5P30/0.5S/0.2S</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站用变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100-200-800/1A，5P30/5P30/0.5S/0.2S</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接地变出线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1000/1A，5P30/5P30/0.5S/0.2S</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SVG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电压互感器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35/√3/0.1/√3/0.1/√3/0.1/3kV，0.2/0.5(3P)/6P</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PT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熔断器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40.5kV，0.5A，31.5kA/4S</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母线设备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948" w:type="dxa"/>
                  <w:vMerge w:val="continue"/>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948" w:type="dxa"/>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避雷器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YH5WZ-51/134</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避雷器</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YH5WZ-51/134</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主变进线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4" w:hRule="atLeast"/>
              </w:trPr>
              <w:tc>
                <w:tcPr>
                  <w:tcW w:w="1896" w:type="dxa"/>
                  <w:gridSpan w:val="2"/>
                  <w:tcBorders>
                    <w:lef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35kV  SVG</w:t>
                  </w:r>
                </w:p>
              </w:tc>
              <w:tc>
                <w:tcPr>
                  <w:tcW w:w="4760"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w:t>
                  </w:r>
                  <w:r>
                    <w:rPr>
                      <w:rFonts w:hint="eastAsia" w:ascii="Times New Roman"/>
                    </w:rPr>
                    <w:t>23.5</w:t>
                  </w:r>
                  <w:r>
                    <w:rPr>
                      <w:rFonts w:ascii="Times New Roman"/>
                    </w:rPr>
                    <w:t>Mvar~+</w:t>
                  </w:r>
                  <w:r>
                    <w:rPr>
                      <w:rFonts w:hint="eastAsia" w:ascii="Times New Roman"/>
                    </w:rPr>
                    <w:t>23.5</w:t>
                  </w:r>
                  <w:r>
                    <w:rPr>
                      <w:rFonts w:ascii="Times New Roman"/>
                    </w:rPr>
                    <w:t>Mvar连续可调，直挂式，水冷</w:t>
                  </w:r>
                </w:p>
              </w:tc>
              <w:tc>
                <w:tcPr>
                  <w:tcW w:w="1417" w:type="dxa"/>
                  <w:tcBorders>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共4套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896" w:type="dxa"/>
                  <w:gridSpan w:val="2"/>
                  <w:tcBorders>
                    <w:left w:val="nil"/>
                    <w:bottom w:val="single" w:color="auto" w:sz="12"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接地变及小电阻成套装置</w:t>
                  </w:r>
                </w:p>
              </w:tc>
              <w:tc>
                <w:tcPr>
                  <w:tcW w:w="4760" w:type="dxa"/>
                  <w:gridSpan w:val="2"/>
                  <w:tcBorders>
                    <w:bottom w:val="single" w:color="auto" w:sz="12" w:space="0"/>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户外干式接地变1</w:t>
                  </w:r>
                  <w:r>
                    <w:rPr>
                      <w:rFonts w:hint="eastAsia" w:ascii="Times New Roman"/>
                    </w:rPr>
                    <w:t>25</w:t>
                  </w:r>
                  <w:r>
                    <w:rPr>
                      <w:rFonts w:ascii="Times New Roman"/>
                    </w:rPr>
                    <w:t>0/37，接地电阻(</w:t>
                  </w:r>
                  <w:r>
                    <w:rPr>
                      <w:rFonts w:hint="eastAsia" w:ascii="Times New Roman"/>
                    </w:rPr>
                    <w:t>35.</w:t>
                  </w:r>
                  <w:r>
                    <w:rPr>
                      <w:rFonts w:ascii="Times New Roman"/>
                    </w:rPr>
                    <w:t>6欧</w:t>
                  </w:r>
                  <w:r>
                    <w:rPr>
                      <w:rFonts w:hint="eastAsia" w:ascii="Times New Roman"/>
                    </w:rPr>
                    <w:t>6</w:t>
                  </w:r>
                  <w:r>
                    <w:rPr>
                      <w:rFonts w:ascii="Times New Roman"/>
                    </w:rPr>
                    <w:t>00A，10S)</w:t>
                  </w:r>
                </w:p>
              </w:tc>
              <w:tc>
                <w:tcPr>
                  <w:tcW w:w="1417" w:type="dxa"/>
                  <w:tcBorders>
                    <w:bottom w:val="single" w:color="auto" w:sz="12" w:space="0"/>
                    <w:right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共2套</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0" w:firstLineChars="200"/>
              <w:rPr>
                <w:rFonts w:ascii="Times New Roman"/>
                <w:sz w:val="24"/>
                <w:szCs w:val="24"/>
              </w:rPr>
            </w:pPr>
            <w:r>
              <w:rPr>
                <w:rFonts w:ascii="Times New Roman"/>
                <w:sz w:val="24"/>
                <w:szCs w:val="24"/>
              </w:rPr>
              <w:t>(5)公用工程</w:t>
            </w:r>
          </w:p>
          <w:p>
            <w:pPr>
              <w:keepNext w:val="0"/>
              <w:keepLines w:val="0"/>
              <w:widowControl w:val="0"/>
              <w:suppressLineNumbers w:val="0"/>
              <w:adjustRightInd w:val="0"/>
              <w:snapToGrid w:val="0"/>
              <w:spacing w:before="0" w:beforeAutospacing="0" w:after="0" w:afterAutospacing="0" w:line="360" w:lineRule="auto"/>
              <w:ind w:left="0" w:right="0" w:firstLine="496" w:firstLineChars="200"/>
              <w:rPr>
                <w:rFonts w:ascii="Times New Roman"/>
                <w:spacing w:val="4"/>
                <w:sz w:val="24"/>
                <w:szCs w:val="24"/>
              </w:rPr>
            </w:pPr>
            <w:r>
              <w:rPr>
                <w:rFonts w:ascii="Times New Roman"/>
                <w:spacing w:val="4"/>
                <w:sz w:val="24"/>
                <w:szCs w:val="24"/>
              </w:rPr>
              <w:t>1)用电方式</w:t>
            </w:r>
          </w:p>
          <w:p>
            <w:pPr>
              <w:keepNext w:val="0"/>
              <w:keepLines w:val="0"/>
              <w:widowControl w:val="0"/>
              <w:suppressLineNumbers w:val="0"/>
              <w:adjustRightInd w:val="0"/>
              <w:snapToGrid w:val="0"/>
              <w:spacing w:before="0" w:beforeAutospacing="0" w:after="0" w:afterAutospacing="0" w:line="360" w:lineRule="auto"/>
              <w:ind w:left="0" w:right="0" w:firstLine="498" w:firstLineChars="200"/>
              <w:rPr>
                <w:rFonts w:ascii="Times New Roman"/>
                <w:spacing w:val="4"/>
                <w:sz w:val="24"/>
                <w:szCs w:val="24"/>
              </w:rPr>
            </w:pPr>
            <w:r>
              <w:rPr>
                <w:rFonts w:ascii="Times New Roman"/>
                <w:b/>
                <w:bCs/>
                <w:spacing w:val="4"/>
                <w:sz w:val="24"/>
                <w:szCs w:val="24"/>
              </w:rPr>
              <w:t>施工期：</w:t>
            </w:r>
            <w:r>
              <w:rPr>
                <w:rFonts w:hint="eastAsia" w:ascii="Times New Roman"/>
                <w:spacing w:val="4"/>
                <w:sz w:val="24"/>
                <w:szCs w:val="24"/>
              </w:rPr>
              <w:t>施工电源从附近以10kV引接，设变压器降压后供施工用电，另外选择使用5台50kW柴油发电机备用发电。</w:t>
            </w:r>
          </w:p>
          <w:p>
            <w:pPr>
              <w:keepNext w:val="0"/>
              <w:keepLines w:val="0"/>
              <w:widowControl w:val="0"/>
              <w:suppressLineNumbers w:val="0"/>
              <w:adjustRightInd w:val="0"/>
              <w:snapToGrid w:val="0"/>
              <w:spacing w:before="0" w:beforeAutospacing="0" w:after="0" w:afterAutospacing="0" w:line="360" w:lineRule="auto"/>
              <w:ind w:left="0" w:right="0" w:firstLine="498" w:firstLineChars="200"/>
              <w:rPr>
                <w:rFonts w:ascii="Times New Roman"/>
                <w:spacing w:val="4"/>
                <w:sz w:val="24"/>
                <w:szCs w:val="24"/>
              </w:rPr>
            </w:pPr>
            <w:r>
              <w:rPr>
                <w:rFonts w:ascii="Times New Roman"/>
                <w:b/>
                <w:bCs/>
                <w:spacing w:val="4"/>
                <w:sz w:val="24"/>
                <w:szCs w:val="24"/>
              </w:rPr>
              <w:t>运行期：</w:t>
            </w:r>
            <w:r>
              <w:rPr>
                <w:rFonts w:hint="eastAsia" w:ascii="Times New Roman"/>
                <w:spacing w:val="4"/>
                <w:sz w:val="24"/>
                <w:szCs w:val="24"/>
              </w:rPr>
              <w:t>升压站的所用电电源拟从厂外线路T接1路做为站内生产、生活的常用电源，备用电源引自光伏电站的10kV高压母线。</w:t>
            </w:r>
          </w:p>
          <w:p>
            <w:pPr>
              <w:keepNext w:val="0"/>
              <w:keepLines w:val="0"/>
              <w:widowControl w:val="0"/>
              <w:suppressLineNumbers w:val="0"/>
              <w:adjustRightInd w:val="0"/>
              <w:snapToGrid w:val="0"/>
              <w:spacing w:before="0" w:beforeAutospacing="0" w:after="0" w:afterAutospacing="0" w:line="360" w:lineRule="auto"/>
              <w:ind w:left="0" w:right="0" w:firstLine="496" w:firstLineChars="200"/>
              <w:rPr>
                <w:rFonts w:ascii="Times New Roman"/>
                <w:spacing w:val="4"/>
                <w:sz w:val="24"/>
                <w:szCs w:val="24"/>
              </w:rPr>
            </w:pPr>
            <w:r>
              <w:rPr>
                <w:rFonts w:ascii="Times New Roman"/>
                <w:spacing w:val="4"/>
                <w:sz w:val="24"/>
                <w:szCs w:val="24"/>
              </w:rPr>
              <w:t>2)空调及采暖</w:t>
            </w:r>
          </w:p>
          <w:p>
            <w:pPr>
              <w:keepNext w:val="0"/>
              <w:keepLines w:val="0"/>
              <w:widowControl w:val="0"/>
              <w:suppressLineNumbers w:val="0"/>
              <w:adjustRightInd w:val="0"/>
              <w:snapToGrid w:val="0"/>
              <w:spacing w:before="0" w:beforeAutospacing="0" w:after="0" w:afterAutospacing="0" w:line="360" w:lineRule="auto"/>
              <w:ind w:left="0" w:right="0" w:firstLine="496" w:firstLineChars="200"/>
              <w:rPr>
                <w:rFonts w:ascii="Times New Roman"/>
                <w:spacing w:val="4"/>
                <w:sz w:val="24"/>
                <w:szCs w:val="24"/>
              </w:rPr>
            </w:pPr>
            <w:r>
              <w:rPr>
                <w:rFonts w:hint="eastAsia" w:ascii="Times New Roman"/>
                <w:spacing w:val="4"/>
                <w:sz w:val="24"/>
                <w:szCs w:val="24"/>
              </w:rPr>
              <w:t>综合楼采用空调取暖；水泵房采用防水电暖器；35k</w:t>
            </w:r>
            <w:r>
              <w:rPr>
                <w:rFonts w:ascii="Times New Roman"/>
                <w:spacing w:val="4"/>
                <w:sz w:val="24"/>
                <w:szCs w:val="24"/>
              </w:rPr>
              <w:t>V</w:t>
            </w:r>
            <w:r>
              <w:rPr>
                <w:rFonts w:hint="eastAsia" w:ascii="Times New Roman"/>
                <w:spacing w:val="4"/>
                <w:sz w:val="24"/>
                <w:szCs w:val="24"/>
              </w:rPr>
              <w:t>配电室采用电暖器以维持室内温度不低于18℃；35k</w:t>
            </w:r>
            <w:r>
              <w:rPr>
                <w:rFonts w:ascii="Times New Roman"/>
                <w:spacing w:val="4"/>
                <w:sz w:val="24"/>
                <w:szCs w:val="24"/>
              </w:rPr>
              <w:t>V</w:t>
            </w:r>
            <w:r>
              <w:rPr>
                <w:rFonts w:hint="eastAsia" w:ascii="Times New Roman"/>
                <w:spacing w:val="4"/>
                <w:sz w:val="24"/>
                <w:szCs w:val="24"/>
              </w:rPr>
              <w:t>预制舱设置多联机空调系统，以维持楼内配电室、电子设备间、控制室等房间的温度。蓄电池室设置防爆型风冷热泵型(带电辅热)分体空调。风机以及空调电源应能自动切断，以防止火灾蔓延。</w:t>
            </w:r>
          </w:p>
          <w:p>
            <w:pPr>
              <w:pStyle w:val="27"/>
              <w:keepNext w:val="0"/>
              <w:keepLines w:val="0"/>
              <w:widowControl w:val="0"/>
              <w:suppressLineNumbers w:val="0"/>
              <w:adjustRightInd w:val="0"/>
              <w:snapToGrid w:val="0"/>
              <w:spacing w:before="0" w:beforeAutospacing="0" w:after="0" w:afterAutospacing="0" w:line="360" w:lineRule="auto"/>
              <w:ind w:left="0" w:leftChars="0" w:right="0" w:firstLine="480" w:firstLineChars="200"/>
              <w:rPr>
                <w:rFonts w:ascii="Times New Roman"/>
                <w:sz w:val="24"/>
                <w:szCs w:val="24"/>
              </w:rPr>
            </w:pPr>
            <w:r>
              <w:rPr>
                <w:rFonts w:ascii="Times New Roman"/>
                <w:sz w:val="24"/>
                <w:szCs w:val="24"/>
              </w:rPr>
              <w:t>3)通风系统</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配电装置室：采用自然进风，机械排风的通风方式。发生火灾时，通风机自动切断电源。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蓄电池室：设</w:t>
            </w:r>
            <w:r>
              <w:rPr>
                <w:rFonts w:hint="eastAsia" w:ascii="Times New Roman"/>
                <w:sz w:val="24"/>
              </w:rPr>
              <w:t>蓄电池室设置氢气浓度检测仪，同时设计事故通风，事故通风量按换气次数不小于6次/小时计算确定；事故排风机应与氢气浓度检测仪联锁，当空气中氢气体积浓度达到1%时，事故通风机应能自动投入运行；当室内需要采取降温措施时，降温设备可采用防爆型空气调节装置，并应与氢气浓度检测仪联锁。</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综合楼内通风系统采用计算机控制，利用自然通风，远程集控的运行方式设计，采用分体式空调</w:t>
            </w:r>
            <w:r>
              <w:rPr>
                <w:rFonts w:ascii="Times New Roman"/>
                <w:sz w:val="24"/>
                <w:szCs w:val="24"/>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pacing w:val="4"/>
                <w:sz w:val="24"/>
                <w:szCs w:val="24"/>
              </w:rPr>
            </w:pPr>
            <w:r>
              <w:rPr>
                <w:rFonts w:ascii="Times New Roman"/>
                <w:sz w:val="24"/>
                <w:szCs w:val="24"/>
              </w:rPr>
              <w:t>4)</w:t>
            </w:r>
            <w:r>
              <w:rPr>
                <w:rFonts w:ascii="Times New Roman"/>
                <w:spacing w:val="4"/>
                <w:sz w:val="24"/>
                <w:szCs w:val="24"/>
              </w:rPr>
              <w:t>给排水</w:t>
            </w:r>
          </w:p>
          <w:p>
            <w:pPr>
              <w:keepNext w:val="0"/>
              <w:keepLines w:val="0"/>
              <w:widowControl w:val="0"/>
              <w:suppressLineNumbers w:val="0"/>
              <w:adjustRightInd w:val="0"/>
              <w:snapToGrid w:val="0"/>
              <w:spacing w:before="0" w:beforeAutospacing="0" w:after="0" w:afterAutospacing="0" w:line="360" w:lineRule="auto"/>
              <w:ind w:left="0" w:right="0" w:firstLine="496" w:firstLineChars="200"/>
              <w:rPr>
                <w:rFonts w:ascii="Times New Roman"/>
                <w:spacing w:val="4"/>
                <w:sz w:val="24"/>
                <w:szCs w:val="24"/>
              </w:rPr>
            </w:pPr>
            <w:r>
              <w:rPr>
                <w:rFonts w:hint="eastAsia" w:hAnsi="宋体" w:cs="宋体"/>
                <w:spacing w:val="4"/>
                <w:sz w:val="24"/>
                <w:szCs w:val="24"/>
              </w:rPr>
              <w:t>①</w:t>
            </w:r>
            <w:r>
              <w:rPr>
                <w:rFonts w:ascii="Times New Roman"/>
                <w:spacing w:val="4"/>
                <w:sz w:val="24"/>
                <w:szCs w:val="24"/>
              </w:rPr>
              <w:t>供水</w:t>
            </w:r>
          </w:p>
          <w:p>
            <w:pPr>
              <w:keepNext w:val="0"/>
              <w:keepLines w:val="0"/>
              <w:widowControl w:val="0"/>
              <w:suppressLineNumbers w:val="0"/>
              <w:adjustRightInd w:val="0"/>
              <w:snapToGrid w:val="0"/>
              <w:spacing w:before="0" w:beforeAutospacing="0" w:after="0" w:afterAutospacing="0" w:line="360" w:lineRule="auto"/>
              <w:ind w:left="0" w:right="0" w:firstLine="498" w:firstLineChars="200"/>
              <w:rPr>
                <w:rFonts w:ascii="Times New Roman"/>
                <w:spacing w:val="4"/>
                <w:sz w:val="24"/>
                <w:szCs w:val="24"/>
              </w:rPr>
            </w:pPr>
            <w:r>
              <w:rPr>
                <w:rFonts w:ascii="Times New Roman"/>
                <w:b/>
                <w:bCs/>
                <w:spacing w:val="4"/>
                <w:sz w:val="24"/>
                <w:szCs w:val="24"/>
              </w:rPr>
              <w:t>施工期：</w:t>
            </w:r>
            <w:r>
              <w:rPr>
                <w:rFonts w:ascii="Times New Roman"/>
                <w:spacing w:val="4"/>
                <w:sz w:val="24"/>
                <w:szCs w:val="24"/>
              </w:rPr>
              <w:t>施工用水由罐车从附近村庄运输。</w:t>
            </w:r>
          </w:p>
          <w:p>
            <w:pPr>
              <w:keepNext w:val="0"/>
              <w:keepLines w:val="0"/>
              <w:widowControl/>
              <w:suppressLineNumbers w:val="0"/>
              <w:adjustRightInd w:val="0"/>
              <w:snapToGrid w:val="0"/>
              <w:spacing w:before="0" w:beforeAutospacing="0" w:after="0" w:afterAutospacing="0" w:line="480" w:lineRule="exact"/>
              <w:ind w:left="0" w:right="0" w:firstLine="498" w:firstLineChars="200"/>
              <w:rPr>
                <w:bCs/>
                <w:kern w:val="0"/>
                <w:sz w:val="24"/>
              </w:rPr>
            </w:pPr>
            <w:r>
              <w:rPr>
                <w:rFonts w:ascii="Times New Roman"/>
                <w:b/>
                <w:bCs/>
                <w:spacing w:val="4"/>
                <w:sz w:val="24"/>
                <w:szCs w:val="24"/>
              </w:rPr>
              <w:t>运行期：</w:t>
            </w:r>
            <w:r>
              <w:rPr>
                <w:rFonts w:hint="eastAsia" w:ascii="Times New Roman"/>
                <w:spacing w:val="4"/>
                <w:sz w:val="24"/>
                <w:szCs w:val="24"/>
              </w:rPr>
              <w:t>升压站内生活用水及消防用水，由附近村庄拉运提供。</w:t>
            </w:r>
            <w:r>
              <w:rPr>
                <w:bCs/>
                <w:kern w:val="0"/>
                <w:sz w:val="24"/>
              </w:rPr>
              <w:t>本项目运营期劳动定员20人，采用3班制，根据《生活与服务业用水定额第一部分：居民生活》（DB13/T5450.1-2021），</w:t>
            </w:r>
            <w:r>
              <w:rPr>
                <w:sz w:val="24"/>
              </w:rPr>
              <w:t>生活用水包括职工饮用水、盥洗用水，</w:t>
            </w:r>
            <w:r>
              <w:rPr>
                <w:bCs/>
                <w:kern w:val="0"/>
                <w:sz w:val="24"/>
              </w:rPr>
              <w:t>用水量按</w:t>
            </w:r>
            <w:r>
              <w:rPr>
                <w:rFonts w:hint="eastAsia"/>
                <w:bCs/>
                <w:kern w:val="0"/>
                <w:sz w:val="24"/>
              </w:rPr>
              <w:t>20</w:t>
            </w:r>
            <w:r>
              <w:rPr>
                <w:bCs/>
                <w:kern w:val="0"/>
                <w:sz w:val="24"/>
              </w:rPr>
              <w:t>L/人·d计，年工作365天，生活用水量为</w:t>
            </w:r>
            <w:r>
              <w:rPr>
                <w:rFonts w:hint="eastAsia"/>
                <w:bCs/>
                <w:kern w:val="0"/>
                <w:sz w:val="24"/>
              </w:rPr>
              <w:t>0.</w:t>
            </w:r>
            <w:r>
              <w:rPr>
                <w:bCs/>
                <w:kern w:val="0"/>
                <w:sz w:val="24"/>
              </w:rPr>
              <w:t>4m</w:t>
            </w:r>
            <w:r>
              <w:rPr>
                <w:bCs/>
                <w:kern w:val="0"/>
                <w:sz w:val="24"/>
                <w:vertAlign w:val="superscript"/>
              </w:rPr>
              <w:t>3</w:t>
            </w:r>
            <w:r>
              <w:rPr>
                <w:bCs/>
                <w:kern w:val="0"/>
                <w:sz w:val="24"/>
              </w:rPr>
              <w:t>/d（146m</w:t>
            </w:r>
            <w:r>
              <w:rPr>
                <w:bCs/>
                <w:kern w:val="0"/>
                <w:sz w:val="24"/>
                <w:vertAlign w:val="superscript"/>
              </w:rPr>
              <w:t>3</w:t>
            </w:r>
            <w:r>
              <w:rPr>
                <w:bCs/>
                <w:kern w:val="0"/>
                <w:sz w:val="24"/>
              </w:rPr>
              <w:t>/a）。</w:t>
            </w:r>
          </w:p>
          <w:p>
            <w:pPr>
              <w:keepNext w:val="0"/>
              <w:keepLines w:val="0"/>
              <w:widowControl w:val="0"/>
              <w:suppressLineNumbers w:val="0"/>
              <w:adjustRightInd w:val="0"/>
              <w:snapToGrid w:val="0"/>
              <w:spacing w:before="0" w:beforeAutospacing="0" w:after="0" w:afterAutospacing="0" w:line="360" w:lineRule="auto"/>
              <w:ind w:left="0" w:right="0" w:firstLine="496" w:firstLineChars="200"/>
              <w:rPr>
                <w:rFonts w:ascii="Times New Roman"/>
                <w:spacing w:val="4"/>
                <w:sz w:val="24"/>
                <w:szCs w:val="24"/>
              </w:rPr>
            </w:pPr>
            <w:r>
              <w:rPr>
                <w:rFonts w:hint="eastAsia" w:hAnsi="宋体" w:cs="宋体"/>
                <w:spacing w:val="4"/>
                <w:sz w:val="24"/>
                <w:szCs w:val="24"/>
              </w:rPr>
              <w:t>②</w:t>
            </w:r>
            <w:r>
              <w:rPr>
                <w:rFonts w:ascii="Times New Roman"/>
                <w:spacing w:val="4"/>
                <w:sz w:val="24"/>
                <w:szCs w:val="24"/>
              </w:rPr>
              <w:t>排水</w:t>
            </w:r>
          </w:p>
          <w:p>
            <w:pPr>
              <w:keepNext w:val="0"/>
              <w:keepLines w:val="0"/>
              <w:widowControl w:val="0"/>
              <w:suppressLineNumbers w:val="0"/>
              <w:adjustRightInd w:val="0"/>
              <w:snapToGrid w:val="0"/>
              <w:spacing w:before="0" w:beforeAutospacing="0" w:after="0" w:afterAutospacing="0" w:line="360" w:lineRule="auto"/>
              <w:ind w:left="0" w:right="0" w:firstLine="498" w:firstLineChars="200"/>
              <w:rPr>
                <w:rFonts w:ascii="Times New Roman"/>
                <w:b/>
                <w:bCs/>
                <w:spacing w:val="4"/>
                <w:sz w:val="24"/>
                <w:szCs w:val="24"/>
              </w:rPr>
            </w:pPr>
            <w:r>
              <w:rPr>
                <w:rFonts w:ascii="Times New Roman"/>
                <w:b/>
                <w:bCs/>
                <w:spacing w:val="4"/>
                <w:sz w:val="24"/>
                <w:szCs w:val="24"/>
              </w:rPr>
              <w:t>施工期：</w:t>
            </w:r>
            <w:r>
              <w:rPr>
                <w:rFonts w:ascii="Times New Roman"/>
                <w:spacing w:val="4"/>
                <w:sz w:val="24"/>
                <w:szCs w:val="24"/>
              </w:rPr>
              <w:t>升压站施工废水沉淀后用于场地抑尘，</w:t>
            </w:r>
            <w:r>
              <w:rPr>
                <w:rFonts w:hint="eastAsia" w:ascii="Times New Roman"/>
                <w:spacing w:val="4"/>
                <w:sz w:val="24"/>
                <w:szCs w:val="24"/>
              </w:rPr>
              <w:t>升压站施工人员为附近村民，生活废水分散于周边村庄，依托村镇现有污水处理设施处理</w:t>
            </w:r>
            <w:r>
              <w:rPr>
                <w:rFonts w:ascii="Times New Roman"/>
                <w:spacing w:val="4"/>
                <w:sz w:val="24"/>
                <w:szCs w:val="24"/>
              </w:rPr>
              <w:t>。</w:t>
            </w:r>
          </w:p>
          <w:p>
            <w:pPr>
              <w:keepNext w:val="0"/>
              <w:keepLines w:val="0"/>
              <w:widowControl w:val="0"/>
              <w:suppressLineNumbers w:val="0"/>
              <w:adjustRightInd w:val="0"/>
              <w:snapToGrid w:val="0"/>
              <w:spacing w:before="0" w:beforeAutospacing="0" w:after="0" w:afterAutospacing="0" w:line="360" w:lineRule="auto"/>
              <w:ind w:left="0" w:right="0" w:firstLine="498" w:firstLineChars="200"/>
              <w:rPr>
                <w:rFonts w:ascii="Times New Roman"/>
                <w:spacing w:val="4"/>
                <w:sz w:val="24"/>
                <w:szCs w:val="24"/>
              </w:rPr>
            </w:pPr>
            <w:r>
              <w:rPr>
                <w:rFonts w:ascii="Times New Roman"/>
                <w:b/>
                <w:bCs/>
                <w:spacing w:val="4"/>
                <w:sz w:val="24"/>
                <w:szCs w:val="24"/>
              </w:rPr>
              <w:t>运行期：</w:t>
            </w:r>
          </w:p>
          <w:p>
            <w:pPr>
              <w:keepNext w:val="0"/>
              <w:keepLines w:val="0"/>
              <w:widowControl/>
              <w:suppressLineNumbers w:val="0"/>
              <w:spacing w:before="0" w:beforeAutospacing="0" w:after="0" w:afterAutospacing="0" w:line="360" w:lineRule="auto"/>
              <w:ind w:left="0" w:right="0" w:firstLine="496" w:firstLineChars="200"/>
              <w:rPr>
                <w:sz w:val="24"/>
              </w:rPr>
            </w:pPr>
            <w:r>
              <w:rPr>
                <w:rFonts w:hint="eastAsia" w:ascii="Times New Roman"/>
                <w:spacing w:val="4"/>
                <w:sz w:val="24"/>
                <w:szCs w:val="24"/>
              </w:rPr>
              <w:t>本项目采用雨污分流，在升压站周边设置排水沟进行雨水收集；本项目运行期不产生生产废水；食堂废水经隔油池处理、其他生活废水经化粪池处理后一同进入污水一体化处理设备处理，处理后满足《城市污水再生利用城市杂用水水质》（GB/T18920-2020）中城市绿化、道路清扫、消防用水水质标准，用于厂区洒水抑尘。</w:t>
            </w:r>
            <w:r>
              <w:rPr>
                <w:rFonts w:hint="eastAsia" w:ascii="Times New Roman"/>
                <w:spacing w:val="4"/>
                <w:sz w:val="24"/>
                <w:szCs w:val="24"/>
                <w:lang w:val="en-US" w:eastAsia="zh-CN"/>
              </w:rPr>
              <w:t>生活污水的产生量按用水量的</w:t>
            </w:r>
            <w:r>
              <w:rPr>
                <w:rFonts w:hint="default" w:ascii="Times New Roman"/>
                <w:spacing w:val="4"/>
                <w:sz w:val="24"/>
                <w:szCs w:val="24"/>
                <w:lang w:val="en-US" w:eastAsia="zh-CN"/>
              </w:rPr>
              <w:t>80%</w:t>
            </w:r>
            <w:r>
              <w:rPr>
                <w:rFonts w:hint="eastAsia" w:ascii="Times New Roman"/>
                <w:spacing w:val="4"/>
                <w:sz w:val="24"/>
                <w:szCs w:val="24"/>
                <w:lang w:val="en-US" w:eastAsia="zh-CN"/>
              </w:rPr>
              <w:t>计算</w:t>
            </w:r>
            <w:r>
              <w:rPr>
                <w:rFonts w:hint="eastAsia" w:ascii="Times New Roman"/>
                <w:spacing w:val="4"/>
                <w:sz w:val="24"/>
                <w:szCs w:val="24"/>
              </w:rPr>
              <w:t xml:space="preserve">本项目生活废水产生量为0.32 </w:t>
            </w:r>
            <w:r>
              <w:rPr>
                <w:kern w:val="0"/>
                <w:sz w:val="24"/>
              </w:rPr>
              <w:t>m</w:t>
            </w:r>
            <w:r>
              <w:rPr>
                <w:kern w:val="0"/>
                <w:sz w:val="24"/>
                <w:vertAlign w:val="superscript"/>
              </w:rPr>
              <w:t>3</w:t>
            </w:r>
            <w:r>
              <w:rPr>
                <w:kern w:val="0"/>
                <w:sz w:val="24"/>
              </w:rPr>
              <w:t>/d（116.8m</w:t>
            </w:r>
            <w:r>
              <w:rPr>
                <w:kern w:val="0"/>
                <w:sz w:val="24"/>
                <w:vertAlign w:val="superscript"/>
              </w:rPr>
              <w:t>3</w:t>
            </w:r>
            <w:r>
              <w:rPr>
                <w:kern w:val="0"/>
                <w:sz w:val="24"/>
              </w:rPr>
              <w:t>/a）</w:t>
            </w:r>
            <w:r>
              <w:rPr>
                <w:rFonts w:hint="eastAsia"/>
                <w:sz w:val="24"/>
              </w:rPr>
              <w:t>，主要污染物为COD、BOD</w:t>
            </w:r>
            <w:r>
              <w:rPr>
                <w:rFonts w:hint="eastAsia"/>
                <w:sz w:val="24"/>
                <w:vertAlign w:val="subscript"/>
              </w:rPr>
              <w:t>5</w:t>
            </w:r>
            <w:r>
              <w:rPr>
                <w:rFonts w:hint="eastAsia"/>
                <w:sz w:val="24"/>
              </w:rPr>
              <w:t>、SS、氨氮、动植物油，污染物浓度为COD300mg/L、BOD5 180mg/L、SS 200mg/L、氨氮25mg/L、动植物油40mg/L。食堂废水经隔油池处理后与其他生活废水一同排入升压站内化粪池处理后，进入污水一体化处理设备。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pacing w:val="4"/>
                <w:sz w:val="24"/>
                <w:szCs w:val="24"/>
              </w:rPr>
            </w:pPr>
            <w:r>
              <w:rPr>
                <w:rFonts w:ascii="Times New Roman"/>
                <w:sz w:val="24"/>
                <w:szCs w:val="24"/>
              </w:rPr>
              <w:t>5)</w:t>
            </w:r>
            <w:r>
              <w:rPr>
                <w:rFonts w:ascii="Times New Roman"/>
                <w:spacing w:val="4"/>
                <w:sz w:val="24"/>
                <w:szCs w:val="24"/>
              </w:rPr>
              <w:t>消防</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hint="eastAsia" w:ascii="Times New Roman"/>
                <w:sz w:val="24"/>
              </w:rPr>
              <w:t>升压站消防给水系统由钢筋混凝土消防水池、消防水泵房、稳压泵、稳压罐及消防给水管网组成，供室内外消火栓用水。35kV预制舱体积≤15000m³，室外消防用水量不应小于15L/s，消火栓灭火系统的火灾延续时间不小于2小时，消防用水量为108m³。综合水泵房内设置2台电动消防水泵(1用1备)，消防水泵参数为Q=25L/s，H=50.1m。综合水泵房内设置稳压装置，装置包含2台稳压泵及1台稳压罐</w:t>
            </w:r>
            <w:r>
              <w:rPr>
                <w:rFonts w:ascii="Times New Roman"/>
                <w:sz w:val="24"/>
              </w:rPr>
              <w:t>。</w:t>
            </w:r>
          </w:p>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b/>
                <w:sz w:val="24"/>
                <w:szCs w:val="24"/>
              </w:rPr>
            </w:pPr>
            <w:r>
              <w:rPr>
                <w:rFonts w:ascii="Times New Roman"/>
                <w:b/>
                <w:sz w:val="24"/>
                <w:szCs w:val="24"/>
              </w:rPr>
              <w:t>4、项目占地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
                <w:bCs/>
                <w:sz w:val="24"/>
              </w:rPr>
            </w:pPr>
            <w:r>
              <w:rPr>
                <w:rFonts w:ascii="Times New Roman"/>
                <w:sz w:val="24"/>
              </w:rPr>
              <w:t>本项目</w:t>
            </w:r>
            <w:r>
              <w:rPr>
                <w:rFonts w:hint="eastAsia" w:ascii="Times New Roman"/>
                <w:sz w:val="24"/>
              </w:rPr>
              <w:t>升压站、护坡为</w:t>
            </w:r>
            <w:r>
              <w:rPr>
                <w:rFonts w:ascii="Times New Roman"/>
                <w:sz w:val="24"/>
              </w:rPr>
              <w:t>永久占地</w:t>
            </w:r>
            <w:r>
              <w:rPr>
                <w:rFonts w:hint="eastAsia" w:ascii="Times New Roman"/>
                <w:sz w:val="24"/>
              </w:rPr>
              <w:t>，其中进站道路依托护林防火道路不计入本次占地</w:t>
            </w:r>
            <w:r>
              <w:rPr>
                <w:rFonts w:ascii="Times New Roman"/>
                <w:sz w:val="24"/>
              </w:rPr>
              <w:t>。</w:t>
            </w:r>
            <w:r>
              <w:rPr>
                <w:rFonts w:hint="eastAsia" w:ascii="Times New Roman"/>
                <w:sz w:val="24"/>
              </w:rPr>
              <w:t>占地情况详见表2</w:t>
            </w:r>
            <w:r>
              <w:rPr>
                <w:rFonts w:ascii="Times New Roman"/>
                <w:sz w:val="24"/>
              </w:rPr>
              <w:t>-4</w:t>
            </w:r>
            <w:r>
              <w:rPr>
                <w:rFonts w:hint="eastAsia" w:ascii="Times New Roman"/>
                <w:sz w:val="24"/>
              </w:rPr>
              <w:t>。</w:t>
            </w:r>
          </w:p>
          <w:p>
            <w:pPr>
              <w:keepNext w:val="0"/>
              <w:keepLines w:val="0"/>
              <w:widowControl/>
              <w:suppressLineNumbers w:val="0"/>
              <w:tabs>
                <w:tab w:val="left" w:pos="-1800"/>
              </w:tabs>
              <w:adjustRightInd w:val="0"/>
              <w:snapToGrid w:val="0"/>
              <w:spacing w:before="120" w:beforeLines="50" w:beforeAutospacing="0" w:after="0" w:afterAutospacing="0"/>
              <w:ind w:left="0" w:right="0" w:firstLine="482" w:firstLineChars="200"/>
              <w:jc w:val="center"/>
            </w:pPr>
            <w:r>
              <w:rPr>
                <w:rFonts w:hint="eastAsia" w:ascii="Times New Roman"/>
                <w:b/>
                <w:bCs/>
                <w:sz w:val="24"/>
              </w:rPr>
              <w:t>表2</w:t>
            </w:r>
            <w:r>
              <w:rPr>
                <w:rFonts w:ascii="Times New Roman"/>
                <w:b/>
                <w:bCs/>
                <w:sz w:val="24"/>
              </w:rPr>
              <w:t xml:space="preserve">-4  </w:t>
            </w:r>
            <w:r>
              <w:rPr>
                <w:rFonts w:hint="eastAsia" w:ascii="Times New Roman"/>
                <w:b/>
                <w:bCs/>
                <w:sz w:val="24"/>
              </w:rPr>
              <w:t>升压站建设占地情况</w:t>
            </w:r>
            <w:r>
              <w:rPr>
                <w:b/>
              </w:rPr>
              <w:t xml:space="preserve">  </w:t>
            </w:r>
            <w:r>
              <w:rPr>
                <w:rFonts w:hint="eastAsia"/>
                <w:b/>
                <w:bCs/>
              </w:rPr>
              <w:t>单位</w:t>
            </w:r>
            <w:r>
              <w:rPr>
                <w:rFonts w:hint="eastAsia"/>
                <w:sz w:val="24"/>
              </w:rPr>
              <w:t>hm</w:t>
            </w:r>
            <w:r>
              <w:rPr>
                <w:rFonts w:hint="eastAsia"/>
                <w:sz w:val="24"/>
                <w:vertAlign w:val="superscript"/>
              </w:rPr>
              <w:t>2</w:t>
            </w:r>
          </w:p>
          <w:tbl>
            <w:tblPr>
              <w:tblStyle w:val="55"/>
              <w:tblpPr w:leftFromText="180" w:rightFromText="180" w:vertAnchor="text" w:horzAnchor="page" w:tblpX="-388" w:tblpY="186"/>
              <w:tblOverlap w:val="never"/>
              <w:tblW w:w="8339"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788"/>
              <w:gridCol w:w="1004"/>
              <w:gridCol w:w="1056"/>
              <w:gridCol w:w="770"/>
              <w:gridCol w:w="587"/>
              <w:gridCol w:w="728"/>
              <w:gridCol w:w="746"/>
              <w:gridCol w:w="905"/>
              <w:gridCol w:w="740"/>
              <w:gridCol w:w="58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1184" w:type="dxa"/>
                  <w:gridSpan w:val="2"/>
                  <w:vMerge w:val="restart"/>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工程项目</w:t>
                  </w:r>
                </w:p>
              </w:tc>
              <w:tc>
                <w:tcPr>
                  <w:tcW w:w="979" w:type="dxa"/>
                  <w:vMerge w:val="restart"/>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占地面积</w:t>
                  </w:r>
                </w:p>
              </w:tc>
              <w:tc>
                <w:tcPr>
                  <w:tcW w:w="6176" w:type="dxa"/>
                  <w:gridSpan w:val="8"/>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占地类型</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184" w:type="dxa"/>
                  <w:gridSpan w:val="2"/>
                  <w:vMerge w:val="continue"/>
                  <w:vAlign w:val="center"/>
                </w:tcPr>
                <w:p>
                  <w:pPr>
                    <w:pStyle w:val="52"/>
                    <w:keepNext w:val="0"/>
                    <w:keepLines w:val="0"/>
                    <w:widowControl/>
                    <w:suppressLineNumbers w:val="0"/>
                    <w:spacing w:before="0" w:beforeAutospacing="0" w:after="0" w:afterAutospacing="0" w:line="240" w:lineRule="auto"/>
                    <w:ind w:left="0" w:right="0" w:firstLine="0" w:firstLineChars="0"/>
                    <w:rPr>
                      <w:sz w:val="21"/>
                      <w:szCs w:val="21"/>
                    </w:rPr>
                  </w:pPr>
                </w:p>
              </w:tc>
              <w:tc>
                <w:tcPr>
                  <w:tcW w:w="979" w:type="dxa"/>
                  <w:vMerge w:val="continue"/>
                  <w:vAlign w:val="center"/>
                </w:tcPr>
                <w:p>
                  <w:pPr>
                    <w:pStyle w:val="52"/>
                    <w:keepNext w:val="0"/>
                    <w:keepLines w:val="0"/>
                    <w:widowControl/>
                    <w:suppressLineNumbers w:val="0"/>
                    <w:spacing w:before="0" w:beforeAutospacing="0" w:after="0" w:afterAutospacing="0" w:line="240" w:lineRule="auto"/>
                    <w:ind w:left="0" w:right="0" w:firstLine="0" w:firstLineChars="0"/>
                    <w:rPr>
                      <w:sz w:val="21"/>
                      <w:szCs w:val="21"/>
                    </w:rPr>
                  </w:pPr>
                </w:p>
              </w:tc>
              <w:tc>
                <w:tcPr>
                  <w:tcW w:w="734"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建设用地</w:t>
                  </w:r>
                </w:p>
              </w:tc>
              <w:tc>
                <w:tcPr>
                  <w:tcW w:w="1448" w:type="dxa"/>
                  <w:gridSpan w:val="2"/>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农用地</w:t>
                  </w:r>
                </w:p>
              </w:tc>
              <w:tc>
                <w:tcPr>
                  <w:tcW w:w="783"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草地</w:t>
                  </w:r>
                </w:p>
              </w:tc>
              <w:tc>
                <w:tcPr>
                  <w:tcW w:w="804"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未利用地</w:t>
                  </w:r>
                </w:p>
              </w:tc>
              <w:tc>
                <w:tcPr>
                  <w:tcW w:w="2407" w:type="dxa"/>
                  <w:gridSpan w:val="3"/>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林地</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1088" w:hRule="atLeast"/>
              </w:trPr>
              <w:tc>
                <w:tcPr>
                  <w:tcW w:w="1184" w:type="dxa"/>
                  <w:gridSpan w:val="2"/>
                  <w:vMerge w:val="continue"/>
                  <w:vAlign w:val="center"/>
                </w:tcPr>
                <w:p>
                  <w:pPr>
                    <w:pStyle w:val="52"/>
                    <w:keepNext w:val="0"/>
                    <w:keepLines w:val="0"/>
                    <w:widowControl/>
                    <w:suppressLineNumbers w:val="0"/>
                    <w:spacing w:before="0" w:beforeAutospacing="0" w:after="0" w:afterAutospacing="0" w:line="240" w:lineRule="auto"/>
                    <w:ind w:left="0" w:right="0" w:firstLine="0" w:firstLineChars="0"/>
                    <w:rPr>
                      <w:sz w:val="21"/>
                      <w:szCs w:val="21"/>
                    </w:rPr>
                  </w:pPr>
                </w:p>
              </w:tc>
              <w:tc>
                <w:tcPr>
                  <w:tcW w:w="979" w:type="dxa"/>
                  <w:vMerge w:val="continue"/>
                  <w:vAlign w:val="center"/>
                </w:tcPr>
                <w:p>
                  <w:pPr>
                    <w:pStyle w:val="52"/>
                    <w:keepNext w:val="0"/>
                    <w:keepLines w:val="0"/>
                    <w:widowControl/>
                    <w:suppressLineNumbers w:val="0"/>
                    <w:spacing w:before="0" w:beforeAutospacing="0" w:after="0" w:afterAutospacing="0" w:line="240" w:lineRule="auto"/>
                    <w:ind w:left="0" w:right="0" w:firstLine="0" w:firstLineChars="0"/>
                    <w:rPr>
                      <w:sz w:val="21"/>
                      <w:szCs w:val="21"/>
                    </w:rPr>
                  </w:pPr>
                </w:p>
              </w:tc>
              <w:tc>
                <w:tcPr>
                  <w:tcW w:w="734"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建设用地</w:t>
                  </w:r>
                </w:p>
              </w:tc>
              <w:tc>
                <w:tcPr>
                  <w:tcW w:w="832"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园地</w:t>
                  </w:r>
                </w:p>
              </w:tc>
              <w:tc>
                <w:tcPr>
                  <w:tcW w:w="616"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其他园地</w:t>
                  </w:r>
                </w:p>
              </w:tc>
              <w:tc>
                <w:tcPr>
                  <w:tcW w:w="783"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其他草地</w:t>
                  </w:r>
                </w:p>
              </w:tc>
              <w:tc>
                <w:tcPr>
                  <w:tcW w:w="804"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坑塘</w:t>
                  </w:r>
                </w:p>
              </w:tc>
              <w:tc>
                <w:tcPr>
                  <w:tcW w:w="992" w:type="dxa"/>
                  <w:tcBorders>
                    <w:right w:val="single" w:color="auto" w:sz="4" w:space="0"/>
                  </w:tcBorders>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灌木林地</w:t>
                  </w:r>
                </w:p>
              </w:tc>
              <w:tc>
                <w:tcPr>
                  <w:tcW w:w="797" w:type="dxa"/>
                  <w:tcBorders>
                    <w:left w:val="single" w:color="auto" w:sz="4" w:space="0"/>
                  </w:tcBorders>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乔木林地</w:t>
                  </w:r>
                </w:p>
              </w:tc>
              <w:tc>
                <w:tcPr>
                  <w:tcW w:w="618"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其他林地</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790" w:hRule="atLeast"/>
              </w:trPr>
              <w:tc>
                <w:tcPr>
                  <w:tcW w:w="415" w:type="dxa"/>
                  <w:vMerge w:val="restart"/>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永久占地</w:t>
                  </w:r>
                </w:p>
              </w:tc>
              <w:tc>
                <w:tcPr>
                  <w:tcW w:w="769"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sz w:val="21"/>
                      <w:szCs w:val="21"/>
                    </w:rPr>
                    <w:t>220</w:t>
                  </w:r>
                  <w:r>
                    <w:rPr>
                      <w:rFonts w:hint="eastAsia"/>
                      <w:sz w:val="21"/>
                      <w:szCs w:val="21"/>
                    </w:rPr>
                    <w:t>kV升压站</w:t>
                  </w:r>
                </w:p>
              </w:tc>
              <w:tc>
                <w:tcPr>
                  <w:tcW w:w="979"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2.663103</w:t>
                  </w:r>
                </w:p>
              </w:tc>
              <w:tc>
                <w:tcPr>
                  <w:tcW w:w="734" w:type="dxa"/>
                  <w:shd w:val="clear" w:color="auto" w:fill="auto"/>
                  <w:vAlign w:val="center"/>
                </w:tcPr>
                <w:p>
                  <w:pPr>
                    <w:pStyle w:val="52"/>
                    <w:keepNext w:val="0"/>
                    <w:keepLines w:val="0"/>
                    <w:widowControl/>
                    <w:suppressLineNumbers w:val="0"/>
                    <w:spacing w:before="0" w:beforeAutospacing="0" w:after="0" w:afterAutospacing="0" w:line="240" w:lineRule="auto"/>
                    <w:ind w:left="0" w:right="0" w:firstLine="0" w:firstLineChars="0"/>
                    <w:jc w:val="center"/>
                  </w:pPr>
                  <w:r>
                    <w:rPr>
                      <w:rFonts w:hint="eastAsia"/>
                      <w:sz w:val="21"/>
                      <w:szCs w:val="21"/>
                    </w:rPr>
                    <w:t>2.663103</w:t>
                  </w:r>
                </w:p>
              </w:tc>
              <w:tc>
                <w:tcPr>
                  <w:tcW w:w="832"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616"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783"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804"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992" w:type="dxa"/>
                  <w:tcBorders>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797" w:type="dxa"/>
                  <w:tcBorders>
                    <w:lef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618"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818" w:hRule="atLeast"/>
              </w:trPr>
              <w:tc>
                <w:tcPr>
                  <w:tcW w:w="415" w:type="dxa"/>
                  <w:vMerge w:val="continue"/>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p>
              </w:tc>
              <w:tc>
                <w:tcPr>
                  <w:tcW w:w="769"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护坡</w:t>
                  </w:r>
                </w:p>
              </w:tc>
              <w:tc>
                <w:tcPr>
                  <w:tcW w:w="979"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1.27</w:t>
                  </w:r>
                </w:p>
              </w:tc>
              <w:tc>
                <w:tcPr>
                  <w:tcW w:w="734" w:type="dxa"/>
                  <w:shd w:val="clear" w:color="auto" w:fill="auto"/>
                  <w:vAlign w:val="center"/>
                </w:tcPr>
                <w:p>
                  <w:pPr>
                    <w:pStyle w:val="52"/>
                    <w:keepNext w:val="0"/>
                    <w:keepLines w:val="0"/>
                    <w:widowControl/>
                    <w:suppressLineNumbers w:val="0"/>
                    <w:spacing w:before="0" w:beforeAutospacing="0" w:after="0" w:afterAutospacing="0" w:line="240" w:lineRule="auto"/>
                    <w:ind w:left="0" w:right="0" w:firstLine="0" w:firstLineChars="0"/>
                    <w:jc w:val="center"/>
                  </w:pPr>
                  <w:r>
                    <w:rPr>
                      <w:rFonts w:hint="eastAsia"/>
                      <w:sz w:val="21"/>
                      <w:szCs w:val="21"/>
                    </w:rPr>
                    <w:t>1.27</w:t>
                  </w:r>
                </w:p>
              </w:tc>
              <w:tc>
                <w:tcPr>
                  <w:tcW w:w="832"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616"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783"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804" w:type="dxa"/>
                  <w:shd w:val="clear" w:color="auto" w:fill="auto"/>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rPr>
                    <w:t>/</w:t>
                  </w:r>
                </w:p>
              </w:tc>
              <w:tc>
                <w:tcPr>
                  <w:tcW w:w="992" w:type="dxa"/>
                  <w:tcBorders>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797" w:type="dxa"/>
                  <w:tcBorders>
                    <w:lef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618"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293" w:hRule="atLeast"/>
              </w:trPr>
              <w:tc>
                <w:tcPr>
                  <w:tcW w:w="1184" w:type="dxa"/>
                  <w:gridSpan w:val="2"/>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sz w:val="21"/>
                      <w:szCs w:val="21"/>
                    </w:rPr>
                    <w:t>合计</w:t>
                  </w:r>
                </w:p>
              </w:tc>
              <w:tc>
                <w:tcPr>
                  <w:tcW w:w="979" w:type="dxa"/>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sz w:val="21"/>
                      <w:szCs w:val="21"/>
                    </w:rPr>
                    <w:t>3.</w:t>
                  </w:r>
                  <w:r>
                    <w:rPr>
                      <w:rFonts w:hint="eastAsia"/>
                      <w:sz w:val="21"/>
                      <w:szCs w:val="21"/>
                    </w:rPr>
                    <w:t>933103</w:t>
                  </w:r>
                </w:p>
              </w:tc>
              <w:tc>
                <w:tcPr>
                  <w:tcW w:w="734" w:type="dxa"/>
                  <w:shd w:val="clear" w:color="auto" w:fill="auto"/>
                  <w:vAlign w:val="center"/>
                </w:tcPr>
                <w:p>
                  <w:pPr>
                    <w:keepNext w:val="0"/>
                    <w:keepLines w:val="0"/>
                    <w:widowControl/>
                    <w:suppressLineNumbers w:val="0"/>
                    <w:spacing w:before="0" w:beforeAutospacing="0" w:after="0" w:afterAutospacing="0"/>
                    <w:ind w:left="0" w:right="0"/>
                    <w:jc w:val="center"/>
                  </w:pPr>
                  <w:r>
                    <w:t>3.</w:t>
                  </w:r>
                  <w:r>
                    <w:rPr>
                      <w:rFonts w:hint="eastAsia"/>
                    </w:rPr>
                    <w:t>933103</w:t>
                  </w:r>
                </w:p>
              </w:tc>
              <w:tc>
                <w:tcPr>
                  <w:tcW w:w="832" w:type="dxa"/>
                  <w:shd w:val="clear" w:color="auto" w:fill="auto"/>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rPr>
                    <w:t>/</w:t>
                  </w:r>
                </w:p>
              </w:tc>
              <w:tc>
                <w:tcPr>
                  <w:tcW w:w="616"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783" w:type="dxa"/>
                  <w:shd w:val="clear" w:color="auto" w:fill="auto"/>
                  <w:vAlign w:val="center"/>
                </w:tcPr>
                <w:p>
                  <w:pPr>
                    <w:keepNext w:val="0"/>
                    <w:keepLines w:val="0"/>
                    <w:widowControl/>
                    <w:suppressLineNumbers w:val="0"/>
                    <w:spacing w:before="0" w:beforeAutospacing="0" w:after="0" w:afterAutospacing="0"/>
                    <w:ind w:left="0" w:right="0"/>
                    <w:jc w:val="center"/>
                    <w:rPr>
                      <w:sz w:val="22"/>
                      <w:szCs w:val="22"/>
                    </w:rPr>
                  </w:pPr>
                  <w:r>
                    <w:rPr>
                      <w:rFonts w:hint="eastAsia"/>
                    </w:rPr>
                    <w:t>/</w:t>
                  </w:r>
                </w:p>
              </w:tc>
              <w:tc>
                <w:tcPr>
                  <w:tcW w:w="804" w:type="dxa"/>
                  <w:shd w:val="clear" w:color="auto" w:fill="auto"/>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rPr>
                    <w:t>/</w:t>
                  </w:r>
                </w:p>
              </w:tc>
              <w:tc>
                <w:tcPr>
                  <w:tcW w:w="992" w:type="dxa"/>
                  <w:tcBorders>
                    <w:right w:val="single" w:color="auto" w:sz="4" w:space="0"/>
                  </w:tcBorders>
                  <w:shd w:val="clear" w:color="auto" w:fill="auto"/>
                  <w:vAlign w:val="center"/>
                </w:tcPr>
                <w:p>
                  <w:pPr>
                    <w:pStyle w:val="52"/>
                    <w:keepNext w:val="0"/>
                    <w:keepLines w:val="0"/>
                    <w:widowControl/>
                    <w:suppressLineNumbers w:val="0"/>
                    <w:spacing w:before="0" w:beforeAutospacing="0" w:after="0" w:afterAutospacing="0" w:line="240" w:lineRule="auto"/>
                    <w:ind w:left="0" w:right="0" w:firstLine="0" w:firstLineChars="0"/>
                    <w:jc w:val="center"/>
                    <w:rPr>
                      <w:sz w:val="21"/>
                      <w:szCs w:val="21"/>
                    </w:rPr>
                  </w:pPr>
                  <w:r>
                    <w:rPr>
                      <w:rFonts w:hint="eastAsia"/>
                    </w:rPr>
                    <w:t>/</w:t>
                  </w:r>
                </w:p>
              </w:tc>
              <w:tc>
                <w:tcPr>
                  <w:tcW w:w="797" w:type="dxa"/>
                  <w:tcBorders>
                    <w:lef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c>
                <w:tcPr>
                  <w:tcW w:w="618" w:type="dxa"/>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rPr>
                    <w:t>/</w:t>
                  </w:r>
                </w:p>
              </w:tc>
            </w:tr>
          </w:tbl>
          <w:p>
            <w:pPr>
              <w:keepNext w:val="0"/>
              <w:keepLines w:val="0"/>
              <w:widowControl w:val="0"/>
              <w:suppressLineNumbers w:val="0"/>
              <w:adjustRightInd w:val="0"/>
              <w:snapToGrid w:val="0"/>
              <w:spacing w:before="0" w:beforeAutospacing="0" w:after="0" w:afterAutospacing="0" w:line="360" w:lineRule="auto"/>
              <w:ind w:left="0" w:right="0"/>
              <w:rPr>
                <w:rFonts w:ascii="Times New Roman"/>
                <w:b/>
                <w:sz w:val="24"/>
                <w:szCs w:val="24"/>
              </w:rPr>
            </w:pPr>
          </w:p>
          <w:p>
            <w:pPr>
              <w:keepNext w:val="0"/>
              <w:keepLines w:val="0"/>
              <w:widowControl w:val="0"/>
              <w:numPr>
                <w:ilvl w:val="0"/>
                <w:numId w:val="1"/>
              </w:numPr>
              <w:suppressLineNumbers w:val="0"/>
              <w:adjustRightInd w:val="0"/>
              <w:snapToGrid w:val="0"/>
              <w:spacing w:before="0" w:beforeAutospacing="0" w:after="0" w:afterAutospacing="0" w:line="360" w:lineRule="auto"/>
              <w:ind w:left="0" w:right="0" w:firstLine="482" w:firstLineChars="200"/>
              <w:rPr>
                <w:rFonts w:ascii="Times New Roman"/>
                <w:b/>
                <w:sz w:val="24"/>
                <w:szCs w:val="24"/>
              </w:rPr>
            </w:pPr>
            <w:r>
              <w:rPr>
                <w:rFonts w:ascii="Times New Roman"/>
                <w:b/>
                <w:sz w:val="24"/>
                <w:szCs w:val="24"/>
              </w:rPr>
              <w:t>土石方量</w:t>
            </w:r>
          </w:p>
          <w:p>
            <w:pPr>
              <w:keepNext w:val="0"/>
              <w:keepLines w:val="0"/>
              <w:widowControl/>
              <w:suppressLineNumbers w:val="0"/>
              <w:adjustRightInd w:val="0"/>
              <w:snapToGrid w:val="0"/>
              <w:spacing w:before="0" w:beforeAutospacing="0" w:after="0" w:afterAutospacing="0" w:line="360" w:lineRule="auto"/>
              <w:ind w:left="0" w:right="0" w:firstLine="480" w:firstLineChars="200"/>
              <w:rPr>
                <w:bCs/>
                <w:sz w:val="24"/>
              </w:rPr>
            </w:pPr>
            <w:r>
              <w:rPr>
                <w:rFonts w:hint="eastAsia"/>
                <w:bCs/>
                <w:sz w:val="24"/>
              </w:rPr>
              <w:t>升压站开挖土石方量为8.6万</w:t>
            </w:r>
            <w:r>
              <w:rPr>
                <w:bCs/>
                <w:sz w:val="24"/>
              </w:rPr>
              <w:t>m</w:t>
            </w:r>
            <w:r>
              <w:rPr>
                <w:bCs/>
                <w:sz w:val="24"/>
                <w:vertAlign w:val="superscript"/>
              </w:rPr>
              <w:t>3</w:t>
            </w:r>
            <w:r>
              <w:rPr>
                <w:bCs/>
                <w:sz w:val="24"/>
              </w:rPr>
              <w:t>，</w:t>
            </w:r>
            <w:r>
              <w:rPr>
                <w:rFonts w:hint="eastAsia"/>
                <w:bCs/>
                <w:sz w:val="24"/>
              </w:rPr>
              <w:t>回填方量为8.6</w:t>
            </w:r>
            <w:r>
              <w:rPr>
                <w:bCs/>
                <w:sz w:val="24"/>
              </w:rPr>
              <w:t>万m</w:t>
            </w:r>
            <w:r>
              <w:rPr>
                <w:bCs/>
                <w:sz w:val="24"/>
                <w:vertAlign w:val="superscript"/>
              </w:rPr>
              <w:t>3</w:t>
            </w:r>
            <w:r>
              <w:rPr>
                <w:bCs/>
                <w:sz w:val="24"/>
              </w:rPr>
              <w:t>，</w:t>
            </w:r>
            <w:r>
              <w:rPr>
                <w:rFonts w:hint="eastAsia"/>
                <w:bCs/>
                <w:sz w:val="24"/>
              </w:rPr>
              <w:t>用于</w:t>
            </w:r>
            <w:r>
              <w:rPr>
                <w:rFonts w:hint="eastAsia" w:ascii="Times New Roman"/>
                <w:sz w:val="24"/>
              </w:rPr>
              <w:t>施工、升压站场地填垫，边坡填方，</w:t>
            </w:r>
            <w:r>
              <w:rPr>
                <w:rFonts w:ascii="Times New Roman"/>
                <w:sz w:val="24"/>
              </w:rPr>
              <w:t>项目</w:t>
            </w:r>
            <w:r>
              <w:rPr>
                <w:rFonts w:hint="eastAsia" w:ascii="Times New Roman"/>
                <w:sz w:val="24"/>
              </w:rPr>
              <w:t>整体</w:t>
            </w:r>
            <w:r>
              <w:rPr>
                <w:rFonts w:ascii="Times New Roman"/>
                <w:sz w:val="24"/>
              </w:rPr>
              <w:t>土石方平衡</w:t>
            </w:r>
            <w:r>
              <w:rPr>
                <w:rFonts w:hint="eastAsia" w:ascii="Times New Roman"/>
                <w:sz w:val="24"/>
              </w:rPr>
              <w:t>，无弃渣产生，</w:t>
            </w:r>
            <w:r>
              <w:rPr>
                <w:rFonts w:ascii="Times New Roman"/>
                <w:sz w:val="24"/>
              </w:rPr>
              <w:t>挖填方平</w:t>
            </w:r>
            <w:r>
              <w:rPr>
                <w:bCs/>
                <w:sz w:val="24"/>
              </w:rPr>
              <w:t>衡见表</w:t>
            </w:r>
            <w:r>
              <w:rPr>
                <w:rFonts w:hint="eastAsia"/>
                <w:bCs/>
                <w:sz w:val="24"/>
              </w:rPr>
              <w:t>2-5</w:t>
            </w:r>
            <w:r>
              <w:rPr>
                <w:bCs/>
                <w:sz w:val="24"/>
              </w:rPr>
              <w:t>。</w:t>
            </w:r>
          </w:p>
          <w:p>
            <w:pPr>
              <w:pStyle w:val="27"/>
              <w:keepNext w:val="0"/>
              <w:keepLines w:val="0"/>
              <w:widowControl/>
              <w:suppressLineNumbers w:val="0"/>
              <w:spacing w:before="0" w:beforeAutospacing="0" w:after="0" w:afterAutospacing="0"/>
              <w:ind w:right="0"/>
              <w:jc w:val="center"/>
              <w:rPr>
                <w:rFonts w:ascii="Times New Roman"/>
                <w:b/>
                <w:bCs/>
                <w:sz w:val="24"/>
              </w:rPr>
            </w:pPr>
            <w:r>
              <w:rPr>
                <w:rFonts w:hint="eastAsia" w:ascii="Times New Roman"/>
                <w:b/>
                <w:bCs/>
                <w:sz w:val="24"/>
              </w:rPr>
              <w:t>表2-5 土石方平衡表单位：万m</w:t>
            </w:r>
            <w:r>
              <w:rPr>
                <w:rFonts w:hint="eastAsia" w:ascii="Times New Roman"/>
                <w:b/>
                <w:bCs/>
                <w:sz w:val="24"/>
                <w:vertAlign w:val="superscript"/>
              </w:rPr>
              <w:t>3</w:t>
            </w:r>
          </w:p>
          <w:tbl>
            <w:tblPr>
              <w:tblStyle w:val="5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1916"/>
              <w:gridCol w:w="1919"/>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493" w:type="pct"/>
                  <w:vMerge w:val="restart"/>
                  <w:shd w:val="clear" w:color="auto" w:fill="auto"/>
                  <w:vAlign w:val="center"/>
                </w:tcPr>
                <w:p>
                  <w:pPr>
                    <w:keepNext w:val="0"/>
                    <w:keepLines w:val="0"/>
                    <w:widowControl/>
                    <w:suppressLineNumbers w:val="0"/>
                    <w:spacing w:before="0" w:beforeAutospacing="0" w:after="0" w:afterAutospacing="0"/>
                    <w:ind w:left="0" w:right="0"/>
                    <w:jc w:val="center"/>
                    <w:rPr>
                      <w:rFonts w:hAnsi="宋体" w:cs="宋体"/>
                      <w:b/>
                      <w:kern w:val="0"/>
                    </w:rPr>
                  </w:pPr>
                  <w:r>
                    <w:rPr>
                      <w:rFonts w:hint="eastAsia" w:hAnsi="宋体" w:cs="宋体"/>
                      <w:b/>
                      <w:kern w:val="0"/>
                    </w:rPr>
                    <w:t>项目</w:t>
                  </w:r>
                </w:p>
              </w:tc>
              <w:tc>
                <w:tcPr>
                  <w:tcW w:w="1150" w:type="pct"/>
                  <w:vMerge w:val="restart"/>
                  <w:shd w:val="clear" w:color="auto" w:fill="auto"/>
                  <w:vAlign w:val="center"/>
                </w:tcPr>
                <w:p>
                  <w:pPr>
                    <w:keepNext w:val="0"/>
                    <w:keepLines w:val="0"/>
                    <w:widowControl/>
                    <w:suppressLineNumbers w:val="0"/>
                    <w:spacing w:before="0" w:beforeAutospacing="0" w:after="0" w:afterAutospacing="0"/>
                    <w:ind w:left="0" w:right="0"/>
                    <w:jc w:val="center"/>
                    <w:rPr>
                      <w:rFonts w:hAnsi="宋体" w:cs="宋体"/>
                      <w:b/>
                      <w:kern w:val="0"/>
                    </w:rPr>
                  </w:pPr>
                  <w:r>
                    <w:rPr>
                      <w:rFonts w:hint="eastAsia" w:hAnsi="宋体" w:cs="宋体"/>
                      <w:b/>
                      <w:kern w:val="0"/>
                    </w:rPr>
                    <w:t>挖方</w:t>
                  </w:r>
                </w:p>
              </w:tc>
              <w:tc>
                <w:tcPr>
                  <w:tcW w:w="1152" w:type="pct"/>
                  <w:vMerge w:val="restart"/>
                  <w:shd w:val="clear" w:color="auto" w:fill="auto"/>
                  <w:vAlign w:val="center"/>
                </w:tcPr>
                <w:p>
                  <w:pPr>
                    <w:keepNext w:val="0"/>
                    <w:keepLines w:val="0"/>
                    <w:widowControl/>
                    <w:suppressLineNumbers w:val="0"/>
                    <w:spacing w:before="0" w:beforeAutospacing="0" w:after="0" w:afterAutospacing="0"/>
                    <w:ind w:left="0" w:right="0"/>
                    <w:jc w:val="center"/>
                    <w:rPr>
                      <w:rFonts w:hAnsi="宋体" w:cs="宋体"/>
                      <w:b/>
                      <w:kern w:val="0"/>
                    </w:rPr>
                  </w:pPr>
                  <w:r>
                    <w:rPr>
                      <w:rFonts w:hint="eastAsia" w:hAnsi="宋体" w:cs="宋体"/>
                      <w:b/>
                      <w:kern w:val="0"/>
                    </w:rPr>
                    <w:t>填方</w:t>
                  </w:r>
                </w:p>
              </w:tc>
              <w:tc>
                <w:tcPr>
                  <w:tcW w:w="1203" w:type="pct"/>
                  <w:shd w:val="clear" w:color="auto" w:fill="auto"/>
                  <w:vAlign w:val="center"/>
                </w:tcPr>
                <w:p>
                  <w:pPr>
                    <w:keepNext w:val="0"/>
                    <w:keepLines w:val="0"/>
                    <w:widowControl/>
                    <w:suppressLineNumbers w:val="0"/>
                    <w:spacing w:before="0" w:beforeAutospacing="0" w:after="0" w:afterAutospacing="0"/>
                    <w:ind w:left="0" w:right="0"/>
                    <w:jc w:val="center"/>
                    <w:rPr>
                      <w:rFonts w:hAnsi="宋体" w:cs="宋体"/>
                      <w:b/>
                      <w:kern w:val="0"/>
                    </w:rPr>
                  </w:pPr>
                  <w:r>
                    <w:rPr>
                      <w:rFonts w:hint="eastAsia" w:hAnsi="宋体" w:cs="宋体"/>
                      <w:b/>
                      <w:kern w:val="0"/>
                    </w:rPr>
                    <w:t>总方量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493" w:type="pct"/>
                  <w:vMerge w:val="continue"/>
                  <w:vAlign w:val="center"/>
                </w:tcPr>
                <w:p>
                  <w:pPr>
                    <w:keepNext w:val="0"/>
                    <w:keepLines w:val="0"/>
                    <w:widowControl/>
                    <w:suppressLineNumbers w:val="0"/>
                    <w:spacing w:before="0" w:beforeAutospacing="0" w:after="0" w:afterAutospacing="0"/>
                    <w:ind w:left="0" w:right="0"/>
                    <w:jc w:val="center"/>
                    <w:rPr>
                      <w:rFonts w:hAnsi="宋体" w:cs="宋体"/>
                      <w:b/>
                      <w:kern w:val="0"/>
                    </w:rPr>
                  </w:pPr>
                </w:p>
              </w:tc>
              <w:tc>
                <w:tcPr>
                  <w:tcW w:w="1150" w:type="pct"/>
                  <w:vMerge w:val="continue"/>
                  <w:vAlign w:val="center"/>
                </w:tcPr>
                <w:p>
                  <w:pPr>
                    <w:keepNext w:val="0"/>
                    <w:keepLines w:val="0"/>
                    <w:widowControl/>
                    <w:suppressLineNumbers w:val="0"/>
                    <w:spacing w:before="0" w:beforeAutospacing="0" w:after="0" w:afterAutospacing="0"/>
                    <w:ind w:left="0" w:right="0"/>
                    <w:jc w:val="center"/>
                    <w:rPr>
                      <w:rFonts w:hAnsi="宋体" w:cs="宋体"/>
                      <w:b/>
                      <w:kern w:val="0"/>
                    </w:rPr>
                  </w:pPr>
                </w:p>
              </w:tc>
              <w:tc>
                <w:tcPr>
                  <w:tcW w:w="1152" w:type="pct"/>
                  <w:vMerge w:val="continue"/>
                  <w:vAlign w:val="center"/>
                </w:tcPr>
                <w:p>
                  <w:pPr>
                    <w:keepNext w:val="0"/>
                    <w:keepLines w:val="0"/>
                    <w:widowControl/>
                    <w:suppressLineNumbers w:val="0"/>
                    <w:spacing w:before="0" w:beforeAutospacing="0" w:after="0" w:afterAutospacing="0"/>
                    <w:ind w:left="0" w:right="0"/>
                    <w:jc w:val="center"/>
                    <w:rPr>
                      <w:rFonts w:hAnsi="宋体" w:cs="宋体"/>
                      <w:b/>
                      <w:kern w:val="0"/>
                    </w:rPr>
                  </w:pPr>
                </w:p>
              </w:tc>
              <w:tc>
                <w:tcPr>
                  <w:tcW w:w="1203" w:type="pct"/>
                  <w:shd w:val="clear" w:color="auto" w:fill="auto"/>
                  <w:vAlign w:val="center"/>
                </w:tcPr>
                <w:p>
                  <w:pPr>
                    <w:keepNext w:val="0"/>
                    <w:keepLines w:val="0"/>
                    <w:widowControl/>
                    <w:suppressLineNumbers w:val="0"/>
                    <w:spacing w:before="0" w:beforeAutospacing="0" w:after="0" w:afterAutospacing="0"/>
                    <w:ind w:left="0" w:right="0"/>
                    <w:jc w:val="center"/>
                    <w:rPr>
                      <w:rFonts w:hAnsi="宋体" w:cs="宋体"/>
                      <w:b/>
                      <w:kern w:val="0"/>
                    </w:rPr>
                  </w:pPr>
                  <w:r>
                    <w:rPr>
                      <w:rFonts w:hint="eastAsia" w:hAnsi="宋体" w:cs="宋体"/>
                      <w:b/>
                      <w:kern w:val="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493" w:type="pct"/>
                  <w:shd w:val="clear" w:color="auto" w:fill="auto"/>
                  <w:vAlign w:val="center"/>
                </w:tcPr>
                <w:p>
                  <w:pPr>
                    <w:keepNext w:val="0"/>
                    <w:keepLines w:val="0"/>
                    <w:widowControl/>
                    <w:suppressLineNumbers w:val="0"/>
                    <w:spacing w:before="0" w:beforeAutospacing="0" w:after="0" w:afterAutospacing="0"/>
                    <w:ind w:left="0" w:right="0"/>
                    <w:rPr>
                      <w:rFonts w:hAnsi="宋体" w:cs="宋体"/>
                      <w:kern w:val="0"/>
                    </w:rPr>
                  </w:pPr>
                  <w:r>
                    <w:rPr>
                      <w:rFonts w:hint="eastAsia" w:hAnsi="宋体" w:cs="宋体"/>
                      <w:kern w:val="0"/>
                    </w:rPr>
                    <w:t>升压站区</w:t>
                  </w:r>
                </w:p>
              </w:tc>
              <w:tc>
                <w:tcPr>
                  <w:tcW w:w="1150" w:type="pct"/>
                  <w:shd w:val="clear" w:color="auto" w:fill="auto"/>
                  <w:vAlign w:val="center"/>
                </w:tcPr>
                <w:p>
                  <w:pPr>
                    <w:keepNext w:val="0"/>
                    <w:keepLines w:val="0"/>
                    <w:widowControl/>
                    <w:suppressLineNumbers w:val="0"/>
                    <w:spacing w:before="0" w:beforeAutospacing="0" w:after="0" w:afterAutospacing="0"/>
                    <w:ind w:left="0" w:right="0"/>
                    <w:jc w:val="center"/>
                    <w:rPr>
                      <w:rFonts w:ascii="Times New Roman"/>
                      <w:kern w:val="0"/>
                    </w:rPr>
                  </w:pPr>
                  <w:r>
                    <w:rPr>
                      <w:rFonts w:hint="eastAsia" w:ascii="Times New Roman"/>
                      <w:kern w:val="0"/>
                    </w:rPr>
                    <w:t>8.60</w:t>
                  </w:r>
                </w:p>
              </w:tc>
              <w:tc>
                <w:tcPr>
                  <w:tcW w:w="1152" w:type="pct"/>
                  <w:shd w:val="clear" w:color="auto" w:fill="auto"/>
                  <w:vAlign w:val="center"/>
                </w:tcPr>
                <w:p>
                  <w:pPr>
                    <w:keepNext w:val="0"/>
                    <w:keepLines w:val="0"/>
                    <w:widowControl/>
                    <w:suppressLineNumbers w:val="0"/>
                    <w:spacing w:before="0" w:beforeAutospacing="0" w:after="0" w:afterAutospacing="0"/>
                    <w:ind w:left="0" w:right="0"/>
                    <w:jc w:val="center"/>
                    <w:rPr>
                      <w:rFonts w:ascii="Times New Roman"/>
                      <w:kern w:val="0"/>
                    </w:rPr>
                  </w:pPr>
                  <w:r>
                    <w:rPr>
                      <w:rFonts w:hint="eastAsia" w:ascii="Times New Roman"/>
                      <w:kern w:val="0"/>
                    </w:rPr>
                    <w:t>8.60</w:t>
                  </w:r>
                </w:p>
              </w:tc>
              <w:tc>
                <w:tcPr>
                  <w:tcW w:w="1203" w:type="pct"/>
                  <w:shd w:val="clear" w:color="auto" w:fill="auto"/>
                  <w:vAlign w:val="center"/>
                </w:tcPr>
                <w:p>
                  <w:pPr>
                    <w:keepNext w:val="0"/>
                    <w:keepLines w:val="0"/>
                    <w:widowControl/>
                    <w:suppressLineNumbers w:val="0"/>
                    <w:spacing w:before="0" w:beforeAutospacing="0" w:after="0" w:afterAutospacing="0"/>
                    <w:ind w:left="0" w:right="0"/>
                    <w:jc w:val="center"/>
                    <w:rPr>
                      <w:rFonts w:ascii="Times New Roman"/>
                      <w:kern w:val="0"/>
                    </w:rPr>
                  </w:pPr>
                  <w:r>
                    <w:rPr>
                      <w:rFonts w:hint="eastAsia" w:ascii="Times New Roman"/>
                      <w:kern w:val="0"/>
                    </w:rPr>
                    <w:t>17.20</w:t>
                  </w:r>
                </w:p>
              </w:tc>
            </w:tr>
          </w:tbl>
          <w:p>
            <w:pPr>
              <w:pStyle w:val="27"/>
              <w:keepNext w:val="0"/>
              <w:keepLines w:val="0"/>
              <w:widowControl/>
              <w:suppressLineNumbers w:val="0"/>
              <w:spacing w:before="120" w:beforeLines="50" w:beforeAutospacing="0" w:after="0" w:afterAutospacing="0" w:line="360" w:lineRule="auto"/>
              <w:ind w:left="0" w:leftChars="0" w:right="0" w:firstLine="482" w:firstLineChars="200"/>
              <w:rPr>
                <w:rFonts w:ascii="Times New Roman"/>
                <w:b/>
                <w:sz w:val="24"/>
                <w:szCs w:val="24"/>
              </w:rPr>
            </w:pPr>
            <w:r>
              <w:rPr>
                <w:rFonts w:hint="eastAsia" w:ascii="Times New Roman"/>
                <w:b/>
                <w:sz w:val="24"/>
                <w:szCs w:val="24"/>
              </w:rPr>
              <w:t>6、施工时序及建设周期</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升压</w:t>
            </w:r>
            <w:r>
              <w:rPr>
                <w:rFonts w:ascii="Times New Roman"/>
                <w:sz w:val="24"/>
                <w:szCs w:val="24"/>
              </w:rPr>
              <w:t>站施工时序包括土地平整、基础施工、建筑物施工、电气设备安装、调试等工艺流程。</w:t>
            </w:r>
          </w:p>
          <w:p>
            <w:pPr>
              <w:keepNext w:val="0"/>
              <w:keepLines w:val="0"/>
              <w:widowControl/>
              <w:suppressLineNumbers w:val="0"/>
              <w:adjustRightInd w:val="0"/>
              <w:snapToGrid w:val="0"/>
              <w:spacing w:before="0" w:beforeAutospacing="0" w:after="0" w:afterAutospacing="0" w:line="480" w:lineRule="exact"/>
              <w:ind w:left="0" w:right="0" w:firstLine="480" w:firstLineChars="200"/>
              <w:rPr>
                <w:kern w:val="0"/>
                <w:sz w:val="24"/>
                <w:szCs w:val="28"/>
              </w:rPr>
            </w:pPr>
            <w:r>
              <w:rPr>
                <w:rFonts w:ascii="Times New Roman"/>
                <w:sz w:val="24"/>
                <w:szCs w:val="24"/>
              </w:rPr>
              <w:t>整个项目建设周期约为</w:t>
            </w:r>
            <w:r>
              <w:rPr>
                <w:rFonts w:hint="eastAsia" w:ascii="Times New Roman"/>
                <w:sz w:val="24"/>
                <w:szCs w:val="24"/>
              </w:rPr>
              <w:t>12</w:t>
            </w:r>
            <w:r>
              <w:rPr>
                <w:rFonts w:ascii="Times New Roman"/>
                <w:sz w:val="24"/>
                <w:szCs w:val="24"/>
              </w:rPr>
              <w:t>个月。</w:t>
            </w:r>
            <w:r>
              <w:rPr>
                <w:rFonts w:hint="eastAsia"/>
                <w:kern w:val="0"/>
                <w:sz w:val="24"/>
                <w:szCs w:val="28"/>
              </w:rPr>
              <w:t>土建施工、设备安装和系统调试阶段性同步进行，其中土建施工4个月、设备安装5个月、系统调试3个月。项目实施进度见表2-6。</w:t>
            </w:r>
          </w:p>
          <w:p>
            <w:pPr>
              <w:pStyle w:val="27"/>
              <w:keepNext w:val="0"/>
              <w:keepLines w:val="0"/>
              <w:widowControl/>
              <w:suppressLineNumbers w:val="0"/>
              <w:spacing w:before="0" w:beforeAutospacing="0" w:after="0" w:afterAutospacing="0"/>
              <w:ind w:right="0"/>
              <w:jc w:val="center"/>
              <w:rPr>
                <w:rFonts w:ascii="Times New Roman"/>
                <w:b/>
                <w:bCs/>
                <w:sz w:val="24"/>
              </w:rPr>
            </w:pPr>
          </w:p>
          <w:p>
            <w:pPr>
              <w:pStyle w:val="27"/>
              <w:keepNext w:val="0"/>
              <w:keepLines w:val="0"/>
              <w:widowControl/>
              <w:suppressLineNumbers w:val="0"/>
              <w:spacing w:before="0" w:beforeAutospacing="0" w:after="0" w:afterAutospacing="0"/>
              <w:ind w:right="0"/>
              <w:jc w:val="center"/>
              <w:rPr>
                <w:rFonts w:ascii="Times New Roman"/>
                <w:b/>
                <w:bCs/>
                <w:sz w:val="24"/>
              </w:rPr>
            </w:pPr>
          </w:p>
          <w:p>
            <w:pPr>
              <w:pStyle w:val="27"/>
              <w:keepNext w:val="0"/>
              <w:keepLines w:val="0"/>
              <w:widowControl/>
              <w:suppressLineNumbers w:val="0"/>
              <w:spacing w:before="0" w:beforeAutospacing="0" w:after="0" w:afterAutospacing="0"/>
              <w:ind w:right="0"/>
              <w:jc w:val="center"/>
              <w:rPr>
                <w:rFonts w:ascii="Times New Roman"/>
                <w:b/>
                <w:bCs/>
                <w:sz w:val="24"/>
              </w:rPr>
            </w:pPr>
          </w:p>
          <w:p>
            <w:pPr>
              <w:pStyle w:val="27"/>
              <w:keepNext w:val="0"/>
              <w:keepLines w:val="0"/>
              <w:widowControl/>
              <w:suppressLineNumbers w:val="0"/>
              <w:spacing w:before="0" w:beforeAutospacing="0" w:after="0" w:afterAutospacing="0"/>
              <w:ind w:right="0"/>
              <w:jc w:val="center"/>
              <w:rPr>
                <w:rFonts w:ascii="Times New Roman"/>
                <w:b/>
                <w:bCs/>
                <w:sz w:val="24"/>
              </w:rPr>
            </w:pPr>
          </w:p>
          <w:p>
            <w:pPr>
              <w:pStyle w:val="27"/>
              <w:keepNext w:val="0"/>
              <w:keepLines w:val="0"/>
              <w:widowControl/>
              <w:suppressLineNumbers w:val="0"/>
              <w:spacing w:before="0" w:beforeAutospacing="0" w:after="0" w:afterAutospacing="0"/>
              <w:ind w:right="0"/>
              <w:jc w:val="center"/>
              <w:rPr>
                <w:rFonts w:ascii="Times New Roman"/>
                <w:b/>
                <w:bCs/>
                <w:sz w:val="24"/>
              </w:rPr>
            </w:pPr>
          </w:p>
          <w:p>
            <w:pPr>
              <w:pStyle w:val="27"/>
              <w:keepNext w:val="0"/>
              <w:keepLines w:val="0"/>
              <w:widowControl/>
              <w:suppressLineNumbers w:val="0"/>
              <w:spacing w:before="0" w:beforeAutospacing="0" w:after="0" w:afterAutospacing="0"/>
              <w:ind w:right="0"/>
              <w:jc w:val="center"/>
              <w:rPr>
                <w:rFonts w:ascii="Times New Roman"/>
                <w:b/>
                <w:bCs/>
                <w:sz w:val="24"/>
              </w:rPr>
            </w:pPr>
          </w:p>
          <w:p>
            <w:pPr>
              <w:pStyle w:val="27"/>
              <w:keepNext w:val="0"/>
              <w:keepLines w:val="0"/>
              <w:widowControl/>
              <w:suppressLineNumbers w:val="0"/>
              <w:spacing w:before="0" w:beforeAutospacing="0" w:after="0" w:afterAutospacing="0"/>
              <w:ind w:right="0"/>
              <w:jc w:val="center"/>
              <w:rPr>
                <w:rFonts w:ascii="Times New Roman"/>
                <w:b/>
                <w:bCs/>
                <w:sz w:val="24"/>
              </w:rPr>
            </w:pPr>
            <w:r>
              <w:rPr>
                <w:rFonts w:hint="eastAsia" w:ascii="Times New Roman"/>
                <w:b/>
                <w:bCs/>
                <w:sz w:val="24"/>
              </w:rPr>
              <w:t>表2-6  施工进度表</w:t>
            </w:r>
          </w:p>
          <w:tbl>
            <w:tblPr>
              <w:tblStyle w:val="5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635"/>
              <w:gridCol w:w="523"/>
              <w:gridCol w:w="556"/>
              <w:gridCol w:w="536"/>
              <w:gridCol w:w="556"/>
              <w:gridCol w:w="513"/>
              <w:gridCol w:w="513"/>
              <w:gridCol w:w="581"/>
              <w:gridCol w:w="663"/>
              <w:gridCol w:w="744"/>
              <w:gridCol w:w="716"/>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588" w:type="pct"/>
                  <w:vMerge w:val="restart"/>
                </w:tcPr>
                <w:p>
                  <w:pPr>
                    <w:keepNext w:val="0"/>
                    <w:keepLines w:val="0"/>
                    <w:widowControl/>
                    <w:suppressLineNumbers w:val="0"/>
                    <w:spacing w:before="0" w:beforeAutospacing="0" w:after="0" w:afterAutospacing="0"/>
                    <w:ind w:left="0" w:right="0"/>
                  </w:pPr>
                  <w:r>
                    <w:pict>
                      <v:line id="_x0000_s1026" o:spid="_x0000_s1026" o:spt="20" style="position:absolute;left:0pt;margin-left:-4.75pt;margin-top:0.6pt;height:56.45pt;width:46.8pt;z-index:251681792;mso-width-relative:page;mso-height-relative:page;" stroked="t" coordsize="21600,21600" o:gfxdata="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z860zTAAAABgEAAA8AAAAAAAAAAQAgAAAAIgAAAGRycy9kb3ducmV2Lnht&#10;bFBLAQIUABQAAAAIAIdO4kByt0At/gEAAM4DAAAOAAAAAAAAAAEAIAAAACIBAABkcnMvZTJvRG9j&#10;LnhtbFBLBQYAAAAABgAGAFkBAACSBQAAAAA=&#10;">
                        <v:path arrowok="t"/>
                        <v:fill focussize="0,0"/>
                        <v:stroke weight="1pt" color="#5B9BD5" joinstyle="miter"/>
                        <v:imagedata o:title=""/>
                        <o:lock v:ext="edit"/>
                      </v:line>
                    </w:pict>
                  </w:r>
                  <w:r>
                    <w:rPr>
                      <w:rFonts w:hint="eastAsia"/>
                    </w:rPr>
                    <w:t>日期</w:t>
                  </w: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pPr>
                  <w:r>
                    <w:rPr>
                      <w:rFonts w:hint="eastAsia"/>
                    </w:rPr>
                    <w:t>项目</w:t>
                  </w:r>
                </w:p>
              </w:tc>
              <w:tc>
                <w:tcPr>
                  <w:tcW w:w="3049" w:type="pct"/>
                  <w:gridSpan w:val="9"/>
                </w:tcPr>
                <w:p>
                  <w:pPr>
                    <w:keepNext w:val="0"/>
                    <w:keepLines w:val="0"/>
                    <w:widowControl/>
                    <w:suppressLineNumbers w:val="0"/>
                    <w:spacing w:before="0" w:beforeAutospacing="0" w:after="0" w:afterAutospacing="0"/>
                    <w:ind w:left="0" w:right="0"/>
                    <w:jc w:val="center"/>
                  </w:pPr>
                  <w:r>
                    <w:rPr>
                      <w:rFonts w:hint="eastAsia"/>
                    </w:rPr>
                    <w:t>2025年</w:t>
                  </w:r>
                </w:p>
              </w:tc>
              <w:tc>
                <w:tcPr>
                  <w:tcW w:w="1362" w:type="pct"/>
                  <w:gridSpan w:val="3"/>
                </w:tcPr>
                <w:p>
                  <w:pPr>
                    <w:keepNext w:val="0"/>
                    <w:keepLines w:val="0"/>
                    <w:widowControl/>
                    <w:suppressLineNumbers w:val="0"/>
                    <w:spacing w:before="0" w:beforeAutospacing="0" w:after="0" w:afterAutospacing="0"/>
                    <w:ind w:left="0" w:right="0"/>
                    <w:jc w:val="center"/>
                  </w:pPr>
                  <w:r>
                    <w:rPr>
                      <w:rFonts w:hint="eastAsia"/>
                    </w:rPr>
                    <w:t>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88" w:type="pct"/>
                  <w:vMerge w:val="continue"/>
                </w:tcPr>
                <w:p>
                  <w:pPr>
                    <w:keepNext w:val="0"/>
                    <w:keepLines w:val="0"/>
                    <w:widowControl/>
                    <w:suppressLineNumbers w:val="0"/>
                    <w:spacing w:before="0" w:beforeAutospacing="0" w:after="0" w:afterAutospacing="0"/>
                    <w:ind w:left="0" w:right="0"/>
                  </w:pPr>
                </w:p>
              </w:tc>
              <w:tc>
                <w:tcPr>
                  <w:tcW w:w="382" w:type="pct"/>
                </w:tcPr>
                <w:p>
                  <w:pPr>
                    <w:keepNext w:val="0"/>
                    <w:keepLines w:val="0"/>
                    <w:widowControl/>
                    <w:suppressLineNumbers w:val="0"/>
                    <w:spacing w:before="0" w:beforeAutospacing="0" w:after="0" w:afterAutospacing="0"/>
                    <w:ind w:left="0" w:right="0"/>
                    <w:jc w:val="center"/>
                  </w:pPr>
                  <w:r>
                    <w:rPr>
                      <w:rFonts w:hint="eastAsia"/>
                    </w:rPr>
                    <w:t>4月</w:t>
                  </w:r>
                </w:p>
              </w:tc>
              <w:tc>
                <w:tcPr>
                  <w:tcW w:w="314" w:type="pct"/>
                </w:tcPr>
                <w:p>
                  <w:pPr>
                    <w:keepNext w:val="0"/>
                    <w:keepLines w:val="0"/>
                    <w:widowControl/>
                    <w:suppressLineNumbers w:val="0"/>
                    <w:spacing w:before="0" w:beforeAutospacing="0" w:after="0" w:afterAutospacing="0"/>
                    <w:ind w:left="0" w:right="0"/>
                    <w:jc w:val="center"/>
                  </w:pPr>
                  <w:r>
                    <w:rPr>
                      <w:rFonts w:hint="eastAsia"/>
                    </w:rPr>
                    <w:t>5月</w:t>
                  </w:r>
                </w:p>
              </w:tc>
              <w:tc>
                <w:tcPr>
                  <w:tcW w:w="334" w:type="pct"/>
                </w:tcPr>
                <w:p>
                  <w:pPr>
                    <w:keepNext w:val="0"/>
                    <w:keepLines w:val="0"/>
                    <w:widowControl/>
                    <w:suppressLineNumbers w:val="0"/>
                    <w:spacing w:before="0" w:beforeAutospacing="0" w:after="0" w:afterAutospacing="0"/>
                    <w:ind w:left="0" w:right="0"/>
                    <w:jc w:val="center"/>
                  </w:pPr>
                  <w:r>
                    <w:rPr>
                      <w:rFonts w:hint="eastAsia"/>
                    </w:rPr>
                    <w:t>6月</w:t>
                  </w:r>
                </w:p>
              </w:tc>
              <w:tc>
                <w:tcPr>
                  <w:tcW w:w="322" w:type="pct"/>
                </w:tcPr>
                <w:p>
                  <w:pPr>
                    <w:keepNext w:val="0"/>
                    <w:keepLines w:val="0"/>
                    <w:widowControl/>
                    <w:suppressLineNumbers w:val="0"/>
                    <w:spacing w:before="0" w:beforeAutospacing="0" w:after="0" w:afterAutospacing="0"/>
                    <w:ind w:left="0" w:right="0"/>
                    <w:jc w:val="center"/>
                  </w:pPr>
                  <w:r>
                    <w:rPr>
                      <w:rFonts w:hint="eastAsia"/>
                    </w:rPr>
                    <w:t>7月</w:t>
                  </w:r>
                </w:p>
              </w:tc>
              <w:tc>
                <w:tcPr>
                  <w:tcW w:w="334" w:type="pct"/>
                </w:tcPr>
                <w:p>
                  <w:pPr>
                    <w:keepNext w:val="0"/>
                    <w:keepLines w:val="0"/>
                    <w:widowControl/>
                    <w:suppressLineNumbers w:val="0"/>
                    <w:spacing w:before="0" w:beforeAutospacing="0" w:after="0" w:afterAutospacing="0"/>
                    <w:ind w:left="0" w:right="0"/>
                    <w:jc w:val="center"/>
                  </w:pPr>
                  <w:r>
                    <w:rPr>
                      <w:rFonts w:hint="eastAsia"/>
                    </w:rPr>
                    <w:t>8月</w:t>
                  </w:r>
                </w:p>
              </w:tc>
              <w:tc>
                <w:tcPr>
                  <w:tcW w:w="308" w:type="pct"/>
                </w:tcPr>
                <w:p>
                  <w:pPr>
                    <w:keepNext w:val="0"/>
                    <w:keepLines w:val="0"/>
                    <w:widowControl/>
                    <w:suppressLineNumbers w:val="0"/>
                    <w:spacing w:before="0" w:beforeAutospacing="0" w:after="0" w:afterAutospacing="0"/>
                    <w:ind w:left="0" w:right="0"/>
                    <w:jc w:val="center"/>
                  </w:pPr>
                  <w:r>
                    <w:rPr>
                      <w:rFonts w:hint="eastAsia"/>
                    </w:rPr>
                    <w:t>9月</w:t>
                  </w:r>
                </w:p>
              </w:tc>
              <w:tc>
                <w:tcPr>
                  <w:tcW w:w="308" w:type="pct"/>
                </w:tcPr>
                <w:p>
                  <w:pPr>
                    <w:keepNext w:val="0"/>
                    <w:keepLines w:val="0"/>
                    <w:widowControl/>
                    <w:suppressLineNumbers w:val="0"/>
                    <w:spacing w:before="0" w:beforeAutospacing="0" w:after="0" w:afterAutospacing="0"/>
                    <w:ind w:left="0" w:right="0"/>
                    <w:jc w:val="center"/>
                  </w:pPr>
                  <w:r>
                    <w:rPr>
                      <w:rFonts w:hint="eastAsia"/>
                    </w:rPr>
                    <w:t>10月</w:t>
                  </w:r>
                </w:p>
              </w:tc>
              <w:tc>
                <w:tcPr>
                  <w:tcW w:w="349" w:type="pct"/>
                </w:tcPr>
                <w:p>
                  <w:pPr>
                    <w:keepNext w:val="0"/>
                    <w:keepLines w:val="0"/>
                    <w:widowControl/>
                    <w:suppressLineNumbers w:val="0"/>
                    <w:spacing w:before="0" w:beforeAutospacing="0" w:after="0" w:afterAutospacing="0"/>
                    <w:ind w:left="0" w:right="0"/>
                    <w:jc w:val="center"/>
                  </w:pPr>
                  <w:r>
                    <w:rPr>
                      <w:rFonts w:hint="eastAsia"/>
                    </w:rPr>
                    <w:t>11月</w:t>
                  </w:r>
                </w:p>
              </w:tc>
              <w:tc>
                <w:tcPr>
                  <w:tcW w:w="397" w:type="pct"/>
                </w:tcPr>
                <w:p>
                  <w:pPr>
                    <w:keepNext w:val="0"/>
                    <w:keepLines w:val="0"/>
                    <w:widowControl/>
                    <w:suppressLineNumbers w:val="0"/>
                    <w:spacing w:before="0" w:beforeAutospacing="0" w:after="0" w:afterAutospacing="0"/>
                    <w:ind w:left="0" w:right="0"/>
                    <w:jc w:val="center"/>
                  </w:pPr>
                  <w:r>
                    <w:rPr>
                      <w:rFonts w:hint="eastAsia"/>
                    </w:rPr>
                    <w:t>12月</w:t>
                  </w:r>
                </w:p>
              </w:tc>
              <w:tc>
                <w:tcPr>
                  <w:tcW w:w="447" w:type="pct"/>
                </w:tcPr>
                <w:p>
                  <w:pPr>
                    <w:keepNext w:val="0"/>
                    <w:keepLines w:val="0"/>
                    <w:widowControl/>
                    <w:suppressLineNumbers w:val="0"/>
                    <w:spacing w:before="0" w:beforeAutospacing="0" w:after="0" w:afterAutospacing="0"/>
                    <w:ind w:left="0" w:right="0"/>
                    <w:jc w:val="center"/>
                  </w:pPr>
                  <w:r>
                    <w:rPr>
                      <w:rFonts w:hint="eastAsia"/>
                    </w:rPr>
                    <w:t>1月</w:t>
                  </w:r>
                </w:p>
              </w:tc>
              <w:tc>
                <w:tcPr>
                  <w:tcW w:w="430" w:type="pct"/>
                </w:tcPr>
                <w:p>
                  <w:pPr>
                    <w:keepNext w:val="0"/>
                    <w:keepLines w:val="0"/>
                    <w:widowControl/>
                    <w:suppressLineNumbers w:val="0"/>
                    <w:spacing w:before="0" w:beforeAutospacing="0" w:after="0" w:afterAutospacing="0"/>
                    <w:ind w:left="0" w:right="0"/>
                    <w:jc w:val="center"/>
                  </w:pPr>
                  <w:r>
                    <w:rPr>
                      <w:rFonts w:hint="eastAsia"/>
                    </w:rPr>
                    <w:t>2月</w:t>
                  </w:r>
                </w:p>
              </w:tc>
              <w:tc>
                <w:tcPr>
                  <w:tcW w:w="484" w:type="pct"/>
                </w:tcPr>
                <w:p>
                  <w:pPr>
                    <w:keepNext w:val="0"/>
                    <w:keepLines w:val="0"/>
                    <w:widowControl/>
                    <w:suppressLineNumbers w:val="0"/>
                    <w:spacing w:before="0" w:beforeAutospacing="0" w:after="0" w:afterAutospacing="0"/>
                    <w:ind w:left="0" w:right="0"/>
                    <w:jc w:val="center"/>
                  </w:pPr>
                  <w:r>
                    <w:rPr>
                      <w:rFonts w:hint="eastAsia"/>
                    </w:rPr>
                    <w:t>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88" w:type="pct"/>
                </w:tcPr>
                <w:p>
                  <w:pPr>
                    <w:keepNext w:val="0"/>
                    <w:keepLines w:val="0"/>
                    <w:widowControl/>
                    <w:suppressLineNumbers w:val="0"/>
                    <w:spacing w:before="0" w:beforeAutospacing="0" w:after="0" w:afterAutospacing="0"/>
                    <w:ind w:left="0" w:right="0"/>
                  </w:pPr>
                  <w:r>
                    <w:rPr>
                      <w:rFonts w:hint="eastAsia"/>
                    </w:rPr>
                    <w:t>土建施工</w:t>
                  </w:r>
                </w:p>
              </w:tc>
              <w:tc>
                <w:tcPr>
                  <w:tcW w:w="382" w:type="pct"/>
                </w:tcPr>
                <w:p>
                  <w:pPr>
                    <w:keepNext w:val="0"/>
                    <w:keepLines w:val="0"/>
                    <w:widowControl/>
                    <w:suppressLineNumbers w:val="0"/>
                    <w:spacing w:before="0" w:beforeAutospacing="0" w:after="0" w:afterAutospacing="0"/>
                    <w:ind w:left="0" w:right="0"/>
                  </w:pPr>
                  <w:r>
                    <w:pict>
                      <v:line id="_x0000_s1068" o:spid="_x0000_s1068" o:spt="20" style="position:absolute;left:0pt;margin-left:-3.8pt;margin-top:16.2pt;height:1.1pt;width:109.9pt;z-index:251682816;mso-width-relative:page;mso-height-relative:page;" stroked="t" coordsize="21600,21600" o:gfxdata="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aoBNnSAAAABgEAAA8AAAAAAAAAAQAgAAAAIgAAAGRycy9kb3ducmV2LnhtbFBL&#10;AQIUABQAAAAIAIdO4kDOX26N/AEAAM4DAAAOAAAAAAAAAAEAIAAAACEBAABkcnMvZTJvRG9jLnht&#10;bFBLBQYAAAAABgAGAFkBAACPBQAAAAA=&#10;">
                        <v:path arrowok="t"/>
                        <v:fill focussize="0,0"/>
                        <v:stroke weight="1pt" color="#5B9BD5" joinstyle="miter"/>
                        <v:imagedata o:title=""/>
                        <o:lock v:ext="edit"/>
                      </v:line>
                    </w:pict>
                  </w:r>
                </w:p>
              </w:tc>
              <w:tc>
                <w:tcPr>
                  <w:tcW w:w="314" w:type="pct"/>
                </w:tcPr>
                <w:p>
                  <w:pPr>
                    <w:keepNext w:val="0"/>
                    <w:keepLines w:val="0"/>
                    <w:widowControl/>
                    <w:suppressLineNumbers w:val="0"/>
                    <w:spacing w:before="0" w:beforeAutospacing="0" w:after="0" w:afterAutospacing="0"/>
                    <w:ind w:left="0" w:right="0"/>
                  </w:pPr>
                </w:p>
              </w:tc>
              <w:tc>
                <w:tcPr>
                  <w:tcW w:w="334" w:type="pct"/>
                </w:tcPr>
                <w:p>
                  <w:pPr>
                    <w:keepNext w:val="0"/>
                    <w:keepLines w:val="0"/>
                    <w:widowControl/>
                    <w:suppressLineNumbers w:val="0"/>
                    <w:spacing w:before="0" w:beforeAutospacing="0" w:after="0" w:afterAutospacing="0"/>
                    <w:ind w:left="0" w:right="0"/>
                  </w:pPr>
                </w:p>
              </w:tc>
              <w:tc>
                <w:tcPr>
                  <w:tcW w:w="322" w:type="pct"/>
                </w:tcPr>
                <w:p>
                  <w:pPr>
                    <w:keepNext w:val="0"/>
                    <w:keepLines w:val="0"/>
                    <w:widowControl/>
                    <w:suppressLineNumbers w:val="0"/>
                    <w:spacing w:before="0" w:beforeAutospacing="0" w:after="0" w:afterAutospacing="0"/>
                    <w:ind w:left="0" w:right="0"/>
                  </w:pPr>
                </w:p>
              </w:tc>
              <w:tc>
                <w:tcPr>
                  <w:tcW w:w="334" w:type="pct"/>
                </w:tcPr>
                <w:p>
                  <w:pPr>
                    <w:keepNext w:val="0"/>
                    <w:keepLines w:val="0"/>
                    <w:widowControl/>
                    <w:suppressLineNumbers w:val="0"/>
                    <w:spacing w:before="0" w:beforeAutospacing="0" w:after="0" w:afterAutospacing="0"/>
                    <w:ind w:left="0" w:right="0"/>
                  </w:pPr>
                </w:p>
              </w:tc>
              <w:tc>
                <w:tcPr>
                  <w:tcW w:w="308" w:type="pct"/>
                </w:tcPr>
                <w:p>
                  <w:pPr>
                    <w:keepNext w:val="0"/>
                    <w:keepLines w:val="0"/>
                    <w:widowControl/>
                    <w:suppressLineNumbers w:val="0"/>
                    <w:spacing w:before="0" w:beforeAutospacing="0" w:after="0" w:afterAutospacing="0"/>
                    <w:ind w:left="0" w:right="0"/>
                  </w:pPr>
                </w:p>
              </w:tc>
              <w:tc>
                <w:tcPr>
                  <w:tcW w:w="308" w:type="pct"/>
                </w:tcPr>
                <w:p>
                  <w:pPr>
                    <w:keepNext w:val="0"/>
                    <w:keepLines w:val="0"/>
                    <w:widowControl/>
                    <w:suppressLineNumbers w:val="0"/>
                    <w:spacing w:before="0" w:beforeAutospacing="0" w:after="0" w:afterAutospacing="0"/>
                    <w:ind w:left="0" w:right="0"/>
                  </w:pPr>
                </w:p>
              </w:tc>
              <w:tc>
                <w:tcPr>
                  <w:tcW w:w="349" w:type="pct"/>
                </w:tcPr>
                <w:p>
                  <w:pPr>
                    <w:keepNext w:val="0"/>
                    <w:keepLines w:val="0"/>
                    <w:widowControl/>
                    <w:suppressLineNumbers w:val="0"/>
                    <w:spacing w:before="0" w:beforeAutospacing="0" w:after="0" w:afterAutospacing="0"/>
                    <w:ind w:left="0" w:right="0"/>
                  </w:pPr>
                </w:p>
              </w:tc>
              <w:tc>
                <w:tcPr>
                  <w:tcW w:w="397" w:type="pct"/>
                </w:tcPr>
                <w:p>
                  <w:pPr>
                    <w:keepNext w:val="0"/>
                    <w:keepLines w:val="0"/>
                    <w:widowControl/>
                    <w:suppressLineNumbers w:val="0"/>
                    <w:spacing w:before="0" w:beforeAutospacing="0" w:after="0" w:afterAutospacing="0"/>
                    <w:ind w:left="0" w:right="0"/>
                  </w:pPr>
                </w:p>
              </w:tc>
              <w:tc>
                <w:tcPr>
                  <w:tcW w:w="447" w:type="pct"/>
                </w:tcPr>
                <w:p>
                  <w:pPr>
                    <w:keepNext w:val="0"/>
                    <w:keepLines w:val="0"/>
                    <w:widowControl/>
                    <w:suppressLineNumbers w:val="0"/>
                    <w:spacing w:before="0" w:beforeAutospacing="0" w:after="0" w:afterAutospacing="0"/>
                    <w:ind w:left="0" w:right="0"/>
                  </w:pPr>
                </w:p>
              </w:tc>
              <w:tc>
                <w:tcPr>
                  <w:tcW w:w="430" w:type="pct"/>
                </w:tcPr>
                <w:p>
                  <w:pPr>
                    <w:keepNext w:val="0"/>
                    <w:keepLines w:val="0"/>
                    <w:widowControl/>
                    <w:suppressLineNumbers w:val="0"/>
                    <w:spacing w:before="0" w:beforeAutospacing="0" w:after="0" w:afterAutospacing="0"/>
                    <w:ind w:left="0" w:right="0"/>
                  </w:pPr>
                </w:p>
              </w:tc>
              <w:tc>
                <w:tcPr>
                  <w:tcW w:w="484" w:type="pct"/>
                </w:tcPr>
                <w:p>
                  <w:pPr>
                    <w:keepNext w:val="0"/>
                    <w:keepLines w:val="0"/>
                    <w:widowControl/>
                    <w:suppressLineNumbers w:val="0"/>
                    <w:spacing w:before="0" w:beforeAutospacing="0" w:after="0" w:afterAutospacing="0"/>
                    <w:ind w:left="0" w:right="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88" w:type="pct"/>
                </w:tcPr>
                <w:p>
                  <w:pPr>
                    <w:keepNext w:val="0"/>
                    <w:keepLines w:val="0"/>
                    <w:widowControl/>
                    <w:suppressLineNumbers w:val="0"/>
                    <w:spacing w:before="0" w:beforeAutospacing="0" w:after="0" w:afterAutospacing="0"/>
                    <w:ind w:left="0" w:right="0"/>
                  </w:pPr>
                  <w:r>
                    <w:rPr>
                      <w:rFonts w:hint="eastAsia"/>
                    </w:rPr>
                    <w:t>设备安装</w:t>
                  </w:r>
                </w:p>
              </w:tc>
              <w:tc>
                <w:tcPr>
                  <w:tcW w:w="382" w:type="pct"/>
                </w:tcPr>
                <w:p>
                  <w:pPr>
                    <w:keepNext w:val="0"/>
                    <w:keepLines w:val="0"/>
                    <w:widowControl/>
                    <w:suppressLineNumbers w:val="0"/>
                    <w:spacing w:before="0" w:beforeAutospacing="0" w:after="0" w:afterAutospacing="0"/>
                    <w:ind w:left="0" w:right="0"/>
                  </w:pPr>
                </w:p>
              </w:tc>
              <w:tc>
                <w:tcPr>
                  <w:tcW w:w="314" w:type="pct"/>
                </w:tcPr>
                <w:p>
                  <w:pPr>
                    <w:keepNext w:val="0"/>
                    <w:keepLines w:val="0"/>
                    <w:widowControl/>
                    <w:suppressLineNumbers w:val="0"/>
                    <w:spacing w:before="0" w:beforeAutospacing="0" w:after="0" w:afterAutospacing="0"/>
                    <w:ind w:left="0" w:right="0"/>
                  </w:pPr>
                </w:p>
              </w:tc>
              <w:tc>
                <w:tcPr>
                  <w:tcW w:w="334" w:type="pct"/>
                </w:tcPr>
                <w:p>
                  <w:pPr>
                    <w:keepNext w:val="0"/>
                    <w:keepLines w:val="0"/>
                    <w:widowControl/>
                    <w:suppressLineNumbers w:val="0"/>
                    <w:spacing w:before="0" w:beforeAutospacing="0" w:after="0" w:afterAutospacing="0"/>
                    <w:ind w:left="0" w:right="0"/>
                  </w:pPr>
                </w:p>
              </w:tc>
              <w:tc>
                <w:tcPr>
                  <w:tcW w:w="322" w:type="pct"/>
                </w:tcPr>
                <w:p>
                  <w:pPr>
                    <w:keepNext w:val="0"/>
                    <w:keepLines w:val="0"/>
                    <w:widowControl/>
                    <w:suppressLineNumbers w:val="0"/>
                    <w:spacing w:before="0" w:beforeAutospacing="0" w:after="0" w:afterAutospacing="0"/>
                    <w:ind w:left="0" w:right="0"/>
                  </w:pPr>
                </w:p>
              </w:tc>
              <w:tc>
                <w:tcPr>
                  <w:tcW w:w="334" w:type="pct"/>
                </w:tcPr>
                <w:p>
                  <w:pPr>
                    <w:keepNext w:val="0"/>
                    <w:keepLines w:val="0"/>
                    <w:widowControl/>
                    <w:suppressLineNumbers w:val="0"/>
                    <w:spacing w:before="0" w:beforeAutospacing="0" w:after="0" w:afterAutospacing="0"/>
                    <w:ind w:left="0" w:right="0"/>
                  </w:pPr>
                  <w:r>
                    <w:pict>
                      <v:line id="_x0000_s1067" o:spid="_x0000_s1067" o:spt="20" style="position:absolute;left:0pt;flip:y;margin-left:-4.35pt;margin-top:14.85pt;height:1.35pt;width:143.15pt;z-index:251683840;mso-width-relative:page;mso-height-relative:page;" stroked="t" coordsize="21600,21600" o:gfxdata="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E6TtPTAAAABwEAAA8AAAAAAAAAAQAgAAAA&#10;IgAAAGRycy9kb3ducmV2LnhtbFBLAQIUABQAAAAIAIdO4kCWm//wEAIAAAkEAAAOAAAAAAAAAAEA&#10;IAAAACIBAABkcnMvZTJvRG9jLnhtbFBLBQYAAAAABgAGAFkBAACkBQAAAAA=&#10;">
                        <v:path arrowok="t"/>
                        <v:fill focussize="0,0"/>
                        <v:stroke weight="1pt" color="#5B9BD5" joinstyle="miter"/>
                        <v:imagedata o:title=""/>
                        <o:lock v:ext="edit"/>
                      </v:line>
                    </w:pict>
                  </w:r>
                </w:p>
              </w:tc>
              <w:tc>
                <w:tcPr>
                  <w:tcW w:w="308" w:type="pct"/>
                </w:tcPr>
                <w:p>
                  <w:pPr>
                    <w:keepNext w:val="0"/>
                    <w:keepLines w:val="0"/>
                    <w:widowControl/>
                    <w:suppressLineNumbers w:val="0"/>
                    <w:spacing w:before="0" w:beforeAutospacing="0" w:after="0" w:afterAutospacing="0"/>
                    <w:ind w:left="0" w:right="0"/>
                  </w:pPr>
                </w:p>
              </w:tc>
              <w:tc>
                <w:tcPr>
                  <w:tcW w:w="308" w:type="pct"/>
                </w:tcPr>
                <w:p>
                  <w:pPr>
                    <w:keepNext w:val="0"/>
                    <w:keepLines w:val="0"/>
                    <w:widowControl/>
                    <w:suppressLineNumbers w:val="0"/>
                    <w:spacing w:before="0" w:beforeAutospacing="0" w:after="0" w:afterAutospacing="0"/>
                    <w:ind w:left="0" w:right="0"/>
                  </w:pPr>
                </w:p>
              </w:tc>
              <w:tc>
                <w:tcPr>
                  <w:tcW w:w="349" w:type="pct"/>
                </w:tcPr>
                <w:p>
                  <w:pPr>
                    <w:keepNext w:val="0"/>
                    <w:keepLines w:val="0"/>
                    <w:widowControl/>
                    <w:suppressLineNumbers w:val="0"/>
                    <w:spacing w:before="0" w:beforeAutospacing="0" w:after="0" w:afterAutospacing="0"/>
                    <w:ind w:left="0" w:right="0"/>
                  </w:pPr>
                </w:p>
              </w:tc>
              <w:tc>
                <w:tcPr>
                  <w:tcW w:w="397" w:type="pct"/>
                </w:tcPr>
                <w:p>
                  <w:pPr>
                    <w:keepNext w:val="0"/>
                    <w:keepLines w:val="0"/>
                    <w:widowControl/>
                    <w:suppressLineNumbers w:val="0"/>
                    <w:spacing w:before="0" w:beforeAutospacing="0" w:after="0" w:afterAutospacing="0"/>
                    <w:ind w:left="0" w:right="0"/>
                  </w:pPr>
                </w:p>
              </w:tc>
              <w:tc>
                <w:tcPr>
                  <w:tcW w:w="447" w:type="pct"/>
                </w:tcPr>
                <w:p>
                  <w:pPr>
                    <w:keepNext w:val="0"/>
                    <w:keepLines w:val="0"/>
                    <w:widowControl/>
                    <w:suppressLineNumbers w:val="0"/>
                    <w:spacing w:before="0" w:beforeAutospacing="0" w:after="0" w:afterAutospacing="0"/>
                    <w:ind w:left="0" w:right="0"/>
                  </w:pPr>
                </w:p>
              </w:tc>
              <w:tc>
                <w:tcPr>
                  <w:tcW w:w="430" w:type="pct"/>
                </w:tcPr>
                <w:p>
                  <w:pPr>
                    <w:keepNext w:val="0"/>
                    <w:keepLines w:val="0"/>
                    <w:widowControl/>
                    <w:suppressLineNumbers w:val="0"/>
                    <w:spacing w:before="0" w:beforeAutospacing="0" w:after="0" w:afterAutospacing="0"/>
                    <w:ind w:left="0" w:right="0"/>
                  </w:pPr>
                </w:p>
              </w:tc>
              <w:tc>
                <w:tcPr>
                  <w:tcW w:w="484" w:type="pct"/>
                </w:tcPr>
                <w:p>
                  <w:pPr>
                    <w:keepNext w:val="0"/>
                    <w:keepLines w:val="0"/>
                    <w:widowControl/>
                    <w:suppressLineNumbers w:val="0"/>
                    <w:spacing w:before="0" w:beforeAutospacing="0" w:after="0" w:afterAutospacing="0"/>
                    <w:ind w:left="0" w:right="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trPr>
              <w:tc>
                <w:tcPr>
                  <w:tcW w:w="588" w:type="pct"/>
                </w:tcPr>
                <w:p>
                  <w:pPr>
                    <w:keepNext w:val="0"/>
                    <w:keepLines w:val="0"/>
                    <w:widowControl/>
                    <w:suppressLineNumbers w:val="0"/>
                    <w:spacing w:before="0" w:beforeAutospacing="0" w:after="0" w:afterAutospacing="0"/>
                    <w:ind w:left="0" w:right="0"/>
                  </w:pPr>
                  <w:r>
                    <w:rPr>
                      <w:rFonts w:hint="eastAsia"/>
                    </w:rPr>
                    <w:t>系统调试</w:t>
                  </w:r>
                </w:p>
              </w:tc>
              <w:tc>
                <w:tcPr>
                  <w:tcW w:w="382" w:type="pct"/>
                </w:tcPr>
                <w:p>
                  <w:pPr>
                    <w:keepNext w:val="0"/>
                    <w:keepLines w:val="0"/>
                    <w:widowControl/>
                    <w:suppressLineNumbers w:val="0"/>
                    <w:spacing w:before="0" w:beforeAutospacing="0" w:after="0" w:afterAutospacing="0"/>
                    <w:ind w:left="0" w:right="0"/>
                  </w:pPr>
                </w:p>
              </w:tc>
              <w:tc>
                <w:tcPr>
                  <w:tcW w:w="314" w:type="pct"/>
                </w:tcPr>
                <w:p>
                  <w:pPr>
                    <w:keepNext w:val="0"/>
                    <w:keepLines w:val="0"/>
                    <w:widowControl/>
                    <w:suppressLineNumbers w:val="0"/>
                    <w:spacing w:before="0" w:beforeAutospacing="0" w:after="0" w:afterAutospacing="0"/>
                    <w:ind w:left="0" w:right="0"/>
                  </w:pPr>
                </w:p>
              </w:tc>
              <w:tc>
                <w:tcPr>
                  <w:tcW w:w="334" w:type="pct"/>
                </w:tcPr>
                <w:p>
                  <w:pPr>
                    <w:keepNext w:val="0"/>
                    <w:keepLines w:val="0"/>
                    <w:widowControl/>
                    <w:suppressLineNumbers w:val="0"/>
                    <w:spacing w:before="0" w:beforeAutospacing="0" w:after="0" w:afterAutospacing="0"/>
                    <w:ind w:left="0" w:right="0"/>
                  </w:pPr>
                </w:p>
              </w:tc>
              <w:tc>
                <w:tcPr>
                  <w:tcW w:w="322" w:type="pct"/>
                </w:tcPr>
                <w:p>
                  <w:pPr>
                    <w:keepNext w:val="0"/>
                    <w:keepLines w:val="0"/>
                    <w:widowControl/>
                    <w:suppressLineNumbers w:val="0"/>
                    <w:spacing w:before="0" w:beforeAutospacing="0" w:after="0" w:afterAutospacing="0"/>
                    <w:ind w:left="0" w:right="0"/>
                  </w:pPr>
                </w:p>
              </w:tc>
              <w:tc>
                <w:tcPr>
                  <w:tcW w:w="334" w:type="pct"/>
                </w:tcPr>
                <w:p>
                  <w:pPr>
                    <w:keepNext w:val="0"/>
                    <w:keepLines w:val="0"/>
                    <w:widowControl/>
                    <w:suppressLineNumbers w:val="0"/>
                    <w:spacing w:before="0" w:beforeAutospacing="0" w:after="0" w:afterAutospacing="0"/>
                    <w:ind w:left="0" w:right="0"/>
                  </w:pPr>
                </w:p>
              </w:tc>
              <w:tc>
                <w:tcPr>
                  <w:tcW w:w="308" w:type="pct"/>
                </w:tcPr>
                <w:p>
                  <w:pPr>
                    <w:keepNext w:val="0"/>
                    <w:keepLines w:val="0"/>
                    <w:widowControl/>
                    <w:suppressLineNumbers w:val="0"/>
                    <w:spacing w:before="0" w:beforeAutospacing="0" w:after="0" w:afterAutospacing="0"/>
                    <w:ind w:left="0" w:right="0"/>
                  </w:pPr>
                </w:p>
              </w:tc>
              <w:tc>
                <w:tcPr>
                  <w:tcW w:w="308" w:type="pct"/>
                </w:tcPr>
                <w:p>
                  <w:pPr>
                    <w:keepNext w:val="0"/>
                    <w:keepLines w:val="0"/>
                    <w:widowControl/>
                    <w:suppressLineNumbers w:val="0"/>
                    <w:spacing w:before="0" w:beforeAutospacing="0" w:after="0" w:afterAutospacing="0"/>
                    <w:ind w:left="0" w:right="0"/>
                  </w:pPr>
                </w:p>
              </w:tc>
              <w:tc>
                <w:tcPr>
                  <w:tcW w:w="349" w:type="pct"/>
                </w:tcPr>
                <w:p>
                  <w:pPr>
                    <w:keepNext w:val="0"/>
                    <w:keepLines w:val="0"/>
                    <w:widowControl/>
                    <w:suppressLineNumbers w:val="0"/>
                    <w:spacing w:before="0" w:beforeAutospacing="0" w:after="0" w:afterAutospacing="0"/>
                    <w:ind w:left="0" w:right="0"/>
                  </w:pPr>
                </w:p>
              </w:tc>
              <w:tc>
                <w:tcPr>
                  <w:tcW w:w="397" w:type="pct"/>
                </w:tcPr>
                <w:p>
                  <w:pPr>
                    <w:keepNext w:val="0"/>
                    <w:keepLines w:val="0"/>
                    <w:widowControl/>
                    <w:suppressLineNumbers w:val="0"/>
                    <w:spacing w:before="0" w:beforeAutospacing="0" w:after="0" w:afterAutospacing="0"/>
                    <w:ind w:left="0" w:right="0"/>
                  </w:pPr>
                  <w:r>
                    <w:pict>
                      <v:line id="_x0000_s1066" o:spid="_x0000_s1066" o:spt="20" style="position:absolute;left:0pt;flip:y;margin-left:27pt;margin-top:11.6pt;height:1.2pt;width:116.35pt;z-index:251684864;mso-width-relative:page;mso-height-relative:page;" stroked="t" coordsize="21600,21600" o:gfxdata="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qXDB7VAAAACAEAAA8AAAAAAAAA&#10;AQAgAAAAIgAAAGRycy9kb3ducmV2LnhtbFBLAQIUABQAAAAIAIdO4kBz/adoFAIAAAoEAAAOAAAA&#10;AAAAAAEAIAAAACQBAABkcnMvZTJvRG9jLnhtbFBLBQYAAAAABgAGAFkBAACqBQAAAAA=&#10;">
                        <v:path arrowok="t"/>
                        <v:fill focussize="0,0"/>
                        <v:stroke weight="1pt" color="#5B9BD5" joinstyle="miter"/>
                        <v:imagedata o:title=""/>
                        <o:lock v:ext="edit"/>
                      </v:line>
                    </w:pict>
                  </w:r>
                </w:p>
              </w:tc>
              <w:tc>
                <w:tcPr>
                  <w:tcW w:w="447" w:type="pct"/>
                </w:tcPr>
                <w:p>
                  <w:pPr>
                    <w:keepNext w:val="0"/>
                    <w:keepLines w:val="0"/>
                    <w:widowControl/>
                    <w:suppressLineNumbers w:val="0"/>
                    <w:spacing w:before="0" w:beforeAutospacing="0" w:after="0" w:afterAutospacing="0"/>
                    <w:ind w:left="0" w:right="0"/>
                  </w:pPr>
                </w:p>
              </w:tc>
              <w:tc>
                <w:tcPr>
                  <w:tcW w:w="430" w:type="pct"/>
                </w:tcPr>
                <w:p>
                  <w:pPr>
                    <w:keepNext w:val="0"/>
                    <w:keepLines w:val="0"/>
                    <w:widowControl/>
                    <w:suppressLineNumbers w:val="0"/>
                    <w:spacing w:before="0" w:beforeAutospacing="0" w:after="0" w:afterAutospacing="0"/>
                    <w:ind w:left="0" w:right="0"/>
                  </w:pPr>
                </w:p>
              </w:tc>
              <w:tc>
                <w:tcPr>
                  <w:tcW w:w="484" w:type="pct"/>
                </w:tcPr>
                <w:p>
                  <w:pPr>
                    <w:keepNext w:val="0"/>
                    <w:keepLines w:val="0"/>
                    <w:widowControl/>
                    <w:suppressLineNumbers w:val="0"/>
                    <w:spacing w:before="0" w:beforeAutospacing="0" w:after="0" w:afterAutospacing="0"/>
                    <w:ind w:left="0" w:right="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588" w:type="pct"/>
                </w:tcPr>
                <w:p>
                  <w:pPr>
                    <w:keepNext w:val="0"/>
                    <w:keepLines w:val="0"/>
                    <w:widowControl/>
                    <w:suppressLineNumbers w:val="0"/>
                    <w:spacing w:before="0" w:beforeAutospacing="0" w:after="0" w:afterAutospacing="0"/>
                    <w:ind w:left="0" w:right="0"/>
                  </w:pPr>
                  <w:r>
                    <w:rPr>
                      <w:rFonts w:hint="eastAsia"/>
                    </w:rPr>
                    <w:t>项目验收</w:t>
                  </w:r>
                </w:p>
              </w:tc>
              <w:tc>
                <w:tcPr>
                  <w:tcW w:w="382" w:type="pct"/>
                </w:tcPr>
                <w:p>
                  <w:pPr>
                    <w:keepNext w:val="0"/>
                    <w:keepLines w:val="0"/>
                    <w:widowControl/>
                    <w:suppressLineNumbers w:val="0"/>
                    <w:spacing w:before="0" w:beforeAutospacing="0" w:after="0" w:afterAutospacing="0"/>
                    <w:ind w:left="0" w:right="0"/>
                  </w:pPr>
                </w:p>
              </w:tc>
              <w:tc>
                <w:tcPr>
                  <w:tcW w:w="314" w:type="pct"/>
                </w:tcPr>
                <w:p>
                  <w:pPr>
                    <w:keepNext w:val="0"/>
                    <w:keepLines w:val="0"/>
                    <w:widowControl/>
                    <w:suppressLineNumbers w:val="0"/>
                    <w:spacing w:before="0" w:beforeAutospacing="0" w:after="0" w:afterAutospacing="0"/>
                    <w:ind w:left="0" w:right="0"/>
                  </w:pPr>
                </w:p>
              </w:tc>
              <w:tc>
                <w:tcPr>
                  <w:tcW w:w="334" w:type="pct"/>
                </w:tcPr>
                <w:p>
                  <w:pPr>
                    <w:keepNext w:val="0"/>
                    <w:keepLines w:val="0"/>
                    <w:widowControl/>
                    <w:suppressLineNumbers w:val="0"/>
                    <w:spacing w:before="0" w:beforeAutospacing="0" w:after="0" w:afterAutospacing="0"/>
                    <w:ind w:left="0" w:right="0"/>
                  </w:pPr>
                </w:p>
              </w:tc>
              <w:tc>
                <w:tcPr>
                  <w:tcW w:w="322" w:type="pct"/>
                </w:tcPr>
                <w:p>
                  <w:pPr>
                    <w:keepNext w:val="0"/>
                    <w:keepLines w:val="0"/>
                    <w:widowControl/>
                    <w:suppressLineNumbers w:val="0"/>
                    <w:spacing w:before="0" w:beforeAutospacing="0" w:after="0" w:afterAutospacing="0"/>
                    <w:ind w:left="0" w:right="0"/>
                  </w:pPr>
                </w:p>
              </w:tc>
              <w:tc>
                <w:tcPr>
                  <w:tcW w:w="334" w:type="pct"/>
                </w:tcPr>
                <w:p>
                  <w:pPr>
                    <w:keepNext w:val="0"/>
                    <w:keepLines w:val="0"/>
                    <w:widowControl/>
                    <w:suppressLineNumbers w:val="0"/>
                    <w:spacing w:before="0" w:beforeAutospacing="0" w:after="0" w:afterAutospacing="0"/>
                    <w:ind w:left="0" w:right="0"/>
                  </w:pPr>
                </w:p>
              </w:tc>
              <w:tc>
                <w:tcPr>
                  <w:tcW w:w="308" w:type="pct"/>
                </w:tcPr>
                <w:p>
                  <w:pPr>
                    <w:keepNext w:val="0"/>
                    <w:keepLines w:val="0"/>
                    <w:widowControl/>
                    <w:suppressLineNumbers w:val="0"/>
                    <w:spacing w:before="0" w:beforeAutospacing="0" w:after="0" w:afterAutospacing="0"/>
                    <w:ind w:left="0" w:right="0"/>
                  </w:pPr>
                </w:p>
              </w:tc>
              <w:tc>
                <w:tcPr>
                  <w:tcW w:w="308" w:type="pct"/>
                </w:tcPr>
                <w:p>
                  <w:pPr>
                    <w:keepNext w:val="0"/>
                    <w:keepLines w:val="0"/>
                    <w:widowControl/>
                    <w:suppressLineNumbers w:val="0"/>
                    <w:spacing w:before="0" w:beforeAutospacing="0" w:after="0" w:afterAutospacing="0"/>
                    <w:ind w:left="0" w:right="0"/>
                  </w:pPr>
                </w:p>
              </w:tc>
              <w:tc>
                <w:tcPr>
                  <w:tcW w:w="349" w:type="pct"/>
                </w:tcPr>
                <w:p>
                  <w:pPr>
                    <w:keepNext w:val="0"/>
                    <w:keepLines w:val="0"/>
                    <w:widowControl/>
                    <w:suppressLineNumbers w:val="0"/>
                    <w:spacing w:before="0" w:beforeAutospacing="0" w:after="0" w:afterAutospacing="0"/>
                    <w:ind w:left="0" w:right="0"/>
                  </w:pPr>
                </w:p>
              </w:tc>
              <w:tc>
                <w:tcPr>
                  <w:tcW w:w="397" w:type="pct"/>
                </w:tcPr>
                <w:p>
                  <w:pPr>
                    <w:keepNext w:val="0"/>
                    <w:keepLines w:val="0"/>
                    <w:widowControl/>
                    <w:suppressLineNumbers w:val="0"/>
                    <w:spacing w:before="0" w:beforeAutospacing="0" w:after="0" w:afterAutospacing="0"/>
                    <w:ind w:left="0" w:right="0"/>
                  </w:pPr>
                </w:p>
              </w:tc>
              <w:tc>
                <w:tcPr>
                  <w:tcW w:w="447" w:type="pct"/>
                </w:tcPr>
                <w:p>
                  <w:pPr>
                    <w:keepNext w:val="0"/>
                    <w:keepLines w:val="0"/>
                    <w:widowControl/>
                    <w:suppressLineNumbers w:val="0"/>
                    <w:spacing w:before="0" w:beforeAutospacing="0" w:after="0" w:afterAutospacing="0"/>
                    <w:ind w:left="0" w:right="0"/>
                  </w:pPr>
                </w:p>
              </w:tc>
              <w:tc>
                <w:tcPr>
                  <w:tcW w:w="430" w:type="pct"/>
                </w:tcPr>
                <w:p>
                  <w:pPr>
                    <w:keepNext w:val="0"/>
                    <w:keepLines w:val="0"/>
                    <w:widowControl/>
                    <w:suppressLineNumbers w:val="0"/>
                    <w:spacing w:before="0" w:beforeAutospacing="0" w:after="0" w:afterAutospacing="0"/>
                    <w:ind w:left="0" w:right="0"/>
                  </w:pPr>
                </w:p>
              </w:tc>
              <w:tc>
                <w:tcPr>
                  <w:tcW w:w="484" w:type="pct"/>
                </w:tcPr>
                <w:p>
                  <w:pPr>
                    <w:keepNext w:val="0"/>
                    <w:keepLines w:val="0"/>
                    <w:widowControl/>
                    <w:suppressLineNumbers w:val="0"/>
                    <w:spacing w:before="0" w:beforeAutospacing="0" w:after="0" w:afterAutospacing="0"/>
                    <w:ind w:left="0" w:right="0"/>
                  </w:pPr>
                  <w:r>
                    <w:pict>
                      <v:line id="_x0000_s1065" o:spid="_x0000_s1065" o:spt="20" style="position:absolute;left:0pt;flip:y;margin-left:-3.9pt;margin-top:15.15pt;height:0.4pt;width:39.25pt;z-index:251685888;mso-width-relative:page;mso-height-relative:page;" stroked="t" coordsize="21600,21600" o:gfxdata="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tc+q0gAAAAYBAAAPAAAAAAAAAAEAIAAAACIAAABkcnMvZG93&#10;bnJldi54bWxQSwECFAAUAAAACACHTuJAkujygAYCAADYAwAADgAAAAAAAAABACAAAAAhAQAAZHJz&#10;L2Uyb0RvYy54bWxQSwUGAAAAAAYABgBZAQAAmQUAAAAA&#10;">
                        <v:path arrowok="t"/>
                        <v:fill focussize="0,0"/>
                        <v:stroke weight="1pt" color="#5B9BD5" joinstyle="miter"/>
                        <v:imagedata o:title=""/>
                        <o:lock v:ext="edit"/>
                      </v:line>
                    </w:pict>
                  </w:r>
                </w:p>
              </w:tc>
            </w:tr>
          </w:tbl>
          <w:p>
            <w:pPr>
              <w:keepNext w:val="0"/>
              <w:keepLines w:val="0"/>
              <w:widowControl/>
              <w:suppressLineNumbers w:val="0"/>
              <w:spacing w:before="0" w:beforeAutospacing="0" w:after="0" w:afterAutospacing="0" w:line="360" w:lineRule="auto"/>
              <w:ind w:left="0" w:right="0"/>
              <w:jc w:val="both"/>
              <w:rPr>
                <w:rFonts w:ascii="Times New Roman"/>
                <w:b/>
                <w:bCs/>
                <w:sz w:val="24"/>
                <w:szCs w:val="24"/>
              </w:rPr>
            </w:pPr>
          </w:p>
          <w:p>
            <w:pPr>
              <w:pStyle w:val="27"/>
              <w:keepNext w:val="0"/>
              <w:keepLines w:val="0"/>
              <w:widowControl/>
              <w:suppressLineNumbers w:val="0"/>
              <w:spacing w:before="0" w:beforeAutospacing="0" w:after="0" w:afterAutospacing="0"/>
              <w:ind w:left="0" w:leftChars="0" w:right="0"/>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3" w:hRule="atLeast"/>
          <w:jc w:val="center"/>
        </w:trPr>
        <w:tc>
          <w:tcPr>
            <w:tcW w:w="456" w:type="dxa"/>
            <w:vAlign w:val="center"/>
          </w:tcPr>
          <w:p>
            <w:pPr>
              <w:pStyle w:val="48"/>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hAnsi="Times New Roman"/>
                <w:szCs w:val="24"/>
              </w:rPr>
            </w:pPr>
            <w:r>
              <w:rPr>
                <w:rFonts w:ascii="Times New Roman" w:hAnsi="Times New Roman"/>
                <w:szCs w:val="24"/>
              </w:rPr>
              <w:t>工艺流程和产排污环节</w:t>
            </w:r>
          </w:p>
        </w:tc>
        <w:tc>
          <w:tcPr>
            <w:tcW w:w="7036" w:type="dxa"/>
          </w:tcPr>
          <w:p>
            <w:pPr>
              <w:keepNext w:val="0"/>
              <w:keepLines w:val="0"/>
              <w:widowControl w:val="0"/>
              <w:numPr>
                <w:ilvl w:val="0"/>
                <w:numId w:val="2"/>
              </w:numPr>
              <w:suppressLineNumbers w:val="0"/>
              <w:spacing w:before="0" w:beforeAutospacing="0" w:after="0" w:afterAutospacing="0" w:line="360" w:lineRule="auto"/>
              <w:ind w:left="0" w:right="0" w:firstLine="482" w:firstLineChars="200"/>
              <w:rPr>
                <w:rFonts w:ascii="Times New Roman"/>
                <w:b/>
                <w:bCs/>
                <w:sz w:val="24"/>
              </w:rPr>
            </w:pPr>
            <w:r>
              <w:rPr>
                <w:rFonts w:ascii="Times New Roman"/>
                <w:b/>
                <w:bCs/>
                <w:sz w:val="24"/>
              </w:rPr>
              <w:t>工艺流程</w:t>
            </w:r>
          </w:p>
          <w:p>
            <w:pPr>
              <w:keepNext w:val="0"/>
              <w:keepLines w:val="0"/>
              <w:widowControl w:val="0"/>
              <w:suppressLineNumbers w:val="0"/>
              <w:spacing w:before="0" w:beforeAutospacing="0" w:after="0" w:afterAutospacing="0" w:line="360" w:lineRule="auto"/>
              <w:ind w:left="0" w:right="0"/>
              <w:rPr>
                <w:rFonts w:ascii="Times New Roman"/>
              </w:rPr>
            </w:pPr>
            <w:r>
              <w:rPr>
                <w:rFonts w:ascii="Times New Roman"/>
              </w:rPr>
              <w:pict>
                <v:shape id="椭圆 30" o:spid="_x0000_s1064" o:spt="3" type="#_x0000_t3" style="position:absolute;left:0pt;margin-left:357.4pt;margin-top:11.3pt;height:49.45pt;width:52.55pt;z-index:251668480;v-text-anchor:middle;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">
                  <v:path/>
                  <v:fill focussize="0,0"/>
                  <v:stroke weight="1pt" joinstyle="miter"/>
                  <v:imagedata o:title=""/>
                  <o:lock v:ext="edit"/>
                  <v:textbox>
                    <w:txbxContent>
                      <w:p>
                        <w:pPr>
                          <w:jc w:val="center"/>
                        </w:pPr>
                        <w:r>
                          <w:rPr>
                            <w:rFonts w:hint="eastAsia"/>
                          </w:rPr>
                          <w:t>带电运行</w:t>
                        </w:r>
                      </w:p>
                    </w:txbxContent>
                  </v:textbox>
                </v:shape>
              </w:pict>
            </w:r>
            <w:r>
              <w:rPr>
                <w:rFonts w:ascii="Times New Roman"/>
              </w:rPr>
              <w:pict>
                <v:shape id="椭圆 1" o:spid="_x0000_s1027" o:spt="3" type="#_x0000_t3" style="position:absolute;left:0pt;margin-left:-1.25pt;margin-top:11.3pt;height:49.45pt;width:67.1pt;z-index:251664384;v-text-anchor:middle;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">
                  <v:path/>
                  <v:fill focussize="0,0"/>
                  <v:stroke weight="1pt" joinstyle="miter"/>
                  <v:imagedata o:title=""/>
                  <o:lock v:ext="edit"/>
                  <v:textbox>
                    <w:txbxContent>
                      <w:p>
                        <w:pPr>
                          <w:jc w:val="center"/>
                        </w:pPr>
                        <w:r>
                          <w:rPr>
                            <w:rFonts w:hint="eastAsia"/>
                          </w:rPr>
                          <w:t>施工材料准备</w:t>
                        </w:r>
                      </w:p>
                    </w:txbxContent>
                  </v:textbox>
                </v:shape>
              </w:pict>
            </w:r>
            <w:r>
              <w:rPr>
                <w:rFonts w:ascii="Times New Roman"/>
              </w:rPr>
              <w:pict>
                <v:rect id="矩形 28" o:spid="_x0000_s1028" o:spt="1" style="position:absolute;left:0pt;margin-left:192.85pt;margin-top:14.1pt;height:52.5pt;width:62pt;z-index:251666432;v-text-anchor:middle;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">
                  <v:path/>
                  <v:fill focussize="0,0"/>
                  <v:stroke weight="1pt"/>
                  <v:imagedata o:title=""/>
                  <o:lock v:ext="edit"/>
                  <v:textbox>
                    <w:txbxContent>
                      <w:p>
                        <w:pPr>
                          <w:jc w:val="center"/>
                        </w:pPr>
                        <w:r>
                          <w:rPr>
                            <w:rFonts w:hint="eastAsia"/>
                          </w:rPr>
                          <w:t>电气设备安装调试</w:t>
                        </w:r>
                      </w:p>
                    </w:txbxContent>
                  </v:textbox>
                </v:rect>
              </w:pict>
            </w:r>
            <w:r>
              <w:rPr>
                <w:rFonts w:ascii="Times New Roman"/>
              </w:rPr>
              <w:pict>
                <v:rect id="矩形 8" o:spid="_x0000_s1029" o:spt="1" style="position:absolute;left:0pt;margin-left:87.95pt;margin-top:14pt;height:51.65pt;width:84.35pt;z-index:251665408;v-text-anchor:middle;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">
                  <v:path/>
                  <v:fill focussize="0,0"/>
                  <v:stroke weight="1pt"/>
                  <v:imagedata o:title=""/>
                  <o:lock v:ext="edit"/>
                  <v:textbox>
                    <w:txbxContent>
                      <w:p>
                        <w:pPr>
                          <w:jc w:val="center"/>
                        </w:pPr>
                        <w:r>
                          <w:rPr>
                            <w:rFonts w:hint="eastAsia"/>
                          </w:rPr>
                          <w:t>土建施工(</w:t>
                        </w:r>
                        <w:r>
                          <w:t>基础</w:t>
                        </w:r>
                        <w:r>
                          <w:rPr>
                            <w:rFonts w:hint="eastAsia"/>
                          </w:rPr>
                          <w:t>开挖、回填，建筑物搭建</w:t>
                        </w:r>
                        <w:r>
                          <w:t>)</w:t>
                        </w:r>
                      </w:p>
                    </w:txbxContent>
                  </v:textbox>
                </v:rect>
              </w:pict>
            </w:r>
            <w:r>
              <w:rPr>
                <w:rFonts w:ascii="Times New Roman"/>
              </w:rPr>
              <w:pict>
                <v:shape id="_x0000_s1063" o:spid="_x0000_s1063" o:spt="32" type="#_x0000_t32" style="position:absolute;left:0pt;margin-left:254.8pt;margin-top:38.3pt;height:0pt;width:20.5pt;z-index:251672576;mso-width-relative:page;mso-height-relative:page;" filled="f" coordsize="21600,21600" o:gfxdata="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H44R1QAAAAkBAAAPAAAAAAAAAAEAIAAAACIAAABkcnMvZG93&#10;bnJldi54bWxQSwECFAAUAAAACACHTuJAKvJrMwMCAADiAwAADgAAAAAAAAABACAAAAAkAQAAZHJz&#10;L2Uyb0RvYy54bWxQSwUGAAAAAAYABgBZAQAAmQUAAAAA&#10;">
                  <v:path arrowok="t"/>
                  <v:fill on="f" focussize="0,0"/>
                  <v:stroke weight="0.5pt" joinstyle="miter" endarrow="block"/>
                  <v:imagedata o:title=""/>
                  <o:lock v:ext="edit"/>
                </v:shape>
              </w:pict>
            </w:r>
            <w:r>
              <w:rPr>
                <w:rFonts w:ascii="Times New Roman"/>
              </w:rPr>
              <w:pict>
                <v:shape id="_x0000_s1062" o:spid="_x0000_s1062" o:spt="32" type="#_x0000_t32" style="position:absolute;left:0pt;margin-left:172.3pt;margin-top:38.55pt;height:0pt;width:20.5pt;z-index:251671552;mso-width-relative:page;mso-height-relative:page;" filled="f" coordsize="21600,21600" o:gfxdata="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IYki1QAAAAkBAAAPAAAAAAAAAAEAIAAAACIAAABkcnMvZG93&#10;bnJldi54bWxQSwECFAAUAAAACACHTuJA+WRGagMCAADiAwAADgAAAAAAAAABACAAAAAkAQAAZHJz&#10;L2Uyb0RvYy54bWxQSwUGAAAAAAYABgBZAQAAmQUAAAAA&#10;">
                  <v:path arrowok="t"/>
                  <v:fill on="f" focussize="0,0"/>
                  <v:stroke weight="0.5pt" joinstyle="miter" endarrow="block"/>
                  <v:imagedata o:title=""/>
                  <o:lock v:ext="edit"/>
                </v:shape>
              </w:pict>
            </w:r>
            <w:r>
              <w:rPr>
                <w:rFonts w:ascii="Times New Roman"/>
              </w:rPr>
              <w:pict>
                <v:shape id="_x0000_s1061" o:spid="_x0000_s1061" o:spt="32" type="#_x0000_t32" style="position:absolute;left:0pt;margin-left:67.8pt;margin-top:37.7pt;height:0pt;width:20.5pt;z-index:251670528;mso-width-relative:page;mso-height-relative:page;" filled="f" coordsize="21600,21600" o:gfxdata="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uJsFLVAAAACQEAAA8AAAAAAAAAAQAgAAAAIgAAAGRycy9kb3du&#10;cmV2LnhtbFBLAQIUABQAAAAIAIdO4kBSV9/+AgIAAOIDAAAOAAAAAAAAAAEAIAAAACQBAABkcnMv&#10;ZTJvRG9jLnhtbFBLBQYAAAAABgAGAFkBAACYBQAAAAA=&#10;">
                  <v:path arrowok="t"/>
                  <v:fill on="f" focussize="0,0"/>
                  <v:stroke weight="0.5pt" joinstyle="miter" endarrow="block"/>
                  <v:imagedata o:title=""/>
                  <o:lock v:ext="edit"/>
                </v:shape>
              </w:pict>
            </w:r>
            <w:r>
              <w:rPr>
                <w:rFonts w:ascii="Times New Roman"/>
              </w:rPr>
              <w:pict>
                <v:rect id="矩形 29" o:spid="_x0000_s1030" o:spt="1" style="position:absolute;left:0pt;margin-left:275.45pt;margin-top:13.2pt;height:52.5pt;width:62pt;z-index:251667456;v-text-anchor:middle;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">
                  <v:path/>
                  <v:fill focussize="0,0"/>
                  <v:stroke weight="1pt"/>
                  <v:imagedata o:title=""/>
                  <o:lock v:ext="edit"/>
                  <v:textbox>
                    <w:txbxContent>
                      <w:p>
                        <w:pPr>
                          <w:jc w:val="center"/>
                        </w:pPr>
                        <w:r>
                          <w:rPr>
                            <w:rFonts w:hint="eastAsia"/>
                          </w:rPr>
                          <w:t>工程验收</w:t>
                        </w:r>
                      </w:p>
                    </w:txbxContent>
                  </v:textbox>
                </v:rect>
              </w:pict>
            </w:r>
          </w:p>
          <w:p>
            <w:pPr>
              <w:keepNext w:val="0"/>
              <w:keepLines w:val="0"/>
              <w:widowControl/>
              <w:suppressLineNumbers w:val="0"/>
              <w:spacing w:before="0" w:beforeAutospacing="0" w:after="0" w:afterAutospacing="0"/>
              <w:ind w:left="0" w:right="0"/>
              <w:rPr>
                <w:rFonts w:ascii="Times New Roman"/>
              </w:rPr>
            </w:pPr>
          </w:p>
          <w:p>
            <w:pPr>
              <w:pStyle w:val="27"/>
              <w:keepNext w:val="0"/>
              <w:keepLines w:val="0"/>
              <w:widowControl/>
              <w:suppressLineNumbers w:val="0"/>
              <w:tabs>
                <w:tab w:val="left" w:pos="6327"/>
              </w:tabs>
              <w:spacing w:before="0" w:beforeAutospacing="0" w:after="0" w:afterAutospacing="0"/>
              <w:ind w:right="0"/>
              <w:rPr>
                <w:rFonts w:ascii="Times New Roman"/>
              </w:rPr>
            </w:pPr>
            <w:r>
              <w:rPr>
                <w:rFonts w:ascii="Times New Roman"/>
              </w:rPr>
              <w:pict>
                <v:shape id="_x0000_s1060" o:spid="_x0000_s1060" o:spt="32" type="#_x0000_t32" style="position:absolute;left:0pt;margin-left:337.3pt;margin-top:2.35pt;height:0pt;width:20.5pt;z-index:251673600;mso-width-relative:page;mso-height-relative:page;" filled="f" coordsize="21600,21600" o:gfxdata="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HaSSNMAAAAHAQAADwAAAAAAAAABACAAAAAiAAAAZHJzL2Rvd25y&#10;ZXYueG1sUEsBAhQAFAAAAAgAh07iQIHB8qcDAgAA4gMAAA4AAAAAAAAAAQAgAAAAIgEAAGRycy9l&#10;Mm9Eb2MueG1sUEsFBgAAAAAGAAYAWQEAAJcFAAAAAA==&#10;">
                  <v:path arrowok="t"/>
                  <v:fill on="f" focussize="0,0"/>
                  <v:stroke weight="0.5pt" joinstyle="miter" endarrow="block"/>
                  <v:imagedata o:title=""/>
                  <o:lock v:ext="edit"/>
                </v:shape>
              </w:pict>
            </w:r>
            <w:r>
              <w:rPr>
                <w:rFonts w:ascii="Times New Roman"/>
              </w:rPr>
              <w:tab/>
            </w:r>
          </w:p>
          <w:p>
            <w:pPr>
              <w:keepNext w:val="0"/>
              <w:keepLines w:val="0"/>
              <w:widowControl/>
              <w:suppressLineNumbers w:val="0"/>
              <w:spacing w:before="0" w:beforeAutospacing="0" w:after="0" w:afterAutospacing="0"/>
              <w:ind w:left="0" w:right="0"/>
              <w:rPr>
                <w:rFonts w:ascii="Times New Roman"/>
              </w:rPr>
            </w:pPr>
          </w:p>
          <w:p>
            <w:pPr>
              <w:pStyle w:val="27"/>
              <w:keepNext w:val="0"/>
              <w:keepLines w:val="0"/>
              <w:widowControl/>
              <w:suppressLineNumbers w:val="0"/>
              <w:spacing w:before="0" w:beforeAutospacing="0" w:after="0" w:afterAutospacing="0"/>
              <w:ind w:right="0"/>
              <w:rPr>
                <w:rFonts w:ascii="Times New Roman"/>
              </w:rPr>
            </w:pPr>
            <w:r>
              <w:rPr>
                <w:rFonts w:ascii="Times New Roman"/>
              </w:rPr>
              <w:pict>
                <v:shape id="箭头: 下 40" o:spid="_x0000_s1059" o:spt="67" type="#_x0000_t67" style="position:absolute;left:0pt;margin-left:374.8pt;margin-top:6pt;height:40.5pt;width:17.5pt;z-index:251676672;v-text-anchor:middle;mso-width-relative:page;mso-height-relative:page;" coordsize="21600,21600" o:gfxdata="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RWpTA2AAAAAkBAAAPAAAAAAAAAAEAIAAAACIAAABkcnMv&#10;ZG93bnJldi54bWxQSwECFAAUAAAACACHTuJA4Mg/tXUCAAD/BAAADgAAAAAAAAABACAAAAAnAQAA&#10;ZHJzL2Uyb0RvYy54bWxQSwUGAAAAAAYABgBZAQAADgYAAAAA&#10;" adj="16934">
                  <v:path/>
                  <v:fill focussize="0,0"/>
                  <v:stroke weight="1pt" joinstyle="miter"/>
                  <v:imagedata o:title=""/>
                  <o:lock v:ext="edit"/>
                </v:shape>
              </w:pict>
            </w:r>
            <w:r>
              <w:rPr>
                <w:rFonts w:ascii="Times New Roman"/>
              </w:rPr>
              <w:pict>
                <v:shape id="箭头: 下 39" o:spid="_x0000_s1031" o:spt="67" type="#_x0000_t67" style="position:absolute;left:0pt;margin-left:215.45pt;margin-top:6.3pt;height:40.5pt;width:17.5pt;z-index:251675648;v-text-anchor:middle;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" adj="16933">
                  <v:path/>
                  <v:fill focussize="0,0"/>
                  <v:stroke weight="1pt" joinstyle="miter"/>
                  <v:imagedata o:title=""/>
                  <o:lock v:ext="edit"/>
                  <v:textbox>
                    <w:txbxContent>
                      <w:p>
                        <w:pPr>
                          <w:jc w:val="center"/>
                        </w:pPr>
                      </w:p>
                    </w:txbxContent>
                  </v:textbox>
                </v:shape>
              </w:pict>
            </w:r>
            <w:r>
              <w:rPr>
                <w:rFonts w:ascii="Times New Roman"/>
              </w:rPr>
              <w:pict>
                <v:shape id="箭头: 下 38" o:spid="_x0000_s1032" o:spt="67" type="#_x0000_t67" style="position:absolute;left:0pt;margin-left:121.1pt;margin-top:5.95pt;height:40.5pt;width:17.5pt;z-index:251674624;v-text-anchor:middle;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" adj="16933">
                  <v:path/>
                  <v:fill focussize="0,0"/>
                  <v:stroke weight="1pt" joinstyle="miter"/>
                  <v:imagedata o:title=""/>
                  <o:lock v:ext="edit"/>
                  <v:textbox>
                    <w:txbxContent>
                      <w:p>
                        <w:pPr>
                          <w:jc w:val="center"/>
                        </w:pPr>
                      </w:p>
                    </w:txbxContent>
                  </v:textbox>
                </v:shape>
              </w:pict>
            </w:r>
            <w:r>
              <w:rPr>
                <w:rFonts w:ascii="Times New Roman"/>
              </w:rPr>
              <w:pict>
                <v:shape id="箭头: 下 31" o:spid="_x0000_s1033" o:spt="67" type="#_x0000_t67" style="position:absolute;left:0pt;margin-left:25.15pt;margin-top:4.65pt;height:40.5pt;width:17.5pt;z-index:251669504;v-text-anchor:middle;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" adj="16933">
                  <v:path/>
                  <v:fill focussize="0,0"/>
                  <v:stroke weight="1pt" joinstyle="miter"/>
                  <v:imagedata o:title=""/>
                  <o:lock v:ext="edit"/>
                  <v:textbox>
                    <w:txbxContent>
                      <w:p>
                        <w:pPr>
                          <w:jc w:val="center"/>
                        </w:pPr>
                      </w:p>
                    </w:txbxContent>
                  </v:textbox>
                </v:shape>
              </w:pict>
            </w:r>
          </w:p>
          <w:p>
            <w:pPr>
              <w:keepNext w:val="0"/>
              <w:keepLines w:val="0"/>
              <w:widowControl/>
              <w:suppressLineNumbers w:val="0"/>
              <w:spacing w:before="0" w:beforeAutospacing="0" w:after="0" w:afterAutospacing="0"/>
              <w:ind w:left="0"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keepNext w:val="0"/>
              <w:keepLines w:val="0"/>
              <w:widowControl/>
              <w:suppressLineNumbers w:val="0"/>
              <w:spacing w:before="0" w:beforeAutospacing="0" w:after="0" w:afterAutospacing="0"/>
              <w:ind w:left="0" w:right="0"/>
              <w:rPr>
                <w:rFonts w:ascii="Times New Roman"/>
              </w:rPr>
            </w:pPr>
            <w:r>
              <w:rPr>
                <w:rFonts w:ascii="Times New Roman"/>
              </w:rPr>
              <w:pict>
                <v:rect id="矩形 22" o:spid="_x0000_s1034" o:spt="1" style="position:absolute;left:0pt;margin-left:-3.75pt;margin-top:13.55pt;height:70.2pt;width:72.4pt;z-index:251680768;v-text-anchor:middle;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">
                  <v:path/>
                  <v:fill on="f" focussize="0,0"/>
                  <v:stroke on="f" weight="1pt"/>
                  <v:imagedata o:title=""/>
                  <o:lock v:ext="edit"/>
                  <v:textbox>
                    <w:txbxContent>
                      <w:p>
                        <w:pPr>
                          <w:jc w:val="both"/>
                        </w:pPr>
                        <w:r>
                          <w:rPr>
                            <w:rFonts w:hint="eastAsia"/>
                          </w:rPr>
                          <w:t>施工噪声、施工扬尘、车辆尾气、固体废物</w:t>
                        </w:r>
                      </w:p>
                    </w:txbxContent>
                  </v:textbox>
                </v:rect>
              </w:pict>
            </w:r>
            <w:r>
              <w:rPr>
                <w:rFonts w:ascii="Times New Roman"/>
              </w:rPr>
              <w:pict>
                <v:rect id="矩形 42" o:spid="_x0000_s1035" o:spt="1" style="position:absolute;left:0pt;margin-left:183.45pt;margin-top:10.3pt;height:79.5pt;width:80.8pt;z-index:251678720;v-text-anchor:middle;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">
                  <v:path/>
                  <v:fill on="f" focussize="0,0"/>
                  <v:stroke on="f" weight="1pt"/>
                  <v:imagedata o:title=""/>
                  <o:lock v:ext="edit"/>
                  <v:textbox>
                    <w:txbxContent>
                      <w:p>
                        <w:r>
                          <w:rPr>
                            <w:rFonts w:hint="eastAsia"/>
                          </w:rPr>
                          <w:t>施工噪声、施工扬尘、车辆尾气、固体废物、施工废水</w:t>
                        </w:r>
                      </w:p>
                    </w:txbxContent>
                  </v:textbox>
                </v:rect>
              </w:pict>
            </w:r>
          </w:p>
          <w:p>
            <w:pPr>
              <w:pStyle w:val="27"/>
              <w:keepNext w:val="0"/>
              <w:keepLines w:val="0"/>
              <w:widowControl/>
              <w:suppressLineNumbers w:val="0"/>
              <w:spacing w:before="0" w:beforeAutospacing="0" w:after="0" w:afterAutospacing="0"/>
              <w:ind w:right="0"/>
              <w:rPr>
                <w:rFonts w:ascii="Times New Roman"/>
              </w:rPr>
            </w:pPr>
            <w:r>
              <w:rPr>
                <w:rFonts w:ascii="Times New Roman"/>
              </w:rPr>
              <w:pict>
                <v:rect id="矩形 41" o:spid="_x0000_s1036" o:spt="1" style="position:absolute;left:0pt;margin-left:88.05pt;margin-top:1.55pt;height:76pt;width:83.5pt;z-index:251677696;v-text-anchor:middle;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">
                  <v:path/>
                  <v:fill on="f" focussize="0,0"/>
                  <v:stroke on="f" weight="1pt"/>
                  <v:imagedata o:title=""/>
                  <o:lock v:ext="edit"/>
                  <v:textbox>
                    <w:txbxContent>
                      <w:p>
                        <w:r>
                          <w:rPr>
                            <w:rFonts w:hint="eastAsia"/>
                          </w:rPr>
                          <w:t>施工噪声、施工扬尘、车辆尾气、固体废物、施工废水</w:t>
                        </w:r>
                      </w:p>
                    </w:txbxContent>
                  </v:textbox>
                </v:rect>
              </w:pict>
            </w:r>
            <w:r>
              <w:rPr>
                <w:rFonts w:ascii="Times New Roman"/>
              </w:rPr>
              <w:pict>
                <v:rect id="矩形 43" o:spid="_x0000_s1037" o:spt="1" style="position:absolute;left:0pt;margin-left:349.15pt;margin-top:1.35pt;height:64.35pt;width:68pt;z-index:251679744;v-text-anchor:middle;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">
                  <v:path/>
                  <v:fill on="f" focussize="0,0"/>
                  <v:stroke on="f" weight="1pt"/>
                  <v:imagedata o:title=""/>
                  <o:lock v:ext="edit"/>
                  <v:textbox>
                    <w:txbxContent>
                      <w:p>
                        <w:r>
                          <w:rPr>
                            <w:rFonts w:hint="eastAsia"/>
                          </w:rPr>
                          <w:t>设备噪声、固体废物、生活废水、电磁</w:t>
                        </w:r>
                        <w:r>
                          <w:t>影响</w:t>
                        </w:r>
                      </w:p>
                    </w:txbxContent>
                  </v:textbox>
                </v:rect>
              </w:pict>
            </w:r>
          </w:p>
          <w:p>
            <w:pPr>
              <w:keepNext w:val="0"/>
              <w:keepLines w:val="0"/>
              <w:widowControl/>
              <w:suppressLineNumbers w:val="0"/>
              <w:spacing w:before="0" w:beforeAutospacing="0" w:after="0" w:afterAutospacing="0"/>
              <w:ind w:left="0"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keepNext w:val="0"/>
              <w:keepLines w:val="0"/>
              <w:widowControl/>
              <w:suppressLineNumbers w:val="0"/>
              <w:spacing w:before="0" w:beforeAutospacing="0" w:after="0" w:afterAutospacing="0"/>
              <w:ind w:left="0"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keepNext w:val="0"/>
              <w:keepLines w:val="0"/>
              <w:widowControl w:val="0"/>
              <w:suppressLineNumbers w:val="0"/>
              <w:spacing w:before="0" w:beforeAutospacing="0" w:after="0" w:afterAutospacing="0" w:line="360" w:lineRule="auto"/>
              <w:ind w:left="1" w:leftChars="-2" w:right="0" w:hanging="5" w:hangingChars="2"/>
              <w:jc w:val="center"/>
              <w:rPr>
                <w:rFonts w:ascii="Times New Roman"/>
                <w:b/>
                <w:sz w:val="24"/>
              </w:rPr>
            </w:pPr>
          </w:p>
          <w:p>
            <w:pPr>
              <w:keepNext w:val="0"/>
              <w:keepLines w:val="0"/>
              <w:widowControl w:val="0"/>
              <w:suppressLineNumbers w:val="0"/>
              <w:spacing w:before="0" w:beforeAutospacing="0" w:after="0" w:afterAutospacing="0" w:line="360" w:lineRule="auto"/>
              <w:ind w:left="1" w:leftChars="-2" w:right="0" w:hanging="5" w:hangingChars="2"/>
              <w:jc w:val="center"/>
              <w:rPr>
                <w:rFonts w:ascii="Times New Roman"/>
                <w:b/>
                <w:sz w:val="24"/>
              </w:rPr>
            </w:pPr>
            <w:r>
              <w:rPr>
                <w:rFonts w:ascii="Times New Roman"/>
                <w:b/>
                <w:sz w:val="24"/>
              </w:rPr>
              <w:t>图2-1  升压站施工期流程图及主要产污环节</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t>(1)施工期</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t>1)升压站</w:t>
            </w:r>
          </w:p>
          <w:p>
            <w:pPr>
              <w:pStyle w:val="27"/>
              <w:keepNext w:val="0"/>
              <w:keepLines w:val="0"/>
              <w:widowControl w:val="0"/>
              <w:suppressLineNumbers w:val="0"/>
              <w:spacing w:before="0" w:beforeAutospacing="0" w:after="0" w:afterAutospacing="0" w:line="360" w:lineRule="auto"/>
              <w:ind w:left="0" w:leftChars="0" w:right="0" w:firstLine="480" w:firstLineChars="200"/>
              <w:rPr>
                <w:rFonts w:ascii="Times New Roman"/>
                <w:b/>
                <w:sz w:val="24"/>
              </w:rPr>
            </w:pPr>
            <w:r>
              <w:rPr>
                <w:rFonts w:ascii="Times New Roman"/>
                <w:sz w:val="24"/>
              </w:rPr>
              <w:t>本项目升压站施工内容分为土建工程、电气安装工程两大工序，土建开工顺序为综合楼、围墙、主变基础、户外设备的构支架基础、电缆沟、下水管网、道路；电气设备安装分为主变压器系统安装、配电装置安装、控制及保护屏、电缆敷设接线安装、无功系统安装、单体设备及分系统调试等工序，</w:t>
            </w:r>
            <w:r>
              <w:rPr>
                <w:rFonts w:hint="eastAsia" w:ascii="Times New Roman"/>
                <w:sz w:val="24"/>
              </w:rPr>
              <w:t>站内</w:t>
            </w:r>
            <w:r>
              <w:rPr>
                <w:rFonts w:ascii="Times New Roman"/>
                <w:sz w:val="24"/>
              </w:rPr>
              <w:t>道路施工用机械填筑路基、机械碾压，路面实施硬化，施工以机械施工为主，人工施工为辅。施工流程示意图见图2-1。</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fldChar w:fldCharType="begin"/>
            </w:r>
            <w:r>
              <w:rPr>
                <w:rFonts w:ascii="Times New Roman"/>
                <w:sz w:val="24"/>
              </w:rPr>
              <w:instrText xml:space="preserve"> = 1 \* GB3 </w:instrText>
            </w:r>
            <w:r>
              <w:rPr>
                <w:rFonts w:ascii="Times New Roman"/>
                <w:sz w:val="24"/>
              </w:rPr>
              <w:fldChar w:fldCharType="separate"/>
            </w:r>
            <w:r>
              <w:rPr>
                <w:rFonts w:hint="eastAsia" w:hAnsi="宋体" w:cs="宋体"/>
                <w:sz w:val="24"/>
              </w:rPr>
              <w:t>①</w:t>
            </w:r>
            <w:r>
              <w:rPr>
                <w:rFonts w:ascii="Times New Roman"/>
                <w:sz w:val="24"/>
              </w:rPr>
              <w:fldChar w:fldCharType="end"/>
            </w:r>
            <w:r>
              <w:rPr>
                <w:rFonts w:ascii="Times New Roman"/>
                <w:sz w:val="24"/>
              </w:rPr>
              <w:t>土建施工</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t>建筑、设备基础土方开挖选用反铲挖掘机，辅以人工修整基坑。当挖至距设计底标高以上0.3米处，用人工清槽，避免扰动原状土。预留回填土堆放在施工场地处，多余弃土用于修筑检修道路及施工场地和填土。基坑根据土质考虑放坡，并边坡处理，基坑底边留足排水槽。</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t>建筑、设备基坑清槽、绑筋、支模及预埋地脚螺栓模板及螺栓，验收合格后，进行基础</w:t>
            </w:r>
            <w:r>
              <w:rPr>
                <w:rFonts w:hint="eastAsia" w:ascii="Times New Roman"/>
                <w:sz w:val="24"/>
              </w:rPr>
              <w:t>混凝土浇筑</w:t>
            </w:r>
            <w:r>
              <w:rPr>
                <w:rFonts w:ascii="Times New Roman"/>
                <w:sz w:val="24"/>
              </w:rPr>
              <w:t>。本项目采用商混，混凝土浇灌用混凝土泵车，插入式混凝土振捣棒振捣(配一台平板振捣器用于基础上平面振捣)。每个基础的</w:t>
            </w:r>
            <w:r>
              <w:rPr>
                <w:rFonts w:hint="eastAsia" w:ascii="Times New Roman"/>
                <w:sz w:val="24"/>
              </w:rPr>
              <w:t>混凝土浇筑</w:t>
            </w:r>
            <w:r>
              <w:rPr>
                <w:rFonts w:ascii="Times New Roman"/>
                <w:sz w:val="24"/>
              </w:rPr>
              <w:t>采用连续施工，一次完成。</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t>基础</w:t>
            </w:r>
            <w:r>
              <w:rPr>
                <w:rFonts w:hint="eastAsia" w:ascii="Times New Roman"/>
                <w:sz w:val="24"/>
              </w:rPr>
              <w:t>混凝土浇筑</w:t>
            </w:r>
            <w:r>
              <w:rPr>
                <w:rFonts w:ascii="Times New Roman"/>
                <w:sz w:val="24"/>
              </w:rPr>
              <w:t>完成，进行覆盖和运水车洒水养护，三天后拆模及回填。待混凝土达到设计强度后才允许设备吊装。</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t>用推土机分层覆盖灰土砂石料，并碾压密实。综合楼框架采用钢管脚手架支模。混凝土采用商混、罐车运输、泵车结合起重机布料。</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fldChar w:fldCharType="begin"/>
            </w:r>
            <w:r>
              <w:rPr>
                <w:rFonts w:ascii="Times New Roman"/>
                <w:sz w:val="24"/>
              </w:rPr>
              <w:instrText xml:space="preserve"> = 2 \* GB3 </w:instrText>
            </w:r>
            <w:r>
              <w:rPr>
                <w:rFonts w:ascii="Times New Roman"/>
                <w:sz w:val="24"/>
              </w:rPr>
              <w:fldChar w:fldCharType="separate"/>
            </w:r>
            <w:r>
              <w:rPr>
                <w:rFonts w:hint="eastAsia" w:hAnsi="宋体" w:cs="宋体"/>
                <w:sz w:val="24"/>
              </w:rPr>
              <w:t>②</w:t>
            </w:r>
            <w:r>
              <w:rPr>
                <w:rFonts w:ascii="Times New Roman"/>
                <w:sz w:val="24"/>
              </w:rPr>
              <w:fldChar w:fldCharType="end"/>
            </w:r>
            <w:r>
              <w:rPr>
                <w:rFonts w:ascii="Times New Roman"/>
                <w:sz w:val="24"/>
              </w:rPr>
              <w:t>电气设备安装</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t>主要有主变压器、220kV配电设备、35kV配电设备、二次设备的安装。</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t>(2)运行期</w:t>
            </w:r>
          </w:p>
          <w:p>
            <w:pPr>
              <w:keepNext w:val="0"/>
              <w:keepLines w:val="0"/>
              <w:widowControl w:val="0"/>
              <w:suppressLineNumbers w:val="0"/>
              <w:snapToGrid w:val="0"/>
              <w:spacing w:before="0" w:beforeAutospacing="0" w:after="0" w:afterAutospacing="0" w:line="360" w:lineRule="auto"/>
              <w:ind w:left="0" w:right="0" w:firstLine="480" w:firstLineChars="200"/>
              <w:rPr>
                <w:rFonts w:ascii="Times New Roman"/>
                <w:sz w:val="24"/>
              </w:rPr>
            </w:pPr>
            <w:r>
              <w:rPr>
                <w:rFonts w:ascii="Times New Roman"/>
                <w:sz w:val="24"/>
              </w:rPr>
              <w:t>工程运行期工艺流程与排污环节如图2-2所示。</w:t>
            </w:r>
          </w:p>
          <w:p>
            <w:pPr>
              <w:keepNext w:val="0"/>
              <w:keepLines w:val="0"/>
              <w:widowControl w:val="0"/>
              <w:suppressLineNumbers w:val="0"/>
              <w:snapToGrid w:val="0"/>
              <w:spacing w:before="0" w:beforeAutospacing="0" w:after="0" w:afterAutospacing="0" w:line="360" w:lineRule="auto"/>
              <w:ind w:left="0" w:leftChars="-4" w:right="0" w:hanging="8" w:hangingChars="4"/>
              <w:jc w:val="center"/>
              <w:rPr>
                <w:rFonts w:ascii="Times New Roman"/>
              </w:rPr>
            </w:pPr>
            <w:r>
              <w:rPr>
                <w:rFonts w:ascii="Times New Roman"/>
              </w:rPr>
              <w:pict>
                <v:rect id="矩形 346" o:spid="_x0000_s1038" o:spt="1" style="position:absolute;left:0pt;margin-left:108.95pt;margin-top:52.1pt;height:18.25pt;width:41.4pt;z-index:25166131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">
                  <v:path/>
                  <v:fill focussize="0,0"/>
                  <v:stroke on="f"/>
                  <v:imagedata o:title=""/>
                  <o:lock v:ext="edit"/>
                  <v:textbox inset="0mm,0mm,0mm,0mm">
                    <w:txbxContent>
                      <w:p>
                        <w:pPr>
                          <w:jc w:val="center"/>
                          <w:rPr>
                            <w:b/>
                            <w:sz w:val="22"/>
                          </w:rPr>
                        </w:pPr>
                        <w:r>
                          <w:rPr>
                            <w:rFonts w:hint="eastAsia"/>
                            <w:b/>
                            <w:sz w:val="22"/>
                          </w:rPr>
                          <w:t>升压</w:t>
                        </w:r>
                        <w:r>
                          <w:rPr>
                            <w:b/>
                            <w:sz w:val="22"/>
                          </w:rPr>
                          <w:t>站</w:t>
                        </w:r>
                      </w:p>
                    </w:txbxContent>
                  </v:textbox>
                </v:rect>
              </w:pict>
            </w:r>
            <w:r>
              <w:rPr>
                <w:rFonts w:ascii="Times New Roman"/>
              </w:rPr>
              <w:drawing>
                <wp:inline distT="0" distB="0" distL="0" distR="0">
                  <wp:extent cx="2783840" cy="1262380"/>
                  <wp:effectExtent l="0" t="0" r="0" b="0"/>
                  <wp:docPr id="4" name="图片 36"/>
                  <wp:cNvGraphicFramePr/>
                  <a:graphic xmlns:a="http://schemas.openxmlformats.org/drawingml/2006/main">
                    <a:graphicData uri="http://schemas.openxmlformats.org/drawingml/2006/picture">
                      <pic:pic xmlns:pic="http://schemas.openxmlformats.org/drawingml/2006/picture">
                        <pic:nvPicPr>
                          <pic:cNvPr id="4" name="图片 36"/>
                          <pic:cNvPicPr/>
                        </pic:nvPicPr>
                        <pic:blipFill>
                          <a:blip r:embed="rId26" cstate="print">
                            <a:extLst>
                              <a:ext uri="{28A0092B-C50C-407E-A947-70E740481C1C}">
                                <a14:useLocalDpi xmlns:a14="http://schemas.microsoft.com/office/drawing/2010/main" val="0"/>
                              </a:ext>
                            </a:extLst>
                          </a:blip>
                          <a:srcRect l="54892" b="21123"/>
                          <a:stretch>
                            <a:fillRect/>
                          </a:stretch>
                        </pic:blipFill>
                        <pic:spPr>
                          <a:xfrm>
                            <a:off x="0" y="0"/>
                            <a:ext cx="2810679" cy="1274450"/>
                          </a:xfrm>
                          <a:prstGeom prst="rect">
                            <a:avLst/>
                          </a:prstGeom>
                          <a:noFill/>
                          <a:ln>
                            <a:noFill/>
                          </a:ln>
                        </pic:spPr>
                      </pic:pic>
                    </a:graphicData>
                  </a:graphic>
                </wp:inline>
              </w:drawing>
            </w:r>
            <w:r>
              <w:rPr>
                <w:rFonts w:ascii="Times New Roman"/>
              </w:rPr>
              <w:pict>
                <v:shape id="自选图形 350" o:spid="_x0000_s1058" o:spt="32" type="#_x0000_t32" style="position:absolute;left:0pt;margin-left:154.1pt;margin-top:116.7pt;height:17.25pt;width:0pt;z-index:251662336;mso-width-relative:page;mso-height-relative:page;" filled="f" coordsize="21600,21600" o:gfxdata="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9ey1vYAAAACwEAAA8AAAAAAAAAAQAgAAAAIgAAAGRycy9kb3ducmV2LnhtbFBL&#10;AQIUABQAAAAIAIdO4kDObYKG9gEAAMwDAAAOAAAAAAAAAAEAIAAAACcBAABkcnMvZTJvRG9jLnht&#10;bFBLBQYAAAAABgAGAFkBAACPBQAAAAA=&#10;">
                  <v:path arrowok="t"/>
                  <v:fill on="f" focussize="0,0"/>
                  <v:stroke weight="1.5pt" dashstyle="dash" endarrow="block"/>
                  <v:imagedata o:title=""/>
                  <o:lock v:ext="edit"/>
                </v:shape>
              </w:pict>
            </w:r>
          </w:p>
          <w:p>
            <w:pPr>
              <w:keepNext w:val="0"/>
              <w:keepLines w:val="0"/>
              <w:widowControl w:val="0"/>
              <w:suppressLineNumbers w:val="0"/>
              <w:snapToGrid w:val="0"/>
              <w:spacing w:before="0" w:beforeAutospacing="0" w:after="0" w:afterAutospacing="0" w:line="360" w:lineRule="auto"/>
              <w:ind w:left="0" w:right="0" w:firstLine="420" w:firstLineChars="200"/>
              <w:rPr>
                <w:rFonts w:ascii="Times New Roman"/>
              </w:rPr>
            </w:pPr>
            <w:r>
              <w:rPr>
                <w:rFonts w:ascii="Times New Roman"/>
              </w:rPr>
              <w:pict>
                <v:rect id="矩形 352" o:spid="_x0000_s1039" o:spt="1" style="position:absolute;left:0pt;margin-left:108.65pt;margin-top:8.9pt;height:24.6pt;width:92.15pt;z-index:25166336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">
                  <v:path/>
                  <v:fill focussize="0,0"/>
                  <v:stroke on="f"/>
                  <v:imagedata o:title=""/>
                  <o:lock v:ext="edit"/>
                  <v:textbox inset="0mm,0mm,0mm,0mm">
                    <w:txbxContent>
                      <w:p>
                        <w:pPr>
                          <w:jc w:val="center"/>
                          <w:rPr>
                            <w:b/>
                            <w:sz w:val="18"/>
                            <w:szCs w:val="16"/>
                          </w:rPr>
                        </w:pPr>
                        <w:r>
                          <w:rPr>
                            <w:rFonts w:hint="eastAsia"/>
                            <w:b/>
                            <w:color w:val="FF0000"/>
                            <w:sz w:val="18"/>
                            <w:szCs w:val="16"/>
                          </w:rPr>
                          <w:t>废气</w:t>
                        </w:r>
                        <w:r>
                          <w:rPr>
                            <w:rFonts w:hint="eastAsia"/>
                            <w:b/>
                            <w:sz w:val="18"/>
                            <w:szCs w:val="16"/>
                          </w:rPr>
                          <w:t>、噪声、</w:t>
                        </w:r>
                        <w:r>
                          <w:rPr>
                            <w:b/>
                            <w:sz w:val="18"/>
                            <w:szCs w:val="16"/>
                          </w:rPr>
                          <w:t>废水</w:t>
                        </w:r>
                        <w:r>
                          <w:rPr>
                            <w:rFonts w:hint="eastAsia"/>
                            <w:b/>
                            <w:sz w:val="18"/>
                            <w:szCs w:val="16"/>
                          </w:rPr>
                          <w:t>、工频</w:t>
                        </w:r>
                        <w:r>
                          <w:rPr>
                            <w:b/>
                            <w:sz w:val="18"/>
                            <w:szCs w:val="16"/>
                          </w:rPr>
                          <w:t>电场</w:t>
                        </w:r>
                      </w:p>
                      <w:p>
                        <w:pPr>
                          <w:jc w:val="center"/>
                          <w:rPr>
                            <w:b/>
                            <w:sz w:val="18"/>
                            <w:szCs w:val="16"/>
                          </w:rPr>
                        </w:pPr>
                        <w:r>
                          <w:rPr>
                            <w:b/>
                            <w:sz w:val="18"/>
                            <w:szCs w:val="16"/>
                          </w:rPr>
                          <w:t>工频磁场</w:t>
                        </w:r>
                        <w:r>
                          <w:rPr>
                            <w:rFonts w:hint="eastAsia"/>
                            <w:b/>
                            <w:sz w:val="18"/>
                            <w:szCs w:val="16"/>
                          </w:rPr>
                          <w:t>、固体</w:t>
                        </w:r>
                        <w:r>
                          <w:rPr>
                            <w:b/>
                            <w:sz w:val="18"/>
                            <w:szCs w:val="16"/>
                          </w:rPr>
                          <w:t>废物</w:t>
                        </w:r>
                      </w:p>
                    </w:txbxContent>
                  </v:textbox>
                </v:rect>
              </w:pict>
            </w:r>
          </w:p>
          <w:p>
            <w:pPr>
              <w:keepNext w:val="0"/>
              <w:keepLines w:val="0"/>
              <w:widowControl w:val="0"/>
              <w:suppressLineNumbers w:val="0"/>
              <w:snapToGrid w:val="0"/>
              <w:spacing w:before="0" w:beforeAutospacing="0" w:after="0" w:afterAutospacing="0" w:line="360" w:lineRule="auto"/>
              <w:ind w:left="0" w:right="0" w:firstLine="420" w:firstLineChars="200"/>
              <w:rPr>
                <w:rFonts w:ascii="Times New Roman"/>
              </w:rPr>
            </w:pPr>
          </w:p>
          <w:p>
            <w:pPr>
              <w:keepNext w:val="0"/>
              <w:keepLines w:val="0"/>
              <w:widowControl w:val="0"/>
              <w:suppressLineNumbers w:val="0"/>
              <w:spacing w:before="0" w:beforeAutospacing="0" w:after="0" w:afterAutospacing="0" w:line="360" w:lineRule="auto"/>
              <w:ind w:left="0" w:right="0" w:firstLine="482" w:firstLineChars="200"/>
              <w:jc w:val="center"/>
              <w:rPr>
                <w:rFonts w:ascii="Times New Roman"/>
                <w:b/>
                <w:sz w:val="24"/>
              </w:rPr>
            </w:pPr>
            <w:r>
              <w:rPr>
                <w:rFonts w:ascii="Times New Roman"/>
                <w:b/>
                <w:sz w:val="24"/>
              </w:rPr>
              <w:t>图2-2  升压站运行期排污环节</w:t>
            </w:r>
          </w:p>
          <w:p>
            <w:pPr>
              <w:keepNext w:val="0"/>
              <w:keepLines w:val="0"/>
              <w:widowControl w:val="0"/>
              <w:suppressLineNumbers w:val="0"/>
              <w:snapToGrid w:val="0"/>
              <w:spacing w:before="0" w:beforeAutospacing="0" w:after="0" w:afterAutospacing="0" w:line="360" w:lineRule="auto"/>
              <w:ind w:left="0" w:right="0" w:firstLine="482" w:firstLineChars="200"/>
              <w:rPr>
                <w:rFonts w:ascii="Times New Roman"/>
                <w:sz w:val="24"/>
              </w:rPr>
            </w:pPr>
            <w:r>
              <w:rPr>
                <w:rFonts w:ascii="Times New Roman"/>
                <w:b/>
                <w:bCs/>
                <w:sz w:val="24"/>
              </w:rPr>
              <w:t>2、产污节点</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(1)施工期</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工程施工期的主要环境影响因素有：施工噪声、施工废气、施工废污水、施工固体废物、生态影响等。</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1)噪声：设备安装、吊装过程中产生一定的机械噪声。升压站建设过程中运输车辆的交通噪声，建筑物基础挖掘、浇注、管沟挖掘等装卸机、挖掘机等工程机械产生的机械噪声。</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2)废气：建筑材料堆存、地基挖掘、管沟填挖土方、土方转运等产生的扬尘，车辆运输进出工地产生的二次扬尘和施工机械、施工车辆产生的尾气。</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3)废水：车辆冲洗废水、</w:t>
            </w:r>
            <w:r>
              <w:rPr>
                <w:rFonts w:hint="eastAsia" w:ascii="Times New Roman"/>
                <w:sz w:val="24"/>
              </w:rPr>
              <w:t>水泥构件</w:t>
            </w:r>
            <w:r>
              <w:rPr>
                <w:rFonts w:ascii="Times New Roman"/>
                <w:sz w:val="24"/>
              </w:rPr>
              <w:t>养护废水等，施工人员的生活杂用水。</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4)固体废弃物：主要为建筑垃圾、废弃金具、包装物、生活垃圾。</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5)生态：升压站土方开挖及施工，施工营地等临时占地对植被的破坏等。</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(2)运行期</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1)电磁环境：升压站运行过程中产生的工频电场、工频磁场。</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2)噪声：升压站主变压器产生的噪声。</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3)固体废物：升压站产生的废旧</w:t>
            </w:r>
            <w:r>
              <w:rPr>
                <w:rFonts w:hint="eastAsia" w:ascii="Times New Roman"/>
                <w:sz w:val="24"/>
              </w:rPr>
              <w:t>铅酸</w:t>
            </w:r>
            <w:r>
              <w:rPr>
                <w:rFonts w:ascii="Times New Roman"/>
                <w:sz w:val="24"/>
              </w:rPr>
              <w:t>蓄电池(HW31 900-052-31)，</w:t>
            </w:r>
            <w:r>
              <w:rPr>
                <w:rFonts w:hint="eastAsia" w:ascii="Times New Roman"/>
                <w:sz w:val="24"/>
              </w:rPr>
              <w:t>废</w:t>
            </w:r>
            <w:r>
              <w:rPr>
                <w:rFonts w:ascii="Times New Roman"/>
                <w:sz w:val="24"/>
              </w:rPr>
              <w:t>变压器油</w:t>
            </w:r>
            <w:r>
              <w:rPr>
                <w:rFonts w:hint="eastAsia" w:ascii="Times New Roman"/>
                <w:sz w:val="24"/>
              </w:rPr>
              <w:t>（检修废油、事故油）</w:t>
            </w:r>
            <w:r>
              <w:rPr>
                <w:rFonts w:ascii="Times New Roman"/>
                <w:sz w:val="24"/>
              </w:rPr>
              <w:t>(HW08 900-220-08)，</w:t>
            </w:r>
            <w:r>
              <w:rPr>
                <w:rFonts w:hint="eastAsia" w:ascii="Times New Roman"/>
                <w:sz w:val="24"/>
              </w:rPr>
              <w:t>废磷酸铁锂电池、</w:t>
            </w:r>
            <w:r>
              <w:rPr>
                <w:rFonts w:ascii="Times New Roman"/>
                <w:sz w:val="24"/>
              </w:rPr>
              <w:t>电站值班人员产生的生活垃圾。</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4</w:t>
            </w:r>
            <w:r>
              <w:rPr>
                <w:rFonts w:hint="eastAsia" w:ascii="Times New Roman"/>
                <w:sz w:val="24"/>
              </w:rPr>
              <w:t>)废气：食堂油烟。</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5)废水：升压站值班人员产生的生活污水。</w:t>
            </w:r>
          </w:p>
          <w:p>
            <w:pPr>
              <w:pStyle w:val="27"/>
              <w:keepNext w:val="0"/>
              <w:keepLines w:val="0"/>
              <w:widowControl w:val="0"/>
              <w:suppressLineNumbers w:val="0"/>
              <w:spacing w:before="0" w:beforeAutospacing="0" w:after="0" w:afterAutospacing="0" w:line="360" w:lineRule="auto"/>
              <w:ind w:left="0" w:leftChars="0" w:right="0" w:firstLine="482" w:firstLineChars="200"/>
              <w:rPr>
                <w:rFonts w:ascii="Times New Roman"/>
                <w:b/>
                <w:bCs/>
                <w:sz w:val="24"/>
                <w:szCs w:val="24"/>
              </w:rPr>
            </w:pPr>
            <w:r>
              <w:rPr>
                <w:rFonts w:ascii="Times New Roman"/>
                <w:b/>
                <w:bCs/>
                <w:sz w:val="24"/>
                <w:szCs w:val="24"/>
              </w:rPr>
              <w:t>3、工程采取的主要环保措施</w:t>
            </w:r>
          </w:p>
          <w:p>
            <w:pPr>
              <w:keepNext w:val="0"/>
              <w:keepLines w:val="0"/>
              <w:widowControl w:val="0"/>
              <w:suppressLineNumbers w:val="0"/>
              <w:snapToGrid w:val="0"/>
              <w:spacing w:before="0" w:beforeAutospacing="0" w:after="0" w:afterAutospacing="0" w:line="360" w:lineRule="auto"/>
              <w:ind w:left="0" w:right="0" w:firstLine="480" w:firstLineChars="200"/>
              <w:rPr>
                <w:rFonts w:ascii="Times New Roman"/>
                <w:sz w:val="24"/>
              </w:rPr>
            </w:pPr>
            <w:r>
              <w:rPr>
                <w:rFonts w:ascii="Times New Roman"/>
                <w:sz w:val="24"/>
              </w:rPr>
              <w:t>(1)设计期</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选址时，合理选择站址位置，合理布置主变、SVG及配电装置位置，采购低噪声主变。升压站内设置</w:t>
            </w:r>
            <w:r>
              <w:rPr>
                <w:rFonts w:hint="eastAsia" w:ascii="Times New Roman"/>
                <w:sz w:val="24"/>
              </w:rPr>
              <w:t>153</w:t>
            </w:r>
            <w:r>
              <w:rPr>
                <w:rFonts w:ascii="Times New Roman"/>
                <w:sz w:val="24"/>
              </w:rPr>
              <w:t>m</w:t>
            </w:r>
            <w:r>
              <w:rPr>
                <w:rFonts w:ascii="Times New Roman"/>
                <w:sz w:val="24"/>
                <w:vertAlign w:val="superscript"/>
              </w:rPr>
              <w:t>3</w:t>
            </w:r>
            <w:r>
              <w:rPr>
                <w:rFonts w:ascii="Times New Roman"/>
                <w:sz w:val="24"/>
              </w:rPr>
              <w:t>事故油池，设置危险废物暂存间。</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(2)施工期</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1)设置施工围挡，施工材料进行覆盖。场区附近及道路的扬尘进行洒水和清扫。施工现场禁止将包装物、可燃垃圾等固体废弃物就地焚烧。</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2)采用商混，施工现场不进行混凝土搅拌。</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3)使用低噪声、低能耗施工机械，液压工具代替气压工具。合理安排施工时间，避免在中午(12:00～14:00)和晚上(22:00～6:00)实施大型施工机械作业。</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ascii="Times New Roman"/>
                <w:sz w:val="24"/>
              </w:rPr>
              <w:t>4)养护废水、车辆冲洗废水等经沉淀池处理后用于施工场地抑尘，升压站施工人员生活污水排入施工营地防渗旱厕，旱厕定期清掏。</w:t>
            </w:r>
          </w:p>
          <w:p>
            <w:pPr>
              <w:pStyle w:val="27"/>
              <w:keepNext w:val="0"/>
              <w:keepLines w:val="0"/>
              <w:widowControl w:val="0"/>
              <w:suppressLineNumbers w:val="0"/>
              <w:spacing w:before="0" w:beforeAutospacing="0" w:after="0" w:afterAutospacing="0" w:line="360" w:lineRule="auto"/>
              <w:ind w:left="0" w:leftChars="0" w:right="0" w:firstLine="480" w:firstLineChars="200"/>
              <w:rPr>
                <w:rFonts w:ascii="Times New Roman"/>
                <w:sz w:val="24"/>
              </w:rPr>
            </w:pPr>
            <w:r>
              <w:rPr>
                <w:rFonts w:ascii="Times New Roman"/>
                <w:sz w:val="24"/>
              </w:rPr>
              <w:t>5)生活垃圾、建筑垃圾</w:t>
            </w:r>
            <w:r>
              <w:rPr>
                <w:rFonts w:ascii="Times New Roman"/>
                <w:sz w:val="24"/>
                <w:szCs w:val="24"/>
              </w:rPr>
              <w:t>、废弃金具及废弃包装物等</w:t>
            </w:r>
            <w:r>
              <w:rPr>
                <w:rFonts w:ascii="Times New Roman"/>
                <w:sz w:val="24"/>
              </w:rPr>
              <w:t>运送至当地城建部门指定的地点处理。</w:t>
            </w:r>
          </w:p>
          <w:p>
            <w:pPr>
              <w:keepNext w:val="0"/>
              <w:keepLines w:val="0"/>
              <w:widowControl w:val="0"/>
              <w:suppressLineNumbers w:val="0"/>
              <w:snapToGrid w:val="0"/>
              <w:spacing w:before="0" w:beforeAutospacing="0" w:after="0" w:afterAutospacing="0" w:line="360" w:lineRule="auto"/>
              <w:ind w:left="0" w:right="0" w:firstLine="480" w:firstLineChars="200"/>
              <w:rPr>
                <w:rFonts w:ascii="Times New Roman"/>
                <w:sz w:val="24"/>
              </w:rPr>
            </w:pPr>
            <w:r>
              <w:rPr>
                <w:rFonts w:ascii="Times New Roman"/>
                <w:sz w:val="24"/>
              </w:rPr>
              <w:t>(3)运行期</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1)加强对升压站设备的运行维护。</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2)升压站产生的废旧</w:t>
            </w:r>
            <w:r>
              <w:rPr>
                <w:rFonts w:hint="eastAsia" w:ascii="Times New Roman"/>
                <w:sz w:val="24"/>
              </w:rPr>
              <w:t>铅酸</w:t>
            </w:r>
            <w:r>
              <w:rPr>
                <w:rFonts w:ascii="Times New Roman"/>
                <w:sz w:val="24"/>
              </w:rPr>
              <w:t>蓄电池暂存于站内危险废物暂存间，</w:t>
            </w:r>
            <w:r>
              <w:rPr>
                <w:rFonts w:hint="eastAsia" w:ascii="Times New Roman"/>
                <w:sz w:val="24"/>
              </w:rPr>
              <w:t>定期由承德雅舍再生资源回收有限公司运输、回收处理；</w:t>
            </w:r>
            <w:r>
              <w:rPr>
                <w:rFonts w:ascii="Times New Roman"/>
                <w:sz w:val="24"/>
              </w:rPr>
              <w:t>主变</w:t>
            </w:r>
            <w:r>
              <w:rPr>
                <w:rFonts w:hint="eastAsia" w:ascii="Times New Roman"/>
                <w:sz w:val="24"/>
              </w:rPr>
              <w:t>压器检修产生的废油及</w:t>
            </w:r>
            <w:r>
              <w:rPr>
                <w:rFonts w:ascii="Times New Roman"/>
                <w:sz w:val="24"/>
              </w:rPr>
              <w:t>事故状态下产生的事故油排入</w:t>
            </w:r>
            <w:r>
              <w:rPr>
                <w:rFonts w:hint="eastAsia" w:ascii="Times New Roman"/>
                <w:sz w:val="24"/>
              </w:rPr>
              <w:t>项目新建</w:t>
            </w:r>
            <w:r>
              <w:rPr>
                <w:rFonts w:ascii="Times New Roman"/>
                <w:sz w:val="24"/>
              </w:rPr>
              <w:t>事故油池，沾油抹布暂存于危废暂存间，</w:t>
            </w:r>
            <w:r>
              <w:rPr>
                <w:rFonts w:hint="eastAsia" w:ascii="Times New Roman"/>
                <w:sz w:val="24"/>
              </w:rPr>
              <w:t>检修废油、事故废油、</w:t>
            </w:r>
            <w:r>
              <w:rPr>
                <w:rFonts w:ascii="Times New Roman"/>
                <w:sz w:val="24"/>
              </w:rPr>
              <w:t>沾油抹布</w:t>
            </w:r>
            <w:r>
              <w:rPr>
                <w:rFonts w:hint="eastAsia" w:ascii="Times New Roman"/>
                <w:sz w:val="24"/>
              </w:rPr>
              <w:t>最终统一由承德双然环保科技有限公司运输至乐亭县海畅环保科技有限公司处理</w:t>
            </w:r>
            <w:r>
              <w:rPr>
                <w:rFonts w:ascii="Times New Roman"/>
                <w:sz w:val="24"/>
              </w:rPr>
              <w:t>。</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3)运行期值班人员产生的生活垃圾统一收集，交由环卫部门处置</w:t>
            </w:r>
            <w:r>
              <w:rPr>
                <w:rFonts w:hint="eastAsia" w:ascii="Times New Roman"/>
                <w:sz w:val="24"/>
              </w:rPr>
              <w:t>，废磷酸铁锂电池收集后由厂家定期回收</w:t>
            </w:r>
            <w:r>
              <w:rPr>
                <w:rFonts w:ascii="Times New Roman"/>
                <w:sz w:val="24"/>
              </w:rPr>
              <w:t>。</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rPr>
              <w:t>4)</w:t>
            </w:r>
            <w:r>
              <w:rPr>
                <w:sz w:val="24"/>
              </w:rPr>
              <w:t>食堂设置餐饮油烟净化器，油烟净化器处理效率不小于60%，食堂油烟经净化处理后经专用烟道引至屋顶排放。</w:t>
            </w:r>
          </w:p>
          <w:p>
            <w:pPr>
              <w:pStyle w:val="27"/>
              <w:keepNext w:val="0"/>
              <w:keepLines w:val="0"/>
              <w:widowControl w:val="0"/>
              <w:suppressLineNumbers w:val="0"/>
              <w:snapToGrid w:val="0"/>
              <w:spacing w:before="0" w:beforeAutospacing="0" w:after="0" w:afterAutospacing="0" w:line="360" w:lineRule="auto"/>
              <w:ind w:left="0" w:leftChars="0" w:right="0" w:firstLine="480" w:firstLineChars="200"/>
              <w:rPr>
                <w:rFonts w:ascii="Times New Roman"/>
              </w:rPr>
            </w:pPr>
            <w:r>
              <w:rPr>
                <w:rFonts w:ascii="Times New Roman"/>
                <w:sz w:val="24"/>
              </w:rPr>
              <w:t>5)升压站主要为生活污水</w:t>
            </w:r>
            <w:r>
              <w:rPr>
                <w:rFonts w:hint="eastAsia" w:ascii="Times New Roman"/>
                <w:sz w:val="24"/>
              </w:rPr>
              <w:t>，</w:t>
            </w:r>
            <w:r>
              <w:rPr>
                <w:rFonts w:hint="eastAsia"/>
                <w:sz w:val="24"/>
              </w:rPr>
              <w:t>食堂废水经隔油池处理、其他生活废水经化粪池处理后一同进入污水一体化处理设备处理后满足《城市污水再生利用城市杂用水水质》中城市绿化、道路清扫、消防用水水质标准，用于厂区洒水抑尘。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97" w:hRule="atLeast"/>
          <w:jc w:val="center"/>
        </w:trPr>
        <w:tc>
          <w:tcPr>
            <w:tcW w:w="456" w:type="dxa"/>
            <w:vAlign w:val="center"/>
          </w:tcPr>
          <w:p>
            <w:pPr>
              <w:pStyle w:val="48"/>
              <w:keepNext w:val="0"/>
              <w:keepLines w:val="0"/>
              <w:widowControl/>
              <w:suppressLineNumbers w:val="0"/>
              <w:adjustRightInd w:val="0"/>
              <w:snapToGrid w:val="0"/>
              <w:spacing w:before="0" w:beforeAutospacing="0" w:after="0" w:afterAutospacing="0"/>
              <w:ind w:left="0" w:right="0"/>
              <w:jc w:val="center"/>
              <w:rPr>
                <w:rFonts w:ascii="Times New Roman" w:hAnsi="Times New Roman"/>
                <w:szCs w:val="24"/>
              </w:rPr>
            </w:pPr>
            <w:r>
              <w:rPr>
                <w:rFonts w:hint="eastAsia" w:ascii="Times New Roman" w:hAnsi="Times New Roman"/>
                <w:bCs/>
                <w:kern w:val="2"/>
                <w:szCs w:val="24"/>
              </w:rPr>
              <w:t>与项目有关的原有环境污染问题</w:t>
            </w:r>
          </w:p>
        </w:tc>
        <w:tc>
          <w:tcPr>
            <w:tcW w:w="7036" w:type="dxa"/>
            <w:vAlign w:val="center"/>
          </w:tcPr>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r>
              <w:rPr>
                <w:rFonts w:ascii="Times New Roman"/>
                <w:sz w:val="24"/>
                <w:szCs w:val="24"/>
              </w:rPr>
              <w:t>本项目为新建项目，不存在与本项目有关的污染情况。</w:t>
            </w: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firstLine="480" w:firstLineChars="200"/>
              <w:jc w:val="center"/>
              <w:rPr>
                <w:rFonts w:ascii="Times New Roman"/>
                <w:sz w:val="24"/>
                <w:szCs w:val="24"/>
              </w:rPr>
            </w:pPr>
          </w:p>
          <w:p>
            <w:pPr>
              <w:keepNext w:val="0"/>
              <w:keepLines w:val="0"/>
              <w:widowControl/>
              <w:suppressLineNumbers w:val="0"/>
              <w:spacing w:before="240" w:beforeAutospacing="0" w:after="0" w:afterAutospacing="0" w:line="360" w:lineRule="auto"/>
              <w:ind w:left="0" w:right="0"/>
              <w:jc w:val="both"/>
              <w:rPr>
                <w:rFonts w:ascii="Times New Roman"/>
                <w:sz w:val="24"/>
                <w:szCs w:val="24"/>
              </w:rPr>
            </w:pPr>
          </w:p>
        </w:tc>
      </w:tr>
    </w:tbl>
    <w:p>
      <w:pPr>
        <w:pStyle w:val="48"/>
        <w:spacing w:after="0" w:afterAutospacing="0" w:line="360" w:lineRule="auto"/>
        <w:jc w:val="center"/>
        <w:outlineLvl w:val="0"/>
        <w:rPr>
          <w:rFonts w:ascii="Times New Roman" w:hAnsi="Times New Roman"/>
          <w:b/>
          <w:bCs/>
          <w:snapToGrid w:val="0"/>
          <w:sz w:val="30"/>
          <w:szCs w:val="30"/>
        </w:rPr>
      </w:pPr>
      <w:bookmarkStart w:id="24" w:name="_Toc157070561"/>
      <w:r>
        <w:rPr>
          <w:rFonts w:ascii="Times New Roman" w:hAnsi="Times New Roman"/>
          <w:b/>
          <w:bCs/>
          <w:snapToGrid w:val="0"/>
          <w:sz w:val="30"/>
          <w:szCs w:val="30"/>
        </w:rPr>
        <w:t>三、区域环境质量现状、环境保护目标及评价标准</w:t>
      </w:r>
      <w:bookmarkEnd w:id="24"/>
    </w:p>
    <w:tbl>
      <w:tblPr>
        <w:tblStyle w:val="54"/>
        <w:tblW w:w="907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6"/>
        <w:gridCol w:w="84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56" w:type="dxa"/>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区域</w:t>
            </w:r>
          </w:p>
          <w:p>
            <w:pPr>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环境</w:t>
            </w:r>
          </w:p>
          <w:p>
            <w:pPr>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质量</w:t>
            </w:r>
          </w:p>
          <w:p>
            <w:pPr>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现状</w:t>
            </w:r>
          </w:p>
        </w:tc>
        <w:tc>
          <w:tcPr>
            <w:tcW w:w="8418" w:type="dxa"/>
          </w:tcPr>
          <w:p>
            <w:pPr>
              <w:keepNext w:val="0"/>
              <w:keepLines w:val="0"/>
              <w:widowControl w:val="0"/>
              <w:suppressLineNumbers w:val="0"/>
              <w:spacing w:before="120" w:beforeLines="50" w:beforeAutospacing="0" w:after="0" w:afterAutospacing="0" w:line="360" w:lineRule="auto"/>
              <w:ind w:left="0" w:right="0" w:firstLine="482" w:firstLineChars="200"/>
              <w:rPr>
                <w:rFonts w:ascii="Times New Roman"/>
                <w:b/>
                <w:bCs/>
                <w:sz w:val="24"/>
              </w:rPr>
            </w:pPr>
            <w:r>
              <w:rPr>
                <w:rFonts w:hint="eastAsia" w:ascii="Times New Roman"/>
                <w:b/>
                <w:bCs/>
                <w:sz w:val="24"/>
              </w:rPr>
              <w:t>1、区域概况</w:t>
            </w:r>
          </w:p>
          <w:p>
            <w:pPr>
              <w:pStyle w:val="27"/>
              <w:keepNext w:val="0"/>
              <w:keepLines w:val="0"/>
              <w:widowControl/>
              <w:suppressLineNumbers w:val="0"/>
              <w:snapToGrid w:val="0"/>
              <w:spacing w:before="0" w:beforeAutospacing="0" w:after="0" w:afterAutospacing="0" w:line="360" w:lineRule="auto"/>
              <w:ind w:left="0" w:leftChars="0" w:right="0" w:firstLine="480" w:firstLineChars="200"/>
              <w:rPr>
                <w:rFonts w:ascii="Times New Roman"/>
                <w:sz w:val="24"/>
                <w:szCs w:val="24"/>
              </w:rPr>
            </w:pPr>
            <w:r>
              <w:rPr>
                <w:rFonts w:ascii="Times New Roman"/>
                <w:sz w:val="24"/>
                <w:szCs w:val="24"/>
              </w:rPr>
              <w:t>承德县隶属河北省承德市，地处河北省东北部，距省会石家庄538公里，介于东经11893.24″，北纬404525.02″之间，县境东、南、北三面环抱承德市区，县城距市区40公里，西南邻京津唐秦，东北接辽宁、内蒙古，县域面积3633平方公里。</w:t>
            </w:r>
          </w:p>
          <w:p>
            <w:pPr>
              <w:pStyle w:val="27"/>
              <w:keepNext w:val="0"/>
              <w:keepLines w:val="0"/>
              <w:widowControl/>
              <w:suppressLineNumbers w:val="0"/>
              <w:snapToGrid w:val="0"/>
              <w:spacing w:before="0" w:beforeAutospacing="0" w:after="0" w:afterAutospacing="0" w:line="360" w:lineRule="auto"/>
              <w:ind w:left="0" w:leftChars="0" w:right="0" w:firstLine="480" w:firstLineChars="200"/>
              <w:rPr>
                <w:rFonts w:ascii="Times New Roman"/>
                <w:sz w:val="24"/>
                <w:szCs w:val="24"/>
              </w:rPr>
            </w:pPr>
            <w:r>
              <w:rPr>
                <w:rFonts w:ascii="Times New Roman"/>
                <w:sz w:val="24"/>
                <w:szCs w:val="24"/>
              </w:rPr>
              <w:t>承德县地属南部燕山地槽和北部内蒙古台背过渡带，地势北高南低，属于温带半湿润间半干旱大陆性季风型燕山山地气候，年平均气温6~9.1℃。承德县属于温带半湿润间半干旱大陆性季风型燕山山地气候，具有光照充足，四季分明，雨热同期和局部气候差异明显的特点。春季风多干旱，夏季高温多雨，秋季天高气爽，冬季雪少寒冷，昼夜温差较大，年日照时数2600~2700小时。</w:t>
            </w:r>
          </w:p>
          <w:p>
            <w:pPr>
              <w:keepNext w:val="0"/>
              <w:keepLines w:val="0"/>
              <w:widowControl w:val="0"/>
              <w:suppressLineNumbers w:val="0"/>
              <w:spacing w:before="0" w:beforeAutospacing="0" w:after="0" w:afterAutospacing="0" w:line="360" w:lineRule="auto"/>
              <w:ind w:left="0" w:right="0" w:firstLine="482" w:firstLineChars="200"/>
              <w:rPr>
                <w:rFonts w:ascii="Times New Roman"/>
                <w:b/>
                <w:bCs/>
                <w:sz w:val="24"/>
              </w:rPr>
            </w:pPr>
            <w:r>
              <w:rPr>
                <w:rFonts w:hint="eastAsia" w:ascii="Times New Roman"/>
                <w:b/>
                <w:bCs/>
                <w:sz w:val="24"/>
              </w:rPr>
              <w:t>2、自然环境</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hint="eastAsia" w:ascii="Times New Roman"/>
                <w:sz w:val="24"/>
              </w:rPr>
              <w:t>(</w:t>
            </w:r>
            <w:r>
              <w:rPr>
                <w:rFonts w:ascii="Times New Roman"/>
                <w:sz w:val="24"/>
              </w:rPr>
              <w:t>1)</w:t>
            </w:r>
            <w:r>
              <w:rPr>
                <w:rFonts w:hint="eastAsia" w:ascii="Times New Roman"/>
                <w:sz w:val="24"/>
              </w:rPr>
              <w:t>地形地貌</w:t>
            </w:r>
          </w:p>
          <w:p>
            <w:pPr>
              <w:pStyle w:val="27"/>
              <w:keepNext w:val="0"/>
              <w:keepLines w:val="0"/>
              <w:widowControl/>
              <w:suppressLineNumbers w:val="0"/>
              <w:snapToGrid w:val="0"/>
              <w:spacing w:before="0" w:beforeAutospacing="0" w:after="0" w:afterAutospacing="0" w:line="360" w:lineRule="auto"/>
              <w:ind w:left="0" w:leftChars="0" w:right="0" w:firstLine="480" w:firstLineChars="200"/>
              <w:rPr>
                <w:rFonts w:ascii="Times New Roman"/>
                <w:sz w:val="24"/>
                <w:szCs w:val="24"/>
              </w:rPr>
            </w:pPr>
            <w:r>
              <w:rPr>
                <w:rFonts w:ascii="Times New Roman"/>
                <w:sz w:val="24"/>
                <w:szCs w:val="24"/>
              </w:rPr>
              <w:t>承德县地属南部燕山地槽和北部内蒙古台背过渡带。地势北高南低。县北部七老图山主峰南天门海拔1755.1米，南部滦河出境处海拔222米。山地、丘陵占全县总面积的94.6%94.6%，河谷、陆地占5.4%5.4%，仅有耕地446853.8亩。境内山峦叠幛，有大小山峰4100余座，多奇峰异石。为中、低山丘陵河谷地貌。</w:t>
            </w:r>
          </w:p>
          <w:p>
            <w:pPr>
              <w:keepNext w:val="0"/>
              <w:keepLines w:val="0"/>
              <w:widowControl w:val="0"/>
              <w:suppressLineNumbers w:val="0"/>
              <w:spacing w:before="0" w:beforeAutospacing="0" w:after="0" w:afterAutospacing="0" w:line="360" w:lineRule="auto"/>
              <w:ind w:left="0" w:right="0" w:firstLine="480" w:firstLineChars="200"/>
              <w:rPr>
                <w:rFonts w:ascii="Times New Roman"/>
                <w:b/>
                <w:bCs/>
                <w:sz w:val="24"/>
              </w:rPr>
            </w:pPr>
            <w:r>
              <w:rPr>
                <w:rFonts w:hint="eastAsia" w:ascii="Times New Roman"/>
                <w:sz w:val="24"/>
              </w:rPr>
              <w:t>(</w:t>
            </w:r>
            <w:r>
              <w:rPr>
                <w:rFonts w:ascii="Times New Roman"/>
                <w:sz w:val="24"/>
              </w:rPr>
              <w:t>2)</w:t>
            </w:r>
            <w:r>
              <w:rPr>
                <w:rFonts w:hint="eastAsia" w:ascii="Times New Roman"/>
                <w:sz w:val="24"/>
              </w:rPr>
              <w:t>地质</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hint="eastAsia" w:ascii="Times New Roman"/>
                <w:sz w:val="24"/>
              </w:rPr>
              <w:t>承德县大地构造属于华北台地，北部位于内蒙古地轴南缘，南部位于华北地台内二级大地构造单元和燕山纬向沉降带三级大地构造单元。属冀北山地地貌，土地格局为“八山一水一分田”。受燕山岩性构造的影响，地貌类型为山地，所处大地构造单元为燕山地槽与内蒙古背斜过渡带，地势北高南低。</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hint="eastAsia" w:ascii="Times New Roman"/>
                <w:sz w:val="24"/>
              </w:rPr>
              <w:t>根据参考工程地勘资料，本工程地处低山丘陵的顶部、脊部等，微地形多较为开阔，上部多存在覆盖层，覆盖层厚度差异较大，主要为砂类土、碎石，下部地层主要为新生界第三系中新统汉诺坝组(N1h)玄武岩地层，部分地段基岩出露。</w:t>
            </w:r>
          </w:p>
          <w:p>
            <w:pPr>
              <w:keepNext w:val="0"/>
              <w:keepLines w:val="0"/>
              <w:widowControl w:val="0"/>
              <w:suppressLineNumbers w:val="0"/>
              <w:spacing w:before="0" w:beforeAutospacing="0" w:after="0" w:afterAutospacing="0" w:line="360" w:lineRule="auto"/>
              <w:ind w:left="0" w:right="0" w:firstLine="480" w:firstLineChars="200"/>
              <w:rPr>
                <w:rFonts w:ascii="Times New Roman"/>
                <w:b/>
                <w:bCs/>
                <w:sz w:val="24"/>
              </w:rPr>
            </w:pPr>
            <w:r>
              <w:rPr>
                <w:rFonts w:hint="eastAsia" w:ascii="Times New Roman"/>
                <w:sz w:val="24"/>
              </w:rPr>
              <w:t>(</w:t>
            </w:r>
            <w:r>
              <w:rPr>
                <w:rFonts w:ascii="Times New Roman"/>
                <w:sz w:val="24"/>
              </w:rPr>
              <w:t>3)</w:t>
            </w:r>
            <w:r>
              <w:rPr>
                <w:rFonts w:hint="eastAsia" w:ascii="Times New Roman"/>
                <w:sz w:val="24"/>
              </w:rPr>
              <w:t>水文特征</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hint="eastAsia" w:ascii="Times New Roman"/>
                <w:sz w:val="24"/>
              </w:rPr>
              <w:t>承德县年降水量为450850毫米，73%集中在夏季。适宜多种农作物生长，农业气候灾害以干旱为主。</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hint="eastAsia" w:ascii="Times New Roman"/>
                <w:sz w:val="24"/>
              </w:rPr>
              <w:t>承德县有滦河、老牛河、武烈河、柴白河、白马河、暖儿河等8条河流。</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hint="eastAsia" w:ascii="Times New Roman"/>
                <w:sz w:val="24"/>
              </w:rPr>
              <w:t>(</w:t>
            </w:r>
            <w:r>
              <w:rPr>
                <w:rFonts w:ascii="Times New Roman"/>
                <w:sz w:val="24"/>
              </w:rPr>
              <w:t>4)</w:t>
            </w:r>
            <w:r>
              <w:rPr>
                <w:rFonts w:hint="eastAsia" w:ascii="Times New Roman"/>
                <w:sz w:val="24"/>
              </w:rPr>
              <w:t>气候气象特征</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rPr>
            </w:pPr>
            <w:r>
              <w:rPr>
                <w:rFonts w:hint="eastAsia" w:ascii="Times New Roman"/>
                <w:sz w:val="24"/>
              </w:rPr>
              <w:t>承德县属于中温带半湿润半干旱大陆性季风型高原山地气候。春季风多干旱，夏季湿热多雨，秋季天高气爽，冬季寒冷干燥。年平均气温6－9.</w:t>
            </w:r>
            <w:r>
              <w:rPr>
                <w:rFonts w:ascii="Times New Roman"/>
                <w:sz w:val="24"/>
              </w:rPr>
              <w:t>1</w:t>
            </w:r>
            <w:r>
              <w:rPr>
                <w:rFonts w:hint="eastAsia" w:ascii="Times New Roman"/>
                <w:sz w:val="24"/>
              </w:rPr>
              <w:t>℃，无霜期127－155天。日照2570.4小时/年，昼夜温差大。年降水量450－850毫米。基本气象资料表3</w:t>
            </w:r>
            <w:r>
              <w:rPr>
                <w:rFonts w:ascii="Times New Roman"/>
                <w:sz w:val="24"/>
              </w:rPr>
              <w:t>-1</w:t>
            </w:r>
            <w:r>
              <w:rPr>
                <w:rFonts w:hint="eastAsia" w:ascii="Times New Roman"/>
                <w:sz w:val="24"/>
              </w:rPr>
              <w:t>。</w:t>
            </w:r>
          </w:p>
          <w:p>
            <w:pPr>
              <w:keepNext w:val="0"/>
              <w:keepLines w:val="0"/>
              <w:widowControl w:val="0"/>
              <w:suppressLineNumbers w:val="0"/>
              <w:spacing w:before="0" w:beforeAutospacing="0" w:after="0" w:afterAutospacing="0" w:line="360" w:lineRule="auto"/>
              <w:ind w:left="0" w:right="0"/>
              <w:jc w:val="center"/>
              <w:rPr>
                <w:rFonts w:ascii="Times New Roman"/>
                <w:b/>
                <w:bCs/>
                <w:sz w:val="24"/>
              </w:rPr>
            </w:pPr>
            <w:r>
              <w:rPr>
                <w:rFonts w:hint="eastAsia" w:ascii="Times New Roman"/>
                <w:b/>
                <w:bCs/>
                <w:sz w:val="24"/>
              </w:rPr>
              <w:t>表</w:t>
            </w:r>
            <w:r>
              <w:rPr>
                <w:rFonts w:ascii="Times New Roman"/>
                <w:b/>
                <w:bCs/>
                <w:sz w:val="24"/>
              </w:rPr>
              <w:t>3</w:t>
            </w:r>
            <w:r>
              <w:rPr>
                <w:rFonts w:hint="eastAsia" w:ascii="Times New Roman"/>
                <w:b/>
                <w:bCs/>
                <w:sz w:val="24"/>
              </w:rPr>
              <w:t>-</w:t>
            </w:r>
            <w:r>
              <w:rPr>
                <w:rFonts w:ascii="Times New Roman"/>
                <w:b/>
                <w:bCs/>
                <w:sz w:val="24"/>
              </w:rPr>
              <w:t xml:space="preserve">1  </w:t>
            </w:r>
            <w:r>
              <w:rPr>
                <w:rFonts w:hint="eastAsia" w:ascii="Times New Roman"/>
                <w:b/>
                <w:bCs/>
                <w:sz w:val="24"/>
              </w:rPr>
              <w:t>承德县气象站气象要素统计表</w:t>
            </w:r>
          </w:p>
          <w:tbl>
            <w:tblPr>
              <w:tblStyle w:val="90"/>
              <w:tblW w:w="69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95"/>
              <w:gridCol w:w="1494"/>
              <w:gridCol w:w="1809"/>
              <w:gridCol w:w="1295"/>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98" w:type="dxa"/>
                  <w:gridSpan w:val="3"/>
                </w:tcPr>
                <w:p>
                  <w:pPr>
                    <w:widowControl w:val="0"/>
                    <w:autoSpaceDE w:val="0"/>
                    <w:autoSpaceDN w:val="0"/>
                    <w:jc w:val="center"/>
                    <w:rPr>
                      <w:rFonts w:ascii="Times New Roman" w:hAnsi="Calibri"/>
                      <w:b/>
                      <w:bCs/>
                      <w:lang w:eastAsia="en-US"/>
                    </w:rPr>
                  </w:pPr>
                  <w:r>
                    <w:rPr>
                      <w:rFonts w:ascii="Times New Roman" w:hAnsi="Calibri"/>
                      <w:b/>
                      <w:bCs/>
                      <w:lang w:eastAsia="en-US"/>
                    </w:rPr>
                    <w:t>项目</w:t>
                  </w:r>
                </w:p>
              </w:tc>
              <w:tc>
                <w:tcPr>
                  <w:tcW w:w="1295"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单位</w:t>
                  </w:r>
                </w:p>
              </w:tc>
              <w:tc>
                <w:tcPr>
                  <w:tcW w:w="1134"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dxa"/>
                  <w:gridSpan w:val="2"/>
                  <w:vMerge w:val="restart"/>
                  <w:vAlign w:val="center"/>
                </w:tcPr>
                <w:p>
                  <w:pPr>
                    <w:widowControl w:val="0"/>
                    <w:autoSpaceDE w:val="0"/>
                    <w:autoSpaceDN w:val="0"/>
                    <w:jc w:val="center"/>
                    <w:rPr>
                      <w:rFonts w:ascii="Times New Roman" w:hAnsi="Calibri"/>
                      <w:lang w:eastAsia="en-US"/>
                    </w:rPr>
                  </w:pPr>
                  <w:r>
                    <w:rPr>
                      <w:rFonts w:ascii="Times New Roman" w:hAnsi="Calibri"/>
                      <w:lang w:eastAsia="en-US"/>
                    </w:rPr>
                    <w:t>气温</w:t>
                  </w: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多年平均</w:t>
                  </w:r>
                </w:p>
              </w:tc>
              <w:tc>
                <w:tcPr>
                  <w:tcW w:w="1295" w:type="dxa"/>
                  <w:vAlign w:val="center"/>
                </w:tcPr>
                <w:p>
                  <w:pPr>
                    <w:widowControl w:val="0"/>
                    <w:autoSpaceDE w:val="0"/>
                    <w:autoSpaceDN w:val="0"/>
                    <w:jc w:val="center"/>
                    <w:rPr>
                      <w:rFonts w:ascii="Times New Roman" w:hAnsi="Calibri"/>
                      <w:lang w:eastAsia="en-US"/>
                    </w:rPr>
                  </w:pPr>
                  <w:r>
                    <w:rPr>
                      <w:rFonts w:ascii="Times New Roman" w:hAnsi="Calibri"/>
                      <w:lang w:eastAsia="en-US"/>
                    </w:rPr>
                    <w:t>℃</w:t>
                  </w:r>
                </w:p>
              </w:tc>
              <w:tc>
                <w:tcPr>
                  <w:tcW w:w="1134" w:type="dxa"/>
                  <w:vAlign w:val="center"/>
                </w:tcPr>
                <w:p>
                  <w:pPr>
                    <w:widowControl w:val="0"/>
                    <w:autoSpaceDE w:val="0"/>
                    <w:autoSpaceDN w:val="0"/>
                    <w:jc w:val="center"/>
                    <w:rPr>
                      <w:rFonts w:ascii="Times New Roman" w:hAnsi="Calibri"/>
                      <w:lang w:eastAsia="en-US"/>
                    </w:rPr>
                  </w:pPr>
                  <w:r>
                    <w:rPr>
                      <w:rFonts w:ascii="Times New Roman" w:hAnsi="Calibri"/>
                      <w:lang w:eastAsia="en-US"/>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dxa"/>
                  <w:gridSpan w:val="2"/>
                  <w:vMerge w:val="continue"/>
                  <w:vAlign w:val="center"/>
                </w:tcPr>
                <w:p>
                  <w:pPr>
                    <w:widowControl w:val="0"/>
                    <w:autoSpaceDE w:val="0"/>
                    <w:autoSpaceDN w:val="0"/>
                    <w:jc w:val="center"/>
                    <w:rPr>
                      <w:rFonts w:ascii="Times New Roman" w:hAnsi="Calibri"/>
                      <w:lang w:eastAsia="en-US"/>
                    </w:rPr>
                  </w:pP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多年极端最高</w:t>
                  </w:r>
                </w:p>
              </w:tc>
              <w:tc>
                <w:tcPr>
                  <w:tcW w:w="1295" w:type="dxa"/>
                  <w:vAlign w:val="center"/>
                </w:tcPr>
                <w:p>
                  <w:pPr>
                    <w:widowControl w:val="0"/>
                    <w:autoSpaceDE w:val="0"/>
                    <w:autoSpaceDN w:val="0"/>
                    <w:jc w:val="center"/>
                    <w:rPr>
                      <w:rFonts w:ascii="Times New Roman" w:hAnsi="Calibri"/>
                      <w:lang w:eastAsia="en-US"/>
                    </w:rPr>
                  </w:pPr>
                  <w:r>
                    <w:rPr>
                      <w:rFonts w:ascii="Times New Roman" w:hAnsi="Calibri"/>
                      <w:lang w:eastAsia="en-US"/>
                    </w:rPr>
                    <w:t>℃</w:t>
                  </w:r>
                </w:p>
              </w:tc>
              <w:tc>
                <w:tcPr>
                  <w:tcW w:w="1134" w:type="dxa"/>
                  <w:vAlign w:val="center"/>
                </w:tcPr>
                <w:p>
                  <w:pPr>
                    <w:widowControl w:val="0"/>
                    <w:autoSpaceDE w:val="0"/>
                    <w:autoSpaceDN w:val="0"/>
                    <w:jc w:val="center"/>
                    <w:rPr>
                      <w:rFonts w:ascii="Times New Roman" w:hAnsi="Calibri"/>
                      <w:lang w:eastAsia="en-US"/>
                    </w:rPr>
                  </w:pPr>
                  <w:r>
                    <w:rPr>
                      <w:rFonts w:ascii="Times New Roman" w:hAnsi="Calibri"/>
                      <w:lang w:eastAsia="en-US"/>
                    </w:rPr>
                    <w:t>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dxa"/>
                  <w:gridSpan w:val="2"/>
                  <w:vMerge w:val="continue"/>
                  <w:vAlign w:val="center"/>
                </w:tcPr>
                <w:p>
                  <w:pPr>
                    <w:widowControl w:val="0"/>
                    <w:autoSpaceDE w:val="0"/>
                    <w:autoSpaceDN w:val="0"/>
                    <w:jc w:val="center"/>
                    <w:rPr>
                      <w:rFonts w:ascii="Times New Roman" w:hAnsi="Calibri"/>
                      <w:lang w:eastAsia="en-US"/>
                    </w:rPr>
                  </w:pP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多年极端最低</w:t>
                  </w:r>
                </w:p>
              </w:tc>
              <w:tc>
                <w:tcPr>
                  <w:tcW w:w="1295" w:type="dxa"/>
                  <w:vAlign w:val="center"/>
                </w:tcPr>
                <w:p>
                  <w:pPr>
                    <w:widowControl w:val="0"/>
                    <w:autoSpaceDE w:val="0"/>
                    <w:autoSpaceDN w:val="0"/>
                    <w:jc w:val="center"/>
                    <w:rPr>
                      <w:rFonts w:ascii="Times New Roman" w:hAnsi="Calibri"/>
                      <w:lang w:eastAsia="en-US"/>
                    </w:rPr>
                  </w:pPr>
                  <w:r>
                    <w:rPr>
                      <w:rFonts w:ascii="Times New Roman" w:hAnsi="Calibri"/>
                      <w:lang w:eastAsia="en-US"/>
                    </w:rPr>
                    <w:t>℃</w:t>
                  </w:r>
                </w:p>
              </w:tc>
              <w:tc>
                <w:tcPr>
                  <w:tcW w:w="1134" w:type="dxa"/>
                  <w:vAlign w:val="center"/>
                </w:tcPr>
                <w:p>
                  <w:pPr>
                    <w:widowControl w:val="0"/>
                    <w:autoSpaceDE w:val="0"/>
                    <w:autoSpaceDN w:val="0"/>
                    <w:jc w:val="center"/>
                    <w:rPr>
                      <w:rFonts w:ascii="Times New Roman" w:hAnsi="Calibri"/>
                      <w:lang w:eastAsia="en-US"/>
                    </w:rPr>
                  </w:pPr>
                  <w:r>
                    <w:rPr>
                      <w:rFonts w:ascii="Times New Roman" w:hAnsi="Calibri"/>
                      <w:lang w:eastAsia="en-US"/>
                    </w:rPr>
                    <w:t>-21.3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dxa"/>
                  <w:gridSpan w:val="2"/>
                  <w:vAlign w:val="center"/>
                </w:tcPr>
                <w:p>
                  <w:pPr>
                    <w:widowControl w:val="0"/>
                    <w:autoSpaceDE w:val="0"/>
                    <w:autoSpaceDN w:val="0"/>
                    <w:jc w:val="center"/>
                    <w:rPr>
                      <w:rFonts w:ascii="Times New Roman" w:hAnsi="Calibri"/>
                      <w:lang w:eastAsia="en-US"/>
                    </w:rPr>
                  </w:pPr>
                  <w:r>
                    <w:rPr>
                      <w:rFonts w:ascii="Times New Roman" w:hAnsi="Calibri"/>
                      <w:lang w:eastAsia="en-US"/>
                    </w:rPr>
                    <w:t>气压</w:t>
                  </w: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多年平均</w:t>
                  </w:r>
                </w:p>
              </w:tc>
              <w:tc>
                <w:tcPr>
                  <w:tcW w:w="1295" w:type="dxa"/>
                  <w:vAlign w:val="center"/>
                </w:tcPr>
                <w:p>
                  <w:pPr>
                    <w:widowControl w:val="0"/>
                    <w:autoSpaceDE w:val="0"/>
                    <w:autoSpaceDN w:val="0"/>
                    <w:jc w:val="center"/>
                    <w:rPr>
                      <w:rFonts w:ascii="Times New Roman" w:hAnsi="Calibri"/>
                      <w:lang w:eastAsia="en-US"/>
                    </w:rPr>
                  </w:pPr>
                  <w:r>
                    <w:rPr>
                      <w:rFonts w:ascii="Times New Roman" w:hAnsi="Calibri"/>
                      <w:lang w:eastAsia="en-US"/>
                    </w:rPr>
                    <w:t>hPa</w:t>
                  </w:r>
                </w:p>
              </w:tc>
              <w:tc>
                <w:tcPr>
                  <w:tcW w:w="1134" w:type="dxa"/>
                  <w:vAlign w:val="center"/>
                </w:tcPr>
                <w:p>
                  <w:pPr>
                    <w:widowControl w:val="0"/>
                    <w:autoSpaceDE w:val="0"/>
                    <w:autoSpaceDN w:val="0"/>
                    <w:jc w:val="center"/>
                    <w:rPr>
                      <w:rFonts w:ascii="Times New Roman" w:hAnsi="Calibri"/>
                      <w:lang w:eastAsia="en-US"/>
                    </w:rPr>
                  </w:pPr>
                  <w:r>
                    <w:rPr>
                      <w:rFonts w:ascii="Times New Roman" w:hAnsi="Calibri"/>
                      <w:lang w:eastAsia="en-US"/>
                    </w:rPr>
                    <w:t>857.2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dxa"/>
                  <w:gridSpan w:val="2"/>
                  <w:vAlign w:val="center"/>
                </w:tcPr>
                <w:p>
                  <w:pPr>
                    <w:widowControl w:val="0"/>
                    <w:autoSpaceDE w:val="0"/>
                    <w:autoSpaceDN w:val="0"/>
                    <w:jc w:val="center"/>
                    <w:rPr>
                      <w:rFonts w:ascii="Times New Roman" w:hAnsi="Calibri"/>
                      <w:lang w:eastAsia="en-US"/>
                    </w:rPr>
                  </w:pPr>
                  <w:r>
                    <w:rPr>
                      <w:rFonts w:hint="eastAsia" w:ascii="Times New Roman" w:hAnsi="Calibri"/>
                      <w:lang w:eastAsia="en-US"/>
                    </w:rPr>
                    <w:t>风速</w:t>
                  </w: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w:t>
                  </w:r>
                  <w:r>
                    <w:rPr>
                      <w:rFonts w:hint="eastAsia" w:ascii="Times New Roman" w:hAnsi="Calibri"/>
                      <w:lang w:eastAsia="en-US"/>
                    </w:rPr>
                    <w:t>最大</w:t>
                  </w:r>
                </w:p>
              </w:tc>
              <w:tc>
                <w:tcPr>
                  <w:tcW w:w="1295"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m/s</w:t>
                  </w:r>
                </w:p>
              </w:tc>
              <w:tc>
                <w:tcPr>
                  <w:tcW w:w="1134" w:type="dxa"/>
                  <w:vAlign w:val="center"/>
                </w:tcPr>
                <w:p>
                  <w:pPr>
                    <w:widowControl w:val="0"/>
                    <w:autoSpaceDE w:val="0"/>
                    <w:autoSpaceDN w:val="0"/>
                    <w:jc w:val="center"/>
                    <w:rPr>
                      <w:rFonts w:ascii="Times New Roman" w:hAnsi="Calibri"/>
                      <w:lang w:eastAsia="en-US"/>
                    </w:rPr>
                  </w:pPr>
                  <w:r>
                    <w:rPr>
                      <w:rFonts w:ascii="Times New Roman" w:hAnsi="Calibri"/>
                      <w:lang w:eastAsia="en-US"/>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dxa"/>
                  <w:gridSpan w:val="2"/>
                  <w:vAlign w:val="center"/>
                </w:tcPr>
                <w:p>
                  <w:pPr>
                    <w:widowControl w:val="0"/>
                    <w:autoSpaceDE w:val="0"/>
                    <w:autoSpaceDN w:val="0"/>
                    <w:jc w:val="center"/>
                    <w:rPr>
                      <w:rFonts w:ascii="Times New Roman" w:hAnsi="Calibri"/>
                      <w:lang w:eastAsia="en-US"/>
                    </w:rPr>
                  </w:pPr>
                  <w:r>
                    <w:rPr>
                      <w:rFonts w:hint="eastAsia" w:ascii="Times New Roman" w:hAnsi="Calibri"/>
                      <w:lang w:eastAsia="en-US"/>
                    </w:rPr>
                    <w:t>风向</w:t>
                  </w: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w:t>
                  </w:r>
                  <w:r>
                    <w:rPr>
                      <w:rFonts w:hint="eastAsia" w:ascii="Times New Roman" w:hAnsi="Calibri"/>
                      <w:lang w:eastAsia="en-US"/>
                    </w:rPr>
                    <w:t>主导</w:t>
                  </w:r>
                </w:p>
              </w:tc>
              <w:tc>
                <w:tcPr>
                  <w:tcW w:w="1295"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w:t>
                  </w:r>
                </w:p>
              </w:tc>
              <w:tc>
                <w:tcPr>
                  <w:tcW w:w="1134"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西北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dxa"/>
                  <w:gridSpan w:val="2"/>
                  <w:vAlign w:val="center"/>
                </w:tcPr>
                <w:p>
                  <w:pPr>
                    <w:widowControl w:val="0"/>
                    <w:autoSpaceDE w:val="0"/>
                    <w:autoSpaceDN w:val="0"/>
                    <w:jc w:val="center"/>
                    <w:rPr>
                      <w:rFonts w:ascii="Times New Roman" w:hAnsi="Calibri"/>
                      <w:lang w:eastAsia="en-US"/>
                    </w:rPr>
                  </w:pPr>
                  <w:r>
                    <w:rPr>
                      <w:rFonts w:ascii="Times New Roman" w:hAnsi="Calibri"/>
                      <w:lang w:eastAsia="en-US"/>
                    </w:rPr>
                    <w:t>降水量</w:t>
                  </w: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多年平均</w:t>
                  </w:r>
                </w:p>
              </w:tc>
              <w:tc>
                <w:tcPr>
                  <w:tcW w:w="1295" w:type="dxa"/>
                  <w:vAlign w:val="center"/>
                </w:tcPr>
                <w:p>
                  <w:pPr>
                    <w:widowControl w:val="0"/>
                    <w:autoSpaceDE w:val="0"/>
                    <w:autoSpaceDN w:val="0"/>
                    <w:jc w:val="center"/>
                    <w:rPr>
                      <w:rFonts w:ascii="Times New Roman" w:hAnsi="Calibri"/>
                      <w:lang w:eastAsia="en-US"/>
                    </w:rPr>
                  </w:pPr>
                  <w:r>
                    <w:rPr>
                      <w:rFonts w:ascii="Times New Roman" w:hAnsi="Calibri"/>
                      <w:lang w:eastAsia="en-US"/>
                    </w:rPr>
                    <w:t>mm</w:t>
                  </w:r>
                </w:p>
              </w:tc>
              <w:tc>
                <w:tcPr>
                  <w:tcW w:w="1134" w:type="dxa"/>
                  <w:vAlign w:val="center"/>
                </w:tcPr>
                <w:p>
                  <w:pPr>
                    <w:widowControl w:val="0"/>
                    <w:autoSpaceDE w:val="0"/>
                    <w:autoSpaceDN w:val="0"/>
                    <w:jc w:val="center"/>
                    <w:rPr>
                      <w:rFonts w:ascii="Times New Roman" w:hAnsi="Calibri"/>
                      <w:lang w:eastAsia="en-US"/>
                    </w:rPr>
                  </w:pPr>
                  <w:r>
                    <w:rPr>
                      <w:rFonts w:ascii="Times New Roman" w:hAnsi="Calibri"/>
                      <w:lang w:eastAsia="en-US"/>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dxa"/>
                  <w:gridSpan w:val="2"/>
                  <w:vAlign w:val="center"/>
                </w:tcPr>
                <w:p>
                  <w:pPr>
                    <w:widowControl w:val="0"/>
                    <w:autoSpaceDE w:val="0"/>
                    <w:autoSpaceDN w:val="0"/>
                    <w:jc w:val="center"/>
                    <w:rPr>
                      <w:rFonts w:ascii="Times New Roman" w:hAnsi="Calibri"/>
                      <w:lang w:eastAsia="en-US"/>
                    </w:rPr>
                  </w:pPr>
                  <w:r>
                    <w:rPr>
                      <w:rFonts w:hint="eastAsia" w:ascii="Times New Roman" w:hAnsi="Calibri"/>
                      <w:lang w:eastAsia="en-US"/>
                    </w:rPr>
                    <w:t>积雪深度</w:t>
                  </w: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w:t>
                  </w:r>
                  <w:r>
                    <w:rPr>
                      <w:rFonts w:hint="eastAsia" w:ascii="Times New Roman" w:hAnsi="Calibri"/>
                      <w:lang w:eastAsia="en-US"/>
                    </w:rPr>
                    <w:t>最大</w:t>
                  </w:r>
                </w:p>
              </w:tc>
              <w:tc>
                <w:tcPr>
                  <w:tcW w:w="1295"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cm</w:t>
                  </w:r>
                </w:p>
              </w:tc>
              <w:tc>
                <w:tcPr>
                  <w:tcW w:w="1134" w:type="dxa"/>
                  <w:vAlign w:val="center"/>
                </w:tcPr>
                <w:p>
                  <w:pPr>
                    <w:widowControl w:val="0"/>
                    <w:autoSpaceDE w:val="0"/>
                    <w:autoSpaceDN w:val="0"/>
                    <w:jc w:val="center"/>
                    <w:rPr>
                      <w:rFonts w:ascii="Times New Roman" w:hAnsi="Calibri"/>
                      <w:lang w:eastAsia="en-US"/>
                    </w:rPr>
                  </w:pPr>
                  <w:r>
                    <w:rPr>
                      <w:rFonts w:ascii="Times New Roman" w:hAnsi="Calibri"/>
                      <w:lang w:eastAsia="en-US"/>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95" w:type="dxa"/>
                  <w:vMerge w:val="restart"/>
                  <w:vAlign w:val="center"/>
                </w:tcPr>
                <w:p>
                  <w:pPr>
                    <w:widowControl w:val="0"/>
                    <w:autoSpaceDE w:val="0"/>
                    <w:autoSpaceDN w:val="0"/>
                    <w:jc w:val="center"/>
                    <w:rPr>
                      <w:rFonts w:ascii="Times New Roman" w:hAnsi="Calibri"/>
                      <w:lang w:eastAsia="en-US"/>
                    </w:rPr>
                  </w:pPr>
                  <w:r>
                    <w:rPr>
                      <w:rFonts w:hint="eastAsia" w:ascii="Times New Roman" w:hAnsi="Calibri"/>
                      <w:lang w:eastAsia="en-US"/>
                    </w:rPr>
                    <w:t>天气日数</w:t>
                  </w:r>
                </w:p>
              </w:tc>
              <w:tc>
                <w:tcPr>
                  <w:tcW w:w="1493"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最长结冰</w:t>
                  </w: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多年极端</w:t>
                  </w:r>
                </w:p>
              </w:tc>
              <w:tc>
                <w:tcPr>
                  <w:tcW w:w="1295"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d</w:t>
                  </w:r>
                </w:p>
              </w:tc>
              <w:tc>
                <w:tcPr>
                  <w:tcW w:w="1134" w:type="dxa"/>
                  <w:vAlign w:val="center"/>
                </w:tcPr>
                <w:p>
                  <w:pPr>
                    <w:widowControl w:val="0"/>
                    <w:autoSpaceDE w:val="0"/>
                    <w:autoSpaceDN w:val="0"/>
                    <w:jc w:val="center"/>
                    <w:rPr>
                      <w:rFonts w:ascii="Times New Roman" w:hAnsi="Calibri"/>
                      <w:lang w:eastAsia="en-US"/>
                    </w:rPr>
                  </w:pPr>
                  <w:r>
                    <w:rPr>
                      <w:rFonts w:ascii="Times New Roman" w:hAnsi="Calibri"/>
                      <w:lang w:eastAsia="en-US"/>
                    </w:rPr>
                    <w:t>219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95" w:type="dxa"/>
                  <w:vMerge w:val="continue"/>
                  <w:vAlign w:val="center"/>
                </w:tcPr>
                <w:p>
                  <w:pPr>
                    <w:widowControl w:val="0"/>
                    <w:autoSpaceDE w:val="0"/>
                    <w:autoSpaceDN w:val="0"/>
                    <w:jc w:val="center"/>
                    <w:rPr>
                      <w:rFonts w:ascii="Times New Roman" w:hAnsi="Calibri"/>
                      <w:lang w:eastAsia="en-US"/>
                    </w:rPr>
                  </w:pPr>
                </w:p>
              </w:tc>
              <w:tc>
                <w:tcPr>
                  <w:tcW w:w="1493" w:type="dxa"/>
                  <w:vAlign w:val="center"/>
                </w:tcPr>
                <w:p>
                  <w:pPr>
                    <w:widowControl w:val="0"/>
                    <w:autoSpaceDE w:val="0"/>
                    <w:autoSpaceDN w:val="0"/>
                    <w:jc w:val="center"/>
                    <w:rPr>
                      <w:rFonts w:ascii="Times New Roman" w:hAnsi="Calibri"/>
                      <w:lang w:eastAsia="en-US"/>
                    </w:rPr>
                  </w:pPr>
                  <w:r>
                    <w:rPr>
                      <w:rFonts w:ascii="Times New Roman" w:hAnsi="Calibri"/>
                      <w:lang w:eastAsia="en-US"/>
                    </w:rPr>
                    <w:t>雷暴</w:t>
                  </w: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w:t>
                  </w:r>
                  <w:r>
                    <w:rPr>
                      <w:rFonts w:hint="eastAsia" w:ascii="Times New Roman" w:hAnsi="Calibri"/>
                      <w:lang w:eastAsia="en-US"/>
                    </w:rPr>
                    <w:t>平均</w:t>
                  </w:r>
                </w:p>
              </w:tc>
              <w:tc>
                <w:tcPr>
                  <w:tcW w:w="1295" w:type="dxa"/>
                  <w:vAlign w:val="center"/>
                </w:tcPr>
                <w:p>
                  <w:pPr>
                    <w:widowControl w:val="0"/>
                    <w:autoSpaceDE w:val="0"/>
                    <w:autoSpaceDN w:val="0"/>
                    <w:jc w:val="center"/>
                    <w:rPr>
                      <w:rFonts w:ascii="Times New Roman" w:hAnsi="Calibri"/>
                      <w:lang w:eastAsia="en-US"/>
                    </w:rPr>
                  </w:pPr>
                  <w:r>
                    <w:rPr>
                      <w:rFonts w:ascii="Times New Roman" w:hAnsi="Calibri"/>
                      <w:lang w:eastAsia="en-US"/>
                    </w:rPr>
                    <w:t>d</w:t>
                  </w:r>
                </w:p>
              </w:tc>
              <w:tc>
                <w:tcPr>
                  <w:tcW w:w="1134" w:type="dxa"/>
                  <w:vAlign w:val="center"/>
                </w:tcPr>
                <w:p>
                  <w:pPr>
                    <w:widowControl w:val="0"/>
                    <w:autoSpaceDE w:val="0"/>
                    <w:autoSpaceDN w:val="0"/>
                    <w:jc w:val="center"/>
                    <w:rPr>
                      <w:rFonts w:ascii="Times New Roman" w:hAnsi="Calibri"/>
                      <w:lang w:eastAsia="en-US"/>
                    </w:rPr>
                  </w:pPr>
                  <w:r>
                    <w:rPr>
                      <w:rFonts w:ascii="Times New Roman" w:hAnsi="Calibri"/>
                      <w:lang w:eastAsia="en-US"/>
                    </w:rPr>
                    <w:t>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95" w:type="dxa"/>
                  <w:vMerge w:val="continue"/>
                  <w:vAlign w:val="center"/>
                </w:tcPr>
                <w:p>
                  <w:pPr>
                    <w:widowControl w:val="0"/>
                    <w:autoSpaceDE w:val="0"/>
                    <w:autoSpaceDN w:val="0"/>
                    <w:jc w:val="center"/>
                    <w:rPr>
                      <w:rFonts w:ascii="Times New Roman" w:hAnsi="Calibri"/>
                      <w:lang w:eastAsia="en-US"/>
                    </w:rPr>
                  </w:pPr>
                </w:p>
              </w:tc>
              <w:tc>
                <w:tcPr>
                  <w:tcW w:w="1493" w:type="dxa"/>
                  <w:vAlign w:val="center"/>
                </w:tcPr>
                <w:p>
                  <w:pPr>
                    <w:widowControl w:val="0"/>
                    <w:autoSpaceDE w:val="0"/>
                    <w:autoSpaceDN w:val="0"/>
                    <w:jc w:val="center"/>
                    <w:rPr>
                      <w:rFonts w:ascii="Times New Roman" w:hAnsi="Calibri"/>
                      <w:lang w:eastAsia="en-US"/>
                    </w:rPr>
                  </w:pPr>
                  <w:r>
                    <w:rPr>
                      <w:rFonts w:ascii="Times New Roman" w:hAnsi="Calibri"/>
                      <w:lang w:eastAsia="en-US"/>
                    </w:rPr>
                    <w:t>冰雹</w:t>
                  </w: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多年平均</w:t>
                  </w:r>
                </w:p>
              </w:tc>
              <w:tc>
                <w:tcPr>
                  <w:tcW w:w="1295" w:type="dxa"/>
                  <w:vAlign w:val="center"/>
                </w:tcPr>
                <w:p>
                  <w:pPr>
                    <w:widowControl w:val="0"/>
                    <w:autoSpaceDE w:val="0"/>
                    <w:autoSpaceDN w:val="0"/>
                    <w:jc w:val="center"/>
                    <w:rPr>
                      <w:rFonts w:ascii="Times New Roman" w:hAnsi="Calibri"/>
                      <w:lang w:eastAsia="en-US"/>
                    </w:rPr>
                  </w:pPr>
                  <w:r>
                    <w:rPr>
                      <w:rFonts w:ascii="Times New Roman" w:hAnsi="Calibri"/>
                      <w:lang w:eastAsia="en-US"/>
                    </w:rPr>
                    <w:t>d</w:t>
                  </w:r>
                </w:p>
              </w:tc>
              <w:tc>
                <w:tcPr>
                  <w:tcW w:w="1134" w:type="dxa"/>
                  <w:vAlign w:val="center"/>
                </w:tcPr>
                <w:p>
                  <w:pPr>
                    <w:widowControl w:val="0"/>
                    <w:autoSpaceDE w:val="0"/>
                    <w:autoSpaceDN w:val="0"/>
                    <w:jc w:val="center"/>
                    <w:rPr>
                      <w:rFonts w:ascii="Times New Roman" w:hAnsi="Calibri"/>
                      <w:lang w:eastAsia="en-US"/>
                    </w:rPr>
                  </w:pPr>
                  <w:r>
                    <w:rPr>
                      <w:rFonts w:ascii="Times New Roman" w:hAnsi="Calibri"/>
                      <w:lang w:eastAsia="en-US"/>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95" w:type="dxa"/>
                  <w:vMerge w:val="continue"/>
                  <w:vAlign w:val="center"/>
                </w:tcPr>
                <w:p>
                  <w:pPr>
                    <w:widowControl w:val="0"/>
                    <w:autoSpaceDE w:val="0"/>
                    <w:autoSpaceDN w:val="0"/>
                    <w:jc w:val="center"/>
                    <w:rPr>
                      <w:rFonts w:ascii="Times New Roman" w:hAnsi="Calibri"/>
                      <w:lang w:eastAsia="en-US"/>
                    </w:rPr>
                  </w:pPr>
                </w:p>
              </w:tc>
              <w:tc>
                <w:tcPr>
                  <w:tcW w:w="1493"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结冰</w:t>
                  </w:r>
                </w:p>
              </w:tc>
              <w:tc>
                <w:tcPr>
                  <w:tcW w:w="1809" w:type="dxa"/>
                  <w:vAlign w:val="center"/>
                </w:tcPr>
                <w:p>
                  <w:pPr>
                    <w:widowControl w:val="0"/>
                    <w:autoSpaceDE w:val="0"/>
                    <w:autoSpaceDN w:val="0"/>
                    <w:jc w:val="center"/>
                    <w:rPr>
                      <w:rFonts w:ascii="Times New Roman" w:hAnsi="Calibri"/>
                      <w:lang w:eastAsia="en-US"/>
                    </w:rPr>
                  </w:pPr>
                  <w:r>
                    <w:rPr>
                      <w:rFonts w:ascii="Times New Roman" w:hAnsi="Calibri"/>
                      <w:lang w:eastAsia="en-US"/>
                    </w:rPr>
                    <w:t>多年平均</w:t>
                  </w:r>
                </w:p>
              </w:tc>
              <w:tc>
                <w:tcPr>
                  <w:tcW w:w="1295" w:type="dxa"/>
                  <w:vAlign w:val="center"/>
                </w:tcPr>
                <w:p>
                  <w:pPr>
                    <w:widowControl w:val="0"/>
                    <w:autoSpaceDE w:val="0"/>
                    <w:autoSpaceDN w:val="0"/>
                    <w:jc w:val="center"/>
                    <w:rPr>
                      <w:rFonts w:ascii="Times New Roman" w:hAnsi="Calibri"/>
                      <w:lang w:eastAsia="en-US"/>
                    </w:rPr>
                  </w:pPr>
                  <w:r>
                    <w:rPr>
                      <w:rFonts w:ascii="Times New Roman" w:hAnsi="Calibri"/>
                      <w:lang w:eastAsia="en-US"/>
                    </w:rPr>
                    <w:t>d</w:t>
                  </w:r>
                </w:p>
              </w:tc>
              <w:tc>
                <w:tcPr>
                  <w:tcW w:w="1134" w:type="dxa"/>
                  <w:vAlign w:val="center"/>
                </w:tcPr>
                <w:p>
                  <w:pPr>
                    <w:widowControl w:val="0"/>
                    <w:autoSpaceDE w:val="0"/>
                    <w:autoSpaceDN w:val="0"/>
                    <w:jc w:val="center"/>
                    <w:rPr>
                      <w:rFonts w:ascii="Times New Roman" w:hAnsi="Calibri"/>
                      <w:lang w:eastAsia="en-US"/>
                    </w:rPr>
                  </w:pPr>
                  <w:r>
                    <w:rPr>
                      <w:rFonts w:hint="eastAsia" w:ascii="Times New Roman" w:hAnsi="Calibri"/>
                      <w:lang w:eastAsia="en-US"/>
                    </w:rPr>
                    <w:t>2</w:t>
                  </w:r>
                  <w:r>
                    <w:rPr>
                      <w:rFonts w:ascii="Times New Roman" w:hAnsi="Calibri"/>
                      <w:lang w:eastAsia="en-US"/>
                    </w:rPr>
                    <w:t>03</w:t>
                  </w:r>
                </w:p>
              </w:tc>
            </w:tr>
          </w:tbl>
          <w:p>
            <w:pPr>
              <w:keepNext w:val="0"/>
              <w:keepLines w:val="0"/>
              <w:widowControl w:val="0"/>
              <w:suppressLineNumbers w:val="0"/>
              <w:spacing w:before="120" w:beforeLines="50" w:beforeAutospacing="0" w:after="0" w:afterAutospacing="0" w:line="360" w:lineRule="auto"/>
              <w:ind w:left="0" w:right="0" w:firstLine="482" w:firstLineChars="200"/>
              <w:rPr>
                <w:rFonts w:ascii="Times New Roman"/>
                <w:b/>
                <w:bCs/>
                <w:sz w:val="24"/>
                <w:szCs w:val="24"/>
              </w:rPr>
            </w:pPr>
            <w:r>
              <w:rPr>
                <w:rFonts w:ascii="Times New Roman"/>
                <w:b/>
                <w:bCs/>
                <w:sz w:val="24"/>
              </w:rPr>
              <w:t>3、</w:t>
            </w:r>
            <w:r>
              <w:rPr>
                <w:rFonts w:ascii="Times New Roman"/>
                <w:b/>
                <w:bCs/>
                <w:sz w:val="24"/>
                <w:szCs w:val="24"/>
              </w:rPr>
              <w:t>环境空气质量现状</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项目选址位于承德市承德县，本次采用承德市生态环境局发布的《202</w:t>
            </w:r>
            <w:r>
              <w:rPr>
                <w:rFonts w:hint="eastAsia" w:ascii="Times New Roman"/>
                <w:sz w:val="24"/>
                <w:szCs w:val="24"/>
              </w:rPr>
              <w:t>3</w:t>
            </w:r>
            <w:r>
              <w:rPr>
                <w:rFonts w:ascii="Times New Roman"/>
                <w:sz w:val="24"/>
                <w:szCs w:val="24"/>
              </w:rPr>
              <w:t>年</w:t>
            </w:r>
            <w:r>
              <w:rPr>
                <w:rFonts w:hint="eastAsia" w:ascii="Times New Roman"/>
                <w:sz w:val="24"/>
                <w:szCs w:val="24"/>
              </w:rPr>
              <w:t>12月份全市空气质量预警监测结果的通报</w:t>
            </w:r>
            <w:r>
              <w:rPr>
                <w:rFonts w:ascii="Times New Roman"/>
                <w:sz w:val="24"/>
                <w:szCs w:val="24"/>
              </w:rPr>
              <w:t>》中</w:t>
            </w:r>
            <w:r>
              <w:rPr>
                <w:rFonts w:hint="eastAsia" w:ascii="Times New Roman"/>
                <w:sz w:val="24"/>
                <w:szCs w:val="24"/>
              </w:rPr>
              <w:t>承德</w:t>
            </w:r>
            <w:r>
              <w:rPr>
                <w:rFonts w:ascii="Times New Roman"/>
                <w:sz w:val="24"/>
                <w:szCs w:val="24"/>
              </w:rPr>
              <w:t>县的环境空气质量</w:t>
            </w:r>
            <w:r>
              <w:rPr>
                <w:rFonts w:hint="eastAsia" w:ascii="Times New Roman"/>
                <w:sz w:val="24"/>
                <w:szCs w:val="24"/>
              </w:rPr>
              <w:t>状况</w:t>
            </w:r>
            <w:r>
              <w:rPr>
                <w:rFonts w:ascii="Times New Roman"/>
                <w:sz w:val="24"/>
                <w:szCs w:val="24"/>
              </w:rPr>
              <w:t>监测数据作为评价区域达标情况的依据，评价项目所在地区的环境空气质量现状。承德市环境空气质量数据见表3-2。</w:t>
            </w:r>
          </w:p>
          <w:p>
            <w:pPr>
              <w:keepNext w:val="0"/>
              <w:keepLines w:val="0"/>
              <w:widowControl w:val="0"/>
              <w:suppressLineNumbers w:val="0"/>
              <w:spacing w:before="0" w:beforeAutospacing="0" w:after="0" w:afterAutospacing="0" w:line="360" w:lineRule="auto"/>
              <w:ind w:left="0" w:right="0"/>
              <w:jc w:val="center"/>
              <w:rPr>
                <w:rFonts w:ascii="Times New Roman"/>
                <w:b/>
                <w:bCs/>
                <w:sz w:val="24"/>
                <w:szCs w:val="24"/>
              </w:rPr>
            </w:pPr>
            <w:r>
              <w:rPr>
                <w:rFonts w:ascii="Times New Roman"/>
                <w:b/>
                <w:bCs/>
                <w:sz w:val="24"/>
                <w:szCs w:val="24"/>
              </w:rPr>
              <w:t>表3-2  承德市承德县环境空气质量统计</w:t>
            </w:r>
          </w:p>
          <w:tbl>
            <w:tblPr>
              <w:tblStyle w:val="54"/>
              <w:tblW w:w="73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09"/>
              <w:gridCol w:w="2579"/>
              <w:gridCol w:w="1257"/>
              <w:gridCol w:w="1276"/>
              <w:gridCol w:w="10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b/>
                      <w:bCs/>
                    </w:rPr>
                  </w:pPr>
                  <w:r>
                    <w:rPr>
                      <w:rFonts w:ascii="Times New Roman"/>
                      <w:b/>
                      <w:bCs/>
                    </w:rPr>
                    <w:t>污染物</w:t>
                  </w:r>
                </w:p>
              </w:tc>
              <w:tc>
                <w:tcPr>
                  <w:tcW w:w="257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b/>
                      <w:bCs/>
                    </w:rPr>
                  </w:pPr>
                  <w:r>
                    <w:rPr>
                      <w:rFonts w:ascii="Times New Roman"/>
                      <w:b/>
                      <w:bCs/>
                    </w:rPr>
                    <w:t>年评价指标</w:t>
                  </w:r>
                </w:p>
              </w:tc>
              <w:tc>
                <w:tcPr>
                  <w:tcW w:w="1257"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b/>
                      <w:bCs/>
                    </w:rPr>
                  </w:pPr>
                  <w:r>
                    <w:rPr>
                      <w:rFonts w:ascii="Times New Roman"/>
                      <w:b/>
                      <w:bCs/>
                    </w:rPr>
                    <w:t>年均浓度</w:t>
                  </w:r>
                </w:p>
              </w:tc>
              <w:tc>
                <w:tcPr>
                  <w:tcW w:w="1276"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b/>
                      <w:bCs/>
                    </w:rPr>
                  </w:pPr>
                  <w:r>
                    <w:rPr>
                      <w:rFonts w:ascii="Times New Roman"/>
                      <w:b/>
                      <w:bCs/>
                    </w:rPr>
                    <w:t>标准值</w:t>
                  </w:r>
                </w:p>
              </w:tc>
              <w:tc>
                <w:tcPr>
                  <w:tcW w:w="1003"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b/>
                      <w:bCs/>
                    </w:rPr>
                  </w:pPr>
                  <w:r>
                    <w:rPr>
                      <w:rFonts w:ascii="Times New Roman"/>
                      <w:b/>
                      <w:bCs/>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PM</w:t>
                  </w:r>
                  <w:r>
                    <w:rPr>
                      <w:rFonts w:ascii="Times New Roman"/>
                      <w:vertAlign w:val="subscript"/>
                    </w:rPr>
                    <w:t>2.5</w:t>
                  </w:r>
                </w:p>
              </w:tc>
              <w:tc>
                <w:tcPr>
                  <w:tcW w:w="257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年平均质量浓度</w:t>
                  </w:r>
                </w:p>
              </w:tc>
              <w:tc>
                <w:tcPr>
                  <w:tcW w:w="1257"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2</w:t>
                  </w:r>
                  <w:r>
                    <w:rPr>
                      <w:rFonts w:hint="eastAsia" w:ascii="Times New Roman"/>
                    </w:rPr>
                    <w:t>1</w:t>
                  </w:r>
                  <w:r>
                    <w:rPr>
                      <w:rFonts w:ascii="Times New Roman"/>
                    </w:rPr>
                    <w:t>μg/m</w:t>
                  </w:r>
                  <w:r>
                    <w:rPr>
                      <w:rFonts w:ascii="Times New Roman"/>
                      <w:vertAlign w:val="superscript"/>
                    </w:rPr>
                    <w:t>3</w:t>
                  </w:r>
                </w:p>
              </w:tc>
              <w:tc>
                <w:tcPr>
                  <w:tcW w:w="1276"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35μg/m</w:t>
                  </w:r>
                  <w:r>
                    <w:rPr>
                      <w:rFonts w:ascii="Times New Roman"/>
                      <w:vertAlign w:val="superscript"/>
                    </w:rPr>
                    <w:t>3</w:t>
                  </w:r>
                </w:p>
              </w:tc>
              <w:tc>
                <w:tcPr>
                  <w:tcW w:w="1003"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6</w:t>
                  </w:r>
                  <w:r>
                    <w:rPr>
                      <w:rFonts w:hint="eastAsia" w:ascii="Times New Roman"/>
                    </w:rPr>
                    <w:t>0.0</w:t>
                  </w:r>
                  <w:r>
                    <w:rPr>
                      <w:rFonts w:asci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PM</w:t>
                  </w:r>
                  <w:r>
                    <w:rPr>
                      <w:rFonts w:ascii="Times New Roman"/>
                      <w:vertAlign w:val="subscript"/>
                    </w:rPr>
                    <w:t>10</w:t>
                  </w:r>
                </w:p>
              </w:tc>
              <w:tc>
                <w:tcPr>
                  <w:tcW w:w="257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年平均质量浓度</w:t>
                  </w:r>
                </w:p>
              </w:tc>
              <w:tc>
                <w:tcPr>
                  <w:tcW w:w="1257"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hint="eastAsia" w:ascii="Times New Roman"/>
                    </w:rPr>
                    <w:t>50</w:t>
                  </w:r>
                  <w:r>
                    <w:rPr>
                      <w:rFonts w:ascii="Times New Roman"/>
                    </w:rPr>
                    <w:t>μg/m</w:t>
                  </w:r>
                  <w:r>
                    <w:rPr>
                      <w:rFonts w:ascii="Times New Roman"/>
                      <w:vertAlign w:val="superscript"/>
                    </w:rPr>
                    <w:t>3</w:t>
                  </w:r>
                </w:p>
              </w:tc>
              <w:tc>
                <w:tcPr>
                  <w:tcW w:w="1276"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70μg/m</w:t>
                  </w:r>
                  <w:r>
                    <w:rPr>
                      <w:rFonts w:ascii="Times New Roman"/>
                      <w:vertAlign w:val="superscript"/>
                    </w:rPr>
                    <w:t>3</w:t>
                  </w:r>
                </w:p>
              </w:tc>
              <w:tc>
                <w:tcPr>
                  <w:tcW w:w="1003"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hint="eastAsia" w:ascii="Times New Roman"/>
                    </w:rPr>
                    <w:t>71.42</w:t>
                  </w:r>
                  <w:r>
                    <w:rPr>
                      <w:rFonts w:asci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SO</w:t>
                  </w:r>
                  <w:r>
                    <w:rPr>
                      <w:rFonts w:ascii="Times New Roman"/>
                      <w:vertAlign w:val="subscript"/>
                    </w:rPr>
                    <w:t>2</w:t>
                  </w:r>
                </w:p>
              </w:tc>
              <w:tc>
                <w:tcPr>
                  <w:tcW w:w="257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年平均质量浓度</w:t>
                  </w:r>
                </w:p>
              </w:tc>
              <w:tc>
                <w:tcPr>
                  <w:tcW w:w="1257"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1</w:t>
                  </w:r>
                  <w:r>
                    <w:rPr>
                      <w:rFonts w:hint="eastAsia" w:ascii="Times New Roman"/>
                    </w:rPr>
                    <w:t>0</w:t>
                  </w:r>
                  <w:r>
                    <w:rPr>
                      <w:rFonts w:ascii="Times New Roman"/>
                    </w:rPr>
                    <w:t>μg/m</w:t>
                  </w:r>
                  <w:r>
                    <w:rPr>
                      <w:rFonts w:ascii="Times New Roman"/>
                      <w:vertAlign w:val="superscript"/>
                    </w:rPr>
                    <w:t>3</w:t>
                  </w:r>
                </w:p>
              </w:tc>
              <w:tc>
                <w:tcPr>
                  <w:tcW w:w="1276"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60μg/m</w:t>
                  </w:r>
                  <w:r>
                    <w:rPr>
                      <w:rFonts w:ascii="Times New Roman"/>
                      <w:vertAlign w:val="superscript"/>
                    </w:rPr>
                    <w:t>3</w:t>
                  </w:r>
                </w:p>
              </w:tc>
              <w:tc>
                <w:tcPr>
                  <w:tcW w:w="1003"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hint="eastAsia" w:ascii="Times New Roman"/>
                    </w:rPr>
                    <w:t>16.66</w:t>
                  </w:r>
                  <w:r>
                    <w:rPr>
                      <w:rFonts w:asci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NO</w:t>
                  </w:r>
                  <w:r>
                    <w:rPr>
                      <w:rFonts w:ascii="Times New Roman"/>
                      <w:vertAlign w:val="subscript"/>
                    </w:rPr>
                    <w:t>2</w:t>
                  </w:r>
                </w:p>
              </w:tc>
              <w:tc>
                <w:tcPr>
                  <w:tcW w:w="257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年平均质量浓度</w:t>
                  </w:r>
                </w:p>
              </w:tc>
              <w:tc>
                <w:tcPr>
                  <w:tcW w:w="1257"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23μg/m</w:t>
                  </w:r>
                  <w:r>
                    <w:rPr>
                      <w:rFonts w:ascii="Times New Roman"/>
                      <w:vertAlign w:val="superscript"/>
                    </w:rPr>
                    <w:t>3</w:t>
                  </w:r>
                </w:p>
              </w:tc>
              <w:tc>
                <w:tcPr>
                  <w:tcW w:w="1276"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40μg/m</w:t>
                  </w:r>
                  <w:r>
                    <w:rPr>
                      <w:rFonts w:ascii="Times New Roman"/>
                      <w:vertAlign w:val="superscript"/>
                    </w:rPr>
                    <w:t>3</w:t>
                  </w:r>
                </w:p>
              </w:tc>
              <w:tc>
                <w:tcPr>
                  <w:tcW w:w="1003"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CO</w:t>
                  </w:r>
                </w:p>
              </w:tc>
              <w:tc>
                <w:tcPr>
                  <w:tcW w:w="257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24小时平均</w:t>
                  </w:r>
                </w:p>
              </w:tc>
              <w:tc>
                <w:tcPr>
                  <w:tcW w:w="1257"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1.4mg/m</w:t>
                  </w:r>
                  <w:r>
                    <w:rPr>
                      <w:rFonts w:ascii="Times New Roman"/>
                      <w:vertAlign w:val="superscript"/>
                    </w:rPr>
                    <w:t>3</w:t>
                  </w:r>
                </w:p>
              </w:tc>
              <w:tc>
                <w:tcPr>
                  <w:tcW w:w="1276"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4mg/m</w:t>
                  </w:r>
                  <w:r>
                    <w:rPr>
                      <w:rFonts w:ascii="Times New Roman"/>
                      <w:vertAlign w:val="superscript"/>
                    </w:rPr>
                    <w:t>3</w:t>
                  </w:r>
                </w:p>
              </w:tc>
              <w:tc>
                <w:tcPr>
                  <w:tcW w:w="1003"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O</w:t>
                  </w:r>
                  <w:r>
                    <w:rPr>
                      <w:rFonts w:ascii="Times New Roman"/>
                      <w:vertAlign w:val="subscript"/>
                    </w:rPr>
                    <w:t>3</w:t>
                  </w:r>
                </w:p>
              </w:tc>
              <w:tc>
                <w:tcPr>
                  <w:tcW w:w="2579"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日最大8小时平均浓度</w:t>
                  </w:r>
                </w:p>
              </w:tc>
              <w:tc>
                <w:tcPr>
                  <w:tcW w:w="1257"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hint="eastAsia" w:ascii="Times New Roman"/>
                    </w:rPr>
                    <w:t>164</w:t>
                  </w:r>
                  <w:r>
                    <w:rPr>
                      <w:rFonts w:ascii="Times New Roman"/>
                    </w:rPr>
                    <w:t>μg/m</w:t>
                  </w:r>
                  <w:r>
                    <w:rPr>
                      <w:rFonts w:ascii="Times New Roman"/>
                      <w:vertAlign w:val="superscript"/>
                    </w:rPr>
                    <w:t>3</w:t>
                  </w:r>
                </w:p>
              </w:tc>
              <w:tc>
                <w:tcPr>
                  <w:tcW w:w="1276"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160μg/m</w:t>
                  </w:r>
                  <w:r>
                    <w:rPr>
                      <w:rFonts w:ascii="Times New Roman"/>
                      <w:vertAlign w:val="superscript"/>
                    </w:rPr>
                    <w:t>3</w:t>
                  </w:r>
                </w:p>
              </w:tc>
              <w:tc>
                <w:tcPr>
                  <w:tcW w:w="1003" w:type="dxa"/>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rPr>
                  </w:pPr>
                  <w:r>
                    <w:rPr>
                      <w:rFonts w:ascii="Times New Roman"/>
                    </w:rPr>
                    <w:t>10</w:t>
                  </w:r>
                  <w:r>
                    <w:rPr>
                      <w:rFonts w:hint="eastAsia" w:ascii="Times New Roman"/>
                    </w:rPr>
                    <w:t>2.5</w:t>
                  </w:r>
                  <w:r>
                    <w:rPr>
                      <w:rFonts w:ascii="Times New Roman"/>
                    </w:rPr>
                    <w:t>%</w:t>
                  </w:r>
                </w:p>
              </w:tc>
            </w:tr>
          </w:tbl>
          <w:p>
            <w:pPr>
              <w:pStyle w:val="20"/>
              <w:keepNext w:val="0"/>
              <w:keepLines w:val="0"/>
              <w:widowControl w:val="0"/>
              <w:suppressLineNumbers w:val="0"/>
              <w:spacing w:before="120" w:beforeLines="50" w:beforeAutospacing="0" w:after="0" w:afterAutospacing="0" w:line="360" w:lineRule="auto"/>
              <w:ind w:left="0" w:firstLine="472" w:firstLineChars="200"/>
              <w:rPr>
                <w:spacing w:val="3"/>
                <w:sz w:val="24"/>
                <w:szCs w:val="24"/>
              </w:rPr>
            </w:pPr>
            <w:r>
              <w:rPr>
                <w:spacing w:val="-2"/>
                <w:position w:val="2"/>
                <w:sz w:val="24"/>
                <w:szCs w:val="24"/>
              </w:rPr>
              <w:t>由上表可知，项目所在区域PM</w:t>
            </w:r>
            <w:r>
              <w:rPr>
                <w:spacing w:val="-2"/>
                <w:position w:val="2"/>
                <w:sz w:val="24"/>
                <w:szCs w:val="24"/>
                <w:vertAlign w:val="subscript"/>
              </w:rPr>
              <w:t>2.5</w:t>
            </w:r>
            <w:r>
              <w:rPr>
                <w:spacing w:val="-2"/>
                <w:position w:val="2"/>
                <w:sz w:val="24"/>
                <w:szCs w:val="24"/>
              </w:rPr>
              <w:t>、PM</w:t>
            </w:r>
            <w:r>
              <w:rPr>
                <w:spacing w:val="-2"/>
                <w:position w:val="2"/>
                <w:sz w:val="24"/>
                <w:szCs w:val="24"/>
                <w:vertAlign w:val="subscript"/>
              </w:rPr>
              <w:t>10</w:t>
            </w:r>
            <w:r>
              <w:rPr>
                <w:spacing w:val="-2"/>
                <w:position w:val="2"/>
                <w:sz w:val="24"/>
                <w:szCs w:val="24"/>
              </w:rPr>
              <w:t>、SO</w:t>
            </w:r>
            <w:r>
              <w:rPr>
                <w:spacing w:val="-2"/>
                <w:position w:val="2"/>
                <w:sz w:val="24"/>
                <w:szCs w:val="24"/>
                <w:vertAlign w:val="subscript"/>
              </w:rPr>
              <w:t>2</w:t>
            </w:r>
            <w:r>
              <w:rPr>
                <w:spacing w:val="-2"/>
                <w:position w:val="2"/>
                <w:sz w:val="24"/>
                <w:szCs w:val="24"/>
              </w:rPr>
              <w:t>、NO</w:t>
            </w:r>
            <w:r>
              <w:rPr>
                <w:spacing w:val="-2"/>
                <w:position w:val="2"/>
                <w:sz w:val="24"/>
                <w:szCs w:val="24"/>
                <w:vertAlign w:val="subscript"/>
              </w:rPr>
              <w:t>2</w:t>
            </w:r>
            <w:r>
              <w:rPr>
                <w:spacing w:val="-2"/>
                <w:position w:val="2"/>
                <w:sz w:val="24"/>
                <w:szCs w:val="24"/>
              </w:rPr>
              <w:t>年均浓度、CO24小时平均浓度值均满足《环境空气质量标准》(GB 3095-2012)及其修改单二级标准，O</w:t>
            </w:r>
            <w:r>
              <w:rPr>
                <w:spacing w:val="-2"/>
                <w:position w:val="2"/>
                <w:sz w:val="24"/>
                <w:szCs w:val="24"/>
                <w:vertAlign w:val="subscript"/>
              </w:rPr>
              <w:t>3</w:t>
            </w:r>
            <w:r>
              <w:rPr>
                <w:spacing w:val="-2"/>
                <w:position w:val="2"/>
                <w:sz w:val="24"/>
                <w:szCs w:val="24"/>
              </w:rPr>
              <w:t>日最大8小时平均值不满足《环境空气质量标准》(GB 3095-2012)及其修改单二级标准。因此，本项目所在区域属于环境空气质量不达标区域。</w:t>
            </w:r>
            <w:r>
              <w:rPr>
                <w:rFonts w:hint="eastAsia"/>
                <w:spacing w:val="-2"/>
                <w:position w:val="2"/>
                <w:sz w:val="24"/>
                <w:szCs w:val="24"/>
              </w:rPr>
              <w:t>本项目施工期大气影响主要为土方施工过程以及运输过程中产生的扬尘、施工机械和运输车辆产生的汽车尾气，通过采取封闭式车辆运输、采取围挡、使用商混、物料进行覆盖、定期洒水抑尘、冲洗车辆轮胎、使用尾气达标施工机械和施工车辆等措施；运行期主要污染物为食堂油烟，采用去除率≥60%油烟净化器处理措施，对环境影响很小，且对不达标污染物</w:t>
            </w:r>
            <w:r>
              <w:rPr>
                <w:spacing w:val="-2"/>
                <w:position w:val="2"/>
                <w:sz w:val="24"/>
                <w:szCs w:val="24"/>
              </w:rPr>
              <w:t>O</w:t>
            </w:r>
            <w:r>
              <w:rPr>
                <w:spacing w:val="-2"/>
                <w:position w:val="2"/>
                <w:sz w:val="24"/>
                <w:szCs w:val="24"/>
                <w:vertAlign w:val="subscript"/>
              </w:rPr>
              <w:t>3</w:t>
            </w:r>
            <w:r>
              <w:rPr>
                <w:rFonts w:hint="eastAsia"/>
                <w:spacing w:val="-2"/>
                <w:position w:val="2"/>
                <w:sz w:val="24"/>
                <w:szCs w:val="24"/>
              </w:rPr>
              <w:t>基本无不利影响。</w:t>
            </w:r>
          </w:p>
          <w:p>
            <w:pPr>
              <w:pStyle w:val="20"/>
              <w:keepNext w:val="0"/>
              <w:keepLines w:val="0"/>
              <w:widowControl w:val="0"/>
              <w:suppressLineNumbers w:val="0"/>
              <w:spacing w:before="0" w:beforeAutospacing="0" w:after="0" w:afterAutospacing="0" w:line="360" w:lineRule="auto"/>
              <w:ind w:left="0" w:right="0" w:firstLine="482" w:firstLineChars="200"/>
              <w:rPr>
                <w:b/>
                <w:bCs/>
                <w:sz w:val="24"/>
              </w:rPr>
            </w:pPr>
            <w:r>
              <w:rPr>
                <w:b/>
                <w:bCs/>
                <w:sz w:val="24"/>
              </w:rPr>
              <w:t>4、地表水环境质量现状</w:t>
            </w:r>
          </w:p>
          <w:p>
            <w:pPr>
              <w:pStyle w:val="20"/>
              <w:keepNext w:val="0"/>
              <w:keepLines w:val="0"/>
              <w:widowControl w:val="0"/>
              <w:suppressLineNumbers w:val="0"/>
              <w:spacing w:before="0" w:beforeAutospacing="0" w:after="0" w:afterAutospacing="0" w:line="360" w:lineRule="auto"/>
              <w:ind w:left="0" w:right="0" w:firstLine="472" w:firstLineChars="200"/>
              <w:rPr>
                <w:color w:val="auto"/>
                <w:spacing w:val="-2"/>
                <w:position w:val="2"/>
                <w:sz w:val="24"/>
                <w:szCs w:val="24"/>
              </w:rPr>
            </w:pPr>
            <w:r>
              <w:rPr>
                <w:spacing w:val="-2"/>
                <w:position w:val="2"/>
                <w:sz w:val="24"/>
                <w:szCs w:val="24"/>
              </w:rPr>
              <w:t>武烈河是滦河一级支流，发源于围场县兰旗卡伦乡潘家店村东北的道至沟敖包山西麓，上段称鹦鹉河。流经围场县、隆化县、承德县、双桥区、高新区，于高新区大石庙镇雹神庙村汇入漆河。</w:t>
            </w:r>
            <w:r>
              <w:rPr>
                <w:color w:val="auto"/>
                <w:spacing w:val="-2"/>
                <w:position w:val="2"/>
                <w:sz w:val="24"/>
                <w:szCs w:val="24"/>
              </w:rPr>
              <w:t>河流全长118.63公里，流域面积2606平方公里，共布设地表水常规监测断面2个。</w:t>
            </w:r>
            <w:r>
              <w:rPr>
                <w:rFonts w:hint="eastAsia"/>
                <w:color w:val="auto"/>
                <w:spacing w:val="-2"/>
                <w:position w:val="2"/>
                <w:sz w:val="24"/>
                <w:szCs w:val="24"/>
                <w:lang w:val="en-US" w:eastAsia="zh-CN"/>
              </w:rPr>
              <w:t>根据《2023年承德市生态环境状况公报》</w:t>
            </w:r>
            <w:r>
              <w:rPr>
                <w:color w:val="auto"/>
                <w:spacing w:val="-2"/>
                <w:position w:val="2"/>
                <w:sz w:val="24"/>
                <w:szCs w:val="24"/>
              </w:rPr>
              <w:t>202</w:t>
            </w:r>
            <w:r>
              <w:rPr>
                <w:rFonts w:hint="eastAsia"/>
                <w:color w:val="auto"/>
                <w:spacing w:val="-2"/>
                <w:position w:val="2"/>
                <w:sz w:val="24"/>
                <w:szCs w:val="24"/>
              </w:rPr>
              <w:t>3</w:t>
            </w:r>
            <w:r>
              <w:rPr>
                <w:color w:val="auto"/>
                <w:spacing w:val="-2"/>
                <w:position w:val="2"/>
                <w:sz w:val="24"/>
                <w:szCs w:val="24"/>
              </w:rPr>
              <w:t>年，上二道河子断面水质类别为Ⅰ类，磷矿上游水质类别为Ⅱ类武烈河流域总体水质状况为优，与202</w:t>
            </w:r>
            <w:r>
              <w:rPr>
                <w:rFonts w:hint="eastAsia"/>
                <w:color w:val="auto"/>
                <w:spacing w:val="-2"/>
                <w:position w:val="2"/>
                <w:sz w:val="24"/>
                <w:szCs w:val="24"/>
              </w:rPr>
              <w:t>2</w:t>
            </w:r>
            <w:r>
              <w:rPr>
                <w:color w:val="auto"/>
                <w:spacing w:val="-2"/>
                <w:position w:val="2"/>
                <w:sz w:val="24"/>
                <w:szCs w:val="24"/>
              </w:rPr>
              <w:t>年相比继续保持优的水质。</w:t>
            </w:r>
          </w:p>
          <w:p>
            <w:pPr>
              <w:pStyle w:val="20"/>
              <w:keepNext w:val="0"/>
              <w:keepLines w:val="0"/>
              <w:widowControl w:val="0"/>
              <w:suppressLineNumbers w:val="0"/>
              <w:spacing w:before="0" w:beforeAutospacing="0" w:after="0" w:afterAutospacing="0" w:line="360" w:lineRule="auto"/>
              <w:ind w:left="0" w:right="0" w:firstLine="482" w:firstLineChars="200"/>
              <w:rPr>
                <w:b/>
                <w:bCs/>
                <w:color w:val="auto"/>
                <w:spacing w:val="3"/>
                <w:sz w:val="24"/>
                <w:szCs w:val="24"/>
              </w:rPr>
            </w:pPr>
            <w:r>
              <w:rPr>
                <w:b/>
                <w:bCs/>
                <w:color w:val="auto"/>
                <w:sz w:val="24"/>
              </w:rPr>
              <w:t>5、地下水环境与土壤环境</w:t>
            </w:r>
            <w:r>
              <w:rPr>
                <w:b/>
                <w:bCs/>
                <w:color w:val="auto"/>
                <w:spacing w:val="3"/>
                <w:sz w:val="24"/>
                <w:szCs w:val="24"/>
              </w:rPr>
              <w:t>现状</w:t>
            </w:r>
          </w:p>
          <w:p>
            <w:pPr>
              <w:pStyle w:val="20"/>
              <w:keepNext w:val="0"/>
              <w:keepLines w:val="0"/>
              <w:widowControl w:val="0"/>
              <w:suppressLineNumbers w:val="0"/>
              <w:spacing w:before="0" w:beforeAutospacing="0" w:after="0" w:afterAutospacing="0" w:line="360" w:lineRule="auto"/>
              <w:ind w:left="0" w:right="0" w:firstLine="480" w:firstLineChars="200"/>
              <w:rPr>
                <w:sz w:val="24"/>
              </w:rPr>
            </w:pPr>
            <w:r>
              <w:rPr>
                <w:color w:val="auto"/>
                <w:sz w:val="24"/>
              </w:rPr>
              <w:t>项目属于《环境影响评价技术导则 地下水环境》及《环境影响评价技术导则 土壤环境(试行)》附录A所列Ⅳ类项目，不</w:t>
            </w:r>
            <w:r>
              <w:rPr>
                <w:sz w:val="24"/>
              </w:rPr>
              <w:t>进行地下水、土壤评价。</w:t>
            </w:r>
          </w:p>
          <w:p>
            <w:pPr>
              <w:pStyle w:val="20"/>
              <w:keepNext w:val="0"/>
              <w:keepLines w:val="0"/>
              <w:widowControl w:val="0"/>
              <w:suppressLineNumbers w:val="0"/>
              <w:spacing w:before="0" w:beforeAutospacing="0" w:after="0" w:afterAutospacing="0" w:line="360" w:lineRule="auto"/>
              <w:ind w:left="0" w:right="0" w:firstLine="482" w:firstLineChars="200"/>
              <w:jc w:val="both"/>
              <w:rPr>
                <w:b/>
                <w:bCs/>
                <w:spacing w:val="3"/>
                <w:sz w:val="24"/>
                <w:szCs w:val="24"/>
              </w:rPr>
            </w:pPr>
            <w:r>
              <w:rPr>
                <w:b/>
                <w:bCs/>
                <w:sz w:val="24"/>
              </w:rPr>
              <w:t>6、</w:t>
            </w:r>
            <w:r>
              <w:rPr>
                <w:b/>
                <w:bCs/>
                <w:spacing w:val="3"/>
                <w:sz w:val="24"/>
                <w:szCs w:val="24"/>
              </w:rPr>
              <w:t>生态环境质量现状</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本项目周边主要为未开发利用的山地丘陵，主要植被为灌丛和栽培植被，植被覆盖较完整，存在一定的水土流失现象，不存在荒漠化现象，生态环境总体质量良好。</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（1）植被现状</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项目所在区域在《中国植被》的区划属于泛北极植物区（1），中国-日本森林植物亚区（1E），华北地区（1En），华北平原地区、山地亚区（1E11（6））。项目区植被以华北植物区系为主，植被型组主要为灌丛和栽培植被，植被在山体冲沟两侧较发育，其他位置零星分布，主要树种为蒙古栎、椴、野杏、山杨、落叶松等，灌木有酸枣、荆条、多花胡枝子、秦刺玫、花椒等。项目所在区域植被类型见图3-1，植被照片见图3-2。</w:t>
            </w:r>
          </w:p>
          <w:p>
            <w:pPr>
              <w:keepNext w:val="0"/>
              <w:keepLines w:val="0"/>
              <w:widowControl/>
              <w:suppressLineNumbers w:val="0"/>
              <w:adjustRightInd w:val="0"/>
              <w:snapToGrid w:val="0"/>
              <w:spacing w:before="0" w:beforeAutospacing="0" w:after="0" w:afterAutospacing="0"/>
              <w:ind w:left="0" w:right="0"/>
              <w:rPr>
                <w:sz w:val="24"/>
              </w:rPr>
            </w:pPr>
            <w:r>
              <w:pict>
                <v:shape id="_x0000_s1088" o:spid="_x0000_s1088" o:spt="62" type="#_x0000_t62" style="position:absolute;left:0pt;margin-left:299pt;margin-top:21.3pt;height:22.8pt;width:70.8pt;z-index:251686912;mso-width-relative:page;mso-height-relative:page;" coordsize="21600,21600" adj="1266,24774">
                  <v:path/>
                  <v:fill focussize="0,0"/>
                  <v:stroke joinstyle="miter"/>
                  <v:imagedata o:title=""/>
                  <o:lock v:ext="edit"/>
                  <v:textbox>
                    <w:txbxContent>
                      <w:p>
                        <w:r>
                          <w:t>升压站</w:t>
                        </w:r>
                      </w:p>
                    </w:txbxContent>
                  </v:textbox>
                </v:shape>
              </w:pict>
            </w:r>
            <w:r>
              <w:drawing>
                <wp:inline distT="0" distB="0" distL="0" distR="0">
                  <wp:extent cx="4882515" cy="32791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cstate="print"/>
                          <a:stretch>
                            <a:fillRect/>
                          </a:stretch>
                        </pic:blipFill>
                        <pic:spPr>
                          <a:xfrm>
                            <a:off x="0" y="0"/>
                            <a:ext cx="4887731" cy="3282813"/>
                          </a:xfrm>
                          <a:prstGeom prst="rect">
                            <a:avLst/>
                          </a:prstGeom>
                        </pic:spPr>
                      </pic:pic>
                    </a:graphicData>
                  </a:graphic>
                </wp:inline>
              </w:drawing>
            </w:r>
          </w:p>
          <w:p>
            <w:pPr>
              <w:keepNext w:val="0"/>
              <w:keepLines w:val="0"/>
              <w:widowControl/>
              <w:suppressLineNumbers w:val="0"/>
              <w:adjustRightInd w:val="0"/>
              <w:snapToGrid w:val="0"/>
              <w:spacing w:before="0" w:beforeAutospacing="0" w:after="0" w:afterAutospacing="0" w:line="480" w:lineRule="exact"/>
              <w:ind w:left="0" w:right="0" w:firstLine="480"/>
              <w:jc w:val="center"/>
            </w:pPr>
            <w:r>
              <w:rPr>
                <w:rFonts w:hint="eastAsia"/>
              </w:rPr>
              <w:t>图3-1 项目所在区域植被类型图</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1"/>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1" w:type="dxa"/>
                </w:tcPr>
                <w:p>
                  <w:pPr>
                    <w:keepNext w:val="0"/>
                    <w:keepLines w:val="0"/>
                    <w:widowControl/>
                    <w:suppressLineNumbers w:val="0"/>
                    <w:spacing w:before="0" w:beforeAutospacing="0" w:after="0" w:afterAutospacing="0"/>
                    <w:ind w:left="0" w:right="0"/>
                    <w:jc w:val="both"/>
                  </w:pPr>
                  <w:r>
                    <w:rPr>
                      <w:rFonts w:hint="eastAsia"/>
                    </w:rPr>
                    <w:drawing>
                      <wp:inline distT="0" distB="0" distL="114300" distR="114300">
                        <wp:extent cx="2406650" cy="1804670"/>
                        <wp:effectExtent l="0" t="0" r="1270" b="8890"/>
                        <wp:docPr id="7" name="图片 7" descr="2c88537cc8523626b6afe3442f9c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c88537cc8523626b6afe3442f9c249"/>
                                <pic:cNvPicPr>
                                  <a:picLocks noChangeAspect="1"/>
                                </pic:cNvPicPr>
                              </pic:nvPicPr>
                              <pic:blipFill>
                                <a:blip r:embed="rId28"/>
                                <a:stretch>
                                  <a:fillRect/>
                                </a:stretch>
                              </pic:blipFill>
                              <pic:spPr>
                                <a:xfrm>
                                  <a:off x="0" y="0"/>
                                  <a:ext cx="2406650" cy="1804670"/>
                                </a:xfrm>
                                <a:prstGeom prst="rect">
                                  <a:avLst/>
                                </a:prstGeom>
                              </pic:spPr>
                            </pic:pic>
                          </a:graphicData>
                        </a:graphic>
                      </wp:inline>
                    </w:drawing>
                  </w:r>
                </w:p>
              </w:tc>
              <w:tc>
                <w:tcPr>
                  <w:tcW w:w="4011" w:type="dxa"/>
                </w:tcPr>
                <w:p>
                  <w:pPr>
                    <w:keepNext w:val="0"/>
                    <w:keepLines w:val="0"/>
                    <w:widowControl/>
                    <w:suppressLineNumbers w:val="0"/>
                    <w:spacing w:before="0" w:beforeAutospacing="0" w:after="0" w:afterAutospacing="0"/>
                    <w:ind w:left="0" w:right="0"/>
                    <w:jc w:val="both"/>
                  </w:pPr>
                  <w:r>
                    <w:rPr>
                      <w:rFonts w:hint="eastAsia"/>
                    </w:rPr>
                    <w:drawing>
                      <wp:inline distT="0" distB="0" distL="114300" distR="114300">
                        <wp:extent cx="2419985" cy="1798955"/>
                        <wp:effectExtent l="0" t="0" r="3175" b="14605"/>
                        <wp:docPr id="10" name="图片 10" descr="59fe2f89f76e057cbdb7bea0b31c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9fe2f89f76e057cbdb7bea0b31c4e2"/>
                                <pic:cNvPicPr>
                                  <a:picLocks noChangeAspect="1"/>
                                </pic:cNvPicPr>
                              </pic:nvPicPr>
                              <pic:blipFill>
                                <a:blip r:embed="rId29"/>
                                <a:stretch>
                                  <a:fillRect/>
                                </a:stretch>
                              </pic:blipFill>
                              <pic:spPr>
                                <a:xfrm>
                                  <a:off x="0" y="0"/>
                                  <a:ext cx="2419985" cy="17989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1" w:type="dxa"/>
                </w:tcPr>
                <w:p>
                  <w:pPr>
                    <w:keepNext w:val="0"/>
                    <w:keepLines w:val="0"/>
                    <w:widowControl/>
                    <w:suppressLineNumbers w:val="0"/>
                    <w:spacing w:before="0" w:beforeAutospacing="0" w:after="0" w:afterAutospacing="0"/>
                    <w:ind w:left="0" w:right="0"/>
                    <w:jc w:val="both"/>
                  </w:pPr>
                  <w:r>
                    <w:rPr>
                      <w:rFonts w:hint="eastAsia"/>
                    </w:rPr>
                    <w:drawing>
                      <wp:inline distT="0" distB="0" distL="114300" distR="114300">
                        <wp:extent cx="2406650" cy="1804670"/>
                        <wp:effectExtent l="0" t="0" r="1270" b="8890"/>
                        <wp:docPr id="17" name="图片 17" descr="8229c0c9c965da44dbd7487b2bb5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229c0c9c965da44dbd7487b2bb54dc"/>
                                <pic:cNvPicPr>
                                  <a:picLocks noChangeAspect="1"/>
                                </pic:cNvPicPr>
                              </pic:nvPicPr>
                              <pic:blipFill>
                                <a:blip r:embed="rId30"/>
                                <a:stretch>
                                  <a:fillRect/>
                                </a:stretch>
                              </pic:blipFill>
                              <pic:spPr>
                                <a:xfrm>
                                  <a:off x="0" y="0"/>
                                  <a:ext cx="2406650" cy="1804670"/>
                                </a:xfrm>
                                <a:prstGeom prst="rect">
                                  <a:avLst/>
                                </a:prstGeom>
                              </pic:spPr>
                            </pic:pic>
                          </a:graphicData>
                        </a:graphic>
                      </wp:inline>
                    </w:drawing>
                  </w:r>
                </w:p>
              </w:tc>
              <w:tc>
                <w:tcPr>
                  <w:tcW w:w="4011" w:type="dxa"/>
                </w:tcPr>
                <w:p>
                  <w:pPr>
                    <w:keepNext w:val="0"/>
                    <w:keepLines w:val="0"/>
                    <w:widowControl/>
                    <w:suppressLineNumbers w:val="0"/>
                    <w:spacing w:before="0" w:beforeAutospacing="0" w:after="0" w:afterAutospacing="0"/>
                    <w:ind w:left="0" w:right="0"/>
                    <w:jc w:val="both"/>
                  </w:pPr>
                  <w:r>
                    <w:rPr>
                      <w:rFonts w:hint="eastAsia"/>
                    </w:rPr>
                    <w:drawing>
                      <wp:inline distT="0" distB="0" distL="114300" distR="114300">
                        <wp:extent cx="2406650" cy="1804670"/>
                        <wp:effectExtent l="0" t="0" r="1270" b="8890"/>
                        <wp:docPr id="18" name="图片 18" descr="bd2ae9b7f64eea693243ee15ee3d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d2ae9b7f64eea693243ee15ee3d347"/>
                                <pic:cNvPicPr>
                                  <a:picLocks noChangeAspect="1"/>
                                </pic:cNvPicPr>
                              </pic:nvPicPr>
                              <pic:blipFill>
                                <a:blip r:embed="rId31"/>
                                <a:stretch>
                                  <a:fillRect/>
                                </a:stretch>
                              </pic:blipFill>
                              <pic:spPr>
                                <a:xfrm>
                                  <a:off x="0" y="0"/>
                                  <a:ext cx="2406650" cy="1804670"/>
                                </a:xfrm>
                                <a:prstGeom prst="rect">
                                  <a:avLst/>
                                </a:prstGeom>
                              </pic:spPr>
                            </pic:pic>
                          </a:graphicData>
                        </a:graphic>
                      </wp:inline>
                    </w:drawing>
                  </w:r>
                </w:p>
              </w:tc>
            </w:tr>
          </w:tbl>
          <w:p>
            <w:pPr>
              <w:keepNext w:val="0"/>
              <w:keepLines w:val="0"/>
              <w:widowControl/>
              <w:suppressLineNumbers w:val="0"/>
              <w:spacing w:before="0" w:beforeAutospacing="0" w:after="0" w:afterAutospacing="0" w:line="360" w:lineRule="auto"/>
              <w:ind w:left="0" w:right="0" w:firstLine="482"/>
              <w:jc w:val="center"/>
              <w:rPr>
                <w:b/>
              </w:rPr>
            </w:pPr>
            <w:r>
              <w:rPr>
                <w:rFonts w:hint="eastAsia"/>
                <w:b/>
              </w:rPr>
              <w:t>图 3-2 项目所在区域植被照片</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（2）动物现状</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根据现状调查，项目区域内存在的野生动物主要以当地北方山地土著哺乳类、爬行类和鸟类动物为主，如：野兔、蛇、山鸡、麻雀、喜鹊等。</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项目占地及周边范围内无珍稀濒危野生动植物分布。</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（3）土壤</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项目区域土壤类型主要以褐土为主，分布较广，坡脚及沟谷土层较厚，山坡中上部土壤较贫瘠，碎石量较大，表土层厚度较薄，随着海拔升高土层厚度越来越小，山顶部分位置有基岩出露。</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（4）</w:t>
            </w:r>
            <w:r>
              <w:rPr>
                <w:sz w:val="24"/>
              </w:rPr>
              <w:t>土地利用现状调查</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本项目区域多为山地地貌，项目在工程选址选线、地质选址选线等综合考虑下，已避让农用地优先保护区、生态保护红线等敏感区域，项目占地主要为升压站区，其中</w:t>
            </w:r>
            <w:r>
              <w:rPr>
                <w:sz w:val="24"/>
              </w:rPr>
              <w:t>22</w:t>
            </w:r>
            <w:r>
              <w:rPr>
                <w:rFonts w:hint="eastAsia"/>
                <w:sz w:val="24"/>
              </w:rPr>
              <w:t>0</w:t>
            </w:r>
            <w:r>
              <w:rPr>
                <w:sz w:val="24"/>
              </w:rPr>
              <w:t>kV</w:t>
            </w:r>
            <w:r>
              <w:rPr>
                <w:rFonts w:hint="eastAsia"/>
                <w:sz w:val="24"/>
              </w:rPr>
              <w:t>升压站区（含护坡路）占地39331.03m</w:t>
            </w:r>
            <w:r>
              <w:rPr>
                <w:rFonts w:hint="eastAsia"/>
                <w:sz w:val="24"/>
                <w:vertAlign w:val="superscript"/>
              </w:rPr>
              <w:t>2</w:t>
            </w:r>
            <w:r>
              <w:rPr>
                <w:rFonts w:hint="eastAsia"/>
                <w:sz w:val="24"/>
              </w:rPr>
              <w:t>（占地类型为建设用地为永久占地。</w:t>
            </w:r>
          </w:p>
          <w:p>
            <w:pPr>
              <w:keepNext w:val="0"/>
              <w:keepLines w:val="0"/>
              <w:widowControl/>
              <w:suppressLineNumbers w:val="0"/>
              <w:spacing w:before="0" w:beforeAutospacing="0" w:after="0" w:afterAutospacing="0" w:line="480" w:lineRule="exact"/>
              <w:ind w:left="0" w:right="0" w:firstLine="480" w:firstLineChars="200"/>
              <w:rPr>
                <w:sz w:val="24"/>
              </w:rPr>
            </w:pPr>
            <w:r>
              <w:rPr>
                <w:rFonts w:hint="eastAsia"/>
                <w:sz w:val="24"/>
              </w:rPr>
              <w:t>项目通过优化设计，减少了占地面积，通过优化站区道路、电缆沟及综合管线布置，节省了电缆长度，通过控制建筑面积，减少采暖面积，有效降低相应能耗的同时，节省了土地占用。</w:t>
            </w:r>
          </w:p>
          <w:p>
            <w:pPr>
              <w:keepNext w:val="0"/>
              <w:keepLines w:val="0"/>
              <w:widowControl/>
              <w:suppressLineNumbers w:val="0"/>
              <w:spacing w:before="0" w:beforeAutospacing="0" w:after="0" w:afterAutospacing="0" w:line="480" w:lineRule="exact"/>
              <w:ind w:left="0" w:right="0" w:firstLine="480" w:firstLineChars="200"/>
              <w:rPr>
                <w:sz w:val="24"/>
              </w:rPr>
            </w:pPr>
            <w:r>
              <w:rPr>
                <w:rFonts w:hint="eastAsia"/>
                <w:sz w:val="24"/>
              </w:rPr>
              <w:t>（</w:t>
            </w:r>
            <w:r>
              <w:rPr>
                <w:sz w:val="24"/>
              </w:rPr>
              <w:t>5</w:t>
            </w:r>
            <w:r>
              <w:rPr>
                <w:rFonts w:hint="eastAsia"/>
                <w:sz w:val="24"/>
              </w:rPr>
              <w:t>）水土流失现状</w:t>
            </w:r>
          </w:p>
          <w:p>
            <w:pPr>
              <w:keepNext w:val="0"/>
              <w:keepLines w:val="0"/>
              <w:widowControl/>
              <w:suppressLineNumbers w:val="0"/>
              <w:spacing w:before="0" w:beforeAutospacing="0" w:after="0" w:afterAutospacing="0" w:line="480" w:lineRule="exact"/>
              <w:ind w:left="0" w:right="0" w:firstLine="480" w:firstLineChars="200"/>
              <w:rPr>
                <w:sz w:val="24"/>
              </w:rPr>
            </w:pPr>
            <w:r>
              <w:rPr>
                <w:rFonts w:hint="eastAsia"/>
                <w:sz w:val="24"/>
              </w:rPr>
              <w:t>项目区为水利部公告的燕山国家级水土流失重点预防区，水土流失类型为水力风力交错侵蚀，主要发生在坡耕地和干旱阳坡，侵蚀形式为坡耕地的层状面蚀、砂砾化面蚀、细沟状面蚀以及荒山阳坡的鳞片状面蚀和沟蚀。根据《生产建设项目水土流失防治标准》和《土壤侵蚀分类分级标准》的规定，本地区容许土壤流失量为200t/km</w:t>
            </w:r>
            <w:r>
              <w:rPr>
                <w:rFonts w:hint="eastAsia"/>
                <w:sz w:val="24"/>
                <w:vertAlign w:val="superscript"/>
              </w:rPr>
              <w:t>2</w:t>
            </w:r>
            <w:r>
              <w:rPr>
                <w:rFonts w:hint="eastAsia"/>
                <w:sz w:val="24"/>
              </w:rPr>
              <w:t>·a。</w:t>
            </w:r>
          </w:p>
          <w:p>
            <w:pPr>
              <w:keepNext w:val="0"/>
              <w:keepLines w:val="0"/>
              <w:widowControl/>
              <w:suppressLineNumbers w:val="0"/>
              <w:spacing w:before="0" w:beforeAutospacing="0" w:after="0" w:afterAutospacing="0" w:line="480" w:lineRule="exact"/>
              <w:ind w:left="0" w:right="0" w:firstLine="480" w:firstLineChars="200"/>
              <w:rPr>
                <w:sz w:val="24"/>
              </w:rPr>
            </w:pPr>
            <w:r>
              <w:rPr>
                <w:rFonts w:hint="eastAsia"/>
                <w:sz w:val="24"/>
              </w:rPr>
              <w:t>项目区水土流失现状调查采用遥感结合现场调查的方法，项目区土壤侵蚀为水力风力交错侵蚀，侵蚀强度为轻度，现状平均侵蚀模数约为800t/km</w:t>
            </w:r>
            <w:r>
              <w:rPr>
                <w:rFonts w:hint="eastAsia"/>
                <w:sz w:val="24"/>
                <w:vertAlign w:val="superscript"/>
              </w:rPr>
              <w:t>2</w:t>
            </w:r>
            <w:r>
              <w:rPr>
                <w:rFonts w:hint="eastAsia"/>
                <w:sz w:val="24"/>
              </w:rPr>
              <w:t>·a。</w:t>
            </w:r>
          </w:p>
          <w:p>
            <w:pPr>
              <w:keepNext w:val="0"/>
              <w:keepLines w:val="0"/>
              <w:widowControl w:val="0"/>
              <w:suppressLineNumbers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rPr>
              <w:t>7、</w:t>
            </w:r>
            <w:r>
              <w:rPr>
                <w:rFonts w:ascii="Times New Roman"/>
                <w:b/>
                <w:bCs/>
                <w:sz w:val="24"/>
                <w:szCs w:val="24"/>
              </w:rPr>
              <w:t>电磁环境质量现状</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bookmarkStart w:id="25" w:name="_Hlk82812032"/>
            <w:r>
              <w:rPr>
                <w:rFonts w:ascii="Times New Roman"/>
                <w:sz w:val="24"/>
                <w:szCs w:val="24"/>
              </w:rPr>
              <w:t>为了解升压站选址周边电磁环境质量现状，</w:t>
            </w:r>
            <w:r>
              <w:rPr>
                <w:rFonts w:hint="eastAsia" w:ascii="Times New Roman"/>
                <w:sz w:val="24"/>
                <w:szCs w:val="24"/>
              </w:rPr>
              <w:t>建设单位</w:t>
            </w:r>
            <w:r>
              <w:rPr>
                <w:rFonts w:ascii="Times New Roman"/>
                <w:sz w:val="24"/>
                <w:szCs w:val="24"/>
              </w:rPr>
              <w:t>委托</w:t>
            </w:r>
            <w:bookmarkEnd w:id="25"/>
            <w:r>
              <w:rPr>
                <w:rFonts w:hint="eastAsia" w:ascii="Times New Roman"/>
                <w:sz w:val="24"/>
                <w:szCs w:val="24"/>
              </w:rPr>
              <w:t>河北省华川检验检测技术服务</w:t>
            </w:r>
            <w:r>
              <w:rPr>
                <w:rFonts w:ascii="Times New Roman"/>
                <w:sz w:val="24"/>
                <w:szCs w:val="24"/>
              </w:rPr>
              <w:t>有限公司对本项目电磁环境现状进行了监测，监测报告编号为：</w:t>
            </w:r>
            <w:r>
              <w:rPr>
                <w:rFonts w:hint="eastAsia" w:ascii="Times New Roman"/>
                <w:sz w:val="24"/>
                <w:szCs w:val="24"/>
              </w:rPr>
              <w:t>HBHC检</w:t>
            </w:r>
            <w:r>
              <w:rPr>
                <w:rFonts w:ascii="Times New Roman"/>
                <w:sz w:val="24"/>
                <w:szCs w:val="24"/>
              </w:rPr>
              <w:t>字(202</w:t>
            </w:r>
            <w:r>
              <w:rPr>
                <w:rFonts w:hint="eastAsia" w:ascii="Times New Roman"/>
                <w:sz w:val="24"/>
                <w:szCs w:val="24"/>
              </w:rPr>
              <w:t>4</w:t>
            </w:r>
            <w:r>
              <w:rPr>
                <w:rFonts w:ascii="Times New Roman"/>
                <w:sz w:val="24"/>
                <w:szCs w:val="24"/>
              </w:rPr>
              <w:t>)第</w:t>
            </w:r>
            <w:r>
              <w:rPr>
                <w:rFonts w:hint="eastAsia" w:ascii="Times New Roman"/>
                <w:sz w:val="24"/>
                <w:szCs w:val="24"/>
              </w:rPr>
              <w:t>399</w:t>
            </w:r>
            <w:r>
              <w:rPr>
                <w:rFonts w:ascii="Times New Roman"/>
                <w:sz w:val="24"/>
                <w:szCs w:val="24"/>
              </w:rPr>
              <w:t>号。监测报告(含监测布点示意图)详见附件6。</w:t>
            </w:r>
          </w:p>
          <w:p>
            <w:pPr>
              <w:keepNext w:val="0"/>
              <w:keepLines w:val="0"/>
              <w:widowControl w:val="0"/>
              <w:suppressLineNumbers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(1)监测因子</w:t>
            </w:r>
          </w:p>
          <w:p>
            <w:pPr>
              <w:keepNext w:val="0"/>
              <w:keepLines w:val="0"/>
              <w:widowControl w:val="0"/>
              <w:suppressLineNumbers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工频电场：工频电场强度；</w:t>
            </w:r>
          </w:p>
          <w:p>
            <w:pPr>
              <w:pStyle w:val="27"/>
              <w:keepNext w:val="0"/>
              <w:keepLines w:val="0"/>
              <w:widowControl w:val="0"/>
              <w:suppressLineNumbers w:val="0"/>
              <w:spacing w:before="0" w:beforeAutospacing="0" w:after="0" w:afterAutospacing="0" w:line="360" w:lineRule="auto"/>
              <w:ind w:left="0" w:leftChars="0" w:right="0" w:firstLine="480" w:firstLineChars="200"/>
              <w:rPr>
                <w:rFonts w:ascii="Times New Roman"/>
              </w:rPr>
            </w:pPr>
            <w:r>
              <w:rPr>
                <w:rFonts w:ascii="Times New Roman"/>
                <w:sz w:val="24"/>
                <w:szCs w:val="24"/>
              </w:rPr>
              <w:t>工频磁场：工频磁感应强度。</w:t>
            </w:r>
          </w:p>
          <w:p>
            <w:pPr>
              <w:keepNext w:val="0"/>
              <w:keepLines w:val="0"/>
              <w:widowControl w:val="0"/>
              <w:suppressLineNumbers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(2)监测仪器</w:t>
            </w:r>
          </w:p>
          <w:p>
            <w:pPr>
              <w:keepNext w:val="0"/>
              <w:keepLines w:val="0"/>
              <w:widowControl w:val="0"/>
              <w:suppressLineNumbers w:val="0"/>
              <w:spacing w:before="0" w:beforeAutospacing="0" w:after="0" w:afterAutospacing="0" w:line="360" w:lineRule="auto"/>
              <w:ind w:left="0" w:right="0" w:firstLine="500" w:firstLineChars="200"/>
              <w:jc w:val="both"/>
              <w:rPr>
                <w:rFonts w:ascii="Times New Roman"/>
                <w:spacing w:val="5"/>
                <w:sz w:val="24"/>
                <w:szCs w:val="24"/>
              </w:rPr>
            </w:pPr>
            <w:r>
              <w:rPr>
                <w:rFonts w:ascii="Times New Roman"/>
                <w:spacing w:val="5"/>
                <w:sz w:val="24"/>
                <w:szCs w:val="24"/>
              </w:rPr>
              <w:t>1)温湿度表-型号:WHM5型；编号DLYQ-63。主要技术指标:量程范围:-20℃～+40℃(0～100%)RH(</w:t>
            </w:r>
            <w:r>
              <w:rPr>
                <w:rFonts w:hint="eastAsia" w:ascii="Times New Roman"/>
                <w:spacing w:val="5"/>
                <w:sz w:val="24"/>
                <w:szCs w:val="24"/>
              </w:rPr>
              <w:t>鉴定有效期至：</w:t>
            </w:r>
            <w:r>
              <w:rPr>
                <w:rFonts w:ascii="Times New Roman"/>
                <w:spacing w:val="5"/>
                <w:sz w:val="24"/>
                <w:szCs w:val="24"/>
              </w:rPr>
              <w:t>202</w:t>
            </w:r>
            <w:r>
              <w:rPr>
                <w:rFonts w:hint="eastAsia" w:ascii="Times New Roman"/>
                <w:spacing w:val="5"/>
                <w:sz w:val="24"/>
                <w:szCs w:val="24"/>
              </w:rPr>
              <w:t>5</w:t>
            </w:r>
            <w:r>
              <w:rPr>
                <w:rFonts w:ascii="Times New Roman"/>
                <w:spacing w:val="5"/>
                <w:sz w:val="24"/>
                <w:szCs w:val="24"/>
              </w:rPr>
              <w:t>年</w:t>
            </w:r>
            <w:r>
              <w:rPr>
                <w:rFonts w:hint="eastAsia" w:ascii="Times New Roman"/>
                <w:spacing w:val="5"/>
                <w:sz w:val="24"/>
                <w:szCs w:val="24"/>
              </w:rPr>
              <w:t>05</w:t>
            </w:r>
            <w:r>
              <w:rPr>
                <w:rFonts w:ascii="Times New Roman"/>
                <w:spacing w:val="5"/>
                <w:sz w:val="24"/>
                <w:szCs w:val="24"/>
              </w:rPr>
              <w:t>月</w:t>
            </w:r>
            <w:r>
              <w:rPr>
                <w:rFonts w:hint="eastAsia" w:ascii="Times New Roman"/>
                <w:spacing w:val="5"/>
                <w:sz w:val="24"/>
                <w:szCs w:val="24"/>
              </w:rPr>
              <w:t>19</w:t>
            </w:r>
            <w:r>
              <w:rPr>
                <w:rFonts w:ascii="Times New Roman"/>
                <w:spacing w:val="5"/>
                <w:sz w:val="24"/>
                <w:szCs w:val="24"/>
              </w:rPr>
              <w:t>日)；</w:t>
            </w:r>
          </w:p>
          <w:p>
            <w:pPr>
              <w:keepNext w:val="0"/>
              <w:keepLines w:val="0"/>
              <w:widowControl w:val="0"/>
              <w:suppressLineNumbers w:val="0"/>
              <w:spacing w:before="0" w:beforeAutospacing="0" w:after="0" w:afterAutospacing="0" w:line="360" w:lineRule="auto"/>
              <w:ind w:left="0" w:right="0" w:firstLine="500" w:firstLineChars="200"/>
              <w:jc w:val="both"/>
              <w:rPr>
                <w:rFonts w:ascii="Times New Roman"/>
                <w:spacing w:val="5"/>
                <w:sz w:val="24"/>
                <w:szCs w:val="24"/>
              </w:rPr>
            </w:pPr>
            <w:r>
              <w:rPr>
                <w:rFonts w:ascii="Times New Roman"/>
                <w:spacing w:val="5"/>
                <w:sz w:val="24"/>
                <w:szCs w:val="24"/>
              </w:rPr>
              <w:t>2)工频电场和磁场分析仪-型号:LF-01/SEM-600；编号DLYQ-09。主要技术指标:量程范围:0.5V/m～100kV/m  10nT～3mT(</w:t>
            </w:r>
            <w:r>
              <w:rPr>
                <w:rFonts w:hint="eastAsia" w:ascii="Times New Roman"/>
                <w:spacing w:val="5"/>
                <w:sz w:val="24"/>
                <w:szCs w:val="24"/>
              </w:rPr>
              <w:t>鉴定有效期至：</w:t>
            </w:r>
            <w:r>
              <w:rPr>
                <w:rFonts w:ascii="Times New Roman"/>
                <w:spacing w:val="5"/>
                <w:sz w:val="24"/>
                <w:szCs w:val="24"/>
              </w:rPr>
              <w:t>202</w:t>
            </w:r>
            <w:r>
              <w:rPr>
                <w:rFonts w:hint="eastAsia" w:ascii="Times New Roman"/>
                <w:spacing w:val="5"/>
                <w:sz w:val="24"/>
                <w:szCs w:val="24"/>
              </w:rPr>
              <w:t>5</w:t>
            </w:r>
            <w:r>
              <w:rPr>
                <w:rFonts w:ascii="Times New Roman"/>
                <w:spacing w:val="5"/>
                <w:sz w:val="24"/>
                <w:szCs w:val="24"/>
              </w:rPr>
              <w:t>年</w:t>
            </w:r>
            <w:r>
              <w:rPr>
                <w:rFonts w:hint="eastAsia" w:ascii="Times New Roman"/>
                <w:spacing w:val="5"/>
                <w:sz w:val="24"/>
                <w:szCs w:val="24"/>
              </w:rPr>
              <w:t>01</w:t>
            </w:r>
            <w:r>
              <w:rPr>
                <w:rFonts w:ascii="Times New Roman"/>
                <w:spacing w:val="5"/>
                <w:sz w:val="24"/>
                <w:szCs w:val="24"/>
              </w:rPr>
              <w:t>月</w:t>
            </w:r>
            <w:r>
              <w:rPr>
                <w:rFonts w:hint="eastAsia" w:ascii="Times New Roman"/>
                <w:spacing w:val="5"/>
                <w:sz w:val="24"/>
                <w:szCs w:val="24"/>
              </w:rPr>
              <w:t>1</w:t>
            </w:r>
            <w:r>
              <w:rPr>
                <w:rFonts w:ascii="Times New Roman"/>
                <w:spacing w:val="5"/>
                <w:sz w:val="24"/>
                <w:szCs w:val="24"/>
              </w:rPr>
              <w:t>7日)。</w:t>
            </w:r>
          </w:p>
          <w:p>
            <w:pPr>
              <w:keepNext w:val="0"/>
              <w:keepLines w:val="0"/>
              <w:widowControl w:val="0"/>
              <w:suppressLineNumbers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(3)监测方法</w:t>
            </w:r>
          </w:p>
          <w:p>
            <w:pPr>
              <w:keepNext w:val="0"/>
              <w:keepLines w:val="0"/>
              <w:widowControl w:val="0"/>
              <w:suppressLineNumbers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工频电场、工频磁场按《交流输变电工程电磁环境监测方法(试行)》(HJ 681-2013)进行。</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(4)监测条件</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202</w:t>
            </w:r>
            <w:r>
              <w:rPr>
                <w:rFonts w:hint="eastAsia" w:ascii="Times New Roman"/>
                <w:sz w:val="24"/>
                <w:szCs w:val="24"/>
              </w:rPr>
              <w:t>4</w:t>
            </w:r>
            <w:r>
              <w:rPr>
                <w:rFonts w:ascii="Times New Roman"/>
                <w:sz w:val="24"/>
                <w:szCs w:val="24"/>
              </w:rPr>
              <w:t>年1</w:t>
            </w:r>
            <w:r>
              <w:rPr>
                <w:rFonts w:hint="eastAsia" w:ascii="Times New Roman"/>
                <w:sz w:val="24"/>
                <w:szCs w:val="24"/>
              </w:rPr>
              <w:t>0</w:t>
            </w:r>
            <w:r>
              <w:rPr>
                <w:rFonts w:ascii="Times New Roman"/>
                <w:sz w:val="24"/>
                <w:szCs w:val="24"/>
              </w:rPr>
              <w:t>月</w:t>
            </w:r>
            <w:r>
              <w:rPr>
                <w:rFonts w:hint="eastAsia" w:ascii="Times New Roman"/>
                <w:sz w:val="24"/>
                <w:szCs w:val="24"/>
              </w:rPr>
              <w:t>14</w:t>
            </w:r>
            <w:r>
              <w:rPr>
                <w:rFonts w:ascii="Times New Roman"/>
                <w:sz w:val="24"/>
                <w:szCs w:val="24"/>
              </w:rPr>
              <w:t>日。</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天气状况：</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无雨无雪，昼</w:t>
            </w:r>
            <w:r>
              <w:rPr>
                <w:rFonts w:hint="eastAsia" w:ascii="Times New Roman"/>
                <w:sz w:val="24"/>
                <w:szCs w:val="24"/>
              </w:rPr>
              <w:t>、夜</w:t>
            </w:r>
            <w:r>
              <w:rPr>
                <w:rFonts w:ascii="Times New Roman"/>
                <w:sz w:val="24"/>
                <w:szCs w:val="24"/>
              </w:rPr>
              <w:t>间：环境温度</w:t>
            </w:r>
            <w:r>
              <w:rPr>
                <w:rFonts w:hint="eastAsia" w:ascii="Times New Roman"/>
                <w:sz w:val="24"/>
                <w:szCs w:val="24"/>
              </w:rPr>
              <w:t>(16.6</w:t>
            </w:r>
            <w:r>
              <w:rPr>
                <w:rFonts w:ascii="Times New Roman"/>
                <w:sz w:val="24"/>
                <w:szCs w:val="24"/>
              </w:rPr>
              <w:t>～</w:t>
            </w:r>
            <w:r>
              <w:rPr>
                <w:rFonts w:hint="eastAsia" w:ascii="Times New Roman"/>
                <w:sz w:val="24"/>
                <w:szCs w:val="24"/>
              </w:rPr>
              <w:t>22.1</w:t>
            </w:r>
            <w:r>
              <w:rPr>
                <w:rFonts w:ascii="Times New Roman"/>
                <w:sz w:val="24"/>
                <w:szCs w:val="24"/>
              </w:rPr>
              <w:t>)℃；相对湿度：(</w:t>
            </w:r>
            <w:r>
              <w:rPr>
                <w:rFonts w:hint="eastAsia" w:ascii="Times New Roman"/>
                <w:sz w:val="24"/>
                <w:szCs w:val="24"/>
              </w:rPr>
              <w:t>53</w:t>
            </w:r>
            <w:r>
              <w:rPr>
                <w:rFonts w:ascii="Times New Roman"/>
                <w:sz w:val="24"/>
                <w:szCs w:val="24"/>
              </w:rPr>
              <w:t>~</w:t>
            </w:r>
            <w:r>
              <w:rPr>
                <w:rFonts w:hint="eastAsia" w:ascii="Times New Roman"/>
                <w:sz w:val="24"/>
                <w:szCs w:val="24"/>
              </w:rPr>
              <w:t>55</w:t>
            </w:r>
            <w:r>
              <w:rPr>
                <w:rFonts w:ascii="Times New Roman"/>
                <w:sz w:val="24"/>
                <w:szCs w:val="24"/>
              </w:rPr>
              <w:t>)%；风速为(</w:t>
            </w:r>
            <w:r>
              <w:rPr>
                <w:rFonts w:hint="eastAsia" w:ascii="Times New Roman"/>
                <w:sz w:val="24"/>
                <w:szCs w:val="24"/>
              </w:rPr>
              <w:t>0.66</w:t>
            </w:r>
            <w:r>
              <w:rPr>
                <w:rFonts w:ascii="Times New Roman"/>
                <w:sz w:val="24"/>
                <w:szCs w:val="24"/>
              </w:rPr>
              <w:t>~1.</w:t>
            </w:r>
            <w:r>
              <w:rPr>
                <w:rFonts w:hint="eastAsia" w:ascii="Times New Roman"/>
                <w:sz w:val="24"/>
                <w:szCs w:val="24"/>
              </w:rPr>
              <w:t>89</w:t>
            </w:r>
            <w:r>
              <w:rPr>
                <w:rFonts w:ascii="Times New Roman"/>
                <w:sz w:val="24"/>
                <w:szCs w:val="24"/>
              </w:rPr>
              <w:t>)m/s；</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(5)监测频次</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一次。</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(6)监测测点位及结果</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本项目对升压站站址处进行布点监测，监测点位设置具有代表性。项目监测布点及监测结果见表3-3。</w:t>
            </w:r>
          </w:p>
          <w:p>
            <w:pPr>
              <w:keepNext w:val="0"/>
              <w:keepLines w:val="0"/>
              <w:widowControl w:val="0"/>
              <w:suppressLineNumbers w:val="0"/>
              <w:spacing w:before="0" w:beforeAutospacing="0" w:after="0" w:afterAutospacing="0" w:line="360" w:lineRule="auto"/>
              <w:ind w:left="0" w:right="0"/>
              <w:jc w:val="center"/>
              <w:rPr>
                <w:rFonts w:ascii="Times New Roman"/>
                <w:b/>
                <w:bCs/>
                <w:sz w:val="24"/>
                <w:szCs w:val="24"/>
              </w:rPr>
            </w:pPr>
            <w:r>
              <w:rPr>
                <w:rFonts w:ascii="Times New Roman"/>
                <w:b/>
                <w:bCs/>
                <w:sz w:val="24"/>
                <w:szCs w:val="24"/>
              </w:rPr>
              <w:t>表3-3  升压站电磁环境监测点位及监测结果</w:t>
            </w:r>
          </w:p>
          <w:tbl>
            <w:tblPr>
              <w:tblStyle w:val="54"/>
              <w:tblW w:w="432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94"/>
              <w:gridCol w:w="1608"/>
              <w:gridCol w:w="1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Align w:val="center"/>
                </w:tcPr>
                <w:p>
                  <w:pPr>
                    <w:keepNext w:val="0"/>
                    <w:keepLines w:val="0"/>
                    <w:widowControl w:val="0"/>
                    <w:suppressLineNumbers w:val="0"/>
                    <w:snapToGrid w:val="0"/>
                    <w:spacing w:before="0" w:beforeAutospacing="0" w:after="0" w:afterAutospacing="0"/>
                    <w:ind w:left="0" w:right="0"/>
                    <w:jc w:val="center"/>
                    <w:rPr>
                      <w:rFonts w:ascii="Times New Roman"/>
                      <w:b/>
                    </w:rPr>
                  </w:pPr>
                  <w:r>
                    <w:rPr>
                      <w:rFonts w:ascii="Times New Roman"/>
                      <w:b/>
                    </w:rPr>
                    <w:t>序号</w:t>
                  </w:r>
                </w:p>
              </w:tc>
              <w:tc>
                <w:tcPr>
                  <w:tcW w:w="1971" w:type="pct"/>
                  <w:vAlign w:val="center"/>
                </w:tcPr>
                <w:p>
                  <w:pPr>
                    <w:keepNext w:val="0"/>
                    <w:keepLines w:val="0"/>
                    <w:widowControl w:val="0"/>
                    <w:suppressLineNumbers w:val="0"/>
                    <w:snapToGrid w:val="0"/>
                    <w:spacing w:before="0" w:beforeAutospacing="0" w:after="0" w:afterAutospacing="0"/>
                    <w:ind w:left="0" w:right="0"/>
                    <w:jc w:val="center"/>
                    <w:rPr>
                      <w:rFonts w:ascii="Times New Roman"/>
                      <w:b/>
                    </w:rPr>
                  </w:pPr>
                  <w:r>
                    <w:rPr>
                      <w:rFonts w:ascii="Times New Roman"/>
                      <w:b/>
                    </w:rPr>
                    <w:t>方位</w:t>
                  </w:r>
                </w:p>
              </w:tc>
              <w:tc>
                <w:tcPr>
                  <w:tcW w:w="1134" w:type="pct"/>
                  <w:vAlign w:val="center"/>
                </w:tcPr>
                <w:p>
                  <w:pPr>
                    <w:keepNext w:val="0"/>
                    <w:keepLines w:val="0"/>
                    <w:widowControl w:val="0"/>
                    <w:suppressLineNumbers w:val="0"/>
                    <w:snapToGrid w:val="0"/>
                    <w:spacing w:before="0" w:beforeAutospacing="0" w:after="0" w:afterAutospacing="0"/>
                    <w:ind w:left="0" w:right="0"/>
                    <w:jc w:val="center"/>
                    <w:rPr>
                      <w:rFonts w:ascii="Times New Roman"/>
                      <w:b/>
                    </w:rPr>
                  </w:pPr>
                  <w:r>
                    <w:rPr>
                      <w:rFonts w:ascii="Times New Roman"/>
                      <w:b/>
                    </w:rPr>
                    <w:t>工频电场强度(V/m)</w:t>
                  </w:r>
                </w:p>
              </w:tc>
              <w:tc>
                <w:tcPr>
                  <w:tcW w:w="1371" w:type="pct"/>
                  <w:vAlign w:val="center"/>
                </w:tcPr>
                <w:p>
                  <w:pPr>
                    <w:keepNext w:val="0"/>
                    <w:keepLines w:val="0"/>
                    <w:widowControl w:val="0"/>
                    <w:suppressLineNumbers w:val="0"/>
                    <w:snapToGrid w:val="0"/>
                    <w:spacing w:before="0" w:beforeAutospacing="0" w:after="0" w:afterAutospacing="0"/>
                    <w:ind w:left="0" w:right="0"/>
                    <w:jc w:val="center"/>
                    <w:rPr>
                      <w:rFonts w:ascii="Times New Roman"/>
                      <w:b/>
                    </w:rPr>
                  </w:pPr>
                  <w:r>
                    <w:rPr>
                      <w:rFonts w:ascii="Times New Roman"/>
                      <w:b/>
                    </w:rPr>
                    <w:t>工频磁感应强度(μT)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Align w:val="center"/>
                </w:tcPr>
                <w:p>
                  <w:pPr>
                    <w:keepNext w:val="0"/>
                    <w:keepLines w:val="0"/>
                    <w:widowControl w:val="0"/>
                    <w:suppressLineNumbers w:val="0"/>
                    <w:spacing w:before="0" w:beforeAutospacing="0" w:after="0" w:afterAutospacing="0"/>
                    <w:ind w:left="0" w:right="0"/>
                    <w:jc w:val="center"/>
                    <w:rPr>
                      <w:rFonts w:ascii="Times New Roman"/>
                    </w:rPr>
                  </w:pPr>
                  <w:r>
                    <w:rPr>
                      <w:rFonts w:ascii="Times New Roman"/>
                    </w:rPr>
                    <w:t>1</w:t>
                  </w:r>
                </w:p>
              </w:tc>
              <w:tc>
                <w:tcPr>
                  <w:tcW w:w="1971"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ascii="Times New Roman"/>
                    </w:rPr>
                    <w:t>拟建升压站站址</w:t>
                  </w:r>
                  <w:r>
                    <w:rPr>
                      <w:rFonts w:hint="eastAsia" w:ascii="Times New Roman"/>
                    </w:rPr>
                    <w:t>东</w:t>
                  </w:r>
                  <w:r>
                    <w:rPr>
                      <w:rFonts w:ascii="Times New Roman"/>
                    </w:rPr>
                    <w:t>侧</w:t>
                  </w:r>
                </w:p>
              </w:tc>
              <w:tc>
                <w:tcPr>
                  <w:tcW w:w="1608" w:type="dxa"/>
                  <w:vAlign w:val="center"/>
                </w:tcPr>
                <w:p>
                  <w:pPr>
                    <w:keepNext w:val="0"/>
                    <w:keepLines w:val="0"/>
                    <w:widowControl/>
                    <w:suppressLineNumbers w:val="0"/>
                    <w:spacing w:before="0" w:beforeAutospacing="0" w:after="0" w:afterAutospacing="0" w:line="360" w:lineRule="auto"/>
                    <w:ind w:left="0" w:right="0"/>
                    <w:jc w:val="center"/>
                    <w:rPr>
                      <w:rFonts w:ascii="Times New Roman"/>
                      <w:sz w:val="18"/>
                      <w:szCs w:val="18"/>
                    </w:rPr>
                  </w:pPr>
                  <w:r>
                    <w:rPr>
                      <w:rFonts w:hint="eastAsia" w:hAnsi="宋体" w:cs="宋体"/>
                      <w:bCs/>
                      <w:sz w:val="18"/>
                      <w:szCs w:val="18"/>
                    </w:rPr>
                    <w:t>4.513</w:t>
                  </w:r>
                </w:p>
              </w:tc>
              <w:tc>
                <w:tcPr>
                  <w:tcW w:w="1944" w:type="dxa"/>
                  <w:vAlign w:val="center"/>
                </w:tcPr>
                <w:p>
                  <w:pPr>
                    <w:keepNext w:val="0"/>
                    <w:keepLines w:val="0"/>
                    <w:widowControl/>
                    <w:suppressLineNumbers w:val="0"/>
                    <w:spacing w:before="0" w:beforeAutospacing="0" w:after="0" w:afterAutospacing="0" w:line="360" w:lineRule="auto"/>
                    <w:ind w:left="0" w:right="0"/>
                    <w:jc w:val="center"/>
                    <w:rPr>
                      <w:rFonts w:ascii="Times New Roman"/>
                      <w:sz w:val="18"/>
                      <w:szCs w:val="18"/>
                    </w:rPr>
                  </w:pPr>
                  <w:r>
                    <w:rPr>
                      <w:rFonts w:hint="eastAsia" w:hAnsi="宋体" w:cs="宋体"/>
                      <w:bCs/>
                      <w:sz w:val="18"/>
                      <w:szCs w:val="18"/>
                    </w:rPr>
                    <w:t>0.0130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Align w:val="center"/>
                </w:tcPr>
                <w:p>
                  <w:pPr>
                    <w:keepNext w:val="0"/>
                    <w:keepLines w:val="0"/>
                    <w:widowControl w:val="0"/>
                    <w:suppressLineNumbers w:val="0"/>
                    <w:spacing w:before="0" w:beforeAutospacing="0" w:after="0" w:afterAutospacing="0"/>
                    <w:ind w:left="0" w:right="0"/>
                    <w:jc w:val="center"/>
                    <w:rPr>
                      <w:rFonts w:ascii="Times New Roman"/>
                    </w:rPr>
                  </w:pPr>
                  <w:r>
                    <w:rPr>
                      <w:rFonts w:ascii="Times New Roman"/>
                    </w:rPr>
                    <w:t>2</w:t>
                  </w:r>
                </w:p>
              </w:tc>
              <w:tc>
                <w:tcPr>
                  <w:tcW w:w="1971"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ascii="Times New Roman"/>
                    </w:rPr>
                    <w:t>拟建升压站站址南侧</w:t>
                  </w:r>
                </w:p>
              </w:tc>
              <w:tc>
                <w:tcPr>
                  <w:tcW w:w="1608" w:type="dxa"/>
                  <w:vAlign w:val="center"/>
                </w:tcPr>
                <w:p>
                  <w:pPr>
                    <w:keepNext w:val="0"/>
                    <w:keepLines w:val="0"/>
                    <w:widowControl/>
                    <w:suppressLineNumbers w:val="0"/>
                    <w:spacing w:before="0" w:beforeAutospacing="0" w:after="0" w:afterAutospacing="0" w:line="360" w:lineRule="auto"/>
                    <w:ind w:left="0" w:right="0"/>
                    <w:jc w:val="center"/>
                    <w:rPr>
                      <w:rFonts w:ascii="Times New Roman"/>
                      <w:sz w:val="18"/>
                      <w:szCs w:val="18"/>
                    </w:rPr>
                  </w:pPr>
                  <w:r>
                    <w:rPr>
                      <w:rFonts w:hint="eastAsia" w:hAnsi="宋体" w:cs="宋体"/>
                      <w:bCs/>
                      <w:sz w:val="18"/>
                      <w:szCs w:val="18"/>
                    </w:rPr>
                    <w:t>5.276</w:t>
                  </w:r>
                </w:p>
              </w:tc>
              <w:tc>
                <w:tcPr>
                  <w:tcW w:w="1944" w:type="dxa"/>
                  <w:vAlign w:val="center"/>
                </w:tcPr>
                <w:p>
                  <w:pPr>
                    <w:keepNext w:val="0"/>
                    <w:keepLines w:val="0"/>
                    <w:widowControl/>
                    <w:suppressLineNumbers w:val="0"/>
                    <w:spacing w:before="0" w:beforeAutospacing="0" w:after="0" w:afterAutospacing="0" w:line="360" w:lineRule="auto"/>
                    <w:ind w:left="0" w:right="0"/>
                    <w:jc w:val="center"/>
                    <w:rPr>
                      <w:rFonts w:ascii="Times New Roman"/>
                      <w:sz w:val="18"/>
                      <w:szCs w:val="18"/>
                    </w:rPr>
                  </w:pPr>
                  <w:r>
                    <w:rPr>
                      <w:rFonts w:hint="eastAsia" w:hAnsi="宋体" w:cs="宋体"/>
                      <w:bCs/>
                      <w:sz w:val="18"/>
                      <w:szCs w:val="18"/>
                    </w:rPr>
                    <w:t>0.0137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Align w:val="center"/>
                </w:tcPr>
                <w:p>
                  <w:pPr>
                    <w:keepNext w:val="0"/>
                    <w:keepLines w:val="0"/>
                    <w:widowControl w:val="0"/>
                    <w:suppressLineNumbers w:val="0"/>
                    <w:spacing w:before="0" w:beforeAutospacing="0" w:after="0" w:afterAutospacing="0"/>
                    <w:ind w:left="0" w:right="0"/>
                    <w:jc w:val="center"/>
                    <w:rPr>
                      <w:rFonts w:ascii="Times New Roman"/>
                    </w:rPr>
                  </w:pPr>
                  <w:r>
                    <w:rPr>
                      <w:rFonts w:ascii="Times New Roman"/>
                    </w:rPr>
                    <w:t>3</w:t>
                  </w:r>
                </w:p>
              </w:tc>
              <w:tc>
                <w:tcPr>
                  <w:tcW w:w="1971"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ascii="Times New Roman"/>
                    </w:rPr>
                    <w:t>拟建升压站站址</w:t>
                  </w:r>
                  <w:r>
                    <w:rPr>
                      <w:rFonts w:hint="eastAsia" w:ascii="Times New Roman"/>
                    </w:rPr>
                    <w:t>西</w:t>
                  </w:r>
                  <w:r>
                    <w:rPr>
                      <w:rFonts w:ascii="Times New Roman"/>
                    </w:rPr>
                    <w:t>侧</w:t>
                  </w:r>
                </w:p>
              </w:tc>
              <w:tc>
                <w:tcPr>
                  <w:tcW w:w="1608" w:type="dxa"/>
                  <w:vAlign w:val="center"/>
                </w:tcPr>
                <w:p>
                  <w:pPr>
                    <w:keepNext w:val="0"/>
                    <w:keepLines w:val="0"/>
                    <w:widowControl/>
                    <w:suppressLineNumbers w:val="0"/>
                    <w:spacing w:before="0" w:beforeAutospacing="0" w:after="0" w:afterAutospacing="0" w:line="360" w:lineRule="auto"/>
                    <w:ind w:left="0" w:right="0"/>
                    <w:jc w:val="center"/>
                    <w:rPr>
                      <w:rFonts w:ascii="Times New Roman"/>
                      <w:sz w:val="18"/>
                      <w:szCs w:val="18"/>
                    </w:rPr>
                  </w:pPr>
                  <w:r>
                    <w:rPr>
                      <w:rFonts w:hint="eastAsia" w:hAnsi="宋体" w:cs="宋体"/>
                      <w:bCs/>
                      <w:sz w:val="18"/>
                      <w:szCs w:val="18"/>
                    </w:rPr>
                    <w:t>4.360</w:t>
                  </w:r>
                </w:p>
              </w:tc>
              <w:tc>
                <w:tcPr>
                  <w:tcW w:w="1944" w:type="dxa"/>
                  <w:vAlign w:val="center"/>
                </w:tcPr>
                <w:p>
                  <w:pPr>
                    <w:keepNext w:val="0"/>
                    <w:keepLines w:val="0"/>
                    <w:widowControl/>
                    <w:suppressLineNumbers w:val="0"/>
                    <w:spacing w:before="0" w:beforeAutospacing="0" w:after="0" w:afterAutospacing="0" w:line="360" w:lineRule="auto"/>
                    <w:ind w:left="0" w:right="0"/>
                    <w:jc w:val="center"/>
                    <w:rPr>
                      <w:rFonts w:ascii="Times New Roman"/>
                      <w:sz w:val="18"/>
                      <w:szCs w:val="18"/>
                    </w:rPr>
                  </w:pPr>
                  <w:r>
                    <w:rPr>
                      <w:rFonts w:hint="eastAsia" w:hAnsi="宋体" w:cs="宋体"/>
                      <w:bCs/>
                      <w:sz w:val="18"/>
                      <w:szCs w:val="18"/>
                    </w:rPr>
                    <w:t>0.0137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Align w:val="center"/>
                </w:tcPr>
                <w:p>
                  <w:pPr>
                    <w:keepNext w:val="0"/>
                    <w:keepLines w:val="0"/>
                    <w:widowControl w:val="0"/>
                    <w:suppressLineNumbers w:val="0"/>
                    <w:spacing w:before="0" w:beforeAutospacing="0" w:after="0" w:afterAutospacing="0"/>
                    <w:ind w:left="0" w:right="0"/>
                    <w:jc w:val="center"/>
                    <w:rPr>
                      <w:rFonts w:ascii="Times New Roman"/>
                    </w:rPr>
                  </w:pPr>
                  <w:r>
                    <w:rPr>
                      <w:rFonts w:ascii="Times New Roman"/>
                    </w:rPr>
                    <w:t>4</w:t>
                  </w:r>
                </w:p>
              </w:tc>
              <w:tc>
                <w:tcPr>
                  <w:tcW w:w="1971"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ascii="Times New Roman"/>
                    </w:rPr>
                    <w:t>拟建升压站站址北侧</w:t>
                  </w:r>
                </w:p>
              </w:tc>
              <w:tc>
                <w:tcPr>
                  <w:tcW w:w="1608" w:type="dxa"/>
                  <w:vAlign w:val="center"/>
                </w:tcPr>
                <w:p>
                  <w:pPr>
                    <w:keepNext w:val="0"/>
                    <w:keepLines w:val="0"/>
                    <w:widowControl/>
                    <w:suppressLineNumbers w:val="0"/>
                    <w:spacing w:before="0" w:beforeAutospacing="0" w:after="0" w:afterAutospacing="0" w:line="360" w:lineRule="auto"/>
                    <w:ind w:left="0" w:right="0"/>
                    <w:jc w:val="center"/>
                    <w:rPr>
                      <w:rFonts w:ascii="Times New Roman"/>
                      <w:sz w:val="18"/>
                      <w:szCs w:val="18"/>
                    </w:rPr>
                  </w:pPr>
                  <w:r>
                    <w:rPr>
                      <w:rFonts w:hint="eastAsia" w:hAnsi="宋体" w:cs="宋体"/>
                      <w:bCs/>
                      <w:sz w:val="18"/>
                      <w:szCs w:val="18"/>
                    </w:rPr>
                    <w:t>3.380</w:t>
                  </w:r>
                </w:p>
              </w:tc>
              <w:tc>
                <w:tcPr>
                  <w:tcW w:w="1944" w:type="dxa"/>
                  <w:vAlign w:val="center"/>
                </w:tcPr>
                <w:p>
                  <w:pPr>
                    <w:keepNext w:val="0"/>
                    <w:keepLines w:val="0"/>
                    <w:widowControl/>
                    <w:suppressLineNumbers w:val="0"/>
                    <w:spacing w:before="0" w:beforeAutospacing="0" w:after="0" w:afterAutospacing="0" w:line="360" w:lineRule="auto"/>
                    <w:ind w:left="0" w:right="0"/>
                    <w:jc w:val="center"/>
                    <w:rPr>
                      <w:rFonts w:ascii="Times New Roman"/>
                      <w:sz w:val="18"/>
                      <w:szCs w:val="18"/>
                    </w:rPr>
                  </w:pPr>
                  <w:r>
                    <w:rPr>
                      <w:rFonts w:hint="eastAsia" w:hAnsi="宋体" w:cs="宋体"/>
                      <w:bCs/>
                      <w:sz w:val="18"/>
                      <w:szCs w:val="18"/>
                    </w:rPr>
                    <w:t>0.0141</w:t>
                  </w:r>
                </w:p>
              </w:tc>
            </w:tr>
          </w:tbl>
          <w:p>
            <w:pPr>
              <w:keepNext w:val="0"/>
              <w:keepLines w:val="0"/>
              <w:widowControl w:val="0"/>
              <w:suppressLineNumbers w:val="0"/>
              <w:spacing w:before="120" w:beforeLines="50" w:beforeAutospacing="0" w:after="0" w:afterAutospacing="0" w:line="360" w:lineRule="auto"/>
              <w:ind w:left="0" w:right="0" w:firstLine="480" w:firstLineChars="200"/>
              <w:rPr>
                <w:rFonts w:ascii="Times New Roman"/>
                <w:b/>
                <w:bCs/>
                <w:sz w:val="24"/>
                <w:szCs w:val="24"/>
              </w:rPr>
            </w:pPr>
            <w:r>
              <w:rPr>
                <w:rFonts w:ascii="Times New Roman"/>
                <w:sz w:val="24"/>
                <w:szCs w:val="24"/>
              </w:rPr>
              <w:t>根据表3-3监测结果分析，</w:t>
            </w:r>
            <w:bookmarkStart w:id="26" w:name="_Hlk82812178"/>
            <w:r>
              <w:rPr>
                <w:rFonts w:ascii="Times New Roman"/>
                <w:sz w:val="24"/>
                <w:szCs w:val="24"/>
              </w:rPr>
              <w:t>拟建站址处工频</w:t>
            </w:r>
            <w:r>
              <w:rPr>
                <w:rFonts w:ascii="Times New Roman"/>
                <w:bCs/>
                <w:sz w:val="24"/>
                <w:szCs w:val="24"/>
              </w:rPr>
              <w:t>电场强度为(</w:t>
            </w:r>
            <w:r>
              <w:rPr>
                <w:rFonts w:hint="eastAsia" w:ascii="Times New Roman"/>
                <w:bCs/>
                <w:sz w:val="24"/>
                <w:szCs w:val="24"/>
              </w:rPr>
              <w:t>3.380</w:t>
            </w:r>
            <w:r>
              <w:rPr>
                <w:rFonts w:ascii="Times New Roman"/>
                <w:bCs/>
                <w:sz w:val="24"/>
                <w:szCs w:val="24"/>
              </w:rPr>
              <w:t>~</w:t>
            </w:r>
            <w:r>
              <w:rPr>
                <w:rFonts w:hint="eastAsia" w:ascii="Times New Roman"/>
                <w:bCs/>
                <w:sz w:val="24"/>
                <w:szCs w:val="24"/>
              </w:rPr>
              <w:t>5.276</w:t>
            </w:r>
            <w:r>
              <w:rPr>
                <w:rFonts w:ascii="Times New Roman"/>
                <w:bCs/>
                <w:sz w:val="24"/>
                <w:szCs w:val="24"/>
              </w:rPr>
              <w:t>)V/m，符合《电磁环境控制限值》(GB 8702-2014)规定的工频电场强度4kV/m公众</w:t>
            </w:r>
            <w:r>
              <w:rPr>
                <w:rFonts w:hint="eastAsia" w:ascii="Times New Roman"/>
                <w:bCs/>
                <w:sz w:val="24"/>
                <w:szCs w:val="24"/>
              </w:rPr>
              <w:t>暴露</w:t>
            </w:r>
            <w:r>
              <w:rPr>
                <w:rFonts w:ascii="Times New Roman"/>
                <w:bCs/>
                <w:sz w:val="24"/>
                <w:szCs w:val="24"/>
              </w:rPr>
              <w:t>控制限值要求；工频磁感应强度为(0.013~0.01</w:t>
            </w:r>
            <w:r>
              <w:rPr>
                <w:rFonts w:hint="eastAsia" w:ascii="Times New Roman"/>
                <w:bCs/>
                <w:sz w:val="24"/>
                <w:szCs w:val="24"/>
              </w:rPr>
              <w:t>41）</w:t>
            </w:r>
            <w:r>
              <w:rPr>
                <w:rFonts w:ascii="Times New Roman"/>
                <w:bCs/>
                <w:sz w:val="24"/>
                <w:szCs w:val="24"/>
              </w:rPr>
              <w:t>μT，符合《电磁环境控制限值》(GB 8702-2014)工频磁感应强度100μT公众</w:t>
            </w:r>
            <w:r>
              <w:rPr>
                <w:rFonts w:hint="eastAsia" w:ascii="Times New Roman"/>
                <w:bCs/>
                <w:sz w:val="24"/>
                <w:szCs w:val="24"/>
              </w:rPr>
              <w:t>暴露</w:t>
            </w:r>
            <w:r>
              <w:rPr>
                <w:rFonts w:ascii="Times New Roman"/>
                <w:bCs/>
                <w:sz w:val="24"/>
                <w:szCs w:val="24"/>
              </w:rPr>
              <w:t>控制限值要求。</w:t>
            </w:r>
            <w:bookmarkEnd w:id="26"/>
          </w:p>
          <w:p>
            <w:pPr>
              <w:keepNext w:val="0"/>
              <w:keepLines w:val="0"/>
              <w:widowControl w:val="0"/>
              <w:suppressLineNumbers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rPr>
              <w:t>8、</w:t>
            </w:r>
            <w:r>
              <w:rPr>
                <w:rFonts w:ascii="Times New Roman"/>
                <w:b/>
                <w:bCs/>
                <w:sz w:val="24"/>
                <w:szCs w:val="24"/>
              </w:rPr>
              <w:t>声环境质量现状</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为了解项目升压站选址处声环境质量现状，</w:t>
            </w:r>
            <w:r>
              <w:rPr>
                <w:rFonts w:hint="eastAsia" w:ascii="Times New Roman"/>
                <w:sz w:val="24"/>
                <w:szCs w:val="24"/>
              </w:rPr>
              <w:t>建设单位</w:t>
            </w:r>
            <w:r>
              <w:rPr>
                <w:rFonts w:ascii="Times New Roman"/>
                <w:sz w:val="24"/>
                <w:szCs w:val="24"/>
              </w:rPr>
              <w:t>委托</w:t>
            </w:r>
            <w:r>
              <w:rPr>
                <w:rFonts w:hint="eastAsia" w:ascii="Times New Roman"/>
                <w:sz w:val="24"/>
                <w:szCs w:val="24"/>
              </w:rPr>
              <w:t>河北省华川检验检测技术服务</w:t>
            </w:r>
            <w:r>
              <w:rPr>
                <w:rFonts w:ascii="Times New Roman"/>
                <w:sz w:val="24"/>
                <w:szCs w:val="24"/>
              </w:rPr>
              <w:t>有限公司对本项目电磁环境现状进行了监测，监测报告编号为：</w:t>
            </w:r>
            <w:r>
              <w:rPr>
                <w:rFonts w:hint="eastAsia" w:ascii="Times New Roman"/>
                <w:sz w:val="24"/>
                <w:szCs w:val="24"/>
              </w:rPr>
              <w:t>HBHC检</w:t>
            </w:r>
            <w:r>
              <w:rPr>
                <w:rFonts w:ascii="Times New Roman"/>
                <w:sz w:val="24"/>
                <w:szCs w:val="24"/>
              </w:rPr>
              <w:t>字(202</w:t>
            </w:r>
            <w:r>
              <w:rPr>
                <w:rFonts w:hint="eastAsia" w:ascii="Times New Roman"/>
                <w:sz w:val="24"/>
                <w:szCs w:val="24"/>
              </w:rPr>
              <w:t>4</w:t>
            </w:r>
            <w:r>
              <w:rPr>
                <w:rFonts w:ascii="Times New Roman"/>
                <w:sz w:val="24"/>
                <w:szCs w:val="24"/>
              </w:rPr>
              <w:t>)第</w:t>
            </w:r>
            <w:r>
              <w:rPr>
                <w:rFonts w:hint="eastAsia" w:ascii="Times New Roman"/>
                <w:sz w:val="24"/>
                <w:szCs w:val="24"/>
              </w:rPr>
              <w:t>399</w:t>
            </w:r>
            <w:r>
              <w:rPr>
                <w:rFonts w:ascii="Times New Roman"/>
                <w:sz w:val="24"/>
                <w:szCs w:val="24"/>
              </w:rPr>
              <w:t>号。</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(1)监测因子</w:t>
            </w:r>
          </w:p>
          <w:p>
            <w:pPr>
              <w:pStyle w:val="27"/>
              <w:keepNext w:val="0"/>
              <w:keepLines w:val="0"/>
              <w:widowControl w:val="0"/>
              <w:suppressLineNumbers w:val="0"/>
              <w:spacing w:before="0" w:beforeAutospacing="0" w:after="0" w:afterAutospacing="0" w:line="360" w:lineRule="auto"/>
              <w:ind w:left="0" w:leftChars="0" w:right="0" w:firstLine="480" w:firstLineChars="200"/>
              <w:rPr>
                <w:rFonts w:ascii="Times New Roman"/>
                <w:sz w:val="24"/>
                <w:szCs w:val="24"/>
              </w:rPr>
            </w:pPr>
            <w:r>
              <w:rPr>
                <w:rFonts w:ascii="Times New Roman"/>
                <w:sz w:val="24"/>
                <w:szCs w:val="24"/>
              </w:rPr>
              <w:t>昼间、夜间等效声级，</w:t>
            </w:r>
            <w:r>
              <w:rPr>
                <w:rFonts w:ascii="Times New Roman"/>
                <w:i/>
                <w:iCs/>
                <w:sz w:val="24"/>
                <w:szCs w:val="24"/>
              </w:rPr>
              <w:t>Leq</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(2)监测仪器</w:t>
            </w:r>
          </w:p>
          <w:p>
            <w:pPr>
              <w:keepNext w:val="0"/>
              <w:keepLines w:val="0"/>
              <w:widowControl w:val="0"/>
              <w:suppressLineNumbers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1)多功能声级计-型号:AWA6288+；编号DLYQ-40。主要技术指标:</w:t>
            </w:r>
            <w:r>
              <w:rPr>
                <w:rFonts w:hint="eastAsia" w:ascii="Times New Roman"/>
                <w:sz w:val="24"/>
                <w:szCs w:val="24"/>
              </w:rPr>
              <w:t>测量范围:低量程:(20-132)dBA，(25-132)dBC，(30-132)dBZ；高量程:(30-142)dBA，(35-142)dBC，(40-142)dBZ。(检定有效期至2025年07月31日)</w:t>
            </w:r>
            <w:r>
              <w:rPr>
                <w:rFonts w:ascii="Times New Roman"/>
                <w:sz w:val="24"/>
                <w:szCs w:val="24"/>
              </w:rPr>
              <w:t>；</w:t>
            </w:r>
          </w:p>
          <w:p>
            <w:pPr>
              <w:keepNext w:val="0"/>
              <w:keepLines w:val="0"/>
              <w:widowControl w:val="0"/>
              <w:suppressLineNumbers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2)风速仪-型号：ZRQF-F30J；编号DLYQ-35。主要技术指标:测量范围(0.05～30.0)m/s(校准日期202</w:t>
            </w:r>
            <w:r>
              <w:rPr>
                <w:rFonts w:hint="eastAsia" w:ascii="Times New Roman"/>
                <w:sz w:val="24"/>
                <w:szCs w:val="24"/>
              </w:rPr>
              <w:t>5</w:t>
            </w:r>
            <w:r>
              <w:rPr>
                <w:rFonts w:ascii="Times New Roman"/>
                <w:sz w:val="24"/>
                <w:szCs w:val="24"/>
              </w:rPr>
              <w:t>年01月</w:t>
            </w:r>
            <w:r>
              <w:rPr>
                <w:rFonts w:hint="eastAsia" w:ascii="Times New Roman"/>
                <w:sz w:val="24"/>
                <w:szCs w:val="24"/>
              </w:rPr>
              <w:t>17</w:t>
            </w:r>
            <w:r>
              <w:rPr>
                <w:rFonts w:ascii="Times New Roman"/>
                <w:sz w:val="24"/>
                <w:szCs w:val="24"/>
              </w:rPr>
              <w:t>日)；</w:t>
            </w:r>
          </w:p>
          <w:p>
            <w:pPr>
              <w:keepNext w:val="0"/>
              <w:keepLines w:val="0"/>
              <w:widowControl w:val="0"/>
              <w:suppressLineNumbers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3)温湿度表-型号:WHM5型；编号DLYQ-63。主要技术指标:量程范围:-20℃～+</w:t>
            </w:r>
            <w:r>
              <w:rPr>
                <w:rFonts w:hint="eastAsia" w:ascii="Times New Roman"/>
                <w:sz w:val="24"/>
                <w:szCs w:val="24"/>
              </w:rPr>
              <w:t>6</w:t>
            </w:r>
            <w:r>
              <w:rPr>
                <w:rFonts w:ascii="Times New Roman"/>
                <w:sz w:val="24"/>
                <w:szCs w:val="24"/>
              </w:rPr>
              <w:t>0℃(0～100%)RH(校准日期202</w:t>
            </w:r>
            <w:r>
              <w:rPr>
                <w:rFonts w:hint="eastAsia" w:ascii="Times New Roman"/>
                <w:sz w:val="24"/>
                <w:szCs w:val="24"/>
              </w:rPr>
              <w:t>5</w:t>
            </w:r>
            <w:r>
              <w:rPr>
                <w:rFonts w:ascii="Times New Roman"/>
                <w:sz w:val="24"/>
                <w:szCs w:val="24"/>
              </w:rPr>
              <w:t>年0</w:t>
            </w:r>
            <w:r>
              <w:rPr>
                <w:rFonts w:hint="eastAsia" w:ascii="Times New Roman"/>
                <w:sz w:val="24"/>
                <w:szCs w:val="24"/>
              </w:rPr>
              <w:t>5</w:t>
            </w:r>
            <w:r>
              <w:rPr>
                <w:rFonts w:ascii="Times New Roman"/>
                <w:sz w:val="24"/>
                <w:szCs w:val="24"/>
              </w:rPr>
              <w:t>月</w:t>
            </w:r>
            <w:r>
              <w:rPr>
                <w:rFonts w:hint="eastAsia" w:ascii="Times New Roman"/>
                <w:sz w:val="24"/>
                <w:szCs w:val="24"/>
              </w:rPr>
              <w:t>19</w:t>
            </w:r>
            <w:r>
              <w:rPr>
                <w:rFonts w:ascii="Times New Roman"/>
                <w:sz w:val="24"/>
                <w:szCs w:val="24"/>
              </w:rPr>
              <w:t>日)；</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4)</w:t>
            </w:r>
            <w:r>
              <w:rPr>
                <w:rFonts w:hint="eastAsia" w:ascii="Times New Roman"/>
                <w:sz w:val="24"/>
                <w:szCs w:val="24"/>
              </w:rPr>
              <w:t>声校准器-型号:AWA6221A；编号DLYQ-24。主要技术指标:声压级:94dB/114dB。(检定有效期至2025年07月31日)</w:t>
            </w:r>
            <w:r>
              <w:rPr>
                <w:rFonts w:ascii="Times New Roman"/>
                <w:sz w:val="24"/>
                <w:szCs w:val="24"/>
              </w:rPr>
              <w:t>。</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(3)监测方法</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按</w:t>
            </w:r>
            <w:r>
              <w:rPr>
                <w:rFonts w:ascii="Times New Roman"/>
                <w:bCs/>
                <w:sz w:val="24"/>
                <w:szCs w:val="24"/>
              </w:rPr>
              <w:t>《声环境质量标准》(GB 3096-2008)</w:t>
            </w:r>
            <w:r>
              <w:rPr>
                <w:rFonts w:ascii="Times New Roman"/>
                <w:sz w:val="24"/>
                <w:szCs w:val="24"/>
              </w:rPr>
              <w:t>进行。</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(4)监测条件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202</w:t>
            </w:r>
            <w:r>
              <w:rPr>
                <w:rFonts w:hint="eastAsia" w:ascii="Times New Roman"/>
                <w:sz w:val="24"/>
                <w:szCs w:val="24"/>
              </w:rPr>
              <w:t>4</w:t>
            </w:r>
            <w:r>
              <w:rPr>
                <w:rFonts w:ascii="Times New Roman"/>
                <w:sz w:val="24"/>
                <w:szCs w:val="24"/>
              </w:rPr>
              <w:t>年1</w:t>
            </w:r>
            <w:r>
              <w:rPr>
                <w:rFonts w:hint="eastAsia" w:ascii="Times New Roman"/>
                <w:sz w:val="24"/>
                <w:szCs w:val="24"/>
              </w:rPr>
              <w:t>0</w:t>
            </w:r>
            <w:r>
              <w:rPr>
                <w:rFonts w:ascii="Times New Roman"/>
                <w:sz w:val="24"/>
                <w:szCs w:val="24"/>
              </w:rPr>
              <w:t>月</w:t>
            </w:r>
            <w:r>
              <w:rPr>
                <w:rFonts w:hint="eastAsia" w:ascii="Times New Roman"/>
                <w:sz w:val="24"/>
                <w:szCs w:val="24"/>
              </w:rPr>
              <w:t>14</w:t>
            </w:r>
            <w:r>
              <w:rPr>
                <w:rFonts w:ascii="Times New Roman"/>
                <w:sz w:val="24"/>
                <w:szCs w:val="24"/>
              </w:rPr>
              <w:t>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天气状况：</w:t>
            </w:r>
          </w:p>
          <w:p>
            <w:pPr>
              <w:keepNext w:val="0"/>
              <w:keepLines w:val="0"/>
              <w:widowControl w:val="0"/>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无雨无雪，昼</w:t>
            </w:r>
            <w:r>
              <w:rPr>
                <w:rFonts w:hint="eastAsia" w:ascii="Times New Roman"/>
                <w:sz w:val="24"/>
                <w:szCs w:val="24"/>
              </w:rPr>
              <w:t>、夜</w:t>
            </w:r>
            <w:r>
              <w:rPr>
                <w:rFonts w:ascii="Times New Roman"/>
                <w:sz w:val="24"/>
                <w:szCs w:val="24"/>
              </w:rPr>
              <w:t>间：环境温度</w:t>
            </w:r>
            <w:r>
              <w:rPr>
                <w:rFonts w:hint="eastAsia" w:ascii="Times New Roman"/>
                <w:sz w:val="24"/>
                <w:szCs w:val="24"/>
              </w:rPr>
              <w:t>(16.6</w:t>
            </w:r>
            <w:r>
              <w:rPr>
                <w:rFonts w:ascii="Times New Roman"/>
                <w:sz w:val="24"/>
                <w:szCs w:val="24"/>
              </w:rPr>
              <w:t>～</w:t>
            </w:r>
            <w:r>
              <w:rPr>
                <w:rFonts w:hint="eastAsia" w:ascii="Times New Roman"/>
                <w:sz w:val="24"/>
                <w:szCs w:val="24"/>
              </w:rPr>
              <w:t>22.1</w:t>
            </w:r>
            <w:r>
              <w:rPr>
                <w:rFonts w:ascii="Times New Roman"/>
                <w:sz w:val="24"/>
                <w:szCs w:val="24"/>
              </w:rPr>
              <w:t>)℃；相对湿度：(</w:t>
            </w:r>
            <w:r>
              <w:rPr>
                <w:rFonts w:hint="eastAsia" w:ascii="Times New Roman"/>
                <w:sz w:val="24"/>
                <w:szCs w:val="24"/>
              </w:rPr>
              <w:t>53</w:t>
            </w:r>
            <w:r>
              <w:rPr>
                <w:rFonts w:ascii="Times New Roman"/>
                <w:sz w:val="24"/>
                <w:szCs w:val="24"/>
              </w:rPr>
              <w:t>~</w:t>
            </w:r>
            <w:r>
              <w:rPr>
                <w:rFonts w:hint="eastAsia" w:ascii="Times New Roman"/>
                <w:sz w:val="24"/>
                <w:szCs w:val="24"/>
              </w:rPr>
              <w:t>55</w:t>
            </w:r>
            <w:r>
              <w:rPr>
                <w:rFonts w:ascii="Times New Roman"/>
                <w:sz w:val="24"/>
                <w:szCs w:val="24"/>
              </w:rPr>
              <w:t>)%；风速为(</w:t>
            </w:r>
            <w:r>
              <w:rPr>
                <w:rFonts w:hint="eastAsia" w:ascii="Times New Roman"/>
                <w:sz w:val="24"/>
                <w:szCs w:val="24"/>
              </w:rPr>
              <w:t>0.66</w:t>
            </w:r>
            <w:r>
              <w:rPr>
                <w:rFonts w:ascii="Times New Roman"/>
                <w:sz w:val="24"/>
                <w:szCs w:val="24"/>
              </w:rPr>
              <w:t>~1.</w:t>
            </w:r>
            <w:r>
              <w:rPr>
                <w:rFonts w:hint="eastAsia" w:ascii="Times New Roman"/>
                <w:sz w:val="24"/>
                <w:szCs w:val="24"/>
              </w:rPr>
              <w:t>89</w:t>
            </w:r>
            <w:r>
              <w:rPr>
                <w:rFonts w:ascii="Times New Roman"/>
                <w:sz w:val="24"/>
                <w:szCs w:val="24"/>
              </w:rPr>
              <w:t>)m/s。</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(5)监测频次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昼间、夜间各监测一次。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(6)监测点位及监测结果</w:t>
            </w:r>
          </w:p>
          <w:p>
            <w:pPr>
              <w:keepNext w:val="0"/>
              <w:keepLines w:val="0"/>
              <w:widowControl w:val="0"/>
              <w:suppressLineNumbers w:val="0"/>
              <w:spacing w:before="0" w:beforeAutospacing="0" w:after="0" w:afterAutospacing="0" w:line="360" w:lineRule="auto"/>
              <w:ind w:left="0" w:right="0" w:firstLine="480" w:firstLineChars="200"/>
              <w:rPr>
                <w:rFonts w:ascii="Times New Roman"/>
                <w:b/>
                <w:bCs/>
                <w:sz w:val="24"/>
                <w:szCs w:val="24"/>
              </w:rPr>
            </w:pPr>
            <w:r>
              <w:rPr>
                <w:rFonts w:ascii="Times New Roman"/>
                <w:sz w:val="24"/>
                <w:szCs w:val="24"/>
              </w:rPr>
              <w:t>共设置</w:t>
            </w:r>
            <w:r>
              <w:rPr>
                <w:rFonts w:hint="eastAsia" w:ascii="Times New Roman"/>
                <w:sz w:val="24"/>
                <w:szCs w:val="24"/>
              </w:rPr>
              <w:t>4</w:t>
            </w:r>
            <w:r>
              <w:rPr>
                <w:rFonts w:ascii="Times New Roman"/>
                <w:sz w:val="24"/>
                <w:szCs w:val="24"/>
              </w:rPr>
              <w:t>个监测点位。具体监测点位及结果见表3-4。</w:t>
            </w:r>
          </w:p>
          <w:p>
            <w:pPr>
              <w:keepNext w:val="0"/>
              <w:keepLines w:val="0"/>
              <w:widowControl w:val="0"/>
              <w:suppressLineNumbers w:val="0"/>
              <w:spacing w:before="120" w:beforeLines="50" w:beforeAutospacing="0" w:after="0" w:afterAutospacing="0" w:line="360" w:lineRule="auto"/>
              <w:ind w:left="0" w:right="0"/>
              <w:jc w:val="center"/>
              <w:rPr>
                <w:rFonts w:ascii="Times New Roman"/>
                <w:b/>
                <w:bCs/>
                <w:sz w:val="24"/>
                <w:szCs w:val="24"/>
              </w:rPr>
            </w:pPr>
            <w:r>
              <w:rPr>
                <w:rFonts w:ascii="Times New Roman"/>
                <w:b/>
                <w:bCs/>
                <w:sz w:val="24"/>
                <w:szCs w:val="24"/>
              </w:rPr>
              <w:t>表3-4  现状监测点位噪声监测结果</w:t>
            </w:r>
          </w:p>
          <w:tbl>
            <w:tblPr>
              <w:tblStyle w:val="54"/>
              <w:tblW w:w="465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4584"/>
              <w:gridCol w:w="1104"/>
              <w:gridCol w:w="1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vAlign w:val="center"/>
                </w:tcPr>
                <w:p>
                  <w:pPr>
                    <w:keepNext w:val="0"/>
                    <w:keepLines w:val="0"/>
                    <w:widowControl w:val="0"/>
                    <w:suppressLineNumbers w:val="0"/>
                    <w:snapToGrid w:val="0"/>
                    <w:spacing w:before="0" w:beforeAutospacing="0" w:after="0" w:afterAutospacing="0"/>
                    <w:ind w:left="0" w:right="0"/>
                    <w:jc w:val="center"/>
                    <w:rPr>
                      <w:rFonts w:ascii="Times New Roman"/>
                      <w:b/>
                    </w:rPr>
                  </w:pPr>
                  <w:r>
                    <w:rPr>
                      <w:rFonts w:ascii="Times New Roman"/>
                      <w:b/>
                    </w:rPr>
                    <w:t>序号</w:t>
                  </w:r>
                </w:p>
              </w:tc>
              <w:tc>
                <w:tcPr>
                  <w:tcW w:w="2998" w:type="pct"/>
                  <w:vAlign w:val="center"/>
                </w:tcPr>
                <w:p>
                  <w:pPr>
                    <w:keepNext w:val="0"/>
                    <w:keepLines w:val="0"/>
                    <w:widowControl w:val="0"/>
                    <w:suppressLineNumbers w:val="0"/>
                    <w:snapToGrid w:val="0"/>
                    <w:spacing w:before="0" w:beforeAutospacing="0" w:after="0" w:afterAutospacing="0"/>
                    <w:ind w:left="0" w:right="0"/>
                    <w:jc w:val="center"/>
                    <w:rPr>
                      <w:rFonts w:ascii="Times New Roman"/>
                      <w:b/>
                    </w:rPr>
                  </w:pPr>
                  <w:r>
                    <w:rPr>
                      <w:rFonts w:ascii="Times New Roman"/>
                      <w:b/>
                    </w:rPr>
                    <w:t>监测点位</w:t>
                  </w:r>
                </w:p>
              </w:tc>
              <w:tc>
                <w:tcPr>
                  <w:tcW w:w="722" w:type="pct"/>
                  <w:vAlign w:val="center"/>
                </w:tcPr>
                <w:p>
                  <w:pPr>
                    <w:keepNext w:val="0"/>
                    <w:keepLines w:val="0"/>
                    <w:widowControl w:val="0"/>
                    <w:suppressLineNumbers w:val="0"/>
                    <w:spacing w:before="0" w:beforeAutospacing="0" w:after="0" w:afterAutospacing="0"/>
                    <w:ind w:left="0" w:right="0"/>
                    <w:jc w:val="center"/>
                    <w:rPr>
                      <w:rFonts w:ascii="Times New Roman"/>
                      <w:b/>
                    </w:rPr>
                  </w:pPr>
                  <w:r>
                    <w:rPr>
                      <w:rFonts w:ascii="Times New Roman"/>
                      <w:b/>
                    </w:rPr>
                    <w:t>昼间</w:t>
                  </w:r>
                </w:p>
                <w:p>
                  <w:pPr>
                    <w:keepNext w:val="0"/>
                    <w:keepLines w:val="0"/>
                    <w:widowControl w:val="0"/>
                    <w:suppressLineNumbers w:val="0"/>
                    <w:spacing w:before="0" w:beforeAutospacing="0" w:after="0" w:afterAutospacing="0"/>
                    <w:ind w:left="0" w:right="0"/>
                    <w:jc w:val="center"/>
                    <w:rPr>
                      <w:rFonts w:ascii="Times New Roman"/>
                      <w:b/>
                    </w:rPr>
                  </w:pPr>
                  <w:r>
                    <w:rPr>
                      <w:rFonts w:ascii="Times New Roman"/>
                      <w:b/>
                    </w:rPr>
                    <w:t>(dB(A))</w:t>
                  </w:r>
                </w:p>
              </w:tc>
              <w:tc>
                <w:tcPr>
                  <w:tcW w:w="790" w:type="pct"/>
                  <w:vAlign w:val="center"/>
                </w:tcPr>
                <w:p>
                  <w:pPr>
                    <w:keepNext w:val="0"/>
                    <w:keepLines w:val="0"/>
                    <w:widowControl w:val="0"/>
                    <w:suppressLineNumbers w:val="0"/>
                    <w:spacing w:before="0" w:beforeAutospacing="0" w:after="0" w:afterAutospacing="0"/>
                    <w:ind w:left="0" w:right="0"/>
                    <w:jc w:val="center"/>
                    <w:rPr>
                      <w:rFonts w:ascii="Times New Roman"/>
                      <w:b/>
                    </w:rPr>
                  </w:pPr>
                  <w:r>
                    <w:rPr>
                      <w:rFonts w:ascii="Times New Roman"/>
                      <w:b/>
                    </w:rPr>
                    <w:t>夜间</w:t>
                  </w:r>
                </w:p>
                <w:p>
                  <w:pPr>
                    <w:keepNext w:val="0"/>
                    <w:keepLines w:val="0"/>
                    <w:widowControl w:val="0"/>
                    <w:suppressLineNumbers w:val="0"/>
                    <w:spacing w:before="0" w:beforeAutospacing="0" w:after="0" w:afterAutospacing="0"/>
                    <w:ind w:left="0" w:right="0"/>
                    <w:jc w:val="center"/>
                    <w:rPr>
                      <w:rFonts w:ascii="Times New Roman"/>
                      <w:b/>
                    </w:rPr>
                  </w:pPr>
                  <w:r>
                    <w:rPr>
                      <w:rFonts w:ascii="Times New Roman"/>
                      <w:b/>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vAlign w:val="center"/>
                </w:tcPr>
                <w:p>
                  <w:pPr>
                    <w:keepNext w:val="0"/>
                    <w:keepLines w:val="0"/>
                    <w:widowControl w:val="0"/>
                    <w:suppressLineNumbers w:val="0"/>
                    <w:spacing w:before="0" w:beforeAutospacing="0" w:after="0" w:afterAutospacing="0"/>
                    <w:ind w:left="0" w:right="0"/>
                    <w:jc w:val="center"/>
                    <w:rPr>
                      <w:rFonts w:ascii="Times New Roman"/>
                    </w:rPr>
                  </w:pPr>
                  <w:r>
                    <w:rPr>
                      <w:rFonts w:ascii="Times New Roman"/>
                    </w:rPr>
                    <w:t>1</w:t>
                  </w:r>
                </w:p>
              </w:tc>
              <w:tc>
                <w:tcPr>
                  <w:tcW w:w="2998"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ascii="Times New Roman"/>
                    </w:rPr>
                    <w:t>拟建升压站站址西侧</w:t>
                  </w:r>
                </w:p>
              </w:tc>
              <w:tc>
                <w:tcPr>
                  <w:tcW w:w="722"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hint="eastAsia" w:ascii="Times New Roman"/>
                    </w:rPr>
                    <w:t>40</w:t>
                  </w:r>
                </w:p>
              </w:tc>
              <w:tc>
                <w:tcPr>
                  <w:tcW w:w="790"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hint="eastAsia" w:ascii="Times New Roman"/>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vAlign w:val="center"/>
                </w:tcPr>
                <w:p>
                  <w:pPr>
                    <w:keepNext w:val="0"/>
                    <w:keepLines w:val="0"/>
                    <w:widowControl w:val="0"/>
                    <w:suppressLineNumbers w:val="0"/>
                    <w:spacing w:before="0" w:beforeAutospacing="0" w:after="0" w:afterAutospacing="0"/>
                    <w:ind w:left="0" w:right="0"/>
                    <w:jc w:val="center"/>
                    <w:rPr>
                      <w:rFonts w:ascii="Times New Roman"/>
                    </w:rPr>
                  </w:pPr>
                  <w:r>
                    <w:rPr>
                      <w:rFonts w:ascii="Times New Roman"/>
                    </w:rPr>
                    <w:t>2</w:t>
                  </w:r>
                </w:p>
              </w:tc>
              <w:tc>
                <w:tcPr>
                  <w:tcW w:w="2998"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ascii="Times New Roman"/>
                    </w:rPr>
                    <w:t>拟建升压站站址南侧</w:t>
                  </w:r>
                </w:p>
              </w:tc>
              <w:tc>
                <w:tcPr>
                  <w:tcW w:w="722"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hint="eastAsia" w:ascii="Times New Roman"/>
                    </w:rPr>
                    <w:t>41</w:t>
                  </w:r>
                </w:p>
              </w:tc>
              <w:tc>
                <w:tcPr>
                  <w:tcW w:w="790"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hint="eastAsia" w:ascii="Times New Roma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vAlign w:val="center"/>
                </w:tcPr>
                <w:p>
                  <w:pPr>
                    <w:keepNext w:val="0"/>
                    <w:keepLines w:val="0"/>
                    <w:widowControl w:val="0"/>
                    <w:suppressLineNumbers w:val="0"/>
                    <w:spacing w:before="0" w:beforeAutospacing="0" w:after="0" w:afterAutospacing="0"/>
                    <w:ind w:left="0" w:right="0"/>
                    <w:jc w:val="center"/>
                    <w:rPr>
                      <w:rFonts w:ascii="Times New Roman"/>
                    </w:rPr>
                  </w:pPr>
                  <w:r>
                    <w:rPr>
                      <w:rFonts w:ascii="Times New Roman"/>
                    </w:rPr>
                    <w:t>3</w:t>
                  </w:r>
                </w:p>
              </w:tc>
              <w:tc>
                <w:tcPr>
                  <w:tcW w:w="2998"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ascii="Times New Roman"/>
                    </w:rPr>
                    <w:t>拟建升压站站址东侧</w:t>
                  </w:r>
                </w:p>
              </w:tc>
              <w:tc>
                <w:tcPr>
                  <w:tcW w:w="722"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hint="eastAsia" w:ascii="Times New Roman"/>
                    </w:rPr>
                    <w:t>40</w:t>
                  </w:r>
                </w:p>
              </w:tc>
              <w:tc>
                <w:tcPr>
                  <w:tcW w:w="790"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hint="eastAsia" w:ascii="Times New Roman"/>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vAlign w:val="center"/>
                </w:tcPr>
                <w:p>
                  <w:pPr>
                    <w:keepNext w:val="0"/>
                    <w:keepLines w:val="0"/>
                    <w:widowControl w:val="0"/>
                    <w:suppressLineNumbers w:val="0"/>
                    <w:spacing w:before="0" w:beforeAutospacing="0" w:after="0" w:afterAutospacing="0"/>
                    <w:ind w:left="0" w:right="0"/>
                    <w:jc w:val="center"/>
                    <w:rPr>
                      <w:rFonts w:ascii="Times New Roman"/>
                    </w:rPr>
                  </w:pPr>
                  <w:r>
                    <w:rPr>
                      <w:rFonts w:ascii="Times New Roman"/>
                    </w:rPr>
                    <w:t>4</w:t>
                  </w:r>
                </w:p>
              </w:tc>
              <w:tc>
                <w:tcPr>
                  <w:tcW w:w="2998"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ascii="Times New Roman"/>
                    </w:rPr>
                    <w:t>拟建升压站站址北侧</w:t>
                  </w:r>
                </w:p>
              </w:tc>
              <w:tc>
                <w:tcPr>
                  <w:tcW w:w="722"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hint="eastAsia" w:ascii="Times New Roman"/>
                    </w:rPr>
                    <w:t>38</w:t>
                  </w:r>
                </w:p>
              </w:tc>
              <w:tc>
                <w:tcPr>
                  <w:tcW w:w="790" w:type="pct"/>
                  <w:vAlign w:val="center"/>
                </w:tcPr>
                <w:p>
                  <w:pPr>
                    <w:keepNext w:val="0"/>
                    <w:keepLines w:val="0"/>
                    <w:widowControl w:val="0"/>
                    <w:suppressLineNumbers w:val="0"/>
                    <w:snapToGrid w:val="0"/>
                    <w:spacing w:before="0" w:beforeAutospacing="0" w:after="0" w:afterAutospacing="0"/>
                    <w:ind w:left="0" w:right="0"/>
                    <w:jc w:val="center"/>
                    <w:rPr>
                      <w:rFonts w:ascii="Times New Roman"/>
                    </w:rPr>
                  </w:pPr>
                  <w:r>
                    <w:rPr>
                      <w:rFonts w:hint="eastAsia" w:ascii="Times New Roman"/>
                    </w:rPr>
                    <w:t>36</w:t>
                  </w:r>
                </w:p>
              </w:tc>
            </w:tr>
          </w:tbl>
          <w:p>
            <w:pPr>
              <w:keepNext w:val="0"/>
              <w:keepLines w:val="0"/>
              <w:widowControl/>
              <w:suppressLineNumbers w:val="0"/>
              <w:spacing w:before="0" w:beforeAutospacing="0" w:after="0" w:afterAutospacing="0" w:line="480" w:lineRule="exact"/>
              <w:ind w:left="0" w:right="0" w:firstLine="480" w:firstLineChars="200"/>
              <w:rPr>
                <w:rFonts w:ascii="Times New Roman"/>
                <w:sz w:val="24"/>
                <w:szCs w:val="24"/>
              </w:rPr>
            </w:pPr>
            <w:r>
              <w:rPr>
                <w:rFonts w:ascii="Times New Roman"/>
                <w:sz w:val="24"/>
                <w:szCs w:val="24"/>
              </w:rPr>
              <w:t>根据表3-4监测结果分</w:t>
            </w:r>
            <w:r>
              <w:rPr>
                <w:rFonts w:ascii="Times New Roman"/>
                <w:bCs/>
                <w:sz w:val="24"/>
                <w:szCs w:val="24"/>
              </w:rPr>
              <w:t>析，</w:t>
            </w:r>
            <w:r>
              <w:rPr>
                <w:rFonts w:hint="eastAsia" w:ascii="Times New Roman"/>
                <w:bCs/>
                <w:sz w:val="24"/>
                <w:szCs w:val="24"/>
              </w:rPr>
              <w:t>升压站厂界昼间、夜间噪声最大值分别为41dB(A)、36dB(A)</w:t>
            </w:r>
            <w:r>
              <w:rPr>
                <w:rFonts w:hint="eastAsia"/>
                <w:sz w:val="24"/>
              </w:rPr>
              <w:t>，升压站占地范围内声环境质量现状满足《声环境质量标准》（GB3096-2008）1类标准要求。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0" w:hRule="atLeast"/>
          <w:jc w:val="center"/>
        </w:trPr>
        <w:tc>
          <w:tcPr>
            <w:tcW w:w="656" w:type="dxa"/>
            <w:vAlign w:val="center"/>
          </w:tcPr>
          <w:p>
            <w:pPr>
              <w:keepNext w:val="0"/>
              <w:keepLines w:val="0"/>
              <w:widowControl/>
              <w:suppressLineNumbers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环境</w:t>
            </w:r>
          </w:p>
          <w:p>
            <w:pPr>
              <w:keepNext w:val="0"/>
              <w:keepLines w:val="0"/>
              <w:widowControl/>
              <w:suppressLineNumbers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保护</w:t>
            </w:r>
          </w:p>
          <w:p>
            <w:pPr>
              <w:keepNext w:val="0"/>
              <w:keepLines w:val="0"/>
              <w:widowControl/>
              <w:suppressLineNumbers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目标</w:t>
            </w:r>
          </w:p>
        </w:tc>
        <w:tc>
          <w:tcPr>
            <w:tcW w:w="8418" w:type="dxa"/>
          </w:tcPr>
          <w:p>
            <w:pPr>
              <w:keepNext w:val="0"/>
              <w:keepLines w:val="0"/>
              <w:widowControl w:val="0"/>
              <w:suppressLineNumbers w:val="0"/>
              <w:spacing w:before="120" w:beforeLines="50" w:beforeAutospacing="0" w:after="0" w:afterAutospacing="0" w:line="360" w:lineRule="auto"/>
              <w:ind w:left="0" w:right="0" w:firstLine="482" w:firstLineChars="200"/>
              <w:rPr>
                <w:rFonts w:ascii="Times New Roman"/>
                <w:kern w:val="0"/>
                <w:sz w:val="24"/>
                <w:szCs w:val="24"/>
              </w:rPr>
            </w:pPr>
            <w:r>
              <w:rPr>
                <w:rFonts w:ascii="Times New Roman"/>
                <w:b/>
                <w:bCs/>
                <w:kern w:val="0"/>
                <w:sz w:val="24"/>
                <w:szCs w:val="24"/>
              </w:rPr>
              <w:t>电磁环境敏感目标</w:t>
            </w:r>
            <w:r>
              <w:rPr>
                <w:rFonts w:ascii="Times New Roman"/>
                <w:kern w:val="0"/>
                <w:sz w:val="24"/>
                <w:szCs w:val="24"/>
              </w:rPr>
              <w:t>指电磁环境影响评价与监测需重点关注的对象，包括住宅、学校、医院、办公楼、工厂等有公众居住、工作或学习的建筑物。本项目评价范围内无电磁环境保护目标。</w:t>
            </w:r>
          </w:p>
          <w:p>
            <w:pPr>
              <w:keepNext w:val="0"/>
              <w:keepLines w:val="0"/>
              <w:widowControl w:val="0"/>
              <w:suppressLineNumbers w:val="0"/>
              <w:spacing w:before="0" w:beforeAutospacing="0" w:after="0" w:afterAutospacing="0" w:line="360" w:lineRule="auto"/>
              <w:ind w:left="0" w:right="0" w:firstLine="482" w:firstLineChars="200"/>
              <w:rPr>
                <w:rFonts w:ascii="Times New Roman"/>
                <w:kern w:val="0"/>
                <w:sz w:val="24"/>
                <w:szCs w:val="24"/>
              </w:rPr>
            </w:pPr>
            <w:r>
              <w:rPr>
                <w:rFonts w:ascii="Times New Roman"/>
                <w:b/>
                <w:bCs/>
                <w:kern w:val="0"/>
                <w:sz w:val="24"/>
                <w:szCs w:val="24"/>
              </w:rPr>
              <w:t>生态敏感区：</w:t>
            </w:r>
            <w:r>
              <w:rPr>
                <w:rFonts w:ascii="Times New Roman"/>
                <w:kern w:val="0"/>
                <w:sz w:val="24"/>
                <w:szCs w:val="24"/>
              </w:rPr>
              <w:t>包括法定生态保护区域、重要生境以及其他具有重要生态功能、对保护生物多样性具有重要意义的区域。其中，法定生态保护区域包括：依据法律法规、政策等规范性文件划定或确认的国家公园、自然保护区、自然公园等自然保护地、世界自然遗产、生态保护红线等区域；重要生境包括：重要物种的天然集中分布区、栖息地，重要水生生物的产卵场、索饵场、越冬场和洄游通道，迁徙鸟类的重要繁殖地、停歇地、越冬地以及野生动物迁徙通道等。本项目生态环境评价范围内无生态环境保护目标。</w:t>
            </w:r>
          </w:p>
          <w:p>
            <w:pPr>
              <w:keepNext w:val="0"/>
              <w:keepLines w:val="0"/>
              <w:widowControl w:val="0"/>
              <w:suppressLineNumbers w:val="0"/>
              <w:spacing w:before="0" w:beforeAutospacing="0" w:after="0" w:afterAutospacing="0" w:line="360" w:lineRule="auto"/>
              <w:ind w:left="0" w:right="0" w:firstLine="482" w:firstLineChars="200"/>
              <w:rPr>
                <w:rFonts w:ascii="Times New Roman"/>
                <w:kern w:val="0"/>
                <w:sz w:val="24"/>
                <w:szCs w:val="24"/>
              </w:rPr>
            </w:pPr>
            <w:r>
              <w:rPr>
                <w:rFonts w:ascii="Times New Roman"/>
                <w:b/>
                <w:bCs/>
                <w:kern w:val="0"/>
                <w:sz w:val="24"/>
                <w:szCs w:val="24"/>
              </w:rPr>
              <w:t>声环境保护目标</w:t>
            </w:r>
            <w:r>
              <w:rPr>
                <w:rFonts w:ascii="Times New Roman"/>
                <w:kern w:val="0"/>
                <w:sz w:val="24"/>
                <w:szCs w:val="24"/>
              </w:rPr>
              <w:t>指依据法律、法规、标准政策等确定的需要保持安静的建筑物及建筑物集中区。本项目声环境评价范围内</w:t>
            </w:r>
            <w:r>
              <w:rPr>
                <w:rFonts w:hint="eastAsia" w:ascii="Times New Roman"/>
                <w:kern w:val="0"/>
                <w:sz w:val="24"/>
                <w:szCs w:val="24"/>
              </w:rPr>
              <w:t>无</w:t>
            </w:r>
            <w:r>
              <w:rPr>
                <w:rFonts w:ascii="Times New Roman"/>
                <w:kern w:val="0"/>
                <w:sz w:val="24"/>
                <w:szCs w:val="24"/>
              </w:rPr>
              <w:t>声环境保护目标</w:t>
            </w:r>
            <w:r>
              <w:rPr>
                <w:rFonts w:hint="eastAsia" w:ascii="Times New Roman"/>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6" w:type="dxa"/>
            <w:vAlign w:val="center"/>
          </w:tcPr>
          <w:p>
            <w:pPr>
              <w:keepNext w:val="0"/>
              <w:keepLines w:val="0"/>
              <w:widowControl/>
              <w:suppressLineNumbers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污染物排放控</w:t>
            </w:r>
          </w:p>
          <w:p>
            <w:pPr>
              <w:keepNext w:val="0"/>
              <w:keepLines w:val="0"/>
              <w:widowControl/>
              <w:suppressLineNumbers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制标</w:t>
            </w:r>
          </w:p>
          <w:p>
            <w:pPr>
              <w:keepNext w:val="0"/>
              <w:keepLines w:val="0"/>
              <w:widowControl/>
              <w:suppressLineNumbers w:val="0"/>
              <w:adjustRightInd w:val="0"/>
              <w:snapToGrid w:val="0"/>
              <w:spacing w:before="0" w:beforeAutospacing="0" w:after="0" w:afterAutospacing="0" w:line="360" w:lineRule="auto"/>
              <w:ind w:left="0" w:right="0"/>
              <w:jc w:val="center"/>
              <w:rPr>
                <w:rFonts w:ascii="Times New Roman"/>
                <w:kern w:val="0"/>
                <w:sz w:val="24"/>
                <w:szCs w:val="24"/>
              </w:rPr>
            </w:pPr>
            <w:r>
              <w:rPr>
                <w:rFonts w:ascii="Times New Roman"/>
                <w:kern w:val="0"/>
                <w:sz w:val="24"/>
                <w:szCs w:val="24"/>
              </w:rPr>
              <w:t>准及环境质量标准</w:t>
            </w:r>
          </w:p>
        </w:tc>
        <w:tc>
          <w:tcPr>
            <w:tcW w:w="8418" w:type="dxa"/>
          </w:tcPr>
          <w:p>
            <w:pPr>
              <w:keepNext w:val="0"/>
              <w:keepLines w:val="0"/>
              <w:widowControl/>
              <w:suppressLineNumbers w:val="0"/>
              <w:snapToGrid w:val="0"/>
              <w:spacing w:before="120" w:beforeLines="50" w:beforeAutospacing="0" w:after="0" w:afterAutospacing="0" w:line="360" w:lineRule="auto"/>
              <w:ind w:left="0" w:right="0" w:firstLine="482" w:firstLineChars="200"/>
              <w:rPr>
                <w:rFonts w:ascii="Times New Roman"/>
                <w:b/>
                <w:bCs/>
                <w:sz w:val="24"/>
              </w:rPr>
            </w:pPr>
            <w:r>
              <w:rPr>
                <w:rFonts w:ascii="Times New Roman"/>
                <w:b/>
                <w:bCs/>
                <w:sz w:val="24"/>
              </w:rPr>
              <w:t>1、评价因子</w:t>
            </w:r>
          </w:p>
          <w:p>
            <w:pPr>
              <w:keepNext w:val="0"/>
              <w:keepLines w:val="0"/>
              <w:widowControl/>
              <w:suppressLineNumbers w:val="0"/>
              <w:snapToGrid w:val="0"/>
              <w:spacing w:before="0" w:beforeAutospacing="0" w:after="0" w:afterAutospacing="0" w:line="360" w:lineRule="auto"/>
              <w:ind w:left="0" w:right="0"/>
              <w:jc w:val="center"/>
              <w:rPr>
                <w:rFonts w:ascii="Times New Roman"/>
                <w:b/>
                <w:sz w:val="24"/>
              </w:rPr>
            </w:pPr>
            <w:r>
              <w:rPr>
                <w:rFonts w:ascii="Times New Roman"/>
                <w:b/>
                <w:sz w:val="24"/>
              </w:rPr>
              <w:t>表3-5  本项目主要环境影响评价因子汇总表</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46"/>
              <w:gridCol w:w="1184"/>
              <w:gridCol w:w="1909"/>
              <w:gridCol w:w="879"/>
              <w:gridCol w:w="2351"/>
              <w:gridCol w:w="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b/>
                    </w:rPr>
                    <w:t>评价阶段</w:t>
                  </w:r>
                </w:p>
              </w:tc>
              <w:tc>
                <w:tcPr>
                  <w:tcW w:w="722" w:type="pct"/>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b/>
                    </w:rPr>
                    <w:t>评价项目</w:t>
                  </w: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b/>
                    </w:rPr>
                    <w:t>现状评价因子</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b/>
                    </w:rPr>
                    <w:t>单位</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b/>
                    </w:rPr>
                    <w:t>预测评价因子</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b/>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Merge w:val="restar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施工期</w:t>
                  </w:r>
                </w:p>
              </w:tc>
              <w:tc>
                <w:tcPr>
                  <w:tcW w:w="722"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声环境</w:t>
                  </w: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昼间、夜间等效声级，</w:t>
                  </w:r>
                  <w:r>
                    <w:rPr>
                      <w:rFonts w:ascii="Times New Roman"/>
                      <w:i/>
                      <w:iCs/>
                    </w:rPr>
                    <w:t>Leq(A)</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dB(A)</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昼间、夜间等效声级，</w:t>
                  </w:r>
                  <w:r>
                    <w:rPr>
                      <w:rFonts w:ascii="Times New Roman"/>
                      <w:i/>
                      <w:iCs/>
                    </w:rPr>
                    <w:t>Leq(A)</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Align w:val="center"/>
                </w:tcPr>
                <w:p>
                  <w:pPr>
                    <w:pStyle w:val="63"/>
                    <w:keepNext w:val="0"/>
                    <w:keepLines w:val="0"/>
                    <w:suppressLineNumbers w:val="0"/>
                    <w:snapToGrid w:val="0"/>
                    <w:spacing w:before="0" w:beforeAutospacing="0" w:after="0" w:afterAutospacing="0"/>
                    <w:ind w:left="0" w:right="0"/>
                    <w:jc w:val="center"/>
                    <w:rPr>
                      <w:rFonts w:ascii="Times New Roman"/>
                      <w:color w:val="auto"/>
                      <w:sz w:val="21"/>
                      <w:szCs w:val="18"/>
                    </w:rPr>
                  </w:pPr>
                  <w:r>
                    <w:rPr>
                      <w:rFonts w:ascii="Times New Roman"/>
                      <w:color w:val="auto"/>
                      <w:sz w:val="21"/>
                      <w:szCs w:val="18"/>
                    </w:rPr>
                    <w:t>地表水环境</w:t>
                  </w:r>
                </w:p>
              </w:tc>
              <w:tc>
                <w:tcPr>
                  <w:tcW w:w="1164" w:type="pct"/>
                  <w:vAlign w:val="center"/>
                </w:tcPr>
                <w:p>
                  <w:pPr>
                    <w:pStyle w:val="63"/>
                    <w:keepNext w:val="0"/>
                    <w:keepLines w:val="0"/>
                    <w:suppressLineNumbers w:val="0"/>
                    <w:snapToGrid w:val="0"/>
                    <w:spacing w:before="0" w:beforeAutospacing="0" w:after="0" w:afterAutospacing="0"/>
                    <w:ind w:left="0" w:right="0"/>
                    <w:jc w:val="center"/>
                    <w:rPr>
                      <w:rFonts w:ascii="Times New Roman"/>
                      <w:color w:val="auto"/>
                      <w:sz w:val="21"/>
                      <w:szCs w:val="18"/>
                    </w:rPr>
                  </w:pPr>
                  <w:r>
                    <w:rPr>
                      <w:rFonts w:ascii="Times New Roman"/>
                      <w:color w:val="auto"/>
                      <w:sz w:val="21"/>
                      <w:szCs w:val="18"/>
                    </w:rPr>
                    <w:t>pH、COD、BOD</w:t>
                  </w:r>
                  <w:r>
                    <w:rPr>
                      <w:rFonts w:ascii="Times New Roman"/>
                      <w:color w:val="auto"/>
                      <w:sz w:val="21"/>
                      <w:szCs w:val="18"/>
                      <w:vertAlign w:val="subscript"/>
                    </w:rPr>
                    <w:t>5</w:t>
                  </w:r>
                  <w:r>
                    <w:rPr>
                      <w:rFonts w:ascii="Times New Roman"/>
                      <w:color w:val="auto"/>
                      <w:sz w:val="21"/>
                      <w:szCs w:val="18"/>
                    </w:rPr>
                    <w:t>、NH</w:t>
                  </w:r>
                  <w:r>
                    <w:rPr>
                      <w:rFonts w:ascii="Times New Roman"/>
                      <w:color w:val="auto"/>
                      <w:sz w:val="21"/>
                      <w:szCs w:val="18"/>
                      <w:vertAlign w:val="subscript"/>
                    </w:rPr>
                    <w:t>3</w:t>
                  </w:r>
                  <w:r>
                    <w:rPr>
                      <w:rFonts w:ascii="Times New Roman"/>
                      <w:color w:val="auto"/>
                      <w:sz w:val="21"/>
                      <w:szCs w:val="18"/>
                    </w:rPr>
                    <w:t>-N、石油类</w:t>
                  </w:r>
                </w:p>
              </w:tc>
              <w:tc>
                <w:tcPr>
                  <w:tcW w:w="536" w:type="pct"/>
                  <w:vAlign w:val="center"/>
                </w:tcPr>
                <w:p>
                  <w:pPr>
                    <w:pStyle w:val="63"/>
                    <w:keepNext w:val="0"/>
                    <w:keepLines w:val="0"/>
                    <w:suppressLineNumbers w:val="0"/>
                    <w:snapToGrid w:val="0"/>
                    <w:spacing w:before="0" w:beforeAutospacing="0" w:after="0" w:afterAutospacing="0"/>
                    <w:ind w:left="0" w:right="0"/>
                    <w:jc w:val="center"/>
                    <w:rPr>
                      <w:rFonts w:ascii="Times New Roman"/>
                      <w:color w:val="auto"/>
                      <w:sz w:val="21"/>
                      <w:szCs w:val="18"/>
                    </w:rPr>
                  </w:pPr>
                  <w:r>
                    <w:rPr>
                      <w:rFonts w:ascii="Times New Roman"/>
                      <w:color w:val="auto"/>
                      <w:sz w:val="21"/>
                      <w:szCs w:val="18"/>
                    </w:rPr>
                    <w:t>mg/L</w:t>
                  </w:r>
                </w:p>
              </w:tc>
              <w:tc>
                <w:tcPr>
                  <w:tcW w:w="1434" w:type="pct"/>
                  <w:vAlign w:val="center"/>
                </w:tcPr>
                <w:p>
                  <w:pPr>
                    <w:pStyle w:val="63"/>
                    <w:keepNext w:val="0"/>
                    <w:keepLines w:val="0"/>
                    <w:suppressLineNumbers w:val="0"/>
                    <w:snapToGrid w:val="0"/>
                    <w:spacing w:before="0" w:beforeAutospacing="0" w:after="0" w:afterAutospacing="0"/>
                    <w:ind w:left="0" w:right="0"/>
                    <w:jc w:val="center"/>
                    <w:rPr>
                      <w:rFonts w:ascii="Times New Roman"/>
                      <w:color w:val="auto"/>
                      <w:sz w:val="21"/>
                      <w:szCs w:val="18"/>
                    </w:rPr>
                  </w:pPr>
                  <w:r>
                    <w:rPr>
                      <w:rFonts w:ascii="Times New Roman"/>
                      <w:color w:val="auto"/>
                      <w:sz w:val="21"/>
                      <w:szCs w:val="18"/>
                    </w:rPr>
                    <w:t>pH、COD、BOD</w:t>
                  </w:r>
                  <w:r>
                    <w:rPr>
                      <w:rFonts w:ascii="Times New Roman"/>
                      <w:color w:val="auto"/>
                      <w:sz w:val="21"/>
                      <w:szCs w:val="18"/>
                      <w:vertAlign w:val="subscript"/>
                    </w:rPr>
                    <w:t>5</w:t>
                  </w:r>
                  <w:r>
                    <w:rPr>
                      <w:rFonts w:ascii="Times New Roman"/>
                      <w:color w:val="auto"/>
                      <w:sz w:val="21"/>
                      <w:szCs w:val="18"/>
                    </w:rPr>
                    <w:t>、NH</w:t>
                  </w:r>
                  <w:r>
                    <w:rPr>
                      <w:rFonts w:ascii="Times New Roman"/>
                      <w:color w:val="auto"/>
                      <w:sz w:val="21"/>
                      <w:szCs w:val="18"/>
                      <w:vertAlign w:val="subscript"/>
                    </w:rPr>
                    <w:t>3</w:t>
                  </w:r>
                  <w:r>
                    <w:rPr>
                      <w:rFonts w:ascii="Times New Roman"/>
                      <w:color w:val="auto"/>
                      <w:sz w:val="21"/>
                      <w:szCs w:val="18"/>
                    </w:rPr>
                    <w:t>-N、石油类</w:t>
                  </w:r>
                </w:p>
              </w:tc>
              <w:tc>
                <w:tcPr>
                  <w:tcW w:w="567" w:type="pct"/>
                  <w:vAlign w:val="center"/>
                </w:tcPr>
                <w:p>
                  <w:pPr>
                    <w:pStyle w:val="63"/>
                    <w:keepNext w:val="0"/>
                    <w:keepLines w:val="0"/>
                    <w:suppressLineNumbers w:val="0"/>
                    <w:snapToGrid w:val="0"/>
                    <w:spacing w:before="0" w:beforeAutospacing="0" w:after="0" w:afterAutospacing="0"/>
                    <w:ind w:left="0" w:right="0"/>
                    <w:jc w:val="center"/>
                    <w:rPr>
                      <w:rFonts w:ascii="Times New Roman"/>
                      <w:color w:val="auto"/>
                      <w:sz w:val="21"/>
                      <w:szCs w:val="18"/>
                    </w:rPr>
                  </w:pPr>
                  <w:r>
                    <w:rPr>
                      <w:rFonts w:ascii="Times New Roman"/>
                      <w:color w:val="auto"/>
                      <w:sz w:val="21"/>
                      <w:szCs w:val="18"/>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生态环境</w:t>
                  </w: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生态系统及其生物因子、非生物因子</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生态系统及其生物因子、非生物因子</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大气</w:t>
                  </w: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PM</w:t>
                  </w:r>
                  <w:r>
                    <w:rPr>
                      <w:rFonts w:ascii="Times New Roman"/>
                      <w:vertAlign w:val="subscript"/>
                    </w:rPr>
                    <w:t>10</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PM</w:t>
                  </w:r>
                  <w:r>
                    <w:rPr>
                      <w:rFonts w:ascii="Times New Roman"/>
                      <w:vertAlign w:val="subscript"/>
                    </w:rPr>
                    <w:t>10</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固体废物</w:t>
                  </w: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建筑垃圾、生活垃圾、废弃包装物</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建筑垃圾、生活垃圾、废弃包装物</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7" w:type="pct"/>
                  <w:vMerge w:val="restar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运行期</w:t>
                  </w:r>
                </w:p>
              </w:tc>
              <w:tc>
                <w:tcPr>
                  <w:tcW w:w="722" w:type="pct"/>
                  <w:vMerge w:val="restar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电磁环境</w:t>
                  </w: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工频电场</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kV/m</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工频电场</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kV/m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工频磁场</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μT</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工频磁场</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μT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声环境</w:t>
                  </w: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昼间、夜间等效</w:t>
                  </w:r>
                </w:p>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声级，</w:t>
                  </w:r>
                  <w:r>
                    <w:rPr>
                      <w:rFonts w:ascii="Times New Roman"/>
                      <w:i/>
                      <w:iCs/>
                    </w:rPr>
                    <w:t>Leq</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dB(A)</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昼间、夜间等效声级，</w:t>
                  </w:r>
                  <w:r>
                    <w:rPr>
                      <w:rFonts w:ascii="Times New Roman"/>
                      <w:i/>
                      <w:iCs/>
                    </w:rPr>
                    <w:t>Leq</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Align w:val="center"/>
                </w:tcPr>
                <w:p>
                  <w:pPr>
                    <w:pStyle w:val="63"/>
                    <w:keepNext w:val="0"/>
                    <w:keepLines w:val="0"/>
                    <w:suppressLineNumbers w:val="0"/>
                    <w:snapToGrid w:val="0"/>
                    <w:spacing w:before="0" w:beforeAutospacing="0" w:after="0" w:afterAutospacing="0"/>
                    <w:ind w:left="0" w:right="0"/>
                    <w:jc w:val="center"/>
                    <w:rPr>
                      <w:rFonts w:ascii="Times New Roman"/>
                      <w:color w:val="auto"/>
                      <w:sz w:val="21"/>
                      <w:szCs w:val="18"/>
                    </w:rPr>
                  </w:pPr>
                  <w:r>
                    <w:rPr>
                      <w:rFonts w:ascii="Times New Roman"/>
                      <w:color w:val="auto"/>
                      <w:sz w:val="21"/>
                      <w:szCs w:val="18"/>
                    </w:rPr>
                    <w:t>地表水环境</w:t>
                  </w:r>
                </w:p>
              </w:tc>
              <w:tc>
                <w:tcPr>
                  <w:tcW w:w="1164" w:type="pct"/>
                  <w:vAlign w:val="center"/>
                </w:tcPr>
                <w:p>
                  <w:pPr>
                    <w:pStyle w:val="63"/>
                    <w:keepNext w:val="0"/>
                    <w:keepLines w:val="0"/>
                    <w:suppressLineNumbers w:val="0"/>
                    <w:snapToGrid w:val="0"/>
                    <w:spacing w:before="0" w:beforeAutospacing="0" w:after="0" w:afterAutospacing="0"/>
                    <w:ind w:left="0" w:right="0"/>
                    <w:jc w:val="center"/>
                    <w:rPr>
                      <w:rFonts w:ascii="Times New Roman"/>
                      <w:color w:val="auto"/>
                      <w:sz w:val="21"/>
                      <w:szCs w:val="18"/>
                    </w:rPr>
                  </w:pPr>
                  <w:r>
                    <w:rPr>
                      <w:rFonts w:ascii="Times New Roman"/>
                      <w:color w:val="auto"/>
                      <w:sz w:val="21"/>
                      <w:szCs w:val="18"/>
                    </w:rPr>
                    <w:t>pH、COD、BOD</w:t>
                  </w:r>
                  <w:r>
                    <w:rPr>
                      <w:rFonts w:ascii="Times New Roman"/>
                      <w:color w:val="auto"/>
                      <w:sz w:val="21"/>
                      <w:szCs w:val="18"/>
                      <w:vertAlign w:val="subscript"/>
                    </w:rPr>
                    <w:t>5</w:t>
                  </w:r>
                  <w:r>
                    <w:rPr>
                      <w:rFonts w:ascii="Times New Roman"/>
                      <w:color w:val="auto"/>
                      <w:sz w:val="21"/>
                      <w:szCs w:val="18"/>
                    </w:rPr>
                    <w:t>、NH</w:t>
                  </w:r>
                  <w:r>
                    <w:rPr>
                      <w:rFonts w:ascii="Times New Roman"/>
                      <w:color w:val="auto"/>
                      <w:sz w:val="21"/>
                      <w:szCs w:val="18"/>
                      <w:vertAlign w:val="subscript"/>
                    </w:rPr>
                    <w:t>3</w:t>
                  </w:r>
                  <w:r>
                    <w:rPr>
                      <w:rFonts w:ascii="Times New Roman"/>
                      <w:color w:val="auto"/>
                      <w:sz w:val="21"/>
                      <w:szCs w:val="18"/>
                    </w:rPr>
                    <w:t>-N、石油类</w:t>
                  </w:r>
                </w:p>
              </w:tc>
              <w:tc>
                <w:tcPr>
                  <w:tcW w:w="536" w:type="pct"/>
                  <w:vAlign w:val="center"/>
                </w:tcPr>
                <w:p>
                  <w:pPr>
                    <w:pStyle w:val="63"/>
                    <w:keepNext w:val="0"/>
                    <w:keepLines w:val="0"/>
                    <w:suppressLineNumbers w:val="0"/>
                    <w:snapToGrid w:val="0"/>
                    <w:spacing w:before="0" w:beforeAutospacing="0" w:after="0" w:afterAutospacing="0"/>
                    <w:ind w:left="0" w:right="0"/>
                    <w:jc w:val="center"/>
                    <w:rPr>
                      <w:rFonts w:ascii="Times New Roman"/>
                      <w:color w:val="auto"/>
                      <w:sz w:val="21"/>
                      <w:szCs w:val="18"/>
                    </w:rPr>
                  </w:pPr>
                  <w:r>
                    <w:rPr>
                      <w:rFonts w:ascii="Times New Roman"/>
                      <w:color w:val="auto"/>
                      <w:sz w:val="21"/>
                      <w:szCs w:val="18"/>
                    </w:rPr>
                    <w:t>mg/L</w:t>
                  </w:r>
                </w:p>
              </w:tc>
              <w:tc>
                <w:tcPr>
                  <w:tcW w:w="1434" w:type="pct"/>
                  <w:vAlign w:val="center"/>
                </w:tcPr>
                <w:p>
                  <w:pPr>
                    <w:pStyle w:val="63"/>
                    <w:keepNext w:val="0"/>
                    <w:keepLines w:val="0"/>
                    <w:suppressLineNumbers w:val="0"/>
                    <w:snapToGrid w:val="0"/>
                    <w:spacing w:before="0" w:beforeAutospacing="0" w:after="0" w:afterAutospacing="0"/>
                    <w:ind w:left="0" w:right="0"/>
                    <w:jc w:val="center"/>
                    <w:rPr>
                      <w:rFonts w:ascii="Times New Roman"/>
                      <w:color w:val="auto"/>
                      <w:sz w:val="21"/>
                      <w:szCs w:val="18"/>
                    </w:rPr>
                  </w:pPr>
                  <w:r>
                    <w:rPr>
                      <w:rFonts w:ascii="Times New Roman"/>
                      <w:color w:val="auto"/>
                      <w:sz w:val="21"/>
                      <w:szCs w:val="18"/>
                    </w:rPr>
                    <w:t>pH、COD、BOD</w:t>
                  </w:r>
                  <w:r>
                    <w:rPr>
                      <w:rFonts w:ascii="Times New Roman"/>
                      <w:color w:val="auto"/>
                      <w:sz w:val="21"/>
                      <w:szCs w:val="18"/>
                      <w:vertAlign w:val="subscript"/>
                    </w:rPr>
                    <w:t>5</w:t>
                  </w:r>
                  <w:r>
                    <w:rPr>
                      <w:rFonts w:ascii="Times New Roman"/>
                      <w:color w:val="auto"/>
                      <w:sz w:val="21"/>
                      <w:szCs w:val="18"/>
                    </w:rPr>
                    <w:t>、NH</w:t>
                  </w:r>
                  <w:r>
                    <w:rPr>
                      <w:rFonts w:ascii="Times New Roman"/>
                      <w:color w:val="auto"/>
                      <w:sz w:val="21"/>
                      <w:szCs w:val="18"/>
                      <w:vertAlign w:val="subscript"/>
                    </w:rPr>
                    <w:t>3</w:t>
                  </w:r>
                  <w:r>
                    <w:rPr>
                      <w:rFonts w:ascii="Times New Roman"/>
                      <w:color w:val="auto"/>
                      <w:sz w:val="21"/>
                      <w:szCs w:val="18"/>
                    </w:rPr>
                    <w:t>-N、石油类</w:t>
                  </w:r>
                </w:p>
              </w:tc>
              <w:tc>
                <w:tcPr>
                  <w:tcW w:w="567" w:type="pct"/>
                  <w:vAlign w:val="center"/>
                </w:tcPr>
                <w:p>
                  <w:pPr>
                    <w:pStyle w:val="63"/>
                    <w:keepNext w:val="0"/>
                    <w:keepLines w:val="0"/>
                    <w:suppressLineNumbers w:val="0"/>
                    <w:snapToGrid w:val="0"/>
                    <w:spacing w:before="0" w:beforeAutospacing="0" w:after="0" w:afterAutospacing="0"/>
                    <w:ind w:left="0" w:right="0"/>
                    <w:jc w:val="center"/>
                    <w:rPr>
                      <w:rFonts w:ascii="Times New Roman"/>
                      <w:color w:val="auto"/>
                      <w:sz w:val="21"/>
                      <w:szCs w:val="18"/>
                    </w:rPr>
                  </w:pPr>
                  <w:r>
                    <w:rPr>
                      <w:rFonts w:ascii="Times New Roman"/>
                      <w:color w:val="auto"/>
                      <w:sz w:val="21"/>
                      <w:szCs w:val="18"/>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Merge w:val="restar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固体废物</w:t>
                  </w: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废</w:t>
                  </w:r>
                  <w:r>
                    <w:rPr>
                      <w:rFonts w:ascii="Times New Roman"/>
                    </w:rPr>
                    <w:t>变压器油</w:t>
                  </w:r>
                  <w:r>
                    <w:rPr>
                      <w:rFonts w:hint="eastAsia" w:ascii="Times New Roman"/>
                    </w:rPr>
                    <w:t>（检修废油、事故油）</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t</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废</w:t>
                  </w:r>
                  <w:r>
                    <w:rPr>
                      <w:rFonts w:ascii="Times New Roman"/>
                    </w:rPr>
                    <w:t>变压</w:t>
                  </w:r>
                  <w:r>
                    <w:rPr>
                      <w:rFonts w:hint="eastAsia" w:ascii="Times New Roman"/>
                    </w:rPr>
                    <w:t>器</w:t>
                  </w:r>
                  <w:r>
                    <w:rPr>
                      <w:rFonts w:ascii="Times New Roman"/>
                    </w:rPr>
                    <w:t>油</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废旧</w:t>
                  </w:r>
                  <w:r>
                    <w:rPr>
                      <w:rFonts w:hint="eastAsia" w:ascii="Times New Roman"/>
                    </w:rPr>
                    <w:t>铅酸</w:t>
                  </w:r>
                  <w:r>
                    <w:rPr>
                      <w:rFonts w:ascii="Times New Roman"/>
                    </w:rPr>
                    <w:t>蓄电池</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块</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废旧</w:t>
                  </w:r>
                  <w:r>
                    <w:rPr>
                      <w:rFonts w:hint="eastAsia" w:ascii="Times New Roman"/>
                    </w:rPr>
                    <w:t>铅酸</w:t>
                  </w:r>
                  <w:r>
                    <w:rPr>
                      <w:rFonts w:ascii="Times New Roman"/>
                    </w:rPr>
                    <w:t>蓄电池</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废旧磷酸铁锂电池</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块</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废旧磷酸铁锂电池</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7"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22" w:type="pct"/>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116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生活垃圾</w:t>
                  </w:r>
                </w:p>
              </w:tc>
              <w:tc>
                <w:tcPr>
                  <w:tcW w:w="536"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w:t>
                  </w:r>
                </w:p>
              </w:tc>
              <w:tc>
                <w:tcPr>
                  <w:tcW w:w="1434"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生活垃圾</w:t>
                  </w:r>
                </w:p>
              </w:tc>
              <w:tc>
                <w:tcPr>
                  <w:tcW w:w="567" w:type="pct"/>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w:t>
                  </w:r>
                </w:p>
              </w:tc>
            </w:tr>
          </w:tbl>
          <w:p>
            <w:pPr>
              <w:keepNext w:val="0"/>
              <w:keepLines w:val="0"/>
              <w:widowControl/>
              <w:suppressLineNumbers w:val="0"/>
              <w:snapToGrid w:val="0"/>
              <w:spacing w:before="120" w:beforeLines="50" w:beforeAutospacing="0" w:after="0" w:afterAutospacing="0" w:line="360" w:lineRule="auto"/>
              <w:ind w:left="0" w:right="0" w:firstLine="482" w:firstLineChars="200"/>
              <w:rPr>
                <w:rFonts w:ascii="Times New Roman"/>
                <w:b/>
                <w:bCs/>
                <w:sz w:val="24"/>
              </w:rPr>
            </w:pPr>
            <w:r>
              <w:rPr>
                <w:rFonts w:ascii="Times New Roman"/>
                <w:b/>
                <w:bCs/>
                <w:sz w:val="24"/>
              </w:rPr>
              <w:t>2、评价等级</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rPr>
            </w:pPr>
            <w:bookmarkStart w:id="27" w:name="_Hlk82712328"/>
            <w:r>
              <w:rPr>
                <w:rFonts w:ascii="Times New Roman"/>
                <w:sz w:val="24"/>
              </w:rPr>
              <w:t>(1)本项目升压站为户外式220kV升压站，按照《环境影响评价技术导则 输变电》(HJ 24-2020)中关于电磁环境影响评价工作等级划分的规定，确定本项目升压站电磁环境影响评价等级为二级。</w:t>
            </w:r>
          </w:p>
          <w:bookmarkEnd w:id="27"/>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rPr>
            </w:pPr>
            <w:r>
              <w:rPr>
                <w:rFonts w:ascii="Times New Roman"/>
                <w:sz w:val="24"/>
              </w:rPr>
              <w:t>(2)本项目升压站位于</w:t>
            </w:r>
            <w:r>
              <w:rPr>
                <w:rFonts w:ascii="Times New Roman"/>
                <w:bCs/>
                <w:sz w:val="24"/>
                <w:szCs w:val="24"/>
              </w:rPr>
              <w:t>《声环境质量标准》</w:t>
            </w:r>
            <w:r>
              <w:rPr>
                <w:rFonts w:ascii="Times New Roman"/>
                <w:sz w:val="24"/>
              </w:rPr>
              <w:t>(GB 3096)规定的1类地区，按照《环境影响评价技术导则 声环境》(HJ 2.4-2021)确定本项目声环境影响评价等级为二级。</w:t>
            </w:r>
          </w:p>
          <w:p>
            <w:pPr>
              <w:pStyle w:val="230"/>
              <w:keepNext w:val="0"/>
              <w:keepLines w:val="0"/>
              <w:widowControl/>
              <w:suppressLineNumbers w:val="0"/>
              <w:snapToGrid w:val="0"/>
              <w:spacing w:before="0" w:beforeAutospacing="0" w:after="0" w:afterAutospacing="0" w:line="360" w:lineRule="auto"/>
              <w:ind w:left="0" w:leftChars="0" w:right="0" w:firstLine="480" w:firstLineChars="200"/>
              <w:rPr>
                <w:rFonts w:ascii="Times New Roman"/>
                <w:sz w:val="24"/>
              </w:rPr>
            </w:pPr>
            <w:r>
              <w:rPr>
                <w:rFonts w:ascii="Times New Roman"/>
                <w:sz w:val="24"/>
                <w:szCs w:val="28"/>
              </w:rPr>
              <w:t>(3)本项目为输变电项目中的变电工程，</w:t>
            </w:r>
            <w:r>
              <w:rPr>
                <w:rFonts w:ascii="Times New Roman"/>
                <w:sz w:val="24"/>
              </w:rPr>
              <w:t>本项目</w:t>
            </w:r>
            <w:r>
              <w:rPr>
                <w:rFonts w:hint="eastAsia" w:ascii="Times New Roman"/>
                <w:sz w:val="24"/>
              </w:rPr>
              <w:t>无生产</w:t>
            </w:r>
            <w:r>
              <w:rPr>
                <w:rFonts w:ascii="Times New Roman"/>
                <w:sz w:val="24"/>
              </w:rPr>
              <w:t>废水</w:t>
            </w:r>
            <w:r>
              <w:rPr>
                <w:rFonts w:hint="eastAsia" w:ascii="Times New Roman"/>
                <w:sz w:val="24"/>
              </w:rPr>
              <w:t>产生，废水仅为生活污水且</w:t>
            </w:r>
            <w:r>
              <w:rPr>
                <w:rFonts w:ascii="Times New Roman"/>
                <w:sz w:val="24"/>
              </w:rPr>
              <w:t>排放量很小，</w:t>
            </w:r>
            <w:r>
              <w:rPr>
                <w:rFonts w:ascii="Times New Roman"/>
                <w:sz w:val="24"/>
                <w:szCs w:val="28"/>
              </w:rPr>
              <w:t>依据《环境影响评价技术导则 地表水环境》(HJ 2.3-2018)，本项目</w:t>
            </w:r>
            <w:r>
              <w:rPr>
                <w:rFonts w:ascii="Times New Roman"/>
                <w:sz w:val="24"/>
              </w:rPr>
              <w:t>地表水环境评价等级为三级B。</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(4)站址不涉及国家公园、自然保护区、世界自然遗产、重要生境、自然公园、生态保护红线、本项目不属于水文要素影响类型，地表水评价等级为三级、地下水水位或土壤影响范围内无天然林、公益林、湿地等生态保护目标、工程占地规模小于20km</w:t>
            </w:r>
            <w:r>
              <w:rPr>
                <w:rFonts w:ascii="Times New Roman"/>
                <w:sz w:val="24"/>
                <w:szCs w:val="24"/>
                <w:vertAlign w:val="superscript"/>
              </w:rPr>
              <w:t>2</w:t>
            </w:r>
            <w:r>
              <w:rPr>
                <w:rFonts w:ascii="Times New Roman"/>
                <w:sz w:val="24"/>
                <w:szCs w:val="24"/>
              </w:rPr>
              <w:t>(包括永久和临时占用陆域和水域)，依据《环境影响评价技术导则 生态影响》(HJ 19-2022)确定本项目生态环境评价等级为三级。</w:t>
            </w:r>
          </w:p>
          <w:p>
            <w:pPr>
              <w:keepNext w:val="0"/>
              <w:keepLines w:val="0"/>
              <w:widowControl w:val="0"/>
              <w:suppressLineNumbers w:val="0"/>
              <w:snapToGrid w:val="0"/>
              <w:spacing w:before="0" w:beforeAutospacing="0" w:after="0" w:afterAutospacing="0" w:line="360" w:lineRule="auto"/>
              <w:ind w:left="0" w:right="0" w:firstLine="482" w:firstLineChars="200"/>
              <w:rPr>
                <w:rFonts w:ascii="Times New Roman"/>
                <w:b/>
                <w:bCs/>
                <w:sz w:val="24"/>
              </w:rPr>
            </w:pPr>
            <w:r>
              <w:rPr>
                <w:rFonts w:ascii="Times New Roman"/>
                <w:b/>
                <w:bCs/>
                <w:sz w:val="24"/>
              </w:rPr>
              <w:t>3、评价范围</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本项目评价范围详见表3-6。</w:t>
            </w:r>
          </w:p>
          <w:p>
            <w:pPr>
              <w:keepNext w:val="0"/>
              <w:keepLines w:val="0"/>
              <w:widowControl/>
              <w:suppressLineNumbers w:val="0"/>
              <w:snapToGrid w:val="0"/>
              <w:spacing w:before="0" w:beforeAutospacing="0" w:after="0" w:afterAutospacing="0" w:line="360" w:lineRule="auto"/>
              <w:ind w:left="0" w:right="0"/>
              <w:jc w:val="center"/>
              <w:rPr>
                <w:rFonts w:ascii="Times New Roman"/>
                <w:b/>
                <w:bCs/>
                <w:sz w:val="24"/>
                <w:szCs w:val="24"/>
              </w:rPr>
            </w:pPr>
            <w:r>
              <w:rPr>
                <w:rFonts w:ascii="Times New Roman"/>
                <w:b/>
                <w:bCs/>
                <w:sz w:val="24"/>
                <w:szCs w:val="24"/>
              </w:rPr>
              <w:t>表3-6  评价范围一览表</w:t>
            </w:r>
          </w:p>
          <w:tbl>
            <w:tblPr>
              <w:tblStyle w:val="55"/>
              <w:tblW w:w="830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989"/>
              <w:gridCol w:w="1705"/>
              <w:gridCol w:w="3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pPr>
                    <w:keepNext w:val="0"/>
                    <w:keepLines w:val="0"/>
                    <w:widowControl/>
                    <w:suppressLineNumbers w:val="0"/>
                    <w:spacing w:before="0" w:beforeAutospacing="0" w:after="0" w:afterAutospacing="0"/>
                    <w:ind w:left="0" w:right="0"/>
                    <w:jc w:val="center"/>
                    <w:rPr>
                      <w:rFonts w:ascii="Times New Roman"/>
                      <w:b/>
                      <w:bCs/>
                      <w:szCs w:val="18"/>
                    </w:rPr>
                  </w:pPr>
                  <w:r>
                    <w:rPr>
                      <w:rFonts w:ascii="Times New Roman"/>
                      <w:b/>
                      <w:bCs/>
                      <w:szCs w:val="18"/>
                    </w:rPr>
                    <w:t>类别</w:t>
                  </w:r>
                </w:p>
              </w:tc>
              <w:tc>
                <w:tcPr>
                  <w:tcW w:w="1989" w:type="dxa"/>
                  <w:vAlign w:val="center"/>
                </w:tcPr>
                <w:p>
                  <w:pPr>
                    <w:keepNext w:val="0"/>
                    <w:keepLines w:val="0"/>
                    <w:widowControl/>
                    <w:suppressLineNumbers w:val="0"/>
                    <w:spacing w:before="0" w:beforeAutospacing="0" w:after="0" w:afterAutospacing="0"/>
                    <w:ind w:left="0" w:right="0"/>
                    <w:jc w:val="center"/>
                    <w:rPr>
                      <w:rFonts w:ascii="Times New Roman"/>
                      <w:b/>
                      <w:bCs/>
                      <w:szCs w:val="18"/>
                    </w:rPr>
                  </w:pPr>
                  <w:r>
                    <w:rPr>
                      <w:rFonts w:ascii="Times New Roman"/>
                      <w:b/>
                      <w:bCs/>
                      <w:szCs w:val="18"/>
                    </w:rPr>
                    <w:t>影响因子</w:t>
                  </w:r>
                </w:p>
              </w:tc>
              <w:tc>
                <w:tcPr>
                  <w:tcW w:w="1705" w:type="dxa"/>
                  <w:vAlign w:val="center"/>
                </w:tcPr>
                <w:p>
                  <w:pPr>
                    <w:keepNext w:val="0"/>
                    <w:keepLines w:val="0"/>
                    <w:widowControl/>
                    <w:suppressLineNumbers w:val="0"/>
                    <w:spacing w:before="0" w:beforeAutospacing="0" w:after="0" w:afterAutospacing="0"/>
                    <w:ind w:left="0" w:right="0"/>
                    <w:jc w:val="center"/>
                    <w:rPr>
                      <w:rFonts w:ascii="Times New Roman"/>
                      <w:b/>
                      <w:bCs/>
                      <w:szCs w:val="18"/>
                    </w:rPr>
                  </w:pPr>
                  <w:r>
                    <w:rPr>
                      <w:rFonts w:ascii="Times New Roman"/>
                      <w:b/>
                      <w:bCs/>
                      <w:szCs w:val="18"/>
                    </w:rPr>
                    <w:t>评价范围</w:t>
                  </w:r>
                </w:p>
              </w:tc>
              <w:tc>
                <w:tcPr>
                  <w:tcW w:w="3827" w:type="dxa"/>
                  <w:vAlign w:val="center"/>
                </w:tcPr>
                <w:p>
                  <w:pPr>
                    <w:keepNext w:val="0"/>
                    <w:keepLines w:val="0"/>
                    <w:widowControl/>
                    <w:suppressLineNumbers w:val="0"/>
                    <w:spacing w:before="0" w:beforeAutospacing="0" w:after="0" w:afterAutospacing="0"/>
                    <w:ind w:left="0" w:right="0"/>
                    <w:jc w:val="center"/>
                    <w:rPr>
                      <w:rFonts w:ascii="Times New Roman"/>
                      <w:b/>
                      <w:bCs/>
                      <w:szCs w:val="18"/>
                    </w:rPr>
                  </w:pPr>
                  <w:r>
                    <w:rPr>
                      <w:rFonts w:ascii="Times New Roman"/>
                      <w:b/>
                      <w:bCs/>
                      <w:szCs w:val="18"/>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电磁环境</w:t>
                  </w:r>
                </w:p>
              </w:tc>
              <w:tc>
                <w:tcPr>
                  <w:tcW w:w="1989" w:type="dxa"/>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工频电场/工频磁场</w:t>
                  </w:r>
                </w:p>
              </w:tc>
              <w:tc>
                <w:tcPr>
                  <w:tcW w:w="1705" w:type="dxa"/>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站界外40m内区域</w:t>
                  </w:r>
                </w:p>
              </w:tc>
              <w:tc>
                <w:tcPr>
                  <w:tcW w:w="3827" w:type="dxa"/>
                  <w:vMerge w:val="restart"/>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《环境影响评价技术导则 输变电》(HJ 24-2020)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生态环境</w:t>
                  </w:r>
                </w:p>
              </w:tc>
              <w:tc>
                <w:tcPr>
                  <w:tcW w:w="1989" w:type="dxa"/>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生态系统及其生物因子、非生物因子</w:t>
                  </w:r>
                </w:p>
              </w:tc>
              <w:tc>
                <w:tcPr>
                  <w:tcW w:w="1705" w:type="dxa"/>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站场边界或围墙外500m内</w:t>
                  </w:r>
                </w:p>
              </w:tc>
              <w:tc>
                <w:tcPr>
                  <w:tcW w:w="3827" w:type="dxa"/>
                  <w:vMerge w:val="continue"/>
                  <w:vAlign w:val="center"/>
                </w:tcPr>
                <w:p>
                  <w:pPr>
                    <w:keepNext w:val="0"/>
                    <w:keepLines w:val="0"/>
                    <w:widowControl/>
                    <w:suppressLineNumbers w:val="0"/>
                    <w:spacing w:before="0" w:beforeAutospacing="0" w:after="0" w:afterAutospacing="0"/>
                    <w:ind w:left="0" w:right="0"/>
                    <w:jc w:val="center"/>
                    <w:rPr>
                      <w:rFonts w:ascii="Times New Roman"/>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声环境</w:t>
                  </w:r>
                </w:p>
              </w:tc>
              <w:tc>
                <w:tcPr>
                  <w:tcW w:w="1989" w:type="dxa"/>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昼间、夜间等效</w:t>
                  </w:r>
                </w:p>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声级</w:t>
                  </w:r>
                </w:p>
              </w:tc>
              <w:tc>
                <w:tcPr>
                  <w:tcW w:w="1705" w:type="dxa"/>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站边界外50m</w:t>
                  </w:r>
                </w:p>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szCs w:val="18"/>
                    </w:rPr>
                    <w:t>区域</w:t>
                  </w:r>
                </w:p>
              </w:tc>
              <w:tc>
                <w:tcPr>
                  <w:tcW w:w="3827" w:type="dxa"/>
                  <w:vAlign w:val="center"/>
                </w:tcPr>
                <w:p>
                  <w:pPr>
                    <w:keepNext w:val="0"/>
                    <w:keepLines w:val="0"/>
                    <w:widowControl/>
                    <w:suppressLineNumbers w:val="0"/>
                    <w:spacing w:before="0" w:beforeAutospacing="0" w:after="0" w:afterAutospacing="0"/>
                    <w:ind w:left="0" w:right="0"/>
                    <w:jc w:val="center"/>
                    <w:rPr>
                      <w:rFonts w:ascii="Times New Roman"/>
                      <w:szCs w:val="18"/>
                    </w:rPr>
                  </w:pPr>
                  <w:r>
                    <w:rPr>
                      <w:rFonts w:ascii="Times New Roman"/>
                    </w:rPr>
                    <w:t>《</w:t>
                  </w:r>
                  <w:r>
                    <w:rPr>
                      <w:rFonts w:hint="eastAsia" w:ascii="Times New Roman"/>
                    </w:rPr>
                    <w:t>建设项目环境影响报告表编制技术指南(污染影响类)(试行)</w:t>
                  </w:r>
                  <w:r>
                    <w:rPr>
                      <w:rFonts w:ascii="Times New Roman"/>
                    </w:rPr>
                    <w:t>》及《环境影响评价技术导则 输变电》(HJ 24-2020)</w:t>
                  </w:r>
                </w:p>
              </w:tc>
            </w:tr>
          </w:tbl>
          <w:p>
            <w:pPr>
              <w:keepNext w:val="0"/>
              <w:keepLines w:val="0"/>
              <w:widowControl w:val="0"/>
              <w:suppressLineNumbers w:val="0"/>
              <w:snapToGrid w:val="0"/>
              <w:spacing w:before="120" w:beforeLines="50" w:beforeAutospacing="0" w:after="0" w:afterAutospacing="0" w:line="360" w:lineRule="auto"/>
              <w:ind w:left="0" w:right="0" w:firstLine="482" w:firstLineChars="200"/>
              <w:rPr>
                <w:rFonts w:ascii="Times New Roman"/>
                <w:b/>
                <w:bCs/>
                <w:sz w:val="24"/>
              </w:rPr>
            </w:pPr>
            <w:r>
              <w:rPr>
                <w:rFonts w:ascii="Times New Roman"/>
                <w:b/>
                <w:bCs/>
                <w:sz w:val="24"/>
              </w:rPr>
              <w:t>4、评价方法</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(1)电磁环境</w:t>
            </w:r>
          </w:p>
          <w:p>
            <w:pPr>
              <w:keepNext w:val="0"/>
              <w:keepLines w:val="0"/>
              <w:widowControl w:val="0"/>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本次评价对升压站的电磁环境影响评价采用类比监测的方式进行预测评价，评价因子为工频电场、工频磁场，类比对象选择与本项目工程规模类似、电压等级相同的升压站工程。</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(2)声环境</w:t>
            </w:r>
          </w:p>
          <w:p>
            <w:pPr>
              <w:keepNext w:val="0"/>
              <w:keepLines w:val="0"/>
              <w:widowControl w:val="0"/>
              <w:suppressLineNumbers w:val="0"/>
              <w:snapToGrid w:val="0"/>
              <w:spacing w:before="0" w:beforeAutospacing="0" w:after="0" w:afterAutospacing="0" w:line="360" w:lineRule="auto"/>
              <w:ind w:left="0" w:right="0" w:firstLine="480" w:firstLineChars="200"/>
              <w:rPr>
                <w:rFonts w:ascii="Times New Roman"/>
                <w:sz w:val="24"/>
              </w:rPr>
            </w:pPr>
            <w:r>
              <w:rPr>
                <w:rFonts w:ascii="Times New Roman"/>
                <w:sz w:val="24"/>
              </w:rPr>
              <w:t>本次评价对升压站噪声采用理论计算的方法进行预测评价，评价因子为昼间、夜间等效声级，</w:t>
            </w:r>
            <w:r>
              <w:rPr>
                <w:rFonts w:ascii="Times New Roman"/>
                <w:i/>
                <w:iCs/>
                <w:sz w:val="24"/>
              </w:rPr>
              <w:t>L</w:t>
            </w:r>
            <w:r>
              <w:rPr>
                <w:rFonts w:ascii="Times New Roman"/>
                <w:sz w:val="24"/>
              </w:rPr>
              <w:t>e</w:t>
            </w:r>
            <w:r>
              <w:rPr>
                <w:rFonts w:hint="eastAsia" w:ascii="Times New Roman"/>
                <w:sz w:val="24"/>
              </w:rPr>
              <w:t>q</w:t>
            </w:r>
            <w:r>
              <w:rPr>
                <w:rFonts w:ascii="Times New Roman"/>
                <w:sz w:val="24"/>
              </w:rPr>
              <w:t>。</w:t>
            </w:r>
          </w:p>
          <w:p>
            <w:pPr>
              <w:pStyle w:val="230"/>
              <w:keepNext w:val="0"/>
              <w:keepLines w:val="0"/>
              <w:widowControl/>
              <w:suppressLineNumbers w:val="0"/>
              <w:snapToGrid w:val="0"/>
              <w:spacing w:before="0" w:beforeAutospacing="0" w:after="0" w:afterAutospacing="0" w:line="360" w:lineRule="auto"/>
              <w:ind w:left="0" w:leftChars="0" w:right="0" w:firstLine="482" w:firstLineChars="200"/>
              <w:rPr>
                <w:rFonts w:ascii="Times New Roman"/>
                <w:b/>
                <w:bCs/>
                <w:sz w:val="24"/>
              </w:rPr>
            </w:pPr>
            <w:r>
              <w:rPr>
                <w:rFonts w:ascii="Times New Roman"/>
                <w:b/>
                <w:bCs/>
                <w:sz w:val="24"/>
              </w:rPr>
              <w:t>5、评价内容</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建设项目环境影响评价包括施工期和运行期，施工期环境影响评价主要考虑施工扬尘、施工机械和施工车辆尾气、施工噪声、施工废水、施工固体废物、施工期对生态环境影响等方面的内容；运行期环境影响评价主要考虑电磁辐射、噪声、生活污水和固体废物。</w:t>
            </w:r>
          </w:p>
          <w:p>
            <w:pPr>
              <w:pStyle w:val="230"/>
              <w:keepNext w:val="0"/>
              <w:keepLines w:val="0"/>
              <w:widowControl/>
              <w:suppressLineNumbers w:val="0"/>
              <w:snapToGrid w:val="0"/>
              <w:spacing w:before="0" w:beforeAutospacing="0" w:after="0" w:afterAutospacing="0" w:line="360" w:lineRule="auto"/>
              <w:ind w:left="0" w:leftChars="0" w:right="0" w:firstLine="482" w:firstLineChars="200"/>
              <w:rPr>
                <w:rFonts w:ascii="Times New Roman"/>
                <w:b/>
                <w:bCs/>
                <w:sz w:val="24"/>
              </w:rPr>
            </w:pPr>
            <w:r>
              <w:rPr>
                <w:rFonts w:ascii="Times New Roman"/>
                <w:b/>
                <w:bCs/>
                <w:sz w:val="24"/>
              </w:rPr>
              <w:t>6、评价重点</w:t>
            </w:r>
          </w:p>
          <w:p>
            <w:pPr>
              <w:keepNext w:val="0"/>
              <w:keepLines w:val="0"/>
              <w:widowControl/>
              <w:suppressLineNumbers w:val="0"/>
              <w:snapToGrid w:val="0"/>
              <w:spacing w:before="0" w:beforeAutospacing="0" w:after="0" w:afterAutospacing="0" w:line="360" w:lineRule="auto"/>
              <w:ind w:left="0" w:right="0" w:firstLine="480" w:firstLineChars="200"/>
              <w:jc w:val="both"/>
              <w:rPr>
                <w:rFonts w:ascii="Times New Roman"/>
                <w:sz w:val="24"/>
              </w:rPr>
            </w:pPr>
            <w:r>
              <w:rPr>
                <w:rFonts w:ascii="Times New Roman"/>
                <w:sz w:val="24"/>
              </w:rPr>
              <w:t>根据《环境影响评价技术导则 输变电》(HJ 24-2020)及工程实际情况，本项目环境影响评价重点为电磁环境影响评价、声环境影响评价。</w:t>
            </w:r>
          </w:p>
          <w:p>
            <w:pPr>
              <w:keepNext w:val="0"/>
              <w:keepLines w:val="0"/>
              <w:widowControl/>
              <w:suppressLineNumbers w:val="0"/>
              <w:snapToGrid w:val="0"/>
              <w:spacing w:before="0" w:beforeAutospacing="0" w:after="0" w:afterAutospacing="0" w:line="360" w:lineRule="auto"/>
              <w:ind w:left="0" w:right="0" w:firstLine="482" w:firstLineChars="200"/>
              <w:jc w:val="both"/>
              <w:rPr>
                <w:rFonts w:ascii="Times New Roman"/>
                <w:b/>
                <w:bCs/>
                <w:sz w:val="24"/>
              </w:rPr>
            </w:pPr>
            <w:r>
              <w:rPr>
                <w:rFonts w:ascii="Times New Roman"/>
                <w:b/>
                <w:bCs/>
                <w:sz w:val="24"/>
              </w:rPr>
              <w:t>7、评价标准</w:t>
            </w:r>
          </w:p>
          <w:p>
            <w:pPr>
              <w:keepNext w:val="0"/>
              <w:keepLines w:val="0"/>
              <w:widowControl/>
              <w:suppressLineNumbers w:val="0"/>
              <w:snapToGrid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(1)工频电磁场</w:t>
            </w:r>
          </w:p>
          <w:p>
            <w:pPr>
              <w:keepNext w:val="0"/>
              <w:keepLines w:val="0"/>
              <w:widowControl/>
              <w:suppressLineNumbers w:val="0"/>
              <w:snapToGrid w:val="0"/>
              <w:spacing w:before="0" w:beforeAutospacing="0" w:after="0" w:afterAutospacing="0" w:line="360" w:lineRule="auto"/>
              <w:ind w:left="0" w:right="0" w:firstLine="482" w:firstLineChars="200"/>
              <w:jc w:val="both"/>
              <w:rPr>
                <w:rFonts w:ascii="Times New Roman"/>
                <w:sz w:val="24"/>
                <w:szCs w:val="24"/>
              </w:rPr>
            </w:pPr>
            <w:r>
              <w:rPr>
                <w:rFonts w:ascii="Times New Roman"/>
                <w:b/>
                <w:bCs/>
                <w:sz w:val="24"/>
                <w:szCs w:val="24"/>
              </w:rPr>
              <w:t>运行期：</w:t>
            </w:r>
            <w:r>
              <w:rPr>
                <w:rFonts w:ascii="Times New Roman"/>
                <w:sz w:val="24"/>
                <w:szCs w:val="24"/>
              </w:rPr>
              <w:t>执行《电磁环境控制限值》(GB 8702-2014)表1标准，根据该标准规定，0.025kHz～1.2kHz频率范围，电场强度公众</w:t>
            </w:r>
            <w:r>
              <w:rPr>
                <w:rFonts w:hint="eastAsia" w:ascii="Times New Roman"/>
                <w:sz w:val="24"/>
                <w:szCs w:val="24"/>
              </w:rPr>
              <w:t>暴</w:t>
            </w:r>
            <w:r>
              <w:rPr>
                <w:rFonts w:ascii="Times New Roman"/>
                <w:sz w:val="24"/>
                <w:szCs w:val="24"/>
              </w:rPr>
              <w:t>露控制限值为(200/f)V/m，根据计算得出频率50Hz的电场强度控制限值为4kV/m，因此本评价以4kV/m作为工频电场强度评价标准；磁感应强度公众</w:t>
            </w:r>
            <w:r>
              <w:rPr>
                <w:rFonts w:hint="eastAsia" w:ascii="Times New Roman"/>
                <w:sz w:val="24"/>
                <w:szCs w:val="24"/>
              </w:rPr>
              <w:t>暴露</w:t>
            </w:r>
            <w:r>
              <w:rPr>
                <w:rFonts w:ascii="Times New Roman"/>
                <w:sz w:val="24"/>
                <w:szCs w:val="24"/>
              </w:rPr>
              <w:t>控制限值为(5/f)µT，根据计算得出频率50Hz的磁感应强度控制限值为100µT，因此本评价以100µT作为工频磁感应强度的评价标准。</w:t>
            </w:r>
          </w:p>
          <w:p>
            <w:pPr>
              <w:keepNext w:val="0"/>
              <w:keepLines w:val="0"/>
              <w:widowControl/>
              <w:suppressLineNumbers w:val="0"/>
              <w:snapToGrid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(2)噪声</w:t>
            </w:r>
          </w:p>
          <w:p>
            <w:pPr>
              <w:keepNext w:val="0"/>
              <w:keepLines w:val="0"/>
              <w:widowControl w:val="0"/>
              <w:suppressLineNumbers w:val="0"/>
              <w:snapToGrid w:val="0"/>
              <w:spacing w:before="0" w:beforeAutospacing="0" w:after="0" w:afterAutospacing="0" w:line="360" w:lineRule="auto"/>
              <w:ind w:left="0" w:right="0" w:firstLine="482" w:firstLineChars="200"/>
              <w:jc w:val="both"/>
              <w:rPr>
                <w:rFonts w:ascii="Times New Roman"/>
                <w:sz w:val="24"/>
                <w:szCs w:val="24"/>
              </w:rPr>
            </w:pPr>
            <w:r>
              <w:rPr>
                <w:rFonts w:ascii="Times New Roman"/>
                <w:b/>
                <w:bCs/>
                <w:sz w:val="24"/>
                <w:szCs w:val="24"/>
              </w:rPr>
              <w:t>施工期：</w:t>
            </w:r>
            <w:r>
              <w:rPr>
                <w:rFonts w:ascii="Times New Roman"/>
                <w:sz w:val="24"/>
                <w:szCs w:val="24"/>
              </w:rPr>
              <w:t>建筑施工噪声执行《建筑施工场界环境噪声排放标准》(GB 12523-2011)中昼间70dB(A)，夜间55dB(A)的标准限值。</w:t>
            </w:r>
          </w:p>
          <w:p>
            <w:pPr>
              <w:keepNext w:val="0"/>
              <w:keepLines w:val="0"/>
              <w:widowControl w:val="0"/>
              <w:suppressLineNumbers w:val="0"/>
              <w:snapToGrid w:val="0"/>
              <w:spacing w:before="0" w:beforeAutospacing="0" w:after="0" w:afterAutospacing="0" w:line="360" w:lineRule="auto"/>
              <w:ind w:left="0" w:right="0" w:firstLine="482" w:firstLineChars="200"/>
              <w:jc w:val="both"/>
              <w:rPr>
                <w:rFonts w:ascii="Times New Roman"/>
                <w:sz w:val="24"/>
                <w:szCs w:val="24"/>
              </w:rPr>
            </w:pPr>
            <w:r>
              <w:rPr>
                <w:rFonts w:ascii="Times New Roman"/>
                <w:b/>
                <w:bCs/>
                <w:sz w:val="24"/>
                <w:szCs w:val="24"/>
              </w:rPr>
              <w:t>运行期：</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厂界执行《工业企业厂界环境噪声排放标准》(GB 12348-2008)1类区标准限值，昼间55dB(A)，夜间45B(A)。</w:t>
            </w:r>
          </w:p>
          <w:p>
            <w:pPr>
              <w:keepNext w:val="0"/>
              <w:keepLines w:val="0"/>
              <w:widowControl/>
              <w:suppressLineNumbers w:val="0"/>
              <w:snapToGrid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(3)施工扬尘</w:t>
            </w:r>
          </w:p>
          <w:p>
            <w:pPr>
              <w:keepNext w:val="0"/>
              <w:keepLines w:val="0"/>
              <w:widowControl/>
              <w:suppressLineNumbers w:val="0"/>
              <w:snapToGrid w:val="0"/>
              <w:spacing w:before="0" w:beforeAutospacing="0" w:after="0" w:afterAutospacing="0" w:line="360" w:lineRule="auto"/>
              <w:ind w:left="0" w:right="0" w:firstLine="480" w:firstLineChars="200"/>
              <w:jc w:val="both"/>
              <w:rPr>
                <w:rFonts w:ascii="Times New Roman"/>
                <w:sz w:val="24"/>
                <w:szCs w:val="24"/>
              </w:rPr>
            </w:pPr>
            <w:r>
              <w:rPr>
                <w:rFonts w:ascii="Times New Roman"/>
                <w:sz w:val="24"/>
                <w:szCs w:val="24"/>
              </w:rPr>
              <w:t>建筑施工场地扬尘执行《施工场地扬尘排放标准》(DB 13/2934-2019)表1扬尘排放浓度限值要求。</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rPr>
            </w:pPr>
            <w:r>
              <w:rPr>
                <w:rFonts w:ascii="Times New Roman"/>
                <w:sz w:val="24"/>
                <w:szCs w:val="24"/>
              </w:rPr>
              <w:t>(4)</w:t>
            </w:r>
            <w:r>
              <w:rPr>
                <w:rFonts w:ascii="Times New Roman"/>
                <w:sz w:val="24"/>
              </w:rPr>
              <w:t>固体废物</w:t>
            </w:r>
          </w:p>
          <w:p>
            <w:pPr>
              <w:keepNext w:val="0"/>
              <w:keepLines w:val="0"/>
              <w:widowControl w:val="0"/>
              <w:suppressLineNumbers w:val="0"/>
              <w:snapToGrid w:val="0"/>
              <w:spacing w:before="0" w:beforeAutospacing="0" w:after="0" w:afterAutospacing="0" w:line="360" w:lineRule="auto"/>
              <w:ind w:left="0" w:right="0" w:firstLine="482" w:firstLineChars="200"/>
              <w:rPr>
                <w:rFonts w:ascii="Times New Roman"/>
                <w:sz w:val="24"/>
              </w:rPr>
            </w:pPr>
            <w:r>
              <w:rPr>
                <w:rFonts w:ascii="Times New Roman"/>
                <w:b/>
                <w:bCs/>
                <w:sz w:val="24"/>
              </w:rPr>
              <w:t>运行期：</w:t>
            </w:r>
            <w:r>
              <w:rPr>
                <w:rFonts w:hint="eastAsia" w:ascii="Times New Roman"/>
                <w:sz w:val="24"/>
              </w:rPr>
              <w:t>一般固体废物执行《一般工业固体废物贮存和填埋污染控制标准》(GB18599-2020)；危险废物储存满足《危险废物贮存污染控制标准》(GB</w:t>
            </w:r>
            <w:r>
              <w:rPr>
                <w:rFonts w:ascii="Times New Roman"/>
                <w:sz w:val="24"/>
              </w:rPr>
              <w:t xml:space="preserve"> </w:t>
            </w:r>
            <w:r>
              <w:rPr>
                <w:rFonts w:hint="eastAsia" w:ascii="Times New Roman"/>
                <w:sz w:val="24"/>
              </w:rPr>
              <w:t>18597-20</w:t>
            </w:r>
            <w:r>
              <w:rPr>
                <w:rFonts w:ascii="Times New Roman"/>
                <w:sz w:val="24"/>
              </w:rPr>
              <w:t>23</w:t>
            </w:r>
            <w:r>
              <w:rPr>
                <w:rFonts w:hint="eastAsia" w:ascii="Times New Roman"/>
                <w:sz w:val="24"/>
              </w:rPr>
              <w:t>)。</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rPr>
            </w:pPr>
            <w:r>
              <w:rPr>
                <w:rFonts w:ascii="Times New Roman"/>
                <w:sz w:val="24"/>
                <w:szCs w:val="24"/>
              </w:rPr>
              <w:t>(5)</w:t>
            </w:r>
            <w:r>
              <w:rPr>
                <w:rFonts w:ascii="Times New Roman"/>
                <w:sz w:val="24"/>
              </w:rPr>
              <w:t>废水</w:t>
            </w:r>
          </w:p>
          <w:p>
            <w:pPr>
              <w:keepNext w:val="0"/>
              <w:keepLines w:val="0"/>
              <w:widowControl/>
              <w:suppressLineNumbers w:val="0"/>
              <w:adjustRightInd w:val="0"/>
              <w:snapToGrid w:val="0"/>
              <w:spacing w:before="0" w:beforeAutospacing="0" w:after="0" w:afterAutospacing="0" w:line="360" w:lineRule="auto"/>
              <w:ind w:left="0" w:right="0" w:firstLine="465" w:firstLineChars="193"/>
              <w:rPr>
                <w:rFonts w:ascii="Times New Roman"/>
                <w:kern w:val="0"/>
                <w:sz w:val="24"/>
              </w:rPr>
            </w:pPr>
            <w:r>
              <w:rPr>
                <w:rFonts w:ascii="Times New Roman"/>
                <w:b/>
                <w:bCs/>
                <w:kern w:val="0"/>
                <w:sz w:val="24"/>
              </w:rPr>
              <w:t>施工期：</w:t>
            </w:r>
            <w:r>
              <w:rPr>
                <w:rFonts w:ascii="Times New Roman"/>
                <w:kern w:val="0"/>
                <w:sz w:val="24"/>
              </w:rPr>
              <w:t>废水主要为施工人员生活污水</w:t>
            </w:r>
            <w:r>
              <w:rPr>
                <w:rFonts w:hint="eastAsia" w:ascii="Times New Roman"/>
                <w:kern w:val="0"/>
                <w:sz w:val="24"/>
              </w:rPr>
              <w:t>、</w:t>
            </w:r>
            <w:r>
              <w:rPr>
                <w:rFonts w:ascii="Times New Roman"/>
                <w:kern w:val="0"/>
                <w:sz w:val="24"/>
              </w:rPr>
              <w:t>施工废水</w:t>
            </w:r>
            <w:r>
              <w:rPr>
                <w:rFonts w:hint="eastAsia" w:ascii="Times New Roman"/>
                <w:kern w:val="0"/>
                <w:sz w:val="24"/>
              </w:rPr>
              <w:t>和养护废水</w:t>
            </w:r>
            <w:r>
              <w:rPr>
                <w:rFonts w:ascii="Times New Roman"/>
                <w:kern w:val="0"/>
                <w:sz w:val="24"/>
              </w:rPr>
              <w:t>，</w:t>
            </w:r>
            <w:r>
              <w:rPr>
                <w:rFonts w:hint="eastAsia" w:ascii="Times New Roman"/>
                <w:kern w:val="0"/>
                <w:sz w:val="24"/>
              </w:rPr>
              <w:t>施工期施工人员主要为附近村庄居民，生活废水分散于周边村庄，依托村镇现有污水处理设施处理</w:t>
            </w:r>
            <w:r>
              <w:rPr>
                <w:rFonts w:ascii="Times New Roman"/>
                <w:kern w:val="0"/>
                <w:sz w:val="24"/>
              </w:rPr>
              <w:t>；施工废水、养护废水，沉淀后用于场地抑尘。</w:t>
            </w:r>
          </w:p>
          <w:p>
            <w:pPr>
              <w:keepNext w:val="0"/>
              <w:keepLines w:val="0"/>
              <w:widowControl/>
              <w:suppressLineNumbers w:val="0"/>
              <w:adjustRightInd w:val="0"/>
              <w:snapToGrid w:val="0"/>
              <w:spacing w:before="0" w:beforeAutospacing="0" w:after="0" w:afterAutospacing="0" w:line="360" w:lineRule="auto"/>
              <w:ind w:left="0" w:right="0" w:firstLine="465" w:firstLineChars="193"/>
              <w:rPr>
                <w:rFonts w:ascii="Times New Roman"/>
                <w:kern w:val="0"/>
                <w:sz w:val="24"/>
              </w:rPr>
            </w:pPr>
            <w:r>
              <w:rPr>
                <w:rFonts w:ascii="Times New Roman"/>
                <w:b/>
                <w:bCs/>
                <w:kern w:val="0"/>
                <w:sz w:val="24"/>
              </w:rPr>
              <w:t>运行期：</w:t>
            </w:r>
            <w:r>
              <w:rPr>
                <w:rFonts w:hint="eastAsia" w:ascii="Times New Roman"/>
                <w:kern w:val="0"/>
                <w:sz w:val="24"/>
              </w:rPr>
              <w:t>生活废水经化粪池处理、食堂废水经隔油池处理后，一同进入污水一体化处理设备处理，处理后满足《城市污水再生利用 城市杂用水水质》中城市绿化、道路清扫、消防用水水质标准，用于厂区洒水抑尘。</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rPr>
            </w:pPr>
            <w:r>
              <w:rPr>
                <w:rFonts w:ascii="Times New Roman"/>
                <w:sz w:val="24"/>
              </w:rPr>
              <w:t>本次评价采用的标准见表3-7。</w:t>
            </w:r>
          </w:p>
          <w:p>
            <w:pPr>
              <w:keepNext w:val="0"/>
              <w:keepLines w:val="0"/>
              <w:widowControl/>
              <w:suppressLineNumbers w:val="0"/>
              <w:snapToGrid w:val="0"/>
              <w:spacing w:before="0" w:beforeAutospacing="0" w:after="0" w:afterAutospacing="0" w:line="360" w:lineRule="auto"/>
              <w:ind w:left="0" w:right="0" w:firstLine="482" w:firstLineChars="200"/>
              <w:jc w:val="center"/>
              <w:rPr>
                <w:rFonts w:ascii="Times New Roman"/>
                <w:b/>
                <w:sz w:val="24"/>
              </w:rPr>
            </w:pPr>
            <w:r>
              <w:rPr>
                <w:rFonts w:ascii="Times New Roman"/>
                <w:b/>
                <w:sz w:val="24"/>
              </w:rPr>
              <w:t>表3-7  采用的标准一览表</w:t>
            </w:r>
          </w:p>
          <w:tbl>
            <w:tblPr>
              <w:tblStyle w:val="54"/>
              <w:tblW w:w="8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55"/>
              <w:gridCol w:w="1272"/>
              <w:gridCol w:w="3123"/>
              <w:gridCol w:w="3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10"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b/>
                    </w:rPr>
                    <w:t>阶段</w:t>
                  </w:r>
                </w:p>
              </w:tc>
              <w:tc>
                <w:tcPr>
                  <w:tcW w:w="754"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b/>
                    </w:rPr>
                    <w:t>名称</w:t>
                  </w:r>
                </w:p>
              </w:tc>
              <w:tc>
                <w:tcPr>
                  <w:tcW w:w="1851"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b/>
                    </w:rPr>
                    <w:t>标准限值</w:t>
                  </w:r>
                </w:p>
              </w:tc>
              <w:tc>
                <w:tcPr>
                  <w:tcW w:w="2185"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b/>
                    </w:rPr>
                    <w:t>标准名称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 w:type="pct"/>
                  <w:vMerge w:val="restar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bCs/>
                    </w:rPr>
                  </w:pPr>
                  <w:r>
                    <w:rPr>
                      <w:rFonts w:ascii="Times New Roman"/>
                      <w:bCs/>
                    </w:rPr>
                    <w:t>施工期</w:t>
                  </w:r>
                </w:p>
              </w:tc>
              <w:tc>
                <w:tcPr>
                  <w:tcW w:w="754"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rPr>
                    <w:t>噪声</w:t>
                  </w:r>
                </w:p>
              </w:tc>
              <w:tc>
                <w:tcPr>
                  <w:tcW w:w="1851"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rPr>
                    <w:t>昼间：70dB(A) 夜间：55dB(A)</w:t>
                  </w:r>
                </w:p>
              </w:tc>
              <w:tc>
                <w:tcPr>
                  <w:tcW w:w="2185"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《建筑施工场界环境噪声排放标准》(GB 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 w:type="pct"/>
                  <w:vMerge w:val="continue"/>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b/>
                    </w:rPr>
                  </w:pPr>
                </w:p>
              </w:tc>
              <w:tc>
                <w:tcPr>
                  <w:tcW w:w="754"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rPr>
                    <w:t>施工扬尘</w:t>
                  </w:r>
                </w:p>
              </w:tc>
              <w:tc>
                <w:tcPr>
                  <w:tcW w:w="1851"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≤80*μg/m</w:t>
                  </w:r>
                  <w:r>
                    <w:rPr>
                      <w:rFonts w:ascii="Times New Roman"/>
                      <w:vertAlign w:val="superscript"/>
                    </w:rPr>
                    <w:t>3</w:t>
                  </w:r>
                  <w:r>
                    <w:rPr>
                      <w:rFonts w:ascii="Times New Roman"/>
                    </w:rPr>
                    <w:t>，达标判定依据：≤2次/天。</w:t>
                  </w:r>
                </w:p>
              </w:tc>
              <w:tc>
                <w:tcPr>
                  <w:tcW w:w="2185"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《施工场地扬尘排放标准》</w:t>
                  </w:r>
                </w:p>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(DB</w:t>
                  </w:r>
                  <w:r>
                    <w:rPr>
                      <w:rFonts w:ascii="Times New Roman"/>
                    </w:rPr>
                    <w:t xml:space="preserve"> </w:t>
                  </w:r>
                  <w:r>
                    <w:rPr>
                      <w:rFonts w:hint="eastAsia" w:ascii="Times New Roman"/>
                    </w:rPr>
                    <w:t>13/2934-2019)表1中扬尘</w:t>
                  </w:r>
                </w:p>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 w:type="pct"/>
                  <w:vMerge w:val="restar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b/>
                    </w:rPr>
                  </w:pPr>
                  <w:r>
                    <w:rPr>
                      <w:rFonts w:ascii="Times New Roman"/>
                    </w:rPr>
                    <w:t>运行期</w:t>
                  </w:r>
                </w:p>
              </w:tc>
              <w:tc>
                <w:tcPr>
                  <w:tcW w:w="754"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食堂油烟</w:t>
                  </w:r>
                </w:p>
              </w:tc>
              <w:tc>
                <w:tcPr>
                  <w:tcW w:w="1851" w:type="pct"/>
                  <w:tcBorders>
                    <w:tl2br w:val="nil"/>
                    <w:tr2bl w:val="nil"/>
                  </w:tcBorders>
                  <w:vAlign w:val="center"/>
                </w:tcPr>
                <w:p>
                  <w:pPr>
                    <w:pStyle w:val="91"/>
                    <w:keepNext w:val="0"/>
                    <w:keepLines w:val="0"/>
                    <w:widowControl/>
                    <w:suppressLineNumbers w:val="0"/>
                    <w:adjustRightInd w:val="0"/>
                    <w:snapToGrid w:val="0"/>
                    <w:spacing w:before="0" w:beforeAutospacing="0" w:after="0" w:afterAutospacing="0" w:line="240" w:lineRule="exact"/>
                    <w:ind w:left="0" w:right="0"/>
                    <w:rPr>
                      <w:rFonts w:ascii="Times New Roman"/>
                      <w:lang w:eastAsia="zh-CN"/>
                    </w:rPr>
                  </w:pPr>
                  <w:r>
                    <w:rPr>
                      <w:rFonts w:ascii="Times New Roman" w:hAnsi="Times New Roman" w:cs="Times New Roman"/>
                      <w:sz w:val="21"/>
                      <w:szCs w:val="21"/>
                      <w:lang w:eastAsia="zh-CN"/>
                    </w:rPr>
                    <w:t>油烟最高允许排放浓度1.5mg/m</w:t>
                  </w:r>
                  <w:r>
                    <w:rPr>
                      <w:rFonts w:ascii="Times New Roman" w:hAnsi="Times New Roman" w:cs="Times New Roman"/>
                      <w:sz w:val="21"/>
                      <w:szCs w:val="21"/>
                      <w:vertAlign w:val="superscript"/>
                      <w:lang w:eastAsia="zh-CN"/>
                    </w:rPr>
                    <w:t>3</w:t>
                  </w:r>
                  <w:r>
                    <w:rPr>
                      <w:rFonts w:ascii="Times New Roman" w:hAnsi="Times New Roman" w:cs="Times New Roman"/>
                      <w:sz w:val="21"/>
                      <w:szCs w:val="21"/>
                      <w:lang w:eastAsia="zh-CN"/>
                    </w:rPr>
                    <w:t>去除效率≥60%</w:t>
                  </w:r>
                </w:p>
              </w:tc>
              <w:tc>
                <w:tcPr>
                  <w:tcW w:w="2185"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《餐饮业大气污染物排放标准》(DB13/5808-2023)表1小型标准，同时满足《饮食业油烟排放标准(试行)》(GB18483-2001)表2去除效率要求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 w:type="pct"/>
                  <w:vMerge w:val="continue"/>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54"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工频电场</w:t>
                  </w:r>
                </w:p>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强度</w:t>
                  </w:r>
                </w:p>
              </w:tc>
              <w:tc>
                <w:tcPr>
                  <w:tcW w:w="1851"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4kV/m</w:t>
                  </w:r>
                </w:p>
              </w:tc>
              <w:tc>
                <w:tcPr>
                  <w:tcW w:w="2185" w:type="pct"/>
                  <w:vMerge w:val="restar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《电磁环境控制限值》</w:t>
                  </w:r>
                </w:p>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(GB 8702-2014)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 w:type="pct"/>
                  <w:vMerge w:val="continue"/>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54"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工频磁感应强度</w:t>
                  </w:r>
                </w:p>
                <w:p>
                  <w:pPr>
                    <w:pStyle w:val="27"/>
                    <w:keepNext w:val="0"/>
                    <w:keepLines w:val="0"/>
                    <w:widowControl/>
                    <w:suppressLineNumbers w:val="0"/>
                    <w:spacing w:before="0" w:beforeAutospacing="0" w:after="0" w:afterAutospacing="0"/>
                    <w:ind w:right="0"/>
                  </w:pPr>
                </w:p>
              </w:tc>
              <w:tc>
                <w:tcPr>
                  <w:tcW w:w="1851"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100µT</w:t>
                  </w:r>
                </w:p>
              </w:tc>
              <w:tc>
                <w:tcPr>
                  <w:tcW w:w="2185" w:type="pct"/>
                  <w:vMerge w:val="continue"/>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 w:type="pct"/>
                  <w:vMerge w:val="continue"/>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54"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厂界噪声</w:t>
                  </w:r>
                </w:p>
              </w:tc>
              <w:tc>
                <w:tcPr>
                  <w:tcW w:w="1851" w:type="pct"/>
                  <w:tcBorders>
                    <w:tl2br w:val="nil"/>
                    <w:tr2bl w:val="nil"/>
                  </w:tcBorders>
                  <w:vAlign w:val="center"/>
                </w:tcPr>
                <w:p>
                  <w:pPr>
                    <w:keepNext w:val="0"/>
                    <w:keepLines w:val="0"/>
                    <w:widowControl/>
                    <w:suppressLineNumbers w:val="0"/>
                    <w:tabs>
                      <w:tab w:val="left" w:pos="764"/>
                    </w:tabs>
                    <w:snapToGrid w:val="0"/>
                    <w:spacing w:before="0" w:beforeAutospacing="0" w:after="0" w:afterAutospacing="0"/>
                    <w:ind w:left="0" w:right="0"/>
                    <w:jc w:val="center"/>
                    <w:rPr>
                      <w:rFonts w:ascii="Times New Roman"/>
                    </w:rPr>
                  </w:pPr>
                  <w:r>
                    <w:rPr>
                      <w:rFonts w:hint="eastAsia" w:ascii="Times New Roman"/>
                    </w:rPr>
                    <w:t>升压站厂界</w:t>
                  </w:r>
                  <w:r>
                    <w:rPr>
                      <w:rFonts w:ascii="Times New Roman"/>
                    </w:rPr>
                    <w:t>：昼间55dB(A) 夜间45dB(A)</w:t>
                  </w:r>
                </w:p>
              </w:tc>
              <w:tc>
                <w:tcPr>
                  <w:tcW w:w="2185" w:type="pct"/>
                  <w:tcBorders>
                    <w:tl2br w:val="nil"/>
                    <w:tr2bl w:val="nil"/>
                  </w:tcBorders>
                  <w:vAlign w:val="center"/>
                </w:tcPr>
                <w:p>
                  <w:pPr>
                    <w:keepNext w:val="0"/>
                    <w:keepLines w:val="0"/>
                    <w:widowControl/>
                    <w:suppressLineNumbers w:val="0"/>
                    <w:tabs>
                      <w:tab w:val="left" w:pos="764"/>
                    </w:tabs>
                    <w:snapToGrid w:val="0"/>
                    <w:spacing w:before="0" w:beforeAutospacing="0" w:after="0" w:afterAutospacing="0"/>
                    <w:ind w:left="0" w:right="0"/>
                    <w:jc w:val="center"/>
                    <w:rPr>
                      <w:rFonts w:ascii="Times New Roman"/>
                    </w:rPr>
                  </w:pPr>
                  <w:r>
                    <w:rPr>
                      <w:rFonts w:ascii="Times New Roman"/>
                    </w:rPr>
                    <w:t>《工业企业厂界环境噪声排放标准》(GB 12348-2008)1类区标准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 w:type="pct"/>
                  <w:vMerge w:val="continue"/>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54" w:type="pct"/>
                  <w:vMerge w:val="restar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固体废物</w:t>
                  </w:r>
                </w:p>
              </w:tc>
              <w:tc>
                <w:tcPr>
                  <w:tcW w:w="1851"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一般工业固体废物</w:t>
                  </w:r>
                </w:p>
              </w:tc>
              <w:tc>
                <w:tcPr>
                  <w:tcW w:w="2185"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《一般工业固体废物贮存和填埋污染控制标准》(GB 18599-2020)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 w:type="pct"/>
                  <w:vMerge w:val="continue"/>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54" w:type="pct"/>
                  <w:vMerge w:val="continue"/>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1851"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危险废物</w:t>
                  </w:r>
                </w:p>
              </w:tc>
              <w:tc>
                <w:tcPr>
                  <w:tcW w:w="2185"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《危险废物贮存污染控制标准》(GB 18597-2023)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37" w:hRule="atLeast"/>
                <w:jc w:val="center"/>
              </w:trPr>
              <w:tc>
                <w:tcPr>
                  <w:tcW w:w="210" w:type="pct"/>
                  <w:vMerge w:val="continue"/>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p>
              </w:tc>
              <w:tc>
                <w:tcPr>
                  <w:tcW w:w="754"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ascii="Times New Roman"/>
                    </w:rPr>
                    <w:t>生活污水</w:t>
                  </w:r>
                </w:p>
              </w:tc>
              <w:tc>
                <w:tcPr>
                  <w:tcW w:w="1851" w:type="pct"/>
                  <w:tcBorders>
                    <w:tl2br w:val="nil"/>
                    <w:tr2bl w:val="nil"/>
                  </w:tcBorders>
                  <w:vAlign w:val="center"/>
                </w:tcPr>
                <w:p>
                  <w:pPr>
                    <w:keepNext w:val="0"/>
                    <w:keepLines w:val="0"/>
                    <w:widowControl/>
                    <w:suppressLineNumbers w:val="0"/>
                    <w:snapToGrid w:val="0"/>
                    <w:spacing w:before="0" w:beforeAutospacing="0" w:after="0" w:afterAutospacing="0"/>
                    <w:ind w:left="0" w:right="0"/>
                    <w:rPr>
                      <w:rFonts w:ascii="Times New Roman"/>
                      <w:kern w:val="0"/>
                    </w:rPr>
                  </w:pPr>
                  <w:r>
                    <w:rPr>
                      <w:rFonts w:ascii="Times New Roman"/>
                    </w:rPr>
                    <w:t>pH：</w:t>
                  </w:r>
                  <w:r>
                    <w:rPr>
                      <w:rFonts w:ascii="Times New Roman"/>
                      <w:kern w:val="0"/>
                    </w:rPr>
                    <w:t>6.0-9.0</w:t>
                  </w:r>
                </w:p>
                <w:p>
                  <w:pPr>
                    <w:pStyle w:val="27"/>
                    <w:keepNext w:val="0"/>
                    <w:keepLines w:val="0"/>
                    <w:widowControl/>
                    <w:suppressLineNumbers w:val="0"/>
                    <w:spacing w:before="0" w:beforeAutospacing="0" w:after="0" w:afterAutospacing="0"/>
                    <w:ind w:left="0" w:leftChars="0" w:right="0"/>
                    <w:rPr>
                      <w:rFonts w:ascii="Times New Roman"/>
                      <w:kern w:val="0"/>
                    </w:rPr>
                  </w:pPr>
                  <w:r>
                    <w:rPr>
                      <w:rFonts w:ascii="Times New Roman"/>
                      <w:kern w:val="0"/>
                    </w:rPr>
                    <w:t>色度，铂钴色度单位：≤30</w:t>
                  </w:r>
                </w:p>
                <w:p>
                  <w:pPr>
                    <w:keepNext w:val="0"/>
                    <w:keepLines w:val="0"/>
                    <w:widowControl/>
                    <w:suppressLineNumbers w:val="0"/>
                    <w:spacing w:before="0" w:beforeAutospacing="0" w:after="0" w:afterAutospacing="0"/>
                    <w:ind w:left="0" w:right="0"/>
                    <w:rPr>
                      <w:rFonts w:ascii="Times New Roman"/>
                      <w:kern w:val="0"/>
                    </w:rPr>
                  </w:pPr>
                  <w:r>
                    <w:rPr>
                      <w:rFonts w:ascii="Times New Roman"/>
                      <w:kern w:val="0"/>
                    </w:rPr>
                    <w:t>嗅：无不快感</w:t>
                  </w:r>
                </w:p>
                <w:p>
                  <w:pPr>
                    <w:pStyle w:val="27"/>
                    <w:keepNext w:val="0"/>
                    <w:keepLines w:val="0"/>
                    <w:widowControl/>
                    <w:suppressLineNumbers w:val="0"/>
                    <w:spacing w:before="0" w:beforeAutospacing="0" w:after="0" w:afterAutospacing="0"/>
                    <w:ind w:left="0" w:leftChars="0" w:right="0"/>
                    <w:rPr>
                      <w:rFonts w:ascii="Times New Roman"/>
                      <w:kern w:val="0"/>
                    </w:rPr>
                  </w:pPr>
                  <w:r>
                    <w:rPr>
                      <w:rFonts w:ascii="Times New Roman"/>
                      <w:kern w:val="0"/>
                    </w:rPr>
                    <w:t>浊度/NTU：≤10</w:t>
                  </w:r>
                </w:p>
                <w:p>
                  <w:pPr>
                    <w:keepNext w:val="0"/>
                    <w:keepLines w:val="0"/>
                    <w:widowControl/>
                    <w:suppressLineNumbers w:val="0"/>
                    <w:spacing w:before="0" w:beforeAutospacing="0" w:after="0" w:afterAutospacing="0"/>
                    <w:ind w:left="0" w:right="0"/>
                    <w:rPr>
                      <w:rFonts w:ascii="Times New Roman"/>
                      <w:kern w:val="0"/>
                    </w:rPr>
                  </w:pPr>
                  <w:r>
                    <w:rPr>
                      <w:rFonts w:ascii="Times New Roman"/>
                      <w:kern w:val="0"/>
                    </w:rPr>
                    <w:t>五日生化需氧量：≤10</w:t>
                  </w:r>
                </w:p>
                <w:p>
                  <w:pPr>
                    <w:pStyle w:val="27"/>
                    <w:keepNext w:val="0"/>
                    <w:keepLines w:val="0"/>
                    <w:widowControl/>
                    <w:suppressLineNumbers w:val="0"/>
                    <w:spacing w:before="0" w:beforeAutospacing="0" w:after="0" w:afterAutospacing="0"/>
                    <w:ind w:left="0" w:leftChars="0" w:right="0"/>
                    <w:rPr>
                      <w:rFonts w:ascii="Times New Roman"/>
                      <w:kern w:val="0"/>
                    </w:rPr>
                  </w:pPr>
                  <w:r>
                    <w:rPr>
                      <w:rFonts w:ascii="Times New Roman"/>
                      <w:kern w:val="0"/>
                    </w:rPr>
                    <w:t>氨氮：≤8</w:t>
                  </w:r>
                </w:p>
                <w:p>
                  <w:pPr>
                    <w:keepNext w:val="0"/>
                    <w:keepLines w:val="0"/>
                    <w:widowControl/>
                    <w:suppressLineNumbers w:val="0"/>
                    <w:spacing w:before="0" w:beforeAutospacing="0" w:after="0" w:afterAutospacing="0"/>
                    <w:ind w:left="0" w:right="0"/>
                    <w:rPr>
                      <w:rFonts w:ascii="Times New Roman"/>
                      <w:kern w:val="0"/>
                    </w:rPr>
                  </w:pPr>
                  <w:r>
                    <w:rPr>
                      <w:rFonts w:ascii="Times New Roman"/>
                      <w:kern w:val="0"/>
                    </w:rPr>
                    <w:t>阴离子表面活性剂：≤0.5</w:t>
                  </w:r>
                </w:p>
                <w:p>
                  <w:pPr>
                    <w:pStyle w:val="27"/>
                    <w:keepNext w:val="0"/>
                    <w:keepLines w:val="0"/>
                    <w:widowControl/>
                    <w:suppressLineNumbers w:val="0"/>
                    <w:spacing w:before="0" w:beforeAutospacing="0" w:after="0" w:afterAutospacing="0"/>
                    <w:ind w:left="0" w:leftChars="0" w:right="0"/>
                    <w:rPr>
                      <w:rFonts w:ascii="Times New Roman"/>
                      <w:kern w:val="0"/>
                    </w:rPr>
                  </w:pPr>
                  <w:r>
                    <w:rPr>
                      <w:rFonts w:ascii="Times New Roman"/>
                      <w:kern w:val="0"/>
                    </w:rPr>
                    <w:t>溶解性总固体：≤1000(2000)</w:t>
                  </w:r>
                </w:p>
                <w:p>
                  <w:pPr>
                    <w:keepNext w:val="0"/>
                    <w:keepLines w:val="0"/>
                    <w:widowControl/>
                    <w:suppressLineNumbers w:val="0"/>
                    <w:spacing w:before="0" w:beforeAutospacing="0" w:after="0" w:afterAutospacing="0"/>
                    <w:ind w:left="0" w:right="0"/>
                    <w:rPr>
                      <w:rFonts w:ascii="Times New Roman"/>
                      <w:kern w:val="0"/>
                    </w:rPr>
                  </w:pPr>
                  <w:r>
                    <w:rPr>
                      <w:rFonts w:ascii="Times New Roman"/>
                      <w:kern w:val="0"/>
                    </w:rPr>
                    <w:t>溶解氧：≥2.0</w:t>
                  </w:r>
                </w:p>
                <w:p>
                  <w:pPr>
                    <w:pStyle w:val="27"/>
                    <w:keepNext w:val="0"/>
                    <w:keepLines w:val="0"/>
                    <w:widowControl/>
                    <w:suppressLineNumbers w:val="0"/>
                    <w:spacing w:before="0" w:beforeAutospacing="0" w:after="0" w:afterAutospacing="0"/>
                    <w:ind w:left="0" w:leftChars="0" w:right="0"/>
                    <w:rPr>
                      <w:rFonts w:ascii="Times New Roman"/>
                      <w:kern w:val="0"/>
                    </w:rPr>
                  </w:pPr>
                  <w:r>
                    <w:rPr>
                      <w:rFonts w:ascii="Times New Roman"/>
                      <w:kern w:val="0"/>
                    </w:rPr>
                    <w:t>总氯：1.0(出厂)，0.2(管网末端)</w:t>
                  </w:r>
                </w:p>
                <w:p>
                  <w:pPr>
                    <w:keepNext w:val="0"/>
                    <w:keepLines w:val="0"/>
                    <w:widowControl/>
                    <w:suppressLineNumbers w:val="0"/>
                    <w:spacing w:before="0" w:beforeAutospacing="0" w:after="0" w:afterAutospacing="0"/>
                    <w:ind w:left="0" w:right="0"/>
                    <w:rPr>
                      <w:rFonts w:ascii="Times New Roman"/>
                    </w:rPr>
                  </w:pPr>
                  <w:r>
                    <w:rPr>
                      <w:rFonts w:ascii="Times New Roman"/>
                      <w:kern w:val="0"/>
                    </w:rPr>
                    <w:t>大肠埃希氏菌：无</w:t>
                  </w:r>
                </w:p>
              </w:tc>
              <w:tc>
                <w:tcPr>
                  <w:tcW w:w="2185" w:type="pct"/>
                  <w:tcBorders>
                    <w:tl2br w:val="nil"/>
                    <w:tr2bl w:val="nil"/>
                  </w:tcBorders>
                  <w:vAlign w:val="center"/>
                </w:tcPr>
                <w:p>
                  <w:pPr>
                    <w:keepNext w:val="0"/>
                    <w:keepLines w:val="0"/>
                    <w:widowControl/>
                    <w:suppressLineNumbers w:val="0"/>
                    <w:snapToGrid w:val="0"/>
                    <w:spacing w:before="0" w:beforeAutospacing="0" w:after="0" w:afterAutospacing="0"/>
                    <w:ind w:left="0" w:right="0"/>
                    <w:jc w:val="center"/>
                    <w:rPr>
                      <w:rFonts w:ascii="Times New Roman"/>
                    </w:rPr>
                  </w:pPr>
                  <w:r>
                    <w:rPr>
                      <w:rFonts w:hint="eastAsia" w:ascii="Times New Roman"/>
                    </w:rPr>
                    <w:t>《城市污水再生利用 城市杂用水水质》(</w:t>
                  </w:r>
                  <w:r>
                    <w:rPr>
                      <w:rFonts w:ascii="Times New Roman"/>
                    </w:rPr>
                    <w:t>GB/T 18920-2020)</w:t>
                  </w:r>
                  <w:r>
                    <w:rPr>
                      <w:rFonts w:hint="eastAsia" w:ascii="Times New Roman"/>
                    </w:rPr>
                    <w:t>中城市绿化、道路清扫、消防用水水质标准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4"/>
                  <w:tcBorders>
                    <w:tl2br w:val="nil"/>
                    <w:tr2bl w:val="nil"/>
                  </w:tcBorders>
                  <w:vAlign w:val="center"/>
                </w:tcPr>
                <w:p>
                  <w:pPr>
                    <w:keepNext w:val="0"/>
                    <w:keepLines w:val="0"/>
                    <w:widowControl/>
                    <w:suppressLineNumbers w:val="0"/>
                    <w:snapToGrid w:val="0"/>
                    <w:spacing w:before="0" w:beforeAutospacing="0" w:after="0" w:afterAutospacing="0"/>
                    <w:ind w:left="0" w:right="0"/>
                    <w:rPr>
                      <w:rFonts w:ascii="Times New Roman"/>
                    </w:rPr>
                  </w:pPr>
                  <w:r>
                    <w:rPr>
                      <w:rFonts w:ascii="Times New Roman"/>
                    </w:rPr>
                    <w:t>注：*指监测点PM</w:t>
                  </w:r>
                  <w:r>
                    <w:rPr>
                      <w:rFonts w:ascii="Times New Roman"/>
                      <w:vertAlign w:val="subscript"/>
                    </w:rPr>
                    <w:t>10</w:t>
                  </w:r>
                  <w:r>
                    <w:rPr>
                      <w:rFonts w:ascii="Times New Roman"/>
                    </w:rPr>
                    <w:t>小时平均浓度实测值与同时段所属县(市、区)PM</w:t>
                  </w:r>
                  <w:r>
                    <w:rPr>
                      <w:rFonts w:ascii="Times New Roman"/>
                      <w:vertAlign w:val="subscript"/>
                    </w:rPr>
                    <w:t>10</w:t>
                  </w:r>
                  <w:r>
                    <w:rPr>
                      <w:rFonts w:ascii="Times New Roman"/>
                    </w:rPr>
                    <w:t>小时平均浓度的差值。当县(市、区)PM</w:t>
                  </w:r>
                  <w:r>
                    <w:rPr>
                      <w:rFonts w:ascii="Times New Roman"/>
                      <w:vertAlign w:val="subscript"/>
                    </w:rPr>
                    <w:t>10</w:t>
                  </w:r>
                  <w:r>
                    <w:rPr>
                      <w:rFonts w:ascii="Times New Roman"/>
                    </w:rPr>
                    <w:t>小时平均浓度值大于150µg/m</w:t>
                  </w:r>
                  <w:r>
                    <w:rPr>
                      <w:rFonts w:ascii="Times New Roman"/>
                      <w:vertAlign w:val="superscript"/>
                    </w:rPr>
                    <w:t>3</w:t>
                  </w:r>
                  <w:r>
                    <w:rPr>
                      <w:rFonts w:ascii="Times New Roman"/>
                    </w:rPr>
                    <w:t>时，以150µg/m</w:t>
                  </w:r>
                  <w:r>
                    <w:rPr>
                      <w:rFonts w:ascii="Times New Roman"/>
                      <w:vertAlign w:val="superscript"/>
                    </w:rPr>
                    <w:t>3</w:t>
                  </w:r>
                  <w:r>
                    <w:rPr>
                      <w:rFonts w:ascii="Times New Roman"/>
                    </w:rPr>
                    <w:t>计。</w:t>
                  </w:r>
                </w:p>
              </w:tc>
            </w:tr>
          </w:tbl>
          <w:p>
            <w:pPr>
              <w:pStyle w:val="27"/>
              <w:keepNext w:val="0"/>
              <w:keepLines w:val="0"/>
              <w:widowControl w:val="0"/>
              <w:suppressLineNumbers w:val="0"/>
              <w:snapToGrid w:val="0"/>
              <w:spacing w:before="0" w:beforeAutospacing="0" w:after="0" w:afterAutospacing="0" w:line="360" w:lineRule="auto"/>
              <w:ind w:left="0" w:leftChars="0" w:right="0" w:firstLine="438" w:firstLineChars="209"/>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36" w:hRule="atLeast"/>
          <w:jc w:val="center"/>
        </w:trPr>
        <w:tc>
          <w:tcPr>
            <w:tcW w:w="656" w:type="dxa"/>
            <w:vAlign w:val="center"/>
          </w:tcPr>
          <w:p>
            <w:pPr>
              <w:keepNext w:val="0"/>
              <w:keepLines w:val="0"/>
              <w:widowControl/>
              <w:suppressLineNumbers w:val="0"/>
              <w:adjustRightInd w:val="0"/>
              <w:snapToGrid w:val="0"/>
              <w:spacing w:before="0" w:beforeAutospacing="0" w:after="0" w:afterAutospacing="0"/>
              <w:ind w:left="0" w:right="-380" w:rightChars="-181"/>
              <w:rPr>
                <w:rFonts w:ascii="Times New Roman"/>
                <w:kern w:val="0"/>
                <w:sz w:val="24"/>
                <w:szCs w:val="24"/>
              </w:rPr>
            </w:pPr>
            <w:r>
              <w:rPr>
                <w:rFonts w:ascii="Times New Roman"/>
                <w:kern w:val="0"/>
                <w:sz w:val="24"/>
                <w:szCs w:val="24"/>
              </w:rPr>
              <w:t>总</w:t>
            </w:r>
          </w:p>
          <w:p>
            <w:pPr>
              <w:keepNext w:val="0"/>
              <w:keepLines w:val="0"/>
              <w:widowControl/>
              <w:suppressLineNumbers w:val="0"/>
              <w:adjustRightInd w:val="0"/>
              <w:snapToGrid w:val="0"/>
              <w:spacing w:before="0" w:beforeAutospacing="0" w:after="0" w:afterAutospacing="0"/>
              <w:ind w:left="0" w:right="-380" w:rightChars="-181"/>
              <w:rPr>
                <w:rFonts w:ascii="Times New Roman"/>
                <w:kern w:val="0"/>
                <w:sz w:val="24"/>
                <w:szCs w:val="24"/>
              </w:rPr>
            </w:pPr>
            <w:r>
              <w:rPr>
                <w:rFonts w:ascii="Times New Roman"/>
                <w:kern w:val="0"/>
                <w:sz w:val="24"/>
                <w:szCs w:val="24"/>
              </w:rPr>
              <w:t>量</w:t>
            </w:r>
          </w:p>
          <w:p>
            <w:pPr>
              <w:keepNext w:val="0"/>
              <w:keepLines w:val="0"/>
              <w:widowControl/>
              <w:suppressLineNumbers w:val="0"/>
              <w:adjustRightInd w:val="0"/>
              <w:snapToGrid w:val="0"/>
              <w:spacing w:before="0" w:beforeAutospacing="0" w:after="0" w:afterAutospacing="0"/>
              <w:ind w:left="0" w:right="-380" w:rightChars="-181"/>
              <w:rPr>
                <w:rFonts w:ascii="Times New Roman"/>
                <w:kern w:val="0"/>
                <w:sz w:val="24"/>
                <w:szCs w:val="24"/>
              </w:rPr>
            </w:pPr>
            <w:r>
              <w:rPr>
                <w:rFonts w:ascii="Times New Roman"/>
                <w:kern w:val="0"/>
                <w:sz w:val="24"/>
                <w:szCs w:val="24"/>
              </w:rPr>
              <w:t>控</w:t>
            </w:r>
          </w:p>
          <w:p>
            <w:pPr>
              <w:keepNext w:val="0"/>
              <w:keepLines w:val="0"/>
              <w:widowControl/>
              <w:suppressLineNumbers w:val="0"/>
              <w:adjustRightInd w:val="0"/>
              <w:snapToGrid w:val="0"/>
              <w:spacing w:before="0" w:beforeAutospacing="0" w:after="0" w:afterAutospacing="0"/>
              <w:ind w:left="0" w:right="-380" w:rightChars="-181"/>
              <w:rPr>
                <w:rFonts w:ascii="Times New Roman"/>
                <w:kern w:val="0"/>
                <w:sz w:val="24"/>
                <w:szCs w:val="24"/>
              </w:rPr>
            </w:pPr>
            <w:r>
              <w:rPr>
                <w:rFonts w:ascii="Times New Roman"/>
                <w:kern w:val="0"/>
                <w:sz w:val="24"/>
                <w:szCs w:val="24"/>
              </w:rPr>
              <w:t>制</w:t>
            </w:r>
          </w:p>
          <w:p>
            <w:pPr>
              <w:keepNext w:val="0"/>
              <w:keepLines w:val="0"/>
              <w:widowControl/>
              <w:suppressLineNumbers w:val="0"/>
              <w:adjustRightInd w:val="0"/>
              <w:snapToGrid w:val="0"/>
              <w:spacing w:before="0" w:beforeAutospacing="0" w:after="0" w:afterAutospacing="0"/>
              <w:ind w:left="0" w:right="-380" w:rightChars="-181"/>
              <w:rPr>
                <w:rFonts w:ascii="Times New Roman"/>
                <w:kern w:val="0"/>
                <w:sz w:val="24"/>
                <w:szCs w:val="24"/>
              </w:rPr>
            </w:pPr>
            <w:r>
              <w:rPr>
                <w:rFonts w:ascii="Times New Roman"/>
                <w:kern w:val="0"/>
                <w:sz w:val="24"/>
                <w:szCs w:val="24"/>
              </w:rPr>
              <w:t>指</w:t>
            </w:r>
          </w:p>
          <w:p>
            <w:pPr>
              <w:keepNext w:val="0"/>
              <w:keepLines w:val="0"/>
              <w:widowControl/>
              <w:suppressLineNumbers w:val="0"/>
              <w:adjustRightInd w:val="0"/>
              <w:snapToGrid w:val="0"/>
              <w:spacing w:before="0" w:beforeAutospacing="0" w:after="0" w:afterAutospacing="0"/>
              <w:ind w:left="0" w:right="-380" w:rightChars="-181"/>
              <w:rPr>
                <w:rFonts w:ascii="Times New Roman"/>
                <w:kern w:val="0"/>
                <w:sz w:val="24"/>
                <w:szCs w:val="24"/>
              </w:rPr>
            </w:pPr>
            <w:r>
              <w:rPr>
                <w:rFonts w:ascii="Times New Roman"/>
                <w:kern w:val="0"/>
                <w:sz w:val="24"/>
                <w:szCs w:val="24"/>
              </w:rPr>
              <w:t>标</w:t>
            </w:r>
          </w:p>
        </w:tc>
        <w:tc>
          <w:tcPr>
            <w:tcW w:w="8418" w:type="dxa"/>
            <w:vAlign w:val="center"/>
          </w:tcPr>
          <w:p>
            <w:pPr>
              <w:keepNext w:val="0"/>
              <w:keepLines w:val="0"/>
              <w:widowControl/>
              <w:suppressLineNumbers w:val="0"/>
              <w:adjustRightInd w:val="0"/>
              <w:snapToGrid w:val="0"/>
              <w:spacing w:before="0" w:beforeAutospacing="0" w:after="0" w:afterAutospacing="0" w:line="360" w:lineRule="auto"/>
              <w:ind w:left="0" w:right="0" w:firstLine="480" w:firstLineChars="200"/>
              <w:rPr>
                <w:rFonts w:ascii="Times New Roman"/>
                <w:kern w:val="0"/>
                <w:sz w:val="24"/>
                <w:szCs w:val="24"/>
              </w:rPr>
            </w:pPr>
            <w:r>
              <w:rPr>
                <w:rFonts w:hint="eastAsia" w:ascii="Times New Roman"/>
                <w:kern w:val="0"/>
                <w:sz w:val="24"/>
                <w:szCs w:val="24"/>
              </w:rPr>
              <w:t>根据《国务院关于印发&lt;“十四五”节能减排综合性工作方案&gt;的通知》(国发[2016]74号)、《关于印发大气污染防治行动计划的通知》(国发[2013]37号)，目前国家对化学需氧量(COD)、氨氮(NH3-N)、二氧化硫(SO</w:t>
            </w:r>
            <w:r>
              <w:rPr>
                <w:rFonts w:hint="eastAsia" w:ascii="Times New Roman"/>
                <w:kern w:val="0"/>
                <w:sz w:val="24"/>
                <w:szCs w:val="24"/>
                <w:vertAlign w:val="subscript"/>
              </w:rPr>
              <w:t>2</w:t>
            </w:r>
            <w:r>
              <w:rPr>
                <w:rFonts w:hint="eastAsia" w:ascii="Times New Roman"/>
                <w:kern w:val="0"/>
                <w:sz w:val="24"/>
                <w:szCs w:val="24"/>
              </w:rPr>
              <w:t>)、氮氧化物(NOx)、烟粉尘、有机废气(VOCs)等主要污染物实行排放总量控制计划管理。本项目为光伏发电项目，符合国家和地方产业准入要求，项目无生产废水、生产废气产生，依据已批复的《承德县源网荷储一体化和多能互补示范项目》承德市生态环境局承德县分局批复：文号为承县环评审[20242]03号，并结合该项目的排污状况，建议不给出污染物总量控制指标。</w:t>
            </w:r>
          </w:p>
          <w:p>
            <w:pPr>
              <w:keepNext w:val="0"/>
              <w:keepLines w:val="0"/>
              <w:widowControl/>
              <w:suppressLineNumbers w:val="0"/>
              <w:spacing w:before="0" w:beforeAutospacing="0" w:after="0" w:afterAutospacing="0"/>
              <w:ind w:left="0" w:right="0" w:firstLine="480" w:firstLineChars="200"/>
              <w:rPr>
                <w:rFonts w:ascii="Times New Roman"/>
                <w:kern w:val="0"/>
                <w:sz w:val="24"/>
                <w:szCs w:val="24"/>
              </w:rPr>
            </w:pPr>
          </w:p>
        </w:tc>
      </w:tr>
    </w:tbl>
    <w:p>
      <w:pPr>
        <w:pStyle w:val="48"/>
        <w:spacing w:after="0" w:afterAutospacing="0" w:line="360" w:lineRule="auto"/>
        <w:jc w:val="center"/>
        <w:outlineLvl w:val="0"/>
        <w:rPr>
          <w:rFonts w:ascii="Times New Roman" w:hAnsi="Times New Roman"/>
          <w:b/>
          <w:bCs/>
          <w:snapToGrid w:val="0"/>
          <w:sz w:val="30"/>
          <w:szCs w:val="30"/>
        </w:rPr>
      </w:pPr>
      <w:r>
        <w:rPr>
          <w:rFonts w:ascii="Times New Roman" w:hAnsi="Times New Roman"/>
          <w:snapToGrid w:val="0"/>
          <w:sz w:val="36"/>
          <w:szCs w:val="36"/>
        </w:rPr>
        <w:br w:type="page"/>
      </w:r>
      <w:bookmarkStart w:id="28" w:name="_Toc157070562"/>
      <w:r>
        <w:rPr>
          <w:rFonts w:ascii="Times New Roman" w:hAnsi="Times New Roman"/>
          <w:b/>
          <w:bCs/>
          <w:snapToGrid w:val="0"/>
          <w:sz w:val="30"/>
          <w:szCs w:val="30"/>
        </w:rPr>
        <w:t>四、主要环境影响和保护措施</w:t>
      </w:r>
      <w:bookmarkEnd w:id="28"/>
    </w:p>
    <w:tbl>
      <w:tblPr>
        <w:tblStyle w:val="54"/>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8"/>
        <w:gridCol w:w="87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15" w:type="dxa"/>
            <w:tcMar>
              <w:left w:w="28" w:type="dxa"/>
              <w:right w:w="28" w:type="dxa"/>
            </w:tcMar>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sz w:val="24"/>
                <w:szCs w:val="24"/>
              </w:rPr>
            </w:pPr>
            <w:r>
              <w:rPr>
                <w:rFonts w:ascii="Times New Roman"/>
                <w:sz w:val="24"/>
                <w:szCs w:val="24"/>
              </w:rPr>
              <w:t>施工</w:t>
            </w:r>
          </w:p>
          <w:p>
            <w:pPr>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sz w:val="24"/>
                <w:szCs w:val="24"/>
              </w:rPr>
            </w:pPr>
            <w:r>
              <w:rPr>
                <w:rFonts w:ascii="Times New Roman"/>
                <w:sz w:val="24"/>
                <w:szCs w:val="24"/>
              </w:rPr>
              <w:t>期环</w:t>
            </w:r>
          </w:p>
          <w:p>
            <w:pPr>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sz w:val="24"/>
                <w:szCs w:val="24"/>
              </w:rPr>
            </w:pPr>
            <w:r>
              <w:rPr>
                <w:rFonts w:ascii="Times New Roman"/>
                <w:sz w:val="24"/>
                <w:szCs w:val="24"/>
              </w:rPr>
              <w:t>境保</w:t>
            </w:r>
          </w:p>
          <w:p>
            <w:pPr>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sz w:val="24"/>
                <w:szCs w:val="24"/>
              </w:rPr>
            </w:pPr>
            <w:r>
              <w:rPr>
                <w:rFonts w:ascii="Times New Roman"/>
                <w:sz w:val="24"/>
                <w:szCs w:val="24"/>
              </w:rPr>
              <w:t>护措</w:t>
            </w:r>
          </w:p>
          <w:p>
            <w:pPr>
              <w:keepNext w:val="0"/>
              <w:keepLines w:val="0"/>
              <w:widowControl w:val="0"/>
              <w:suppressLineNumbers w:val="0"/>
              <w:adjustRightInd w:val="0"/>
              <w:snapToGrid w:val="0"/>
              <w:spacing w:before="0" w:beforeAutospacing="0" w:after="0" w:afterAutospacing="0" w:line="360" w:lineRule="auto"/>
              <w:ind w:left="0" w:right="0"/>
              <w:jc w:val="center"/>
              <w:rPr>
                <w:rFonts w:ascii="Times New Roman"/>
                <w:bCs/>
                <w:sz w:val="24"/>
                <w:szCs w:val="24"/>
              </w:rPr>
            </w:pPr>
            <w:r>
              <w:rPr>
                <w:rFonts w:ascii="Times New Roman"/>
                <w:sz w:val="24"/>
                <w:szCs w:val="24"/>
              </w:rPr>
              <w:t>施</w:t>
            </w:r>
          </w:p>
        </w:tc>
        <w:tc>
          <w:tcPr>
            <w:tcW w:w="8557" w:type="dxa"/>
            <w:vAlign w:val="center"/>
          </w:tcPr>
          <w:p>
            <w:pPr>
              <w:keepNext w:val="0"/>
              <w:keepLines w:val="0"/>
              <w:widowControl w:val="0"/>
              <w:suppressLineNumbers w:val="0"/>
              <w:adjustRightInd w:val="0"/>
              <w:snapToGrid w:val="0"/>
              <w:spacing w:before="0" w:beforeAutospacing="0" w:after="0" w:afterAutospacing="0" w:line="360" w:lineRule="auto"/>
              <w:ind w:left="0" w:right="0" w:firstLine="482" w:firstLineChars="200"/>
              <w:rPr>
                <w:rFonts w:ascii="Times New Roman"/>
                <w:b/>
                <w:sz w:val="24"/>
                <w:szCs w:val="24"/>
              </w:rPr>
            </w:pPr>
            <w:r>
              <w:rPr>
                <w:rFonts w:ascii="Times New Roman"/>
                <w:b/>
                <w:sz w:val="24"/>
                <w:szCs w:val="24"/>
              </w:rPr>
              <w:t>1、设计阶段的保护措施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rPr>
              <w:t>(1)</w:t>
            </w:r>
            <w:r>
              <w:rPr>
                <w:rFonts w:ascii="Times New Roman"/>
                <w:sz w:val="24"/>
                <w:szCs w:val="24"/>
              </w:rPr>
              <w:t>合理选择站址，合理布置主变、SVG及配电装置位置。</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rPr>
              <w:t>(2)</w:t>
            </w:r>
            <w:r>
              <w:rPr>
                <w:rFonts w:ascii="Times New Roman"/>
                <w:sz w:val="24"/>
                <w:szCs w:val="24"/>
              </w:rPr>
              <w:t>升压站内设置</w:t>
            </w:r>
            <w:r>
              <w:rPr>
                <w:rFonts w:hint="eastAsia" w:ascii="Times New Roman"/>
                <w:sz w:val="24"/>
                <w:szCs w:val="24"/>
              </w:rPr>
              <w:t>153</w:t>
            </w:r>
            <w:r>
              <w:rPr>
                <w:rFonts w:ascii="Times New Roman"/>
                <w:sz w:val="24"/>
                <w:szCs w:val="24"/>
              </w:rPr>
              <w:t>m</w:t>
            </w:r>
            <w:r>
              <w:rPr>
                <w:rFonts w:ascii="Times New Roman"/>
                <w:sz w:val="24"/>
                <w:szCs w:val="24"/>
                <w:vertAlign w:val="superscript"/>
              </w:rPr>
              <w:t>3</w:t>
            </w:r>
            <w:r>
              <w:rPr>
                <w:rFonts w:ascii="Times New Roman"/>
                <w:sz w:val="24"/>
                <w:szCs w:val="24"/>
              </w:rPr>
              <w:t>事故油池。</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rPr>
              <w:t>(3)采购低噪声主变</w:t>
            </w:r>
            <w:r>
              <w:rPr>
                <w:rFonts w:ascii="Times New Roman"/>
                <w:sz w:val="24"/>
                <w:szCs w:val="24"/>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rPr>
              <w:t>(4)设置</w:t>
            </w:r>
            <w:r>
              <w:rPr>
                <w:rFonts w:hint="eastAsia" w:ascii="Times New Roman"/>
                <w:sz w:val="24"/>
              </w:rPr>
              <w:t>85.25</w:t>
            </w:r>
            <w:r>
              <w:rPr>
                <w:rFonts w:ascii="Times New Roman"/>
                <w:sz w:val="24"/>
              </w:rPr>
              <w:t>m</w:t>
            </w:r>
            <w:r>
              <w:rPr>
                <w:rFonts w:ascii="Times New Roman"/>
                <w:sz w:val="24"/>
                <w:vertAlign w:val="superscript"/>
              </w:rPr>
              <w:t>2</w:t>
            </w:r>
            <w:r>
              <w:rPr>
                <w:rFonts w:ascii="Times New Roman"/>
                <w:sz w:val="24"/>
              </w:rPr>
              <w:t>危险废物暂存间</w:t>
            </w:r>
            <w:r>
              <w:rPr>
                <w:rFonts w:ascii="Times New Roman"/>
                <w:sz w:val="24"/>
                <w:szCs w:val="24"/>
              </w:rPr>
              <w:t>。</w:t>
            </w:r>
          </w:p>
          <w:p>
            <w:pPr>
              <w:keepNext w:val="0"/>
              <w:keepLines w:val="0"/>
              <w:widowControl w:val="0"/>
              <w:numPr>
                <w:ilvl w:val="0"/>
                <w:numId w:val="3"/>
              </w:numPr>
              <w:suppressLineNumbers w:val="0"/>
              <w:adjustRightInd w:val="0"/>
              <w:snapToGrid w:val="0"/>
              <w:spacing w:before="0" w:beforeAutospacing="0" w:after="0" w:afterAutospacing="0" w:line="360" w:lineRule="auto"/>
              <w:ind w:left="0" w:right="0" w:firstLine="482" w:firstLineChars="200"/>
              <w:rPr>
                <w:rFonts w:ascii="Times New Roman"/>
                <w:b/>
                <w:sz w:val="24"/>
                <w:szCs w:val="24"/>
              </w:rPr>
            </w:pPr>
            <w:r>
              <w:rPr>
                <w:rFonts w:ascii="Times New Roman"/>
                <w:b/>
                <w:sz w:val="24"/>
                <w:szCs w:val="24"/>
              </w:rPr>
              <w:t>项目施工期环境影响及污染物控制措施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rPr>
            </w:pPr>
            <w:r>
              <w:rPr>
                <w:rFonts w:ascii="Times New Roman"/>
                <w:sz w:val="24"/>
                <w:szCs w:val="24"/>
              </w:rPr>
              <w:t>本项目升压站施工内容主要包括土方施工、建筑施工、设备安装等。本工程可能对周围环境影响的因子主要有废气、噪声、废水、固废。</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szCs w:val="24"/>
              </w:rPr>
            </w:pPr>
            <w:r>
              <w:rPr>
                <w:rFonts w:ascii="Times New Roman"/>
                <w:sz w:val="24"/>
              </w:rPr>
              <w:t>(1)</w:t>
            </w:r>
            <w:r>
              <w:rPr>
                <w:rFonts w:ascii="Times New Roman"/>
                <w:bCs/>
                <w:sz w:val="24"/>
                <w:szCs w:val="24"/>
              </w:rPr>
              <w:t>施工扬尘及施工机械车辆尾气影响分析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项目施工过程中产生的大气污染物主要为土方施工过程以及运输过程中产生的扬尘；施工机械和运输车辆产生的汽车尾气。</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为最大限度避免或减轻施工废气对周围环境的不利影响，本评价对项目施工提出如下要求：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1)设置扬尘防治公示牌：在施工现场出入口明显位置设置公示牌，公示施工现场负责人、环保监督员、监督管理部门、举报投诉电话等信息。</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2)设置围挡：在施工现场周边设置硬质封闭围挡或者围墙。</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3)施工场地硬化：升压站施工区域内对施工现场出入口、材料加工堆放区、办公区进行硬化处理，并保持地面整洁。</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4)施工车辆冲洗：升压站施工区域内出口处设置车辆清洗设施并配套设置排水、泥浆沉淀设施，车辆冲洗干净后方可驶出。</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5)在施工工地内堆放建筑土方采用防尘布苫盖等措施，建筑垃圾采用覆盖防尘布。施工现场的建筑垃圾、废包装材料设置存放点，集中堆放并严密覆盖，及时清运至指定场所处理。生活垃圾应用封闭式容器存放，日产日清，严禁随意丢弃、焚烧。</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6)采用商混和水泥预制件。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7)进出工地的物料、渣土、垃圾运输车辆，进入施工场地及路过附近村庄低速行驶，减少扬尘量。采用密闭车斗，并保证物料不遗撒外漏。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8)选用尾气达标的车辆进行施工。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9)在土方施工作业过程中，合理控制土方开挖和存留时间，作业面应当采取洒水、喷雾等防尘措施，对已完成的作业面和未作业的裸露地面进行遮盖。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szCs w:val="24"/>
              </w:rPr>
            </w:pPr>
            <w:r>
              <w:rPr>
                <w:rFonts w:ascii="Times New Roman"/>
                <w:sz w:val="24"/>
              </w:rPr>
              <w:t>(2)</w:t>
            </w:r>
            <w:r>
              <w:rPr>
                <w:rFonts w:ascii="Times New Roman"/>
                <w:bCs/>
                <w:sz w:val="24"/>
                <w:szCs w:val="24"/>
              </w:rPr>
              <w:t>施工噪声影响分析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为减少施工对周边环境的影响，施工单位应严格执行《中华人民共和国噪声污染防治法》和《建筑施工场界环境噪声排放标准》(GB 12523-2011)、《建筑施工噪声管理办法》相关要求，做好以下几点：</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①</w:t>
            </w:r>
            <w:r>
              <w:rPr>
                <w:rFonts w:ascii="Times New Roman"/>
                <w:sz w:val="24"/>
                <w:szCs w:val="24"/>
              </w:rPr>
              <w:t>施工单位要加强操作人员的环境意识，对一些零星的手工作业。如拆装模板、装卸建材，轻拿轻放，并辅以一定的减缓措施，如铺设草包等。</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②</w:t>
            </w:r>
            <w:r>
              <w:rPr>
                <w:rFonts w:ascii="Times New Roman"/>
                <w:sz w:val="24"/>
                <w:szCs w:val="24"/>
              </w:rPr>
              <w:t>因特殊需要必须连续作业的，需在施工前三日内，由施工单位报经环保部门批准，并向附近居民公告。</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③</w:t>
            </w:r>
            <w:r>
              <w:rPr>
                <w:rFonts w:ascii="Times New Roman"/>
                <w:sz w:val="24"/>
                <w:szCs w:val="24"/>
              </w:rPr>
              <w:t>采取围挡、隔声装置，采用低噪音施工设施，尽可能以液压工具代替气压工具，并注意对设备的维护和保养，合理操作，保证施工机械在最佳状态。</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④</w:t>
            </w:r>
            <w:r>
              <w:rPr>
                <w:rFonts w:ascii="Times New Roman"/>
                <w:sz w:val="24"/>
                <w:szCs w:val="24"/>
              </w:rPr>
              <w:t>合理布置施工现场，避免在施工现场的同一地点安排大量的高噪声设备，造成局部声级过高，位置相对固定的高噪声设备尽可能布置在施工场地的中远离敏感点的区域。</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⑤</w:t>
            </w:r>
            <w:r>
              <w:rPr>
                <w:rFonts w:ascii="Times New Roman"/>
                <w:sz w:val="24"/>
                <w:szCs w:val="24"/>
              </w:rPr>
              <w:t>合理安排施工时间，避免在中午(12:00～14:00)和晚上(22:00～6:00)实施大型施工机械作业。</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⑥</w:t>
            </w:r>
            <w:r>
              <w:rPr>
                <w:rFonts w:ascii="Times New Roman"/>
                <w:sz w:val="24"/>
                <w:szCs w:val="24"/>
              </w:rPr>
              <w:t>因工艺因素或其它特殊原因确需夜间施工的应提前向当地生态环境部门申请夜间施工许可，并依法接受监督。</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fldChar w:fldCharType="begin"/>
            </w:r>
            <w:r>
              <w:rPr>
                <w:rFonts w:ascii="Times New Roman"/>
                <w:sz w:val="24"/>
                <w:szCs w:val="24"/>
              </w:rPr>
              <w:instrText xml:space="preserve"> = 7 \* GB3 </w:instrText>
            </w:r>
            <w:r>
              <w:rPr>
                <w:rFonts w:ascii="Times New Roman"/>
                <w:sz w:val="24"/>
                <w:szCs w:val="24"/>
              </w:rPr>
              <w:fldChar w:fldCharType="separate"/>
            </w:r>
            <w:r>
              <w:rPr>
                <w:rFonts w:hint="eastAsia" w:hAnsi="宋体" w:cs="宋体"/>
                <w:sz w:val="24"/>
                <w:szCs w:val="24"/>
              </w:rPr>
              <w:t>⑦</w:t>
            </w:r>
            <w:r>
              <w:rPr>
                <w:rFonts w:ascii="Times New Roman"/>
                <w:sz w:val="24"/>
                <w:szCs w:val="24"/>
              </w:rPr>
              <w:fldChar w:fldCharType="end"/>
            </w:r>
            <w:r>
              <w:rPr>
                <w:rFonts w:ascii="Times New Roman"/>
                <w:sz w:val="24"/>
                <w:szCs w:val="24"/>
              </w:rPr>
              <w:t>运输车辆在穿过附近居民点时控制车速、禁鸣，加强车辆维护，减轻交通运输噪声对周围声环境的影响。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以上施工期影响均为短期影响，将会随施工期的结束而消除，在落实以上污染防治措施后不会对周围环境产生明显影响。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rPr>
              <w:t>(3)</w:t>
            </w:r>
            <w:r>
              <w:rPr>
                <w:rFonts w:ascii="Times New Roman"/>
                <w:sz w:val="24"/>
                <w:szCs w:val="24"/>
              </w:rPr>
              <w:t>施工废水影响分析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升压站施工废水主要有施工生产废水和施工人员生活污水。施工生产废水主要是车辆冲洗和水泥构件养护所产生的废水，施工废水很少，经简单沉淀处理后用于场地抑尘。</w:t>
            </w:r>
            <w:r>
              <w:rPr>
                <w:rFonts w:hint="eastAsia" w:ascii="Times New Roman"/>
                <w:sz w:val="24"/>
                <w:szCs w:val="24"/>
              </w:rPr>
              <w:t>施工期施工人员主要为附近村庄居民，生活废水分散于周边村庄，依托村镇现有污水处理设施处理</w:t>
            </w:r>
            <w:r>
              <w:rPr>
                <w:rFonts w:ascii="Times New Roman"/>
                <w:sz w:val="24"/>
                <w:szCs w:val="24"/>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rPr>
              <w:t>(4)</w:t>
            </w:r>
            <w:r>
              <w:rPr>
                <w:rFonts w:ascii="Times New Roman"/>
                <w:sz w:val="24"/>
                <w:szCs w:val="24"/>
              </w:rPr>
              <w:t>施工期固体废物影响分析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施工期的固体废物主要为建筑垃圾、废弃金具、废弃包装物及施工人员产生的生活垃圾。建筑垃圾、废弃金具、废弃包装物运至指定的场所处理。生活垃圾经集中收集后，定期清运。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32"/>
                <w:szCs w:val="24"/>
              </w:rPr>
            </w:pPr>
            <w:r>
              <w:rPr>
                <w:rFonts w:ascii="Times New Roman"/>
                <w:sz w:val="24"/>
                <w:szCs w:val="24"/>
              </w:rPr>
              <w:t>由此可见，施工期固体废物不会对周围环境产生明显影响</w:t>
            </w:r>
            <w:r>
              <w:rPr>
                <w:rFonts w:ascii="Times New Roman"/>
                <w:sz w:val="24"/>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sz w:val="24"/>
                <w:szCs w:val="24"/>
              </w:rPr>
            </w:pPr>
            <w:r>
              <w:rPr>
                <w:rFonts w:ascii="Times New Roman"/>
                <w:sz w:val="24"/>
              </w:rPr>
              <w:t>(5)</w:t>
            </w:r>
            <w:r>
              <w:rPr>
                <w:rFonts w:ascii="Times New Roman"/>
                <w:bCs/>
                <w:sz w:val="24"/>
                <w:szCs w:val="24"/>
              </w:rPr>
              <w:t>施工期生态环境影响</w:t>
            </w:r>
            <w:r>
              <w:rPr>
                <w:rFonts w:hint="eastAsia" w:ascii="Times New Roman"/>
                <w:bCs/>
                <w:sz w:val="24"/>
                <w:szCs w:val="24"/>
              </w:rPr>
              <w:t>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szCs w:val="24"/>
              </w:rPr>
              <w:t>根据《环境影响评价技术导则 生态影响》(HJ 19-2022)，本工程位于承德县</w:t>
            </w:r>
            <w:r>
              <w:rPr>
                <w:rFonts w:hint="eastAsia" w:ascii="Times New Roman"/>
                <w:sz w:val="24"/>
                <w:szCs w:val="24"/>
              </w:rPr>
              <w:t>新杖子镇</w:t>
            </w:r>
            <w:r>
              <w:rPr>
                <w:rFonts w:ascii="Times New Roman"/>
                <w:sz w:val="24"/>
                <w:szCs w:val="24"/>
              </w:rPr>
              <w:t>，属于输变电工程的变电工程</w:t>
            </w:r>
            <w:r>
              <w:rPr>
                <w:rFonts w:ascii="Times New Roman"/>
                <w:sz w:val="24"/>
              </w:rPr>
              <w:t>。</w:t>
            </w:r>
          </w:p>
          <w:p>
            <w:pPr>
              <w:pStyle w:val="27"/>
              <w:keepNext w:val="0"/>
              <w:keepLines w:val="0"/>
              <w:widowControl/>
              <w:suppressLineNumbers w:val="0"/>
              <w:adjustRightInd w:val="0"/>
              <w:snapToGrid w:val="0"/>
              <w:spacing w:before="0" w:beforeAutospacing="0" w:after="0" w:afterAutospacing="0" w:line="360" w:lineRule="auto"/>
              <w:ind w:left="0" w:leftChars="0" w:right="0" w:firstLine="480" w:firstLineChars="200"/>
              <w:rPr>
                <w:rFonts w:ascii="Times New Roman"/>
                <w:sz w:val="24"/>
                <w:szCs w:val="24"/>
              </w:rPr>
            </w:pPr>
            <w:r>
              <w:rPr>
                <w:rFonts w:ascii="Times New Roman"/>
                <w:sz w:val="24"/>
                <w:szCs w:val="24"/>
              </w:rPr>
              <w:t>1)影响方式及影响因子</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升压站施工主要影响为施工</w:t>
            </w:r>
            <w:r>
              <w:rPr>
                <w:rFonts w:hint="eastAsia" w:ascii="Times New Roman"/>
                <w:sz w:val="24"/>
                <w:szCs w:val="24"/>
              </w:rPr>
              <w:t>区</w:t>
            </w:r>
            <w:r>
              <w:rPr>
                <w:rFonts w:ascii="Times New Roman"/>
                <w:sz w:val="24"/>
                <w:szCs w:val="24"/>
              </w:rPr>
              <w:t>、施工便道对土地占用，改变土地利用类型，破坏植被及造成水土流失和土地沙化、降低水源涵养和生物多样性。</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施工产生的生态影响主要是施工过程中需对地表植被进行清理，土石方开挖，破坏区域植被，本项目升压站区域（含护坡），主要占地类型为建设用地。项目升压站永久占地会使原有建设用地减少，造成局部植被生物量减少，对生态环境产生一定影响。</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2)主要影响</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①</w:t>
            </w:r>
            <w:r>
              <w:rPr>
                <w:rFonts w:ascii="Times New Roman"/>
                <w:sz w:val="24"/>
                <w:szCs w:val="24"/>
              </w:rPr>
              <w:t>对水土流失影响</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ascii="Times New Roman"/>
                <w:sz w:val="24"/>
                <w:szCs w:val="24"/>
              </w:rPr>
              <w:t>本项目升压站区域（含护坡），主要占地类型为建设用地。</w:t>
            </w:r>
            <w:r>
              <w:rPr>
                <w:rFonts w:hint="eastAsia"/>
                <w:sz w:val="24"/>
              </w:rPr>
              <w:t>施工期间工程占地、基础开挖与回填等工程活动都会扰动或再塑地表，并使地表植被受到不同程度的破坏，地表抗蚀能力减弱，产生新的水土流失。项目施工期间将道路、箱变区等区域表土进行剥离用于后期植被恢复，土石方开挖、回填和堆放过程中做好遮盖和拦挡，可以有效减少施工期水土流失。本项目通过采取一系列的生态防治措施可有效降低项目施工期导致的水土流失程度。</w:t>
            </w:r>
          </w:p>
          <w:p>
            <w:pPr>
              <w:keepNext w:val="0"/>
              <w:keepLines w:val="0"/>
              <w:widowControl/>
              <w:suppressLineNumbers w:val="0"/>
              <w:spacing w:before="0" w:beforeAutospacing="0" w:after="0" w:afterAutospacing="0" w:line="480" w:lineRule="exact"/>
              <w:ind w:left="0" w:right="0" w:firstLine="482" w:firstLineChars="200"/>
              <w:rPr>
                <w:b/>
                <w:bCs/>
                <w:kern w:val="0"/>
                <w:sz w:val="24"/>
              </w:rPr>
            </w:pPr>
            <w:r>
              <w:rPr>
                <w:rFonts w:hint="eastAsia"/>
                <w:b/>
                <w:bCs/>
                <w:kern w:val="0"/>
                <w:sz w:val="24"/>
              </w:rPr>
              <w:t>水土流失危害分析</w:t>
            </w:r>
          </w:p>
          <w:p>
            <w:pPr>
              <w:keepNext w:val="0"/>
              <w:keepLines w:val="0"/>
              <w:widowControl/>
              <w:suppressLineNumbers w:val="0"/>
              <w:spacing w:before="0" w:beforeAutospacing="0" w:after="0" w:afterAutospacing="0" w:line="480" w:lineRule="exact"/>
              <w:ind w:left="0" w:right="0" w:firstLine="480" w:firstLineChars="200"/>
              <w:rPr>
                <w:kern w:val="0"/>
                <w:sz w:val="24"/>
              </w:rPr>
            </w:pPr>
            <w:r>
              <w:rPr>
                <w:kern w:val="0"/>
                <w:sz w:val="24"/>
              </w:rPr>
              <w:t>1</w:t>
            </w:r>
            <w:r>
              <w:rPr>
                <w:rFonts w:hint="eastAsia"/>
                <w:kern w:val="0"/>
                <w:sz w:val="24"/>
              </w:rPr>
              <w:t>）</w:t>
            </w:r>
            <w:r>
              <w:rPr>
                <w:kern w:val="0"/>
                <w:sz w:val="24"/>
              </w:rPr>
              <w:t>土石方工程</w:t>
            </w:r>
          </w:p>
          <w:p>
            <w:pPr>
              <w:keepNext w:val="0"/>
              <w:keepLines w:val="0"/>
              <w:widowControl/>
              <w:suppressLineNumbers w:val="0"/>
              <w:spacing w:before="0" w:beforeAutospacing="0" w:after="0" w:afterAutospacing="0" w:line="480" w:lineRule="exact"/>
              <w:ind w:left="0" w:right="0" w:firstLine="480" w:firstLineChars="200"/>
              <w:rPr>
                <w:kern w:val="0"/>
                <w:sz w:val="24"/>
              </w:rPr>
            </w:pPr>
            <w:r>
              <w:rPr>
                <w:kern w:val="0"/>
                <w:sz w:val="24"/>
              </w:rPr>
              <w:t>场地平整、建构筑物</w:t>
            </w:r>
            <w:r>
              <w:rPr>
                <w:rFonts w:hint="eastAsia"/>
                <w:kern w:val="0"/>
                <w:sz w:val="24"/>
              </w:rPr>
              <w:t>基础开挖</w:t>
            </w:r>
            <w:r>
              <w:rPr>
                <w:kern w:val="0"/>
                <w:sz w:val="24"/>
              </w:rPr>
              <w:t>、修建道路等工程施工期间，土石方倒运量较大。在土方开挖、倒运、回填和堆放过程中，松散土体及开挖裸露面在水力侵蚀作用下将产生水土流失。</w:t>
            </w:r>
          </w:p>
          <w:p>
            <w:pPr>
              <w:keepNext w:val="0"/>
              <w:keepLines w:val="0"/>
              <w:widowControl/>
              <w:suppressLineNumbers w:val="0"/>
              <w:spacing w:before="0" w:beforeAutospacing="0" w:after="0" w:afterAutospacing="0" w:line="480" w:lineRule="exact"/>
              <w:ind w:left="0" w:right="0" w:firstLine="480" w:firstLineChars="200"/>
              <w:rPr>
                <w:kern w:val="0"/>
                <w:sz w:val="24"/>
              </w:rPr>
            </w:pPr>
            <w:r>
              <w:rPr>
                <w:kern w:val="0"/>
                <w:sz w:val="24"/>
              </w:rPr>
              <w:t>2</w:t>
            </w:r>
            <w:r>
              <w:rPr>
                <w:rFonts w:hint="eastAsia"/>
                <w:kern w:val="0"/>
                <w:sz w:val="24"/>
              </w:rPr>
              <w:t>）</w:t>
            </w:r>
            <w:r>
              <w:rPr>
                <w:kern w:val="0"/>
                <w:sz w:val="24"/>
              </w:rPr>
              <w:t>扰动地表</w:t>
            </w:r>
          </w:p>
          <w:p>
            <w:pPr>
              <w:keepNext w:val="0"/>
              <w:keepLines w:val="0"/>
              <w:widowControl/>
              <w:suppressLineNumbers w:val="0"/>
              <w:spacing w:before="0" w:beforeAutospacing="0" w:after="0" w:afterAutospacing="0" w:line="480" w:lineRule="exact"/>
              <w:ind w:left="0" w:right="0" w:firstLine="480" w:firstLineChars="200"/>
              <w:rPr>
                <w:kern w:val="0"/>
                <w:sz w:val="24"/>
              </w:rPr>
            </w:pPr>
            <w:r>
              <w:rPr>
                <w:kern w:val="0"/>
                <w:sz w:val="24"/>
              </w:rPr>
              <w:t>工程建设过程开挖基础、土方堆积、修建道路等将占压和扰动项目区原地貌，使水土流失程度加大。</w:t>
            </w:r>
          </w:p>
          <w:p>
            <w:pPr>
              <w:keepNext w:val="0"/>
              <w:keepLines w:val="0"/>
              <w:widowControl/>
              <w:suppressLineNumbers w:val="0"/>
              <w:spacing w:before="0" w:beforeAutospacing="0" w:after="0" w:afterAutospacing="0" w:line="480" w:lineRule="exact"/>
              <w:ind w:left="0" w:right="0" w:firstLine="480" w:firstLineChars="200"/>
              <w:rPr>
                <w:kern w:val="0"/>
                <w:sz w:val="24"/>
              </w:rPr>
            </w:pPr>
            <w:r>
              <w:rPr>
                <w:kern w:val="0"/>
                <w:sz w:val="24"/>
              </w:rPr>
              <w:t>3</w:t>
            </w:r>
            <w:r>
              <w:rPr>
                <w:rFonts w:hint="eastAsia"/>
                <w:kern w:val="0"/>
                <w:sz w:val="24"/>
              </w:rPr>
              <w:t>）</w:t>
            </w:r>
            <w:r>
              <w:rPr>
                <w:kern w:val="0"/>
                <w:sz w:val="24"/>
              </w:rPr>
              <w:t>施工工序</w:t>
            </w:r>
          </w:p>
          <w:p>
            <w:pPr>
              <w:keepNext w:val="0"/>
              <w:keepLines w:val="0"/>
              <w:widowControl/>
              <w:suppressLineNumbers w:val="0"/>
              <w:spacing w:before="0" w:beforeAutospacing="0" w:after="0" w:afterAutospacing="0" w:line="480" w:lineRule="exact"/>
              <w:ind w:left="0" w:right="0" w:firstLine="480" w:firstLineChars="200"/>
              <w:rPr>
                <w:kern w:val="0"/>
                <w:sz w:val="24"/>
              </w:rPr>
            </w:pPr>
            <w:r>
              <w:rPr>
                <w:kern w:val="0"/>
                <w:sz w:val="24"/>
              </w:rPr>
              <w:t>水土保持工程施工时序的安排对其防治效果影响很大，如物料堆置应及时防护；填方</w:t>
            </w:r>
            <w:r>
              <w:rPr>
                <w:rFonts w:hint="eastAsia"/>
                <w:kern w:val="0"/>
                <w:sz w:val="24"/>
              </w:rPr>
              <w:t>护</w:t>
            </w:r>
            <w:r>
              <w:rPr>
                <w:kern w:val="0"/>
                <w:sz w:val="24"/>
              </w:rPr>
              <w:t>坡应及时防护；施工时应先修建临时排水系统；局部地表完工后，应及时恢复植被等。因工程建设工序较多，若施工时序安排不当，将不能有效预防施工中产生的水土流失，对项目区水土流失产生较大影响。</w:t>
            </w:r>
          </w:p>
          <w:p>
            <w:pPr>
              <w:keepNext w:val="0"/>
              <w:keepLines w:val="0"/>
              <w:widowControl/>
              <w:suppressLineNumbers w:val="0"/>
              <w:adjustRightInd w:val="0"/>
              <w:snapToGrid w:val="0"/>
              <w:spacing w:before="0" w:beforeAutospacing="0" w:after="0" w:afterAutospacing="0" w:line="460" w:lineRule="exact"/>
              <w:ind w:left="0" w:right="0" w:firstLine="482" w:firstLineChars="200"/>
              <w:rPr>
                <w:b/>
                <w:bCs/>
                <w:sz w:val="24"/>
              </w:rPr>
            </w:pPr>
            <w:r>
              <w:rPr>
                <w:rFonts w:hint="eastAsia"/>
                <w:b/>
                <w:bCs/>
                <w:kern w:val="0"/>
                <w:sz w:val="24"/>
              </w:rPr>
              <w:t>水土流失</w:t>
            </w:r>
            <w:r>
              <w:rPr>
                <w:rFonts w:hint="eastAsia"/>
                <w:b/>
                <w:bCs/>
                <w:sz w:val="24"/>
              </w:rPr>
              <w:t>生态防治措施</w:t>
            </w:r>
          </w:p>
          <w:p>
            <w:pPr>
              <w:keepNext w:val="0"/>
              <w:keepLines w:val="0"/>
              <w:widowControl/>
              <w:suppressLineNumbers w:val="0"/>
              <w:adjustRightInd w:val="0"/>
              <w:snapToGrid w:val="0"/>
              <w:spacing w:before="0" w:beforeAutospacing="0" w:after="0" w:afterAutospacing="0" w:line="460" w:lineRule="exact"/>
              <w:ind w:left="0" w:right="0" w:firstLine="480" w:firstLineChars="200"/>
              <w:rPr>
                <w:sz w:val="24"/>
              </w:rPr>
            </w:pPr>
            <w:r>
              <w:rPr>
                <w:rFonts w:hint="eastAsia"/>
                <w:sz w:val="24"/>
              </w:rPr>
              <w:t>1）在本项目施工过程中，尽可能减少占地面积，减小对植被的破坏面积，因此应划定基础安装位置和范围，施工过程中不得超出划定基础施工范围，进一步减小施工面积，减小对地表的扰动破坏；</w:t>
            </w:r>
          </w:p>
          <w:p>
            <w:pPr>
              <w:keepNext w:val="0"/>
              <w:keepLines w:val="0"/>
              <w:widowControl/>
              <w:suppressLineNumbers w:val="0"/>
              <w:adjustRightInd w:val="0"/>
              <w:snapToGrid w:val="0"/>
              <w:spacing w:before="0" w:beforeAutospacing="0" w:after="0" w:afterAutospacing="0" w:line="460" w:lineRule="exact"/>
              <w:ind w:left="0" w:right="0" w:firstLine="480" w:firstLineChars="200"/>
              <w:rPr>
                <w:sz w:val="24"/>
              </w:rPr>
            </w:pPr>
            <w:r>
              <w:rPr>
                <w:rFonts w:hint="eastAsia"/>
                <w:sz w:val="24"/>
              </w:rPr>
              <w:t>2）对需开挖土方上的表层土壤进行移植，即表层15cm的土壤应与植被一起堆放在就近表土堆存区，待施工结束，将表层土壤和植被直接铺于区域内，或作为复垦时所需的复垦土，以用于播撒草种绿化；</w:t>
            </w:r>
          </w:p>
          <w:p>
            <w:pPr>
              <w:keepNext w:val="0"/>
              <w:keepLines w:val="0"/>
              <w:widowControl/>
              <w:suppressLineNumbers w:val="0"/>
              <w:adjustRightInd w:val="0"/>
              <w:snapToGrid w:val="0"/>
              <w:spacing w:before="0" w:beforeAutospacing="0" w:after="0" w:afterAutospacing="0" w:line="460" w:lineRule="exact"/>
              <w:ind w:left="0" w:right="0" w:firstLine="480" w:firstLineChars="200"/>
              <w:rPr>
                <w:sz w:val="24"/>
              </w:rPr>
            </w:pPr>
            <w:r>
              <w:rPr>
                <w:rFonts w:hint="eastAsia"/>
                <w:sz w:val="24"/>
              </w:rPr>
              <w:t>3）施工过程中尽量减少大型机械施工，基坑开挖后，尽快浇筑混凝土，并及时回填，对其表层进行碾压，缩短裸露时间，减少扬尘。对容易诱发扬尘、粉尘及污染土壤的建材进行覆盖；施工临时场地和临时便道限定作业范围，用彩带或其他标识界定围护，防止行人和车辆越界，并不定期进行洒水降尘或固结地表，以减少扬尘污染；</w:t>
            </w:r>
          </w:p>
          <w:p>
            <w:pPr>
              <w:keepNext w:val="0"/>
              <w:keepLines w:val="0"/>
              <w:widowControl/>
              <w:suppressLineNumbers w:val="0"/>
              <w:adjustRightInd w:val="0"/>
              <w:snapToGrid w:val="0"/>
              <w:spacing w:before="0" w:beforeAutospacing="0" w:after="0" w:afterAutospacing="0" w:line="460" w:lineRule="exact"/>
              <w:ind w:left="0" w:right="0" w:firstLine="480" w:firstLineChars="200"/>
              <w:rPr>
                <w:sz w:val="24"/>
              </w:rPr>
            </w:pPr>
            <w:r>
              <w:rPr>
                <w:rFonts w:hint="eastAsia"/>
                <w:sz w:val="24"/>
              </w:rPr>
              <w:t>4）完工后对临时场地进行恢复，拆除临时建筑物，掘除硬化地面，同时结束后要对场区适宜绿化的地方进行绿化。</w:t>
            </w:r>
          </w:p>
          <w:p>
            <w:pPr>
              <w:keepNext w:val="0"/>
              <w:keepLines w:val="0"/>
              <w:widowControl/>
              <w:suppressLineNumbers w:val="0"/>
              <w:adjustRightInd w:val="0"/>
              <w:snapToGrid w:val="0"/>
              <w:spacing w:before="0" w:beforeAutospacing="0" w:after="0" w:afterAutospacing="0" w:line="460" w:lineRule="exact"/>
              <w:ind w:left="0" w:right="0" w:firstLine="480" w:firstLineChars="200"/>
              <w:rPr>
                <w:sz w:val="24"/>
              </w:rPr>
            </w:pPr>
            <w:r>
              <w:rPr>
                <w:rFonts w:hint="eastAsia"/>
                <w:sz w:val="24"/>
              </w:rPr>
              <w:t>（</w:t>
            </w:r>
            <w:r>
              <w:rPr>
                <w:sz w:val="24"/>
              </w:rPr>
              <w:t>7</w:t>
            </w:r>
            <w:r>
              <w:rPr>
                <w:rFonts w:hint="eastAsia"/>
                <w:sz w:val="24"/>
              </w:rPr>
              <w:t>）景观环境影响分析</w:t>
            </w:r>
          </w:p>
          <w:p>
            <w:pPr>
              <w:keepNext w:val="0"/>
              <w:keepLines w:val="0"/>
              <w:widowControl/>
              <w:suppressLineNumbers w:val="0"/>
              <w:adjustRightInd w:val="0"/>
              <w:snapToGrid w:val="0"/>
              <w:spacing w:before="0" w:beforeAutospacing="0" w:after="0" w:afterAutospacing="0" w:line="360" w:lineRule="auto"/>
              <w:ind w:left="0" w:right="0" w:firstLine="480" w:firstLineChars="200"/>
              <w:rPr>
                <w:sz w:val="24"/>
              </w:rPr>
            </w:pPr>
            <w:r>
              <w:rPr>
                <w:rFonts w:hint="eastAsia"/>
                <w:sz w:val="24"/>
              </w:rPr>
              <w:t>本项目施工过程中会破坏周边原生态环境景观，对部分地形地貌景观产生扰动。但随着施工期的结束，工程将对其占地进行绿化恢复。</w:t>
            </w:r>
          </w:p>
          <w:p>
            <w:pPr>
              <w:pStyle w:val="27"/>
              <w:keepNext w:val="0"/>
              <w:keepLines w:val="0"/>
              <w:widowControl/>
              <w:suppressLineNumbers w:val="0"/>
              <w:spacing w:before="0" w:beforeAutospacing="0" w:after="0" w:afterAutospacing="0" w:line="360" w:lineRule="auto"/>
              <w:ind w:left="0" w:leftChars="0" w:right="0" w:firstLine="480" w:firstLineChars="200"/>
              <w:rPr>
                <w:rFonts w:ascii="Times New Roman"/>
                <w:sz w:val="24"/>
                <w:szCs w:val="24"/>
              </w:rPr>
            </w:pPr>
            <w:r>
              <w:rPr>
                <w:rFonts w:hint="eastAsia" w:ascii="宋体" w:hAnsi="宋体" w:cs="宋体"/>
                <w:sz w:val="24"/>
                <w:szCs w:val="24"/>
              </w:rPr>
              <w:t>②</w:t>
            </w:r>
            <w:r>
              <w:rPr>
                <w:rFonts w:ascii="Times New Roman"/>
                <w:sz w:val="24"/>
                <w:szCs w:val="24"/>
              </w:rPr>
              <w:t>对水源涵养性的影响</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本项目施工占地、基础开挖、大型机械碾压破坏植被，减少生态系统生物量，并且造成地表植被裸露，</w:t>
            </w:r>
            <w:r>
              <w:rPr>
                <w:rFonts w:hint="eastAsia" w:ascii="Times New Roman"/>
                <w:sz w:val="24"/>
                <w:szCs w:val="24"/>
              </w:rPr>
              <w:t>降低</w:t>
            </w:r>
            <w:r>
              <w:rPr>
                <w:rFonts w:ascii="Times New Roman"/>
                <w:sz w:val="24"/>
                <w:szCs w:val="24"/>
              </w:rPr>
              <w:t>生态系统水源涵养性。</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在缓和地表径流、补充地下水、减缓河流流量的季节波动、滞洪补枯、保证水质等方面，以水源涵养量作为生态系统水源涵养功能的评估指标。水源涵养量主要由评价区内的降雨量、地表径流量、蒸散发量、生态系统面积等因子决定。降雨量和蒸散发量为该区域固有属性，不会因为本项目的施工而改变。工程临时占地和永久占地会导致生态系统面积的减少。但是，工程结束后，临时占地会快速恢复，不会对当地生态系统面积造成较大影响，从而不会对地表的蓄</w:t>
            </w:r>
            <w:r>
              <w:rPr>
                <w:rFonts w:hint="eastAsia" w:ascii="Times New Roman"/>
                <w:sz w:val="24"/>
                <w:szCs w:val="24"/>
              </w:rPr>
              <w:t>滞</w:t>
            </w:r>
            <w:r>
              <w:rPr>
                <w:rFonts w:ascii="Times New Roman"/>
                <w:sz w:val="24"/>
                <w:szCs w:val="24"/>
              </w:rPr>
              <w:t>水能力及产流能力造成影响。</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综上所述，工程施工对评价区内的降雨量和蒸散发量没有影响，对地表径流量、生态系统面积影响非常小，对评价区内的水源涵养量影响非常小，对水源涵养功能影响轻微。</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③</w:t>
            </w:r>
            <w:r>
              <w:rPr>
                <w:rFonts w:ascii="Times New Roman"/>
                <w:sz w:val="24"/>
                <w:szCs w:val="24"/>
              </w:rPr>
              <w:t>对生物多样性的影响</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生物多样性维护功能与珍稀濒危和特有动植物的分布丰富程度密切相关，主要以国家一、二级保护物种和其他具有重要保护价值的物种作为评估指标。调查过程中评价范围内并未发现有国家一、二级保护物种和其他具有重要保护价值的物种及国家重点保护的珍稀濒危动物分布。本工程不涉及自然保护区及风景名胜区。</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工程对动物的影响主要表现为升压站占地、开挖和施工人员活动等因素，这些因素将缩小野生动物的栖息空间，限制部分动物的活动区域、觅食范围等，从而对动物生存产生一定的影响。由于本项目占地面积较小，工期较短，工程施工对生物多样性维护功能影响轻微。</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④</w:t>
            </w:r>
            <w:r>
              <w:rPr>
                <w:rFonts w:ascii="Times New Roman"/>
                <w:sz w:val="24"/>
                <w:szCs w:val="24"/>
              </w:rPr>
              <w:t>对植被的影响</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本工程对评价区内自然植被的影响主要表现在三个方面：</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A</w:t>
            </w:r>
            <w:r>
              <w:rPr>
                <w:rFonts w:hint="eastAsia" w:ascii="Times New Roman"/>
                <w:sz w:val="24"/>
                <w:szCs w:val="24"/>
              </w:rPr>
              <w:t>、</w:t>
            </w:r>
            <w:r>
              <w:rPr>
                <w:rFonts w:ascii="Times New Roman"/>
                <w:sz w:val="24"/>
                <w:szCs w:val="24"/>
              </w:rPr>
              <w:t>本项目升压站站址区域建设会占用植被，破坏小生境下的植被群落组成和结构，造成评价区生物量损失，使得评价区内的植被覆盖有少许降低；</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B</w:t>
            </w:r>
            <w:r>
              <w:rPr>
                <w:rFonts w:hint="eastAsia" w:ascii="Times New Roman"/>
                <w:sz w:val="24"/>
                <w:szCs w:val="24"/>
              </w:rPr>
              <w:t>、</w:t>
            </w:r>
            <w:r>
              <w:rPr>
                <w:rFonts w:ascii="Times New Roman"/>
                <w:sz w:val="24"/>
                <w:szCs w:val="24"/>
              </w:rPr>
              <w:t>在运送物料到升压站施工地点时，由于施工人员践踏或在局部地段需修建临时便道时需要砍伐一定的地面植被，会造成暂时的生物量损失，但是这种破坏是局部的，面积有限；</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C、</w:t>
            </w:r>
            <w:r>
              <w:rPr>
                <w:rFonts w:ascii="Times New Roman"/>
                <w:sz w:val="24"/>
                <w:szCs w:val="24"/>
              </w:rPr>
              <w:t>项目所在区域植被类型主要为灌木林地。项目建成后评价范围内适当扩大或补种植被恢复范围，增加植被覆盖率，生态环境得到改善。评价区域内项目建设前、建设中、建设后植被覆盖变化极小，项目的建设对当地的植被覆盖、林草覆盖影响极小，也未改变当地的各植被类型所占基本比例。</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hAnsi="宋体" w:cs="宋体"/>
                <w:sz w:val="24"/>
                <w:szCs w:val="24"/>
              </w:rPr>
              <w:t>⑤</w:t>
            </w:r>
            <w:r>
              <w:rPr>
                <w:rFonts w:hint="eastAsia"/>
                <w:sz w:val="24"/>
              </w:rPr>
              <w:t>对野生动物的影响分析</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A、陆生动物</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根据现状调查，评价区受人为活动影响，项目区域内野生动物以兔、鼠类野生动物为主。项目区未发现大型野生动物，未发现国家重点保护的或珍稀、濒危野生动物。施工期受人为活动和机械设备的影响，区内野兔、鼠等野生动物将迁往附近同类生境，动物迁徙能力强，同类生境易于在附近找寻，并且夜间不施工。因此，对动物活动影响较小，施工结束后，动物会逐渐适应并回到该区域活动。项目建成后设置的围栏等对周围动物产生阻隔作用，影响周围动物的活动范围。</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B、鸟类</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在项目区域活动的鸟类主要为麻雀、雉等一般鸟类，未见国家级重点保护鸟类。由于项目施工破坏项目区其他草地，可能会对麻雀、雉等的觅食造成一定影响。由于同类生境在附近易于找寻，受施工影响的鸟类将暂时迁往附近同类生境，施工结束后仍能返回原地。</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在施工场地设置警示牌，严格限制施工人员活动及车辆活动范围，减少对野生动物的惊扰；加强野生动物保护宣传教育，明确保护责任；项目施工场地及项目场地发现野生动物后，采用诱导方式使动物离开相关场地；不可捕猎松鼠、喜鹊等重点保护动物</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综上所述，采取以上措施后，施工期对陆生动物及鸟类的影响是暂时的，施工结束后这些动物及鸟类仍能返回原地，不会引起其种群和数量上的减少。因此，施工期对项目区域内动物影响较小。</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⑥对土地沙化的影响</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对于临时施工道路，由于大型机械碾压，很容易造成局部地表裸露，形成地表植物破坏，诱发土地沙化。</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hAnsi="宋体" w:cs="宋体"/>
                <w:sz w:val="24"/>
                <w:szCs w:val="24"/>
              </w:rPr>
              <w:t>⑦</w:t>
            </w:r>
            <w:r>
              <w:rPr>
                <w:rFonts w:hint="eastAsia"/>
                <w:sz w:val="24"/>
              </w:rPr>
              <w:t>土地利用影响</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项目建设期相应扰动土地增大，建设结束后，临时占用土地恢复原有土地功能，运营期土地改变功能的为变电站实际占地范围。施工营地、进场道路等临时占地及时进行生态恢复，确保恢复后</w:t>
            </w:r>
            <w:r>
              <w:rPr>
                <w:rFonts w:ascii="Times New Roman"/>
                <w:sz w:val="24"/>
                <w:szCs w:val="24"/>
              </w:rPr>
              <w:t>草地等面积不减少</w:t>
            </w:r>
            <w:r>
              <w:rPr>
                <w:rFonts w:hint="eastAsia"/>
                <w:sz w:val="24"/>
              </w:rPr>
              <w:t>，并适当扩大植被恢复范围。评价区域内项目建设前、建设中、建设后土地利用变化极小，仅升压站占地占比稍有增加，其他基本不变。本项目的建设未改变当地的土地利用基本格局。</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rFonts w:hint="eastAsia"/>
                <w:sz w:val="24"/>
              </w:rPr>
              <w:t>⑧生态系统变化</w:t>
            </w:r>
          </w:p>
          <w:p>
            <w:pPr>
              <w:keepNext w:val="0"/>
              <w:keepLines w:val="0"/>
              <w:widowControl/>
              <w:suppressLineNumbers w:val="0"/>
              <w:adjustRightInd w:val="0"/>
              <w:snapToGrid w:val="0"/>
              <w:spacing w:before="0" w:beforeAutospacing="0" w:after="0" w:afterAutospacing="0" w:line="480" w:lineRule="exact"/>
              <w:ind w:left="0" w:right="0" w:firstLine="480" w:firstLineChars="200"/>
              <w:rPr>
                <w:rFonts w:ascii="Times New Roman"/>
                <w:sz w:val="24"/>
                <w:szCs w:val="24"/>
              </w:rPr>
            </w:pPr>
            <w:r>
              <w:rPr>
                <w:rFonts w:hint="eastAsia"/>
                <w:sz w:val="24"/>
              </w:rPr>
              <w:t>项目建设前生态系统以林地生态系统为主，在工程影响范围内，受工程影响的植被主要为小部分林地，施工期地表植被的损失将对现有生态系统产生一定的影响，但由于损失的面</w:t>
            </w:r>
            <w:r>
              <w:rPr>
                <w:rFonts w:hint="eastAsia" w:ascii="Times New Roman"/>
                <w:sz w:val="24"/>
                <w:szCs w:val="24"/>
              </w:rPr>
              <w:t>积相对较小，而后期的绿化也将弥补部分损失的生物量，因而，该项目不会影响工程影响区生态系统的稳定性和完整性。评价区域内项目建设前、建设中、建设后评价范围内生态系统组成基本没有变化，各系统占比有微小变化，主要是聚落生态系统稍有增加，输电工程位置基本还保持原有生态系统。项目的建设对当地的生态系统结构影响极小，不会冲击当地的生态系统组成，基本保持原有结构。</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3)本项目施工期针对生态影响采取的环保措施</w:t>
            </w:r>
          </w:p>
          <w:p>
            <w:pPr>
              <w:keepNext w:val="0"/>
              <w:keepLines w:val="0"/>
              <w:widowControl/>
              <w:suppressLineNumbers w:val="0"/>
              <w:spacing w:before="0" w:beforeAutospacing="0" w:after="0" w:afterAutospacing="0" w:line="480" w:lineRule="atLeast"/>
              <w:ind w:left="0" w:right="0" w:firstLine="480" w:firstLineChars="200"/>
              <w:rPr>
                <w:sz w:val="24"/>
              </w:rPr>
            </w:pPr>
            <w:r>
              <w:rPr>
                <w:rFonts w:hint="eastAsia" w:ascii="Times New Roman"/>
                <w:sz w:val="24"/>
                <w:szCs w:val="24"/>
              </w:rPr>
              <w:t>①</w:t>
            </w:r>
            <w:r>
              <w:rPr>
                <w:kern w:val="0"/>
                <w:sz w:val="24"/>
              </w:rPr>
              <w:t>工程占地保护措施</w:t>
            </w:r>
          </w:p>
          <w:p>
            <w:pPr>
              <w:keepNext w:val="0"/>
              <w:keepLines w:val="0"/>
              <w:widowControl/>
              <w:suppressLineNumbers w:val="0"/>
              <w:spacing w:before="0" w:beforeAutospacing="0" w:after="0" w:afterAutospacing="0" w:line="480" w:lineRule="atLeast"/>
              <w:ind w:left="0" w:right="0" w:firstLine="480" w:firstLineChars="200"/>
              <w:rPr>
                <w:sz w:val="24"/>
              </w:rPr>
            </w:pPr>
            <w:r>
              <w:rPr>
                <w:kern w:val="0"/>
                <w:sz w:val="24"/>
              </w:rPr>
              <w:t>项目临时占地对生态环境的主要影响表现在地表植被破坏、增加水土流失和影响景观。临时用地选在植被稀疏的地方，对于破坏植被的地段，在施工期或服务期满后及时在场地内种植本地区常见植物，对植被进行恢复。加强对施工人员的环境保护意识教育，要求文明施工，不得开展滥采滥挖滥伐等植被破坏活动，根据项目施工位点，划定施工范围，禁止随意扩展施工范围。</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kern w:val="0"/>
                <w:sz w:val="24"/>
              </w:rPr>
              <w:t>项目永久占地类型建设用地，项目建成后，及时对施工运输机械碾压过的土地进行恢复，并对升压站内栽植植物，提高土壤保水性等生态功能。同时在光伏厂区内种植当地农作物，加强水土保持。</w:t>
            </w:r>
          </w:p>
          <w:p>
            <w:pPr>
              <w:keepNext w:val="0"/>
              <w:keepLines w:val="0"/>
              <w:widowControl/>
              <w:suppressLineNumbers w:val="0"/>
              <w:spacing w:before="0" w:beforeAutospacing="0" w:after="0" w:afterAutospacing="0" w:line="480" w:lineRule="atLeast"/>
              <w:ind w:left="0" w:right="0" w:firstLine="480" w:firstLineChars="200"/>
              <w:rPr>
                <w:sz w:val="24"/>
              </w:rPr>
            </w:pPr>
            <w:r>
              <w:rPr>
                <w:rFonts w:hint="eastAsia" w:hAnsi="宋体" w:cs="宋体"/>
                <w:sz w:val="24"/>
                <w:szCs w:val="24"/>
              </w:rPr>
              <w:t>②</w:t>
            </w:r>
            <w:r>
              <w:rPr>
                <w:kern w:val="0"/>
                <w:sz w:val="24"/>
              </w:rPr>
              <w:t>植被保护措施</w:t>
            </w:r>
          </w:p>
          <w:p>
            <w:pPr>
              <w:keepNext w:val="0"/>
              <w:keepLines w:val="0"/>
              <w:widowControl/>
              <w:suppressLineNumbers w:val="0"/>
              <w:spacing w:before="0" w:beforeAutospacing="0" w:after="0" w:afterAutospacing="0" w:line="480" w:lineRule="atLeast"/>
              <w:ind w:left="0" w:right="0" w:firstLine="480" w:firstLineChars="200"/>
              <w:rPr>
                <w:rFonts w:eastAsia="仿宋_GB2312"/>
                <w:sz w:val="24"/>
              </w:rPr>
            </w:pPr>
            <w:r>
              <w:rPr>
                <w:kern w:val="0"/>
                <w:sz w:val="24"/>
              </w:rPr>
              <w:t>临时压埋的植被，一般当年就可以完全恢复；临时堆土场压埋及基础开挖、电缆敷设造成的植被铲除、压埋，在施工完毕后及时种草进行恢复，一般完全恢复需要2年时间。同时根据项目不同特点，种植相应植物提高绿化。</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kern w:val="0"/>
                <w:sz w:val="24"/>
              </w:rPr>
              <w:t>工程区施工后形成的再塑地表持水力较低，直接布设植物措施难以保证成活率，需覆表土或外购熟土，选择耐干旱、浅根性、生长快的植物进行绿化。</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rFonts w:hint="eastAsia"/>
                <w:kern w:val="0"/>
                <w:sz w:val="24"/>
              </w:rPr>
              <w:t>A、</w:t>
            </w:r>
            <w:r>
              <w:rPr>
                <w:kern w:val="0"/>
                <w:sz w:val="24"/>
              </w:rPr>
              <w:t>植物种选型</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kern w:val="0"/>
                <w:sz w:val="24"/>
              </w:rPr>
              <w:t>选择的植物应具有较强的对干旱、瘠薄等不良立地因子的适应能力，可缓解养分不足。植物种选择还考虑水土保持效果较好的乡土树（草）种。本项目植物种选择</w:t>
            </w:r>
            <w:r>
              <w:rPr>
                <w:rFonts w:hint="eastAsia"/>
                <w:kern w:val="0"/>
                <w:sz w:val="24"/>
              </w:rPr>
              <w:t>为紫穗槐、爬山虎</w:t>
            </w:r>
            <w:r>
              <w:rPr>
                <w:kern w:val="0"/>
                <w:sz w:val="24"/>
              </w:rPr>
              <w:t>和披碱草</w:t>
            </w:r>
            <w:r>
              <w:rPr>
                <w:rFonts w:hint="eastAsia"/>
                <w:kern w:val="0"/>
                <w:sz w:val="24"/>
              </w:rPr>
              <w:t>。</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rFonts w:hint="eastAsia"/>
                <w:kern w:val="0"/>
                <w:sz w:val="24"/>
              </w:rPr>
              <w:t>B、</w:t>
            </w:r>
            <w:r>
              <w:rPr>
                <w:kern w:val="0"/>
                <w:sz w:val="24"/>
              </w:rPr>
              <w:t>植物措施布局及配置</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rFonts w:hint="eastAsia"/>
                <w:kern w:val="0"/>
                <w:sz w:val="24"/>
              </w:rPr>
              <w:t>爬山虎主要</w:t>
            </w:r>
            <w:r>
              <w:rPr>
                <w:kern w:val="0"/>
                <w:sz w:val="24"/>
              </w:rPr>
              <w:t>栽植在</w:t>
            </w:r>
            <w:r>
              <w:rPr>
                <w:rFonts w:hint="eastAsia"/>
                <w:kern w:val="0"/>
                <w:sz w:val="24"/>
              </w:rPr>
              <w:t>升压站外侧开挖和堆积护坡坡脚，单排栽植，</w:t>
            </w:r>
            <w:r>
              <w:rPr>
                <w:kern w:val="0"/>
                <w:sz w:val="24"/>
              </w:rPr>
              <w:t>株距</w:t>
            </w:r>
            <w:r>
              <w:rPr>
                <w:rFonts w:hint="eastAsia"/>
                <w:kern w:val="0"/>
                <w:sz w:val="24"/>
              </w:rPr>
              <w:t>1.0m；紫穗槐</w:t>
            </w:r>
            <w:r>
              <w:rPr>
                <w:kern w:val="0"/>
                <w:sz w:val="24"/>
              </w:rPr>
              <w:t>栽植</w:t>
            </w:r>
            <w:r>
              <w:rPr>
                <w:rFonts w:hint="eastAsia"/>
                <w:kern w:val="0"/>
                <w:sz w:val="24"/>
              </w:rPr>
              <w:t>部位</w:t>
            </w:r>
            <w:r>
              <w:rPr>
                <w:kern w:val="0"/>
                <w:sz w:val="24"/>
              </w:rPr>
              <w:t>包括</w:t>
            </w:r>
            <w:r>
              <w:rPr>
                <w:rFonts w:hint="eastAsia"/>
                <w:kern w:val="0"/>
                <w:sz w:val="24"/>
              </w:rPr>
              <w:t>升压站边坡和新建</w:t>
            </w:r>
            <w:r>
              <w:rPr>
                <w:kern w:val="0"/>
                <w:sz w:val="24"/>
              </w:rPr>
              <w:t>施工</w:t>
            </w:r>
            <w:r>
              <w:rPr>
                <w:rFonts w:hint="eastAsia"/>
                <w:kern w:val="0"/>
                <w:sz w:val="24"/>
              </w:rPr>
              <w:t>道路部分路基边坡，</w:t>
            </w:r>
            <w:r>
              <w:rPr>
                <w:kern w:val="0"/>
                <w:sz w:val="24"/>
              </w:rPr>
              <w:t>栽植呈“品”字形，株行距</w:t>
            </w:r>
            <w:r>
              <w:rPr>
                <w:rFonts w:hint="eastAsia"/>
                <w:kern w:val="0"/>
                <w:sz w:val="24"/>
              </w:rPr>
              <w:t>1.0*1.0m；</w:t>
            </w:r>
            <w:r>
              <w:rPr>
                <w:kern w:val="0"/>
                <w:sz w:val="24"/>
              </w:rPr>
              <w:t>披碱草为撒播草籽，撒播区域为</w:t>
            </w:r>
            <w:r>
              <w:rPr>
                <w:rFonts w:hint="eastAsia"/>
                <w:kern w:val="0"/>
                <w:sz w:val="24"/>
              </w:rPr>
              <w:t>光伏阵列区、光伏安装</w:t>
            </w:r>
            <w:r>
              <w:rPr>
                <w:kern w:val="0"/>
                <w:sz w:val="24"/>
              </w:rPr>
              <w:t>场地</w:t>
            </w:r>
            <w:r>
              <w:rPr>
                <w:rFonts w:hint="eastAsia"/>
                <w:kern w:val="0"/>
                <w:sz w:val="24"/>
              </w:rPr>
              <w:t>、集电线路塔基区、施工区、施工便道区、送出线路塔基区、施工区及施工生产生活区，</w:t>
            </w:r>
            <w:r>
              <w:rPr>
                <w:kern w:val="0"/>
                <w:sz w:val="24"/>
              </w:rPr>
              <w:t>撒播方式为全区撒播。</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rFonts w:hint="eastAsia"/>
                <w:kern w:val="0"/>
                <w:sz w:val="24"/>
              </w:rPr>
              <w:t>C、</w:t>
            </w:r>
            <w:r>
              <w:rPr>
                <w:kern w:val="0"/>
                <w:sz w:val="24"/>
              </w:rPr>
              <w:t>栽（种）植技术</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rFonts w:hint="eastAsia"/>
                <w:kern w:val="0"/>
                <w:sz w:val="24"/>
              </w:rPr>
              <w:t>紫穗槐</w:t>
            </w:r>
            <w:r>
              <w:rPr>
                <w:kern w:val="0"/>
                <w:sz w:val="24"/>
              </w:rPr>
              <w:t>选用</w:t>
            </w:r>
            <w:r>
              <w:rPr>
                <w:rFonts w:hint="eastAsia"/>
                <w:kern w:val="0"/>
                <w:sz w:val="24"/>
              </w:rPr>
              <w:t>1年生一级裸根苗，春季或秋冬栽植，春季栽植应在苗木萌动前7～10天栽植；秋冬栽植应在树木停止生长后和土地封冻前进行。</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rFonts w:hint="eastAsia"/>
                <w:kern w:val="0"/>
                <w:sz w:val="24"/>
              </w:rPr>
              <w:t>爬山虎选择2年生苗木，春季或秋季栽植，栽植时应将苗木扶直，栽正，保证根系舒展、深浅适宜，分层覆土至地径以上2cm后踏实，栽后浇水。</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kern w:val="0"/>
                <w:sz w:val="24"/>
              </w:rPr>
              <w:t>披碱草草籽播种一般选在早春，检验待播种子的品质，种子质量要求达到国家规定的Ⅲ级以上种子标准。</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rFonts w:hint="eastAsia"/>
                <w:kern w:val="0"/>
                <w:sz w:val="24"/>
              </w:rPr>
              <w:t>D、</w:t>
            </w:r>
            <w:r>
              <w:rPr>
                <w:kern w:val="0"/>
                <w:sz w:val="24"/>
              </w:rPr>
              <w:t>抚育管理</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kern w:val="0"/>
                <w:sz w:val="24"/>
              </w:rPr>
              <w:t>各项植物措施落实后，须固定专人管护，防止人畜破坏，受旱时应及时灌水保苗，每年冬季调查成活率，并根据情况进行补植（种）。</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rFonts w:hint="eastAsia"/>
                <w:kern w:val="0"/>
                <w:sz w:val="24"/>
              </w:rPr>
              <w:t>③水土保护措施</w:t>
            </w:r>
          </w:p>
          <w:p>
            <w:pPr>
              <w:keepNext w:val="0"/>
              <w:keepLines w:val="0"/>
              <w:widowControl/>
              <w:suppressLineNumbers w:val="0"/>
              <w:spacing w:before="0" w:beforeAutospacing="0" w:after="0" w:afterAutospacing="0" w:line="480" w:lineRule="atLeast"/>
              <w:ind w:left="0" w:right="0" w:firstLine="480" w:firstLineChars="200"/>
              <w:rPr>
                <w:kern w:val="0"/>
                <w:sz w:val="24"/>
              </w:rPr>
            </w:pPr>
            <w:r>
              <w:rPr>
                <w:rFonts w:hint="eastAsia"/>
                <w:kern w:val="0"/>
                <w:sz w:val="24"/>
              </w:rPr>
              <w:t>A、升压站水土保护措施</w:t>
            </w:r>
          </w:p>
          <w:p>
            <w:pPr>
              <w:keepNext w:val="0"/>
              <w:keepLines w:val="0"/>
              <w:widowControl/>
              <w:suppressLineNumbers w:val="0"/>
              <w:spacing w:before="0" w:beforeAutospacing="0" w:after="0" w:afterAutospacing="0" w:line="480" w:lineRule="exact"/>
              <w:ind w:left="0" w:right="0" w:firstLine="480" w:firstLineChars="200"/>
              <w:rPr>
                <w:kern w:val="0"/>
                <w:sz w:val="24"/>
              </w:rPr>
            </w:pPr>
            <w:r>
              <w:rPr>
                <w:rFonts w:hint="eastAsia"/>
                <w:kern w:val="0"/>
                <w:sz w:val="24"/>
              </w:rPr>
              <w:t>a.</w:t>
            </w:r>
            <w:r>
              <w:rPr>
                <w:kern w:val="0"/>
                <w:sz w:val="24"/>
              </w:rPr>
              <w:t>工程措施：主体设计</w:t>
            </w:r>
            <w:r>
              <w:rPr>
                <w:rFonts w:hint="eastAsia"/>
                <w:kern w:val="0"/>
                <w:sz w:val="24"/>
              </w:rPr>
              <w:t>升压站内布置300m地下管网将站内降雨排出厂区；在保有表土的施工区域对</w:t>
            </w:r>
            <w:r>
              <w:rPr>
                <w:kern w:val="0"/>
                <w:sz w:val="24"/>
              </w:rPr>
              <w:t>表层土壤进行收集，收集面积约</w:t>
            </w:r>
            <w:r>
              <w:rPr>
                <w:rFonts w:hint="eastAsia"/>
                <w:kern w:val="0"/>
                <w:sz w:val="24"/>
              </w:rPr>
              <w:t>0.13</w:t>
            </w:r>
            <w:r>
              <w:rPr>
                <w:kern w:val="0"/>
                <w:sz w:val="24"/>
              </w:rPr>
              <w:t>hm</w:t>
            </w:r>
            <w:r>
              <w:rPr>
                <w:kern w:val="0"/>
                <w:sz w:val="24"/>
                <w:vertAlign w:val="superscript"/>
              </w:rPr>
              <w:t>2</w:t>
            </w:r>
            <w:r>
              <w:rPr>
                <w:rFonts w:hint="eastAsia"/>
                <w:kern w:val="0"/>
                <w:sz w:val="24"/>
              </w:rPr>
              <w:t>；将</w:t>
            </w:r>
            <w:r>
              <w:rPr>
                <w:kern w:val="0"/>
                <w:sz w:val="24"/>
              </w:rPr>
              <w:t>收集的</w:t>
            </w:r>
            <w:r>
              <w:rPr>
                <w:rFonts w:hint="eastAsia"/>
                <w:kern w:val="0"/>
                <w:sz w:val="24"/>
              </w:rPr>
              <w:t>表土</w:t>
            </w:r>
            <w:r>
              <w:rPr>
                <w:kern w:val="0"/>
                <w:sz w:val="24"/>
              </w:rPr>
              <w:t>用于</w:t>
            </w:r>
            <w:r>
              <w:rPr>
                <w:rFonts w:hint="eastAsia"/>
                <w:kern w:val="0"/>
                <w:sz w:val="24"/>
              </w:rPr>
              <w:t>升压站内</w:t>
            </w:r>
            <w:r>
              <w:rPr>
                <w:kern w:val="0"/>
                <w:sz w:val="24"/>
              </w:rPr>
              <w:t>绿化区域覆土使用，覆土面积约</w:t>
            </w:r>
            <w:r>
              <w:rPr>
                <w:rFonts w:hint="eastAsia"/>
                <w:kern w:val="0"/>
                <w:sz w:val="24"/>
              </w:rPr>
              <w:t>0.08</w:t>
            </w:r>
            <w:r>
              <w:rPr>
                <w:kern w:val="0"/>
                <w:sz w:val="24"/>
              </w:rPr>
              <w:t>hm</w:t>
            </w:r>
            <w:r>
              <w:rPr>
                <w:kern w:val="0"/>
                <w:sz w:val="24"/>
                <w:vertAlign w:val="superscript"/>
              </w:rPr>
              <w:t>2</w:t>
            </w:r>
            <w:r>
              <w:rPr>
                <w:rFonts w:hint="eastAsia"/>
                <w:kern w:val="0"/>
                <w:sz w:val="24"/>
              </w:rPr>
              <w:t>。</w:t>
            </w:r>
          </w:p>
          <w:p>
            <w:pPr>
              <w:keepNext w:val="0"/>
              <w:keepLines w:val="0"/>
              <w:widowControl/>
              <w:suppressLineNumbers w:val="0"/>
              <w:spacing w:before="0" w:beforeAutospacing="0" w:after="0" w:afterAutospacing="0" w:line="480" w:lineRule="exact"/>
              <w:ind w:left="0" w:right="0" w:firstLine="480" w:firstLineChars="200"/>
              <w:rPr>
                <w:kern w:val="0"/>
                <w:sz w:val="24"/>
              </w:rPr>
            </w:pPr>
            <w:r>
              <w:rPr>
                <w:rFonts w:hint="eastAsia"/>
                <w:kern w:val="0"/>
                <w:sz w:val="24"/>
              </w:rPr>
              <w:t>b.</w:t>
            </w:r>
            <w:r>
              <w:rPr>
                <w:kern w:val="0"/>
                <w:sz w:val="24"/>
              </w:rPr>
              <w:t>植物措施：</w:t>
            </w:r>
            <w:r>
              <w:rPr>
                <w:rFonts w:hint="eastAsia"/>
                <w:kern w:val="0"/>
                <w:sz w:val="24"/>
              </w:rPr>
              <w:t>主体设计在生活区空地栽植植物进行绿化，绿化面积0.08hm</w:t>
            </w:r>
            <w:r>
              <w:rPr>
                <w:rFonts w:hint="eastAsia"/>
                <w:kern w:val="0"/>
                <w:sz w:val="24"/>
                <w:vertAlign w:val="superscript"/>
              </w:rPr>
              <w:t>2</w:t>
            </w:r>
            <w:r>
              <w:rPr>
                <w:rFonts w:hint="eastAsia"/>
                <w:kern w:val="0"/>
                <w:sz w:val="24"/>
              </w:rPr>
              <w:t>。</w:t>
            </w:r>
          </w:p>
          <w:p>
            <w:pPr>
              <w:keepNext w:val="0"/>
              <w:keepLines w:val="0"/>
              <w:widowControl/>
              <w:suppressLineNumbers w:val="0"/>
              <w:spacing w:before="0" w:beforeAutospacing="0" w:after="0" w:afterAutospacing="0" w:line="480" w:lineRule="exact"/>
              <w:ind w:left="0" w:right="0" w:firstLine="480" w:firstLineChars="200"/>
              <w:rPr>
                <w:kern w:val="0"/>
                <w:sz w:val="24"/>
              </w:rPr>
            </w:pPr>
            <w:r>
              <w:rPr>
                <w:rFonts w:hint="eastAsia"/>
                <w:kern w:val="0"/>
                <w:sz w:val="24"/>
              </w:rPr>
              <w:t>c.</w:t>
            </w:r>
            <w:r>
              <w:rPr>
                <w:kern w:val="0"/>
                <w:sz w:val="24"/>
              </w:rPr>
              <w:t>临时措施：</w:t>
            </w:r>
            <w:r>
              <w:rPr>
                <w:rFonts w:hint="eastAsia"/>
                <w:kern w:val="0"/>
                <w:sz w:val="24"/>
              </w:rPr>
              <w:t>方案设计对升压站</w:t>
            </w:r>
            <w:r>
              <w:rPr>
                <w:kern w:val="0"/>
                <w:sz w:val="24"/>
              </w:rPr>
              <w:t>临时堆土及</w:t>
            </w:r>
            <w:r>
              <w:rPr>
                <w:rFonts w:hint="eastAsia"/>
                <w:kern w:val="0"/>
                <w:sz w:val="24"/>
              </w:rPr>
              <w:t>砂石料</w:t>
            </w:r>
            <w:r>
              <w:rPr>
                <w:kern w:val="0"/>
                <w:sz w:val="24"/>
              </w:rPr>
              <w:t>等布设密目网进行苫盖，苫盖面积为</w:t>
            </w:r>
            <w:r>
              <w:rPr>
                <w:rFonts w:hint="eastAsia"/>
                <w:kern w:val="0"/>
                <w:sz w:val="24"/>
              </w:rPr>
              <w:t>2000</w:t>
            </w:r>
            <w:r>
              <w:rPr>
                <w:kern w:val="0"/>
                <w:sz w:val="24"/>
              </w:rPr>
              <w:t>m</w:t>
            </w:r>
            <w:r>
              <w:rPr>
                <w:kern w:val="0"/>
                <w:sz w:val="24"/>
                <w:vertAlign w:val="superscript"/>
              </w:rPr>
              <w:t>2</w:t>
            </w:r>
            <w:r>
              <w:rPr>
                <w:rFonts w:hint="eastAsia"/>
                <w:kern w:val="0"/>
                <w:sz w:val="24"/>
              </w:rPr>
              <w:t>；对</w:t>
            </w:r>
            <w:r>
              <w:rPr>
                <w:kern w:val="0"/>
                <w:sz w:val="24"/>
              </w:rPr>
              <w:t>临时堆土及</w:t>
            </w:r>
            <w:r>
              <w:rPr>
                <w:rFonts w:hint="eastAsia"/>
                <w:kern w:val="0"/>
                <w:sz w:val="24"/>
              </w:rPr>
              <w:t>砂石料等</w:t>
            </w:r>
            <w:r>
              <w:rPr>
                <w:kern w:val="0"/>
                <w:sz w:val="24"/>
              </w:rPr>
              <w:t>周边</w:t>
            </w:r>
            <w:r>
              <w:rPr>
                <w:rFonts w:hint="eastAsia"/>
                <w:kern w:val="0"/>
                <w:sz w:val="24"/>
              </w:rPr>
              <w:t>布设</w:t>
            </w:r>
            <w:r>
              <w:rPr>
                <w:kern w:val="0"/>
                <w:sz w:val="24"/>
              </w:rPr>
              <w:t>临时排水</w:t>
            </w:r>
            <w:r>
              <w:rPr>
                <w:rFonts w:hint="eastAsia"/>
                <w:kern w:val="0"/>
                <w:sz w:val="24"/>
              </w:rPr>
              <w:t>措施进行防护，布设</w:t>
            </w:r>
            <w:r>
              <w:rPr>
                <w:kern w:val="0"/>
                <w:sz w:val="24"/>
              </w:rPr>
              <w:t>临时排水沟</w:t>
            </w:r>
            <w:r>
              <w:rPr>
                <w:rFonts w:hint="eastAsia"/>
                <w:kern w:val="0"/>
                <w:sz w:val="24"/>
              </w:rPr>
              <w:t>长度为300m。</w:t>
            </w:r>
          </w:p>
          <w:p>
            <w:pPr>
              <w:keepNext w:val="0"/>
              <w:keepLines w:val="0"/>
              <w:widowControl/>
              <w:suppressLineNumbers w:val="0"/>
              <w:spacing w:before="0" w:beforeAutospacing="0" w:after="0" w:afterAutospacing="0" w:line="360" w:lineRule="auto"/>
              <w:ind w:left="0" w:right="0" w:firstLine="480" w:firstLineChars="200"/>
              <w:jc w:val="both"/>
              <w:rPr>
                <w:kern w:val="0"/>
                <w:sz w:val="24"/>
              </w:rPr>
            </w:pPr>
            <w:r>
              <w:rPr>
                <w:rFonts w:hint="eastAsia"/>
                <w:kern w:val="0"/>
                <w:sz w:val="24"/>
              </w:rPr>
              <w:t>B、升压站边坡</w:t>
            </w:r>
            <w:r>
              <w:rPr>
                <w:kern w:val="0"/>
                <w:sz w:val="24"/>
              </w:rPr>
              <w:t>水土保持分区布局</w:t>
            </w:r>
          </w:p>
          <w:p>
            <w:pPr>
              <w:keepNext w:val="0"/>
              <w:keepLines w:val="0"/>
              <w:widowControl/>
              <w:suppressLineNumbers w:val="0"/>
              <w:spacing w:before="0" w:beforeAutospacing="0" w:after="0" w:afterAutospacing="0" w:line="360" w:lineRule="auto"/>
              <w:ind w:left="0" w:right="0" w:firstLine="480" w:firstLineChars="200"/>
              <w:jc w:val="both"/>
              <w:rPr>
                <w:kern w:val="0"/>
                <w:sz w:val="24"/>
              </w:rPr>
            </w:pPr>
            <w:r>
              <w:rPr>
                <w:rFonts w:hint="eastAsia"/>
                <w:kern w:val="0"/>
                <w:sz w:val="24"/>
              </w:rPr>
              <w:t>a.</w:t>
            </w:r>
            <w:r>
              <w:rPr>
                <w:kern w:val="0"/>
                <w:sz w:val="24"/>
              </w:rPr>
              <w:t>工程措施：由于</w:t>
            </w:r>
            <w:r>
              <w:rPr>
                <w:rFonts w:hint="eastAsia"/>
                <w:kern w:val="0"/>
                <w:sz w:val="24"/>
              </w:rPr>
              <w:t>升压站北部和西部为开挖边坡，较陡峭，为防止上游汇水冲刷边坡，在升压站西部开挖边坡上部布设截排水沟380m疏导径流。升压站东部和南部为填垫边坡，主体设计采用台阶式堆筑，为防治坡面流泻，方案设计在填垫边坡坡脚设置挡土墙对边坡进行防护，挡土墙长220m。</w:t>
            </w:r>
          </w:p>
          <w:p>
            <w:pPr>
              <w:keepNext w:val="0"/>
              <w:keepLines w:val="0"/>
              <w:widowControl/>
              <w:suppressLineNumbers w:val="0"/>
              <w:spacing w:before="0" w:beforeAutospacing="0" w:after="0" w:afterAutospacing="0" w:line="360" w:lineRule="auto"/>
              <w:ind w:left="0" w:right="0" w:firstLine="480" w:firstLineChars="200"/>
              <w:rPr>
                <w:kern w:val="0"/>
                <w:sz w:val="24"/>
              </w:rPr>
            </w:pPr>
            <w:r>
              <w:rPr>
                <w:rFonts w:hint="eastAsia"/>
                <w:kern w:val="0"/>
                <w:sz w:val="24"/>
              </w:rPr>
              <w:t>B.</w:t>
            </w:r>
            <w:r>
              <w:rPr>
                <w:kern w:val="0"/>
                <w:sz w:val="24"/>
              </w:rPr>
              <w:t>植物措施</w:t>
            </w:r>
            <w:r>
              <w:rPr>
                <w:rFonts w:hint="eastAsia"/>
                <w:kern w:val="0"/>
                <w:sz w:val="24"/>
              </w:rPr>
              <w:t>：主体设计升压站北部和西部边坡为浆砌石护坡，方案设计在浆砌石护坡坡脚种植380m攀援植物对边坡进行绿化；方案设计在填垫边坡栽植植物进行绿化，栽植面积为0.45hm</w:t>
            </w:r>
            <w:r>
              <w:rPr>
                <w:rFonts w:hint="eastAsia"/>
                <w:kern w:val="0"/>
                <w:sz w:val="24"/>
                <w:vertAlign w:val="superscript"/>
              </w:rPr>
              <w:t>2</w:t>
            </w:r>
            <w:r>
              <w:rPr>
                <w:rFonts w:hint="eastAsia"/>
                <w:kern w:val="0"/>
                <w:sz w:val="24"/>
              </w:rPr>
              <w:t>。</w:t>
            </w:r>
          </w:p>
          <w:p>
            <w:pPr>
              <w:keepNext w:val="0"/>
              <w:keepLines w:val="0"/>
              <w:widowControl/>
              <w:suppressLineNumbers w:val="0"/>
              <w:spacing w:before="0" w:beforeAutospacing="0" w:after="0" w:afterAutospacing="0" w:line="480" w:lineRule="exact"/>
              <w:ind w:left="0" w:right="0" w:firstLine="480" w:firstLineChars="200"/>
              <w:rPr>
                <w:kern w:val="0"/>
                <w:sz w:val="24"/>
              </w:rPr>
            </w:pPr>
            <w:r>
              <w:rPr>
                <w:rFonts w:hint="eastAsia"/>
                <w:kern w:val="0"/>
                <w:sz w:val="24"/>
              </w:rPr>
              <w:t>④其他生态保护措施</w:t>
            </w:r>
          </w:p>
          <w:p>
            <w:pPr>
              <w:keepNext w:val="0"/>
              <w:keepLines w:val="0"/>
              <w:widowControl/>
              <w:suppressLineNumbers w:val="0"/>
              <w:spacing w:before="0" w:beforeAutospacing="0" w:after="0" w:afterAutospacing="0" w:line="480" w:lineRule="exact"/>
              <w:ind w:left="0" w:right="0" w:firstLine="480" w:firstLineChars="200"/>
              <w:rPr>
                <w:rFonts w:ascii="Times New Roman"/>
                <w:sz w:val="24"/>
                <w:szCs w:val="24"/>
              </w:rPr>
            </w:pPr>
            <w:r>
              <w:rPr>
                <w:rFonts w:hint="eastAsia"/>
                <w:kern w:val="0"/>
                <w:sz w:val="24"/>
              </w:rPr>
              <w:t>A.制定完善的施工方案，严</w:t>
            </w:r>
            <w:r>
              <w:rPr>
                <w:rFonts w:ascii="Times New Roman"/>
                <w:sz w:val="24"/>
                <w:szCs w:val="24"/>
              </w:rPr>
              <w:t>格控制项目施工用地范围，在设计、施工过程中尽量减少临时占地，并划定施工活动范围。项目施工材料及设备尽量分拆改用小型运输工具运输，物料集中堆存，不得随意堆放，有效地控制占地面积。</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B.</w:t>
            </w:r>
            <w:r>
              <w:rPr>
                <w:rFonts w:ascii="Times New Roman"/>
                <w:sz w:val="24"/>
                <w:szCs w:val="24"/>
              </w:rPr>
              <w:t>物料堆存时注意采取围挡、压实、洒水增湿等措施。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rPr>
              <w:t>C.升压站围墙外布设浆砌石排水沟。施工过程中，在施工营地四周设置临时排水沟。</w:t>
            </w:r>
            <w:r>
              <w:rPr>
                <w:rFonts w:ascii="Times New Roman"/>
                <w:sz w:val="24"/>
                <w:szCs w:val="24"/>
              </w:rPr>
              <w:t>加强水保工程建设，控制项目区水土流失量，严格按照水土保持方案中采取的措施对各水土流失防治部位进行治理。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D.在施工期间对施工人员加强生态保护的宣传教育、提高环保意识，严格禁止破坏环境的行为。</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E.合理安排施工次序，缩短工期，动土工程尽量避开雨天。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F.施工采用环保型设备，进行绿色施工，有效降低扬尘及噪声排放强度，保证达标排放。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G.对施工过程中产生的建筑废物进行分类回收利用。</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rPr>
            </w:pPr>
            <w:r>
              <w:rPr>
                <w:rFonts w:ascii="Times New Roman"/>
                <w:sz w:val="24"/>
                <w:szCs w:val="24"/>
              </w:rPr>
              <w:t>H.</w:t>
            </w:r>
            <w:r>
              <w:rPr>
                <w:rFonts w:ascii="Times New Roman"/>
                <w:sz w:val="24"/>
              </w:rPr>
              <w:t>施工结束后对施工临时扰动区域和临时占地进行植被恢复，铺植前，先覆盖表土。恢复时应选择栽种当地常见植物。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结合大气污染防治措施、水污染防治措施、固废污染防治措施和噪声污染防治措施，降低项目建设对区域生态环境的影响。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15" w:type="dxa"/>
            <w:tcMar>
              <w:left w:w="28" w:type="dxa"/>
              <w:right w:w="28" w:type="dxa"/>
            </w:tcMar>
            <w:vAlign w:val="center"/>
          </w:tcPr>
          <w:p>
            <w:pPr>
              <w:keepNext w:val="0"/>
              <w:keepLines w:val="0"/>
              <w:widowControl/>
              <w:suppressLineNumbers w:val="0"/>
              <w:adjustRightInd w:val="0"/>
              <w:snapToGrid w:val="0"/>
              <w:spacing w:before="0" w:beforeAutospacing="0" w:after="0" w:afterAutospacing="0" w:line="360" w:lineRule="auto"/>
              <w:ind w:left="0" w:right="0"/>
              <w:jc w:val="center"/>
              <w:rPr>
                <w:rFonts w:ascii="Times New Roman"/>
                <w:szCs w:val="24"/>
              </w:rPr>
            </w:pPr>
            <w:r>
              <w:rPr>
                <w:rFonts w:ascii="Times New Roman"/>
                <w:bCs/>
                <w:sz w:val="24"/>
                <w:szCs w:val="24"/>
              </w:rPr>
              <w:t>运行期环境影响和保护</w:t>
            </w:r>
            <w:r>
              <w:rPr>
                <w:rFonts w:ascii="Times New Roman"/>
                <w:bCs/>
                <w:sz w:val="24"/>
                <w:szCs w:val="32"/>
              </w:rPr>
              <w:t>措施</w:t>
            </w:r>
          </w:p>
        </w:tc>
        <w:tc>
          <w:tcPr>
            <w:tcW w:w="8557" w:type="dxa"/>
            <w:tcBorders>
              <w:bottom w:val="single" w:color="auto" w:sz="8" w:space="0"/>
            </w:tcBorders>
            <w:vAlign w:val="center"/>
          </w:tcPr>
          <w:p>
            <w:pPr>
              <w:pStyle w:val="89"/>
              <w:keepNext w:val="0"/>
              <w:keepLines w:val="0"/>
              <w:widowControl/>
              <w:suppressLineNumbers w:val="0"/>
              <w:spacing w:before="120" w:beforeLines="50" w:beforeAutospacing="0" w:after="0" w:afterAutospacing="0" w:line="360" w:lineRule="auto"/>
              <w:ind w:left="0" w:right="0" w:firstLine="482"/>
              <w:rPr>
                <w:rFonts w:ascii="Times New Roman"/>
                <w:b/>
                <w:bCs/>
                <w:sz w:val="24"/>
                <w:szCs w:val="24"/>
              </w:rPr>
            </w:pPr>
            <w:r>
              <w:rPr>
                <w:rFonts w:ascii="Times New Roman"/>
                <w:b/>
                <w:bCs/>
                <w:sz w:val="24"/>
                <w:szCs w:val="24"/>
              </w:rPr>
              <w:t>1、电磁环境影响预测与分析</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工频电场强度主要取决于升压站电压等级与源的距离，并与环境湿度、植被及地理地形因子等屏蔽条件相关；工频磁感应强度主要取决于电流与源的距离。</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按照《环境影响评价技术导则 输变电》(HJ 24-2020)4.10.2的要求，本项目升压站电压等级为220/35kV，主变压器户外布置，电磁环境影响评价等级为二级，评价时电磁环境影响预测应采用类比分析的方式，类比过程见电磁环境影响预测专题报告，预测结果如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经类比分析可知，升压站评价范围内的工频电场强度和工频磁感应强度分别符合《电磁环境控制限值》(GB 8702-2014)规定的工频电场强度4kV/m及工频磁感应强度100μT的公众</w:t>
            </w:r>
            <w:r>
              <w:rPr>
                <w:rFonts w:hint="eastAsia" w:ascii="Times New Roman"/>
                <w:sz w:val="24"/>
                <w:szCs w:val="24"/>
              </w:rPr>
              <w:t>暴露</w:t>
            </w:r>
            <w:r>
              <w:rPr>
                <w:rFonts w:ascii="Times New Roman"/>
                <w:sz w:val="24"/>
                <w:szCs w:val="24"/>
              </w:rPr>
              <w:t>控制限值要求。详细内容见电磁环境影响专题评价。</w:t>
            </w:r>
          </w:p>
          <w:p>
            <w:pPr>
              <w:keepNext w:val="0"/>
              <w:keepLines w:val="0"/>
              <w:widowControl/>
              <w:suppressLineNumbers w:val="0"/>
              <w:adjustRightInd w:val="0"/>
              <w:snapToGri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szCs w:val="24"/>
              </w:rPr>
              <w:t>2、声环境影响分析</w:t>
            </w:r>
          </w:p>
          <w:p>
            <w:pPr>
              <w:keepNext w:val="0"/>
              <w:keepLines w:val="0"/>
              <w:widowControl/>
              <w:suppressLineNumbers w:val="0"/>
              <w:adjustRightInd w:val="0"/>
              <w:snapToGrid w:val="0"/>
              <w:spacing w:before="0" w:beforeAutospacing="0" w:after="0" w:afterAutospacing="0" w:line="360" w:lineRule="auto"/>
              <w:ind w:left="0" w:right="0" w:firstLine="480" w:firstLineChars="200"/>
              <w:rPr>
                <w:kern w:val="0"/>
                <w:sz w:val="24"/>
              </w:rPr>
            </w:pPr>
            <w:r>
              <w:rPr>
                <w:kern w:val="0"/>
                <w:sz w:val="24"/>
              </w:rPr>
              <w:t>营运期主要固定噪声源主要来源于升压站内2台210MVA主变压器、水泵、油烟净化器风机，噪声源强为75dB（A）~85dB（A），项目选用低噪声生产设备，并安装减振基础，减震垫隔声10dB（A），室内布置、距离衰减，加强维护、定期巡检，设备源强参数情况见下表。</w:t>
            </w:r>
          </w:p>
          <w:p>
            <w:pPr>
              <w:keepNext w:val="0"/>
              <w:keepLines w:val="0"/>
              <w:widowControl/>
              <w:suppressLineNumbers w:val="0"/>
              <w:tabs>
                <w:tab w:val="left" w:pos="-1800"/>
              </w:tabs>
              <w:adjustRightInd w:val="0"/>
              <w:snapToGrid w:val="0"/>
              <w:spacing w:before="120" w:beforeLines="50" w:beforeAutospacing="0" w:after="0" w:afterAutospacing="0"/>
              <w:ind w:left="0" w:right="0" w:firstLine="422" w:firstLineChars="200"/>
              <w:jc w:val="center"/>
              <w:rPr>
                <w:b/>
              </w:rPr>
            </w:pPr>
            <w:r>
              <w:rPr>
                <w:b/>
              </w:rPr>
              <w:t>表4-</w:t>
            </w:r>
            <w:r>
              <w:rPr>
                <w:rFonts w:hint="eastAsia"/>
                <w:b/>
              </w:rPr>
              <w:t xml:space="preserve">1 </w:t>
            </w:r>
            <w:r>
              <w:rPr>
                <w:b/>
              </w:rPr>
              <w:t>噪声源强调查清单（室内声源）</w:t>
            </w:r>
          </w:p>
          <w:tbl>
            <w:tblPr>
              <w:tblStyle w:val="54"/>
              <w:tblW w:w="4995"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96"/>
              <w:gridCol w:w="396"/>
              <w:gridCol w:w="396"/>
              <w:gridCol w:w="396"/>
              <w:gridCol w:w="706"/>
              <w:gridCol w:w="720"/>
              <w:gridCol w:w="711"/>
              <w:gridCol w:w="621"/>
              <w:gridCol w:w="441"/>
              <w:gridCol w:w="441"/>
              <w:gridCol w:w="707"/>
              <w:gridCol w:w="797"/>
              <w:gridCol w:w="707"/>
              <w:gridCol w:w="707"/>
              <w:gridCol w:w="39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trPr>
              <w:tc>
                <w:tcPr>
                  <w:tcW w:w="177"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序号</w:t>
                  </w:r>
                </w:p>
              </w:tc>
              <w:tc>
                <w:tcPr>
                  <w:tcW w:w="290"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建筑物名称</w:t>
                  </w:r>
                </w:p>
              </w:tc>
              <w:tc>
                <w:tcPr>
                  <w:tcW w:w="318"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声源名称</w:t>
                  </w:r>
                </w:p>
              </w:tc>
              <w:tc>
                <w:tcPr>
                  <w:tcW w:w="177"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型号</w:t>
                  </w:r>
                </w:p>
              </w:tc>
              <w:tc>
                <w:tcPr>
                  <w:tcW w:w="429"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声功率级dB（A）</w:t>
                  </w:r>
                </w:p>
              </w:tc>
              <w:tc>
                <w:tcPr>
                  <w:tcW w:w="643"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声源控制措施</w:t>
                  </w:r>
                </w:p>
              </w:tc>
              <w:tc>
                <w:tcPr>
                  <w:tcW w:w="692" w:type="pct"/>
                  <w:gridSpan w:val="3"/>
                  <w:tcBorders>
                    <w:bottom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空间相对位置/m</w:t>
                  </w:r>
                </w:p>
              </w:tc>
              <w:tc>
                <w:tcPr>
                  <w:tcW w:w="359"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距室内边界距离/m</w:t>
                  </w:r>
                </w:p>
              </w:tc>
              <w:tc>
                <w:tcPr>
                  <w:tcW w:w="485"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室内边界声级dB（A）</w:t>
                  </w:r>
                </w:p>
              </w:tc>
              <w:tc>
                <w:tcPr>
                  <w:tcW w:w="336"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运行时段</w:t>
                  </w:r>
                </w:p>
              </w:tc>
              <w:tc>
                <w:tcPr>
                  <w:tcW w:w="521"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建筑物插入损失/ dB（A）</w:t>
                  </w:r>
                </w:p>
              </w:tc>
              <w:tc>
                <w:tcPr>
                  <w:tcW w:w="567" w:type="pct"/>
                  <w:gridSpan w:val="2"/>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建筑物外噪声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7"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290"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318"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177"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29"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64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279" w:type="pct"/>
                  <w:vMerge w:val="restart"/>
                  <w:tcBorders>
                    <w:top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X</w:t>
                  </w:r>
                </w:p>
              </w:tc>
              <w:tc>
                <w:tcPr>
                  <w:tcW w:w="242" w:type="pct"/>
                  <w:vMerge w:val="restart"/>
                  <w:tcBorders>
                    <w:top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Y</w:t>
                  </w:r>
                </w:p>
              </w:tc>
              <w:tc>
                <w:tcPr>
                  <w:tcW w:w="169" w:type="pct"/>
                  <w:vMerge w:val="restart"/>
                  <w:tcBorders>
                    <w:top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Z</w:t>
                  </w:r>
                </w:p>
              </w:tc>
              <w:tc>
                <w:tcPr>
                  <w:tcW w:w="359"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85"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33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521"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567" w:type="pct"/>
                  <w:gridSpan w:val="2"/>
                  <w:vMerge w:val="continue"/>
                  <w:tcBorders>
                    <w:bottom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5" w:hRule="atLeast"/>
              </w:trPr>
              <w:tc>
                <w:tcPr>
                  <w:tcW w:w="177"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290"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318"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177"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29"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64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279"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242"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169"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359"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85"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33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521"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278" w:type="pct"/>
                  <w:tcBorders>
                    <w:top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声压级/dB（A）</w:t>
                  </w:r>
                </w:p>
              </w:tc>
              <w:tc>
                <w:tcPr>
                  <w:tcW w:w="288" w:type="pct"/>
                  <w:tcBorders>
                    <w:top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建筑物外距离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7"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kern w:val="0"/>
                      <w:sz w:val="18"/>
                      <w:szCs w:val="18"/>
                    </w:rPr>
                  </w:pPr>
                  <w:r>
                    <w:rPr>
                      <w:rFonts w:ascii="Times New Roman"/>
                      <w:color w:val="000000" w:themeColor="text1"/>
                      <w:kern w:val="0"/>
                      <w:sz w:val="18"/>
                      <w:szCs w:val="18"/>
                    </w:rPr>
                    <w:t>1</w:t>
                  </w:r>
                </w:p>
              </w:tc>
              <w:tc>
                <w:tcPr>
                  <w:tcW w:w="290"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综合楼</w:t>
                  </w:r>
                </w:p>
              </w:tc>
              <w:tc>
                <w:tcPr>
                  <w:tcW w:w="31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油烟净化器风机</w:t>
                  </w:r>
                </w:p>
              </w:tc>
              <w:tc>
                <w:tcPr>
                  <w:tcW w:w="177"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29"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85</w:t>
                  </w:r>
                </w:p>
              </w:tc>
              <w:tc>
                <w:tcPr>
                  <w:tcW w:w="643"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选用低噪声设备、厂房隔声、基础减振</w:t>
                  </w:r>
                </w:p>
              </w:tc>
              <w:tc>
                <w:tcPr>
                  <w:tcW w:w="279"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145.22</w:t>
                  </w:r>
                </w:p>
              </w:tc>
              <w:tc>
                <w:tcPr>
                  <w:tcW w:w="242"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34.</w:t>
                  </w:r>
                  <w:r>
                    <w:rPr>
                      <w:rFonts w:ascii="Times New Roman"/>
                      <w:color w:val="000000" w:themeColor="text1"/>
                      <w:sz w:val="18"/>
                      <w:szCs w:val="18"/>
                    </w:rPr>
                    <w:t>16</w:t>
                  </w:r>
                </w:p>
              </w:tc>
              <w:tc>
                <w:tcPr>
                  <w:tcW w:w="169"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2.5</w:t>
                  </w:r>
                </w:p>
              </w:tc>
              <w:tc>
                <w:tcPr>
                  <w:tcW w:w="359"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1</w:t>
                  </w:r>
                  <w:r>
                    <w:rPr>
                      <w:rFonts w:ascii="Times New Roman"/>
                      <w:color w:val="000000" w:themeColor="text1"/>
                      <w:sz w:val="18"/>
                      <w:szCs w:val="18"/>
                    </w:rPr>
                    <w:t>.5</w:t>
                  </w:r>
                </w:p>
              </w:tc>
              <w:tc>
                <w:tcPr>
                  <w:tcW w:w="485"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81.48</w:t>
                  </w:r>
                </w:p>
              </w:tc>
              <w:tc>
                <w:tcPr>
                  <w:tcW w:w="33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8760h/a</w:t>
                  </w:r>
                </w:p>
              </w:tc>
              <w:tc>
                <w:tcPr>
                  <w:tcW w:w="52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20</w:t>
                  </w:r>
                </w:p>
              </w:tc>
              <w:tc>
                <w:tcPr>
                  <w:tcW w:w="27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61.48</w:t>
                  </w:r>
                </w:p>
              </w:tc>
              <w:tc>
                <w:tcPr>
                  <w:tcW w:w="28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7"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kern w:val="0"/>
                      <w:sz w:val="18"/>
                      <w:szCs w:val="18"/>
                    </w:rPr>
                  </w:pPr>
                  <w:r>
                    <w:rPr>
                      <w:rFonts w:ascii="Times New Roman"/>
                      <w:color w:val="000000" w:themeColor="text1"/>
                      <w:kern w:val="0"/>
                      <w:sz w:val="18"/>
                      <w:szCs w:val="18"/>
                    </w:rPr>
                    <w:t>2</w:t>
                  </w:r>
                </w:p>
              </w:tc>
              <w:tc>
                <w:tcPr>
                  <w:tcW w:w="290"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一体化</w:t>
                  </w:r>
                  <w:r>
                    <w:rPr>
                      <w:rFonts w:ascii="Times New Roman"/>
                      <w:color w:val="000000" w:themeColor="text1"/>
                      <w:sz w:val="18"/>
                      <w:szCs w:val="18"/>
                    </w:rPr>
                    <w:t>水泵站</w:t>
                  </w:r>
                </w:p>
              </w:tc>
              <w:tc>
                <w:tcPr>
                  <w:tcW w:w="31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泵</w:t>
                  </w:r>
                </w:p>
              </w:tc>
              <w:tc>
                <w:tcPr>
                  <w:tcW w:w="177"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29"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75</w:t>
                  </w:r>
                </w:p>
              </w:tc>
              <w:tc>
                <w:tcPr>
                  <w:tcW w:w="64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279"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161.95</w:t>
                  </w:r>
                </w:p>
              </w:tc>
              <w:tc>
                <w:tcPr>
                  <w:tcW w:w="242"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26.09</w:t>
                  </w:r>
                </w:p>
              </w:tc>
              <w:tc>
                <w:tcPr>
                  <w:tcW w:w="169"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0.5</w:t>
                  </w:r>
                </w:p>
              </w:tc>
              <w:tc>
                <w:tcPr>
                  <w:tcW w:w="359"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2</w:t>
                  </w:r>
                </w:p>
              </w:tc>
              <w:tc>
                <w:tcPr>
                  <w:tcW w:w="485"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68.98</w:t>
                  </w:r>
                </w:p>
              </w:tc>
              <w:tc>
                <w:tcPr>
                  <w:tcW w:w="33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8760h/a</w:t>
                  </w:r>
                </w:p>
              </w:tc>
              <w:tc>
                <w:tcPr>
                  <w:tcW w:w="52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20</w:t>
                  </w:r>
                </w:p>
              </w:tc>
              <w:tc>
                <w:tcPr>
                  <w:tcW w:w="27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48.98</w:t>
                  </w:r>
                </w:p>
              </w:tc>
              <w:tc>
                <w:tcPr>
                  <w:tcW w:w="28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1</w:t>
                  </w:r>
                </w:p>
              </w:tc>
            </w:tr>
          </w:tbl>
          <w:p>
            <w:pPr>
              <w:keepNext w:val="0"/>
              <w:keepLines w:val="0"/>
              <w:widowControl/>
              <w:suppressLineNumbers w:val="0"/>
              <w:tabs>
                <w:tab w:val="left" w:pos="-1800"/>
              </w:tabs>
              <w:adjustRightInd w:val="0"/>
              <w:snapToGrid w:val="0"/>
              <w:spacing w:before="120" w:beforeLines="50" w:beforeAutospacing="0" w:after="0" w:afterAutospacing="0"/>
              <w:ind w:left="0" w:right="0" w:firstLine="422" w:firstLineChars="200"/>
              <w:jc w:val="center"/>
              <w:rPr>
                <w:b/>
              </w:rPr>
            </w:pPr>
          </w:p>
          <w:p>
            <w:pPr>
              <w:keepNext w:val="0"/>
              <w:keepLines w:val="0"/>
              <w:widowControl/>
              <w:suppressLineNumbers w:val="0"/>
              <w:tabs>
                <w:tab w:val="left" w:pos="-1800"/>
              </w:tabs>
              <w:adjustRightInd w:val="0"/>
              <w:snapToGrid w:val="0"/>
              <w:spacing w:before="120" w:beforeLines="50" w:beforeAutospacing="0" w:after="0" w:afterAutospacing="0"/>
              <w:ind w:left="0" w:right="0" w:firstLine="422" w:firstLineChars="200"/>
              <w:jc w:val="center"/>
              <w:rPr>
                <w:b/>
              </w:rPr>
            </w:pPr>
            <w:r>
              <w:rPr>
                <w:b/>
              </w:rPr>
              <w:t>表4-</w:t>
            </w:r>
            <w:r>
              <w:rPr>
                <w:rFonts w:hint="eastAsia"/>
                <w:b/>
              </w:rPr>
              <w:t xml:space="preserve">2 </w:t>
            </w:r>
            <w:r>
              <w:rPr>
                <w:b/>
              </w:rPr>
              <w:t>噪声源强调查清单（室</w:t>
            </w:r>
            <w:r>
              <w:rPr>
                <w:rFonts w:hint="eastAsia"/>
                <w:b/>
              </w:rPr>
              <w:t>外</w:t>
            </w:r>
            <w:r>
              <w:rPr>
                <w:b/>
              </w:rPr>
              <w:t>声源）</w:t>
            </w:r>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96"/>
              <w:gridCol w:w="916"/>
              <w:gridCol w:w="1196"/>
              <w:gridCol w:w="396"/>
              <w:gridCol w:w="1208"/>
              <w:gridCol w:w="1562"/>
              <w:gridCol w:w="843"/>
              <w:gridCol w:w="681"/>
              <w:gridCol w:w="553"/>
              <w:gridCol w:w="79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trPr>
              <w:tc>
                <w:tcPr>
                  <w:tcW w:w="231"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序号</w:t>
                  </w:r>
                </w:p>
              </w:tc>
              <w:tc>
                <w:tcPr>
                  <w:tcW w:w="536"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建筑物名称</w:t>
                  </w:r>
                </w:p>
              </w:tc>
              <w:tc>
                <w:tcPr>
                  <w:tcW w:w="700"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声源名称</w:t>
                  </w:r>
                </w:p>
              </w:tc>
              <w:tc>
                <w:tcPr>
                  <w:tcW w:w="231"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型号</w:t>
                  </w:r>
                </w:p>
              </w:tc>
              <w:tc>
                <w:tcPr>
                  <w:tcW w:w="706"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声功率级dB（A）</w:t>
                  </w:r>
                </w:p>
              </w:tc>
              <w:tc>
                <w:tcPr>
                  <w:tcW w:w="913"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声源控制措施</w:t>
                  </w:r>
                </w:p>
              </w:tc>
              <w:tc>
                <w:tcPr>
                  <w:tcW w:w="1214" w:type="pct"/>
                  <w:gridSpan w:val="3"/>
                  <w:tcBorders>
                    <w:bottom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空间相对位置/m</w:t>
                  </w:r>
                </w:p>
              </w:tc>
              <w:tc>
                <w:tcPr>
                  <w:tcW w:w="466"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运行时段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1"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53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700"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231"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70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91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93" w:type="pct"/>
                  <w:vMerge w:val="restart"/>
                  <w:tcBorders>
                    <w:top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X</w:t>
                  </w:r>
                </w:p>
              </w:tc>
              <w:tc>
                <w:tcPr>
                  <w:tcW w:w="398" w:type="pct"/>
                  <w:vMerge w:val="restart"/>
                  <w:tcBorders>
                    <w:top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Y</w:t>
                  </w:r>
                </w:p>
              </w:tc>
              <w:tc>
                <w:tcPr>
                  <w:tcW w:w="322" w:type="pct"/>
                  <w:vMerge w:val="restart"/>
                  <w:tcBorders>
                    <w:top w:val="single" w:color="auto" w:sz="4" w:space="0"/>
                  </w:tcBorders>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Z</w:t>
                  </w:r>
                </w:p>
              </w:tc>
              <w:tc>
                <w:tcPr>
                  <w:tcW w:w="46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31"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53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700"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231"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70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91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9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398"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322"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6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trPr>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kern w:val="0"/>
                      <w:sz w:val="18"/>
                      <w:szCs w:val="18"/>
                    </w:rPr>
                  </w:pPr>
                  <w:r>
                    <w:rPr>
                      <w:rFonts w:hint="eastAsia" w:ascii="Times New Roman"/>
                      <w:color w:val="000000" w:themeColor="text1"/>
                      <w:kern w:val="0"/>
                      <w:sz w:val="18"/>
                      <w:szCs w:val="18"/>
                    </w:rPr>
                    <w:t>3</w:t>
                  </w:r>
                </w:p>
              </w:tc>
              <w:tc>
                <w:tcPr>
                  <w:tcW w:w="536"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SVG</w:t>
                  </w:r>
                </w:p>
              </w:tc>
              <w:tc>
                <w:tcPr>
                  <w:tcW w:w="700"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1</w:t>
                  </w:r>
                  <w:r>
                    <w:rPr>
                      <w:rFonts w:ascii="Times New Roman"/>
                      <w:color w:val="000000" w:themeColor="text1"/>
                      <w:sz w:val="18"/>
                      <w:szCs w:val="18"/>
                    </w:rPr>
                    <w:t>#</w:t>
                  </w:r>
                  <w:r>
                    <w:rPr>
                      <w:rFonts w:hint="eastAsia" w:ascii="Times New Roman"/>
                      <w:color w:val="000000" w:themeColor="text1"/>
                      <w:sz w:val="18"/>
                      <w:szCs w:val="18"/>
                    </w:rPr>
                    <w:t xml:space="preserve"> SVG</w:t>
                  </w:r>
                </w:p>
              </w:tc>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w:t>
                  </w:r>
                </w:p>
              </w:tc>
              <w:tc>
                <w:tcPr>
                  <w:tcW w:w="70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70</w:t>
                  </w:r>
                </w:p>
              </w:tc>
              <w:tc>
                <w:tcPr>
                  <w:tcW w:w="913"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选用低噪声设备、基础减振</w:t>
                  </w:r>
                </w:p>
              </w:tc>
              <w:tc>
                <w:tcPr>
                  <w:tcW w:w="49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56.97</w:t>
                  </w:r>
                </w:p>
              </w:tc>
              <w:tc>
                <w:tcPr>
                  <w:tcW w:w="39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-16.6</w:t>
                  </w:r>
                </w:p>
              </w:tc>
              <w:tc>
                <w:tcPr>
                  <w:tcW w:w="322"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0.8</w:t>
                  </w:r>
                </w:p>
              </w:tc>
              <w:tc>
                <w:tcPr>
                  <w:tcW w:w="46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8760h/a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kern w:val="0"/>
                      <w:sz w:val="18"/>
                      <w:szCs w:val="18"/>
                    </w:rPr>
                  </w:pPr>
                  <w:r>
                    <w:rPr>
                      <w:rFonts w:hint="eastAsia" w:ascii="Times New Roman"/>
                      <w:color w:val="000000" w:themeColor="text1"/>
                      <w:kern w:val="0"/>
                      <w:sz w:val="18"/>
                      <w:szCs w:val="18"/>
                    </w:rPr>
                    <w:t>4</w:t>
                  </w:r>
                </w:p>
              </w:tc>
              <w:tc>
                <w:tcPr>
                  <w:tcW w:w="53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700"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2#</w:t>
                  </w:r>
                  <w:r>
                    <w:rPr>
                      <w:rFonts w:hint="eastAsia" w:ascii="Times New Roman"/>
                      <w:color w:val="000000" w:themeColor="text1"/>
                      <w:sz w:val="18"/>
                      <w:szCs w:val="18"/>
                    </w:rPr>
                    <w:t xml:space="preserve"> SVG</w:t>
                  </w:r>
                </w:p>
              </w:tc>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w:t>
                  </w:r>
                </w:p>
              </w:tc>
              <w:tc>
                <w:tcPr>
                  <w:tcW w:w="70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70</w:t>
                  </w:r>
                </w:p>
              </w:tc>
              <w:tc>
                <w:tcPr>
                  <w:tcW w:w="91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9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68.5</w:t>
                  </w:r>
                </w:p>
              </w:tc>
              <w:tc>
                <w:tcPr>
                  <w:tcW w:w="39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-22.94</w:t>
                  </w:r>
                </w:p>
              </w:tc>
              <w:tc>
                <w:tcPr>
                  <w:tcW w:w="322"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0.8</w:t>
                  </w:r>
                </w:p>
              </w:tc>
              <w:tc>
                <w:tcPr>
                  <w:tcW w:w="46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8760h/a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kern w:val="0"/>
                      <w:sz w:val="18"/>
                      <w:szCs w:val="18"/>
                    </w:rPr>
                  </w:pPr>
                  <w:r>
                    <w:rPr>
                      <w:rFonts w:hint="eastAsia" w:ascii="Times New Roman"/>
                      <w:color w:val="000000" w:themeColor="text1"/>
                      <w:kern w:val="0"/>
                      <w:sz w:val="18"/>
                      <w:szCs w:val="18"/>
                    </w:rPr>
                    <w:t>5</w:t>
                  </w:r>
                </w:p>
              </w:tc>
              <w:tc>
                <w:tcPr>
                  <w:tcW w:w="53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700"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3#</w:t>
                  </w:r>
                  <w:r>
                    <w:rPr>
                      <w:rFonts w:hint="eastAsia" w:ascii="Times New Roman"/>
                      <w:color w:val="000000" w:themeColor="text1"/>
                      <w:sz w:val="18"/>
                      <w:szCs w:val="18"/>
                    </w:rPr>
                    <w:t xml:space="preserve"> SVG</w:t>
                  </w:r>
                </w:p>
              </w:tc>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w:t>
                  </w:r>
                </w:p>
              </w:tc>
              <w:tc>
                <w:tcPr>
                  <w:tcW w:w="70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70</w:t>
                  </w:r>
                </w:p>
              </w:tc>
              <w:tc>
                <w:tcPr>
                  <w:tcW w:w="91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9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82.35</w:t>
                  </w:r>
                </w:p>
              </w:tc>
              <w:tc>
                <w:tcPr>
                  <w:tcW w:w="39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12.82</w:t>
                  </w:r>
                </w:p>
              </w:tc>
              <w:tc>
                <w:tcPr>
                  <w:tcW w:w="322"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0.8</w:t>
                  </w:r>
                </w:p>
              </w:tc>
              <w:tc>
                <w:tcPr>
                  <w:tcW w:w="46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8760h/a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kern w:val="0"/>
                      <w:sz w:val="18"/>
                      <w:szCs w:val="18"/>
                    </w:rPr>
                  </w:pPr>
                  <w:r>
                    <w:rPr>
                      <w:rFonts w:hint="eastAsia" w:ascii="Times New Roman"/>
                      <w:color w:val="000000" w:themeColor="text1"/>
                      <w:kern w:val="0"/>
                      <w:sz w:val="18"/>
                      <w:szCs w:val="18"/>
                    </w:rPr>
                    <w:t>6</w:t>
                  </w:r>
                </w:p>
              </w:tc>
              <w:tc>
                <w:tcPr>
                  <w:tcW w:w="53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700"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4#</w:t>
                  </w:r>
                  <w:r>
                    <w:rPr>
                      <w:rFonts w:hint="eastAsia" w:ascii="Times New Roman"/>
                      <w:color w:val="000000" w:themeColor="text1"/>
                      <w:sz w:val="18"/>
                      <w:szCs w:val="18"/>
                    </w:rPr>
                    <w:t xml:space="preserve"> SVG</w:t>
                  </w:r>
                </w:p>
              </w:tc>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w:t>
                  </w:r>
                </w:p>
              </w:tc>
              <w:tc>
                <w:tcPr>
                  <w:tcW w:w="70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70</w:t>
                  </w:r>
                </w:p>
              </w:tc>
              <w:tc>
                <w:tcPr>
                  <w:tcW w:w="91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9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97.34</w:t>
                  </w:r>
                </w:p>
              </w:tc>
              <w:tc>
                <w:tcPr>
                  <w:tcW w:w="39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24.93</w:t>
                  </w:r>
                </w:p>
              </w:tc>
              <w:tc>
                <w:tcPr>
                  <w:tcW w:w="322"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0.8</w:t>
                  </w:r>
                </w:p>
              </w:tc>
              <w:tc>
                <w:tcPr>
                  <w:tcW w:w="46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8760h/a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kern w:val="0"/>
                      <w:sz w:val="18"/>
                      <w:szCs w:val="18"/>
                    </w:rPr>
                  </w:pPr>
                  <w:r>
                    <w:rPr>
                      <w:rFonts w:hint="eastAsia" w:ascii="Times New Roman"/>
                      <w:color w:val="000000" w:themeColor="text1"/>
                      <w:kern w:val="0"/>
                      <w:sz w:val="18"/>
                      <w:szCs w:val="18"/>
                    </w:rPr>
                    <w:t>7</w:t>
                  </w:r>
                </w:p>
              </w:tc>
              <w:tc>
                <w:tcPr>
                  <w:tcW w:w="536" w:type="pct"/>
                  <w:vMerge w:val="restar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变压器</w:t>
                  </w:r>
                </w:p>
              </w:tc>
              <w:tc>
                <w:tcPr>
                  <w:tcW w:w="700"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1</w:t>
                  </w:r>
                  <w:r>
                    <w:rPr>
                      <w:rFonts w:ascii="Times New Roman"/>
                      <w:color w:val="000000" w:themeColor="text1"/>
                      <w:sz w:val="18"/>
                      <w:szCs w:val="18"/>
                    </w:rPr>
                    <w:t>#变压器</w:t>
                  </w:r>
                </w:p>
              </w:tc>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w:t>
                  </w:r>
                </w:p>
              </w:tc>
              <w:tc>
                <w:tcPr>
                  <w:tcW w:w="70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7</w:t>
                  </w:r>
                  <w:r>
                    <w:rPr>
                      <w:rFonts w:hint="eastAsia" w:ascii="Times New Roman"/>
                      <w:color w:val="000000" w:themeColor="text1"/>
                      <w:sz w:val="18"/>
                      <w:szCs w:val="18"/>
                    </w:rPr>
                    <w:t>5</w:t>
                  </w:r>
                </w:p>
              </w:tc>
              <w:tc>
                <w:tcPr>
                  <w:tcW w:w="91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9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60.43</w:t>
                  </w:r>
                </w:p>
              </w:tc>
              <w:tc>
                <w:tcPr>
                  <w:tcW w:w="39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13.98</w:t>
                  </w:r>
                </w:p>
              </w:tc>
              <w:tc>
                <w:tcPr>
                  <w:tcW w:w="322"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1</w:t>
                  </w:r>
                </w:p>
              </w:tc>
              <w:tc>
                <w:tcPr>
                  <w:tcW w:w="46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8760h/a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kern w:val="0"/>
                      <w:sz w:val="18"/>
                      <w:szCs w:val="18"/>
                    </w:rPr>
                  </w:pPr>
                  <w:r>
                    <w:rPr>
                      <w:rFonts w:hint="eastAsia" w:ascii="Times New Roman"/>
                      <w:color w:val="000000" w:themeColor="text1"/>
                      <w:kern w:val="0"/>
                      <w:sz w:val="18"/>
                      <w:szCs w:val="18"/>
                    </w:rPr>
                    <w:t>8</w:t>
                  </w:r>
                </w:p>
              </w:tc>
              <w:tc>
                <w:tcPr>
                  <w:tcW w:w="536"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700"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2#变压器</w:t>
                  </w:r>
                </w:p>
              </w:tc>
              <w:tc>
                <w:tcPr>
                  <w:tcW w:w="231"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w:t>
                  </w:r>
                </w:p>
              </w:tc>
              <w:tc>
                <w:tcPr>
                  <w:tcW w:w="70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75</w:t>
                  </w:r>
                </w:p>
              </w:tc>
              <w:tc>
                <w:tcPr>
                  <w:tcW w:w="913" w:type="pct"/>
                  <w:vMerge w:val="continue"/>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p>
              </w:tc>
              <w:tc>
                <w:tcPr>
                  <w:tcW w:w="49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50.62</w:t>
                  </w:r>
                </w:p>
              </w:tc>
              <w:tc>
                <w:tcPr>
                  <w:tcW w:w="39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0.13</w:t>
                  </w:r>
                </w:p>
              </w:tc>
              <w:tc>
                <w:tcPr>
                  <w:tcW w:w="322"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1</w:t>
                  </w:r>
                </w:p>
              </w:tc>
              <w:tc>
                <w:tcPr>
                  <w:tcW w:w="466"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ascii="Times New Roman"/>
                      <w:color w:val="000000" w:themeColor="text1"/>
                      <w:sz w:val="18"/>
                      <w:szCs w:val="18"/>
                    </w:rPr>
                    <w:t>8760h/a</w:t>
                  </w:r>
                </w:p>
              </w:tc>
            </w:tr>
          </w:tbl>
          <w:p>
            <w:pPr>
              <w:keepNext w:val="0"/>
              <w:keepLines w:val="0"/>
              <w:widowControl/>
              <w:suppressLineNumbers w:val="0"/>
              <w:tabs>
                <w:tab w:val="left" w:pos="-1800"/>
              </w:tabs>
              <w:adjustRightInd w:val="0"/>
              <w:snapToGrid w:val="0"/>
              <w:spacing w:before="120" w:beforeLines="50" w:beforeAutospacing="0" w:after="0" w:afterAutospacing="0"/>
              <w:ind w:left="0" w:right="0" w:firstLine="422" w:firstLineChars="200"/>
              <w:jc w:val="center"/>
              <w:rPr>
                <w:b/>
              </w:rPr>
            </w:pPr>
          </w:p>
          <w:p>
            <w:pPr>
              <w:keepNext w:val="0"/>
              <w:keepLines w:val="0"/>
              <w:widowControl/>
              <w:suppressLineNumbers w:val="0"/>
              <w:adjustRightInd w:val="0"/>
              <w:snapToGrid w:val="0"/>
              <w:spacing w:before="0" w:beforeAutospacing="0" w:after="0" w:afterAutospacing="0" w:line="480" w:lineRule="exact"/>
              <w:ind w:left="0" w:right="0" w:firstLine="480" w:firstLineChars="200"/>
              <w:rPr>
                <w:kern w:val="0"/>
                <w:sz w:val="24"/>
              </w:rPr>
            </w:pPr>
            <w:bookmarkStart w:id="29" w:name="_Toc27861"/>
            <w:r>
              <w:rPr>
                <w:kern w:val="0"/>
                <w:sz w:val="24"/>
              </w:rPr>
              <w:t>1）预测范围、点位及预测因子</w:t>
            </w:r>
            <w:bookmarkEnd w:id="29"/>
          </w:p>
          <w:p>
            <w:pPr>
              <w:keepNext w:val="0"/>
              <w:keepLines w:val="0"/>
              <w:widowControl/>
              <w:suppressLineNumbers w:val="0"/>
              <w:adjustRightInd w:val="0"/>
              <w:snapToGrid w:val="0"/>
              <w:spacing w:before="0" w:beforeAutospacing="0" w:after="0" w:afterAutospacing="0" w:line="480" w:lineRule="exact"/>
              <w:ind w:left="0" w:right="0" w:firstLine="480" w:firstLineChars="200"/>
              <w:rPr>
                <w:kern w:val="0"/>
                <w:sz w:val="24"/>
              </w:rPr>
            </w:pPr>
            <w:r>
              <w:rPr>
                <w:kern w:val="0"/>
                <w:sz w:val="24"/>
              </w:rPr>
              <w:t>①噪声预测范围：升压站厂界。</w:t>
            </w:r>
          </w:p>
          <w:p>
            <w:pPr>
              <w:keepNext w:val="0"/>
              <w:keepLines w:val="0"/>
              <w:widowControl/>
              <w:suppressLineNumbers w:val="0"/>
              <w:adjustRightInd w:val="0"/>
              <w:snapToGrid w:val="0"/>
              <w:spacing w:before="0" w:beforeAutospacing="0" w:after="0" w:afterAutospacing="0" w:line="480" w:lineRule="exact"/>
              <w:ind w:left="0" w:right="0" w:firstLine="480" w:firstLineChars="200"/>
              <w:rPr>
                <w:kern w:val="0"/>
                <w:sz w:val="24"/>
              </w:rPr>
            </w:pPr>
            <w:r>
              <w:rPr>
                <w:kern w:val="0"/>
                <w:sz w:val="24"/>
              </w:rPr>
              <w:t>②厂界噪声点位：厂界噪声预测。</w:t>
            </w:r>
          </w:p>
          <w:p>
            <w:pPr>
              <w:keepNext w:val="0"/>
              <w:keepLines w:val="0"/>
              <w:widowControl/>
              <w:suppressLineNumbers w:val="0"/>
              <w:adjustRightInd w:val="0"/>
              <w:snapToGrid w:val="0"/>
              <w:spacing w:before="0" w:beforeAutospacing="0" w:after="0" w:afterAutospacing="0" w:line="480" w:lineRule="exact"/>
              <w:ind w:left="0" w:right="0" w:firstLine="480" w:firstLineChars="200"/>
              <w:rPr>
                <w:kern w:val="0"/>
                <w:sz w:val="24"/>
              </w:rPr>
            </w:pPr>
            <w:r>
              <w:rPr>
                <w:kern w:val="0"/>
                <w:sz w:val="24"/>
              </w:rPr>
              <w:t>③厂界噪声预测因子：等效连续A声级。</w:t>
            </w:r>
          </w:p>
          <w:p>
            <w:pPr>
              <w:keepNext w:val="0"/>
              <w:keepLines w:val="0"/>
              <w:widowControl/>
              <w:suppressLineNumbers w:val="0"/>
              <w:adjustRightInd w:val="0"/>
              <w:snapToGrid w:val="0"/>
              <w:spacing w:before="0" w:beforeAutospacing="0" w:after="0" w:afterAutospacing="0" w:line="480" w:lineRule="exact"/>
              <w:ind w:left="0" w:right="0" w:firstLine="480" w:firstLineChars="200"/>
              <w:rPr>
                <w:kern w:val="0"/>
                <w:sz w:val="24"/>
              </w:rPr>
            </w:pPr>
            <w:r>
              <w:rPr>
                <w:kern w:val="0"/>
                <w:sz w:val="24"/>
              </w:rPr>
              <w:t>2）预测模式</w:t>
            </w:r>
          </w:p>
          <w:p>
            <w:pPr>
              <w:keepNext w:val="0"/>
              <w:keepLines w:val="0"/>
              <w:widowControl/>
              <w:suppressLineNumbers w:val="0"/>
              <w:adjustRightInd w:val="0"/>
              <w:snapToGrid w:val="0"/>
              <w:spacing w:before="0" w:beforeAutospacing="0" w:after="0" w:afterAutospacing="0" w:line="480" w:lineRule="exact"/>
              <w:ind w:left="0" w:right="0" w:firstLine="482" w:firstLineChars="200"/>
              <w:rPr>
                <w:b/>
                <w:bCs/>
                <w:sz w:val="24"/>
              </w:rPr>
            </w:pPr>
            <w:r>
              <w:rPr>
                <w:b/>
                <w:bCs/>
                <w:sz w:val="24"/>
              </w:rPr>
              <w:t>室内点声源对厂界噪声预测点贡献值预测模式</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室内声源首先换算为等效室外声源，再按各类声源模式计算。</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首先计算出某个室内声源靠近围护结构处的倍频带声压级：</w:t>
            </w:r>
          </w:p>
          <w:p>
            <w:pPr>
              <w:keepNext w:val="0"/>
              <w:keepLines w:val="0"/>
              <w:widowControl/>
              <w:suppressLineNumbers w:val="0"/>
              <w:adjustRightInd w:val="0"/>
              <w:snapToGrid w:val="0"/>
              <w:spacing w:before="0" w:beforeAutospacing="0" w:after="0" w:afterAutospacing="0" w:line="480" w:lineRule="exact"/>
              <w:ind w:left="0" w:right="0" w:firstLine="480" w:firstLineChars="200"/>
              <w:jc w:val="center"/>
              <w:rPr>
                <w:spacing w:val="5"/>
                <w:sz w:val="24"/>
              </w:rPr>
            </w:pPr>
            <w:r>
              <w:rPr>
                <w:position w:val="-24"/>
                <w:sz w:val="24"/>
              </w:rPr>
              <w:object>
                <v:shape id="_x0000_i1025" o:spt="75" type="#_x0000_t75" style="height:31.35pt;width:131.35pt;" o:ole="t" filled="f" o:preferrelative="t" stroked="f" coordsize="21600,21600">
                  <v:path/>
                  <v:fill on="f" focussize="0,0"/>
                  <v:stroke on="f" joinstyle="miter"/>
                  <v:imagedata r:id="rId33" o:title=""/>
                  <o:lock v:ext="edit" aspectratio="t"/>
                  <w10:wrap type="none"/>
                  <w10:anchorlock/>
                </v:shape>
                <o:OLEObject Type="Embed" ProgID="Equation.3" ShapeID="_x0000_i1025" DrawAspect="Content" ObjectID="_1468075725" r:id="rId32">
                  <o:LockedField>false</o:LockedField>
                </o:OLEObject>
              </w:objec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式中</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L</w:t>
            </w:r>
            <w:r>
              <w:rPr>
                <w:sz w:val="24"/>
                <w:vertAlign w:val="subscript"/>
              </w:rPr>
              <w:t>p1</w:t>
            </w:r>
            <w:r>
              <w:rPr>
                <w:sz w:val="24"/>
              </w:rPr>
              <w:t>—靠近开口处（或窗户）室内某倍频带的声压级或A声级，dB；</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L</w:t>
            </w:r>
            <w:r>
              <w:rPr>
                <w:sz w:val="24"/>
                <w:vertAlign w:val="subscript"/>
              </w:rPr>
              <w:t>w</w:t>
            </w:r>
            <w:r>
              <w:rPr>
                <w:sz w:val="24"/>
              </w:rPr>
              <w:t>—点声源声功率级（A计权或倍频带），dB；</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i/>
                <w:position w:val="-4"/>
                <w:sz w:val="24"/>
              </w:rPr>
              <w:object>
                <v:shape id="_x0000_i1026" o:spt="75" type="#_x0000_t75" style="height:13.35pt;width:13.35pt;" o:ole="t" filled="f" o:preferrelative="t" stroked="f" coordsize="21600,21600">
                  <v:path/>
                  <v:fill on="f" focussize="0,0"/>
                  <v:stroke on="f" joinstyle="miter"/>
                  <v:imagedata r:id="rId35" o:title=""/>
                  <o:lock v:ext="edit" aspectratio="t"/>
                  <w10:wrap type="none"/>
                  <w10:anchorlock/>
                </v:shape>
                <o:OLEObject Type="Embed" ProgID="Equation.3" ShapeID="_x0000_i1026" DrawAspect="Content" ObjectID="_1468075726" r:id="rId34">
                  <o:LockedField>false</o:LockedField>
                </o:OLEObject>
              </w:object>
            </w:r>
            <w:r>
              <w:rPr>
                <w:sz w:val="24"/>
              </w:rPr>
              <w:t>：—立体角内的声传播指数（传统称作指向性因数，写法是Q；通常对无指向性声源，当声源放在房间中心时，Q=1,当放在一面墙的中心时，Q=2,当放在两面墙夹角处时，Q=4，当放在三面墙夹角处时，Q=8）；</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R—房间常数；</w:t>
            </w:r>
            <w:r>
              <w:rPr>
                <w:i/>
                <w:position w:val="-10"/>
                <w:sz w:val="24"/>
              </w:rPr>
              <w:object>
                <v:shape id="_x0000_i1027" o:spt="75" type="#_x0000_t75" style="height:15.35pt;width:69.35pt;" o:ole="t" filled="f" o:preferrelative="t" stroked="f" coordsize="21600,21600">
                  <v:path/>
                  <v:fill on="f" focussize="0,0"/>
                  <v:stroke on="f" joinstyle="miter"/>
                  <v:imagedata r:id="rId37" o:title=""/>
                  <o:lock v:ext="edit" aspectratio="t"/>
                  <w10:wrap type="none"/>
                  <w10:anchorlock/>
                </v:shape>
                <o:OLEObject Type="Embed" ProgID="Equation.3" ShapeID="_x0000_i1027" DrawAspect="Content" ObjectID="_1468075727" r:id="rId36">
                  <o:LockedField>false</o:LockedField>
                </o:OLEObject>
              </w:object>
            </w:r>
            <w:r>
              <w:rPr>
                <w:i/>
                <w:sz w:val="24"/>
              </w:rPr>
              <w:t>，</w:t>
            </w:r>
            <w:r>
              <w:rPr>
                <w:sz w:val="24"/>
              </w:rPr>
              <w:t>S为房间内表面面积，单位m</w:t>
            </w:r>
            <w:r>
              <w:rPr>
                <w:sz w:val="24"/>
                <w:vertAlign w:val="superscript"/>
              </w:rPr>
              <w:t>2</w:t>
            </w:r>
            <w:r>
              <w:rPr>
                <w:sz w:val="24"/>
              </w:rPr>
              <w:t>；α为平均吸声系数。</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r—声源到靠近围护结构某点处的距离，单位m。</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sz w:val="24"/>
              </w:rPr>
              <w:t>计算出所有室内声源在围护结构处产生的倍频带叠加声压级：：</w:t>
            </w:r>
          </w:p>
          <w:p>
            <w:pPr>
              <w:keepNext w:val="0"/>
              <w:keepLines w:val="0"/>
              <w:widowControl/>
              <w:suppressLineNumbers w:val="0"/>
              <w:adjustRightInd w:val="0"/>
              <w:snapToGrid w:val="0"/>
              <w:spacing w:before="0" w:beforeAutospacing="0" w:after="0" w:afterAutospacing="0" w:line="480" w:lineRule="exact"/>
              <w:ind w:left="0" w:right="0" w:firstLine="480" w:firstLineChars="200"/>
              <w:jc w:val="center"/>
              <w:rPr>
                <w:sz w:val="24"/>
              </w:rPr>
            </w:pPr>
            <w:r>
              <w:rPr>
                <w:position w:val="-30"/>
                <w:sz w:val="24"/>
              </w:rPr>
              <w:object>
                <v:shape id="_x0000_i1028" o:spt="75" type="#_x0000_t75" style="height:40pt;width:150.65pt;" o:ole="t" filled="f" o:preferrelative="t" stroked="f" coordsize="21600,21600">
                  <v:path/>
                  <v:fill on="f" focussize="0,0"/>
                  <v:stroke on="f" joinstyle="miter"/>
                  <v:imagedata r:id="rId39" o:title=""/>
                  <o:lock v:ext="edit" aspectratio="t"/>
                  <w10:wrap type="none"/>
                  <w10:anchorlock/>
                </v:shape>
                <o:OLEObject Type="Embed" ProgID="Equation.3" ShapeID="_x0000_i1028" DrawAspect="Content" ObjectID="_1468075728" r:id="rId38">
                  <o:LockedField>false</o:LockedField>
                </o:OLEObject>
              </w:objec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式中：</w:t>
            </w:r>
          </w:p>
          <w:p>
            <w:pPr>
              <w:keepNext w:val="0"/>
              <w:keepLines w:val="0"/>
              <w:widowControl/>
              <w:suppressLineNumbers w:val="0"/>
              <w:adjustRightInd w:val="0"/>
              <w:snapToGrid w:val="0"/>
              <w:spacing w:before="0" w:beforeAutospacing="0" w:after="0" w:afterAutospacing="0" w:line="480" w:lineRule="exact"/>
              <w:ind w:left="0" w:right="0" w:firstLine="480" w:firstLineChars="200"/>
              <w:rPr>
                <w:bCs/>
                <w:sz w:val="24"/>
              </w:rPr>
            </w:pPr>
            <w:r>
              <w:rPr>
                <w:bCs/>
                <w:position w:val="-12"/>
                <w:sz w:val="24"/>
              </w:rPr>
              <w:object>
                <v:shape id="_x0000_i1029" o:spt="75" type="#_x0000_t75" style="height:17.35pt;width:36.65pt;" o:ole="t" filled="f" o:preferrelative="t" stroked="f" coordsize="21600,21600">
                  <v:path/>
                  <v:fill on="f" focussize="0,0"/>
                  <v:stroke on="f" joinstyle="miter"/>
                  <v:imagedata r:id="rId41" o:title=""/>
                  <o:lock v:ext="edit" aspectratio="t"/>
                  <w10:wrap type="none"/>
                  <w10:anchorlock/>
                </v:shape>
                <o:OLEObject Type="Embed" ProgID="Equation.DSMT4" ShapeID="_x0000_i1029" DrawAspect="Content" ObjectID="_1468075729" r:id="rId40">
                  <o:LockedField>false</o:LockedField>
                </o:OLEObject>
              </w:object>
            </w:r>
            <w:r>
              <w:rPr>
                <w:bCs/>
                <w:sz w:val="24"/>
              </w:rPr>
              <w:t>—靠近围护结构处室内N个声源</w:t>
            </w:r>
            <w:r>
              <w:rPr>
                <w:bCs/>
                <w:sz w:val="24"/>
              </w:rPr>
              <w:object>
                <v:shape id="_x0000_i1030" o:spt="75" type="#_x0000_t75" style="height:13.35pt;width:5.35pt;" o:ole="t" filled="f" o:preferrelative="t" stroked="f" coordsize="21600,21600">
                  <v:path/>
                  <v:fill on="f" focussize="0,0"/>
                  <v:stroke on="f" joinstyle="miter"/>
                  <v:imagedata r:id="rId43" o:title=""/>
                  <o:lock v:ext="edit" aspectratio="t"/>
                  <w10:wrap type="none"/>
                  <w10:anchorlock/>
                </v:shape>
                <o:OLEObject Type="Embed" ProgID="Equation.DSMT4" ShapeID="_x0000_i1030" DrawAspect="Content" ObjectID="_1468075730" r:id="rId42">
                  <o:LockedField>false</o:LockedField>
                </o:OLEObject>
              </w:object>
            </w:r>
            <w:r>
              <w:rPr>
                <w:bCs/>
                <w:sz w:val="24"/>
              </w:rPr>
              <w:t>倍频带的叠加声压级；</w:t>
            </w:r>
          </w:p>
          <w:p>
            <w:pPr>
              <w:keepNext w:val="0"/>
              <w:keepLines w:val="0"/>
              <w:widowControl/>
              <w:suppressLineNumbers w:val="0"/>
              <w:adjustRightInd w:val="0"/>
              <w:snapToGrid w:val="0"/>
              <w:spacing w:before="0" w:beforeAutospacing="0" w:after="0" w:afterAutospacing="0" w:line="480" w:lineRule="exact"/>
              <w:ind w:left="0" w:right="0" w:firstLine="480" w:firstLineChars="200"/>
              <w:rPr>
                <w:bCs/>
                <w:sz w:val="24"/>
              </w:rPr>
            </w:pPr>
            <w:r>
              <w:rPr>
                <w:bCs/>
                <w:position w:val="-14"/>
                <w:sz w:val="24"/>
              </w:rPr>
              <w:object>
                <v:shape id="_x0000_i1031" o:spt="75" type="#_x0000_t75" style="height:26.65pt;width:30.65pt;" o:ole="t" filled="f" o:preferrelative="t" stroked="f" coordsize="21600,21600">
                  <v:path/>
                  <v:fill on="f" focussize="0,0"/>
                  <v:stroke on="f" joinstyle="miter"/>
                  <v:imagedata r:id="rId45" o:title=""/>
                  <o:lock v:ext="edit" aspectratio="t"/>
                  <w10:wrap type="none"/>
                  <w10:anchorlock/>
                </v:shape>
                <o:OLEObject Type="Embed" ProgID="Equation.DSMT4" ShapeID="_x0000_i1031" DrawAspect="Content" ObjectID="_1468075731" r:id="rId44">
                  <o:LockedField>false</o:LockedField>
                </o:OLEObject>
              </w:object>
            </w:r>
            <w:r>
              <w:rPr>
                <w:bCs/>
                <w:sz w:val="24"/>
              </w:rPr>
              <w:t>—室内</w:t>
            </w:r>
            <w:r>
              <w:rPr>
                <w:bCs/>
                <w:sz w:val="24"/>
              </w:rPr>
              <w:object>
                <v:shape id="_x0000_i1032" o:spt="75" type="#_x0000_t75" style="height:15.35pt;width:10.65pt;" o:ole="t" filled="f" o:preferrelative="t" stroked="f" coordsize="21600,21600">
                  <v:path/>
                  <v:fill on="f" focussize="0,0"/>
                  <v:stroke on="f" joinstyle="miter"/>
                  <v:imagedata r:id="rId47" o:title=""/>
                  <o:lock v:ext="edit" aspectratio="t"/>
                  <w10:wrap type="none"/>
                  <w10:anchorlock/>
                </v:shape>
                <o:OLEObject Type="Embed" ProgID="Equation.DSMT4" ShapeID="_x0000_i1032" DrawAspect="Content" ObjectID="_1468075732" r:id="rId46">
                  <o:LockedField>false</o:LockedField>
                </o:OLEObject>
              </w:object>
            </w:r>
            <w:r>
              <w:rPr>
                <w:bCs/>
                <w:sz w:val="24"/>
              </w:rPr>
              <w:t>声源</w:t>
            </w:r>
            <w:r>
              <w:rPr>
                <w:bCs/>
                <w:sz w:val="24"/>
              </w:rPr>
              <w:object>
                <v:shape id="_x0000_i1033" o:spt="75" type="#_x0000_t75" style="height:13.35pt;width:6.65pt;" o:ole="t" filled="f" o:preferrelative="t" stroked="f" coordsize="21600,21600">
                  <v:path/>
                  <v:fill on="f" focussize="0,0"/>
                  <v:stroke on="f" joinstyle="miter"/>
                  <v:imagedata r:id="rId49" o:title=""/>
                  <o:lock v:ext="edit" aspectratio="t"/>
                  <w10:wrap type="none"/>
                  <w10:anchorlock/>
                </v:shape>
                <o:OLEObject Type="Embed" ProgID="Equation.DSMT4" ShapeID="_x0000_i1033" DrawAspect="Content" ObjectID="_1468075733" r:id="rId48">
                  <o:LockedField>false</o:LockedField>
                </o:OLEObject>
              </w:object>
            </w:r>
            <w:r>
              <w:rPr>
                <w:bCs/>
                <w:sz w:val="24"/>
              </w:rPr>
              <w:t>倍频带的声压级；</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N—室内声源总数。</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fldChar w:fldCharType="begin"/>
            </w:r>
            <w:r>
              <w:rPr>
                <w:sz w:val="24"/>
              </w:rPr>
              <w:instrText xml:space="preserve"> = 3 \* GB3 </w:instrText>
            </w:r>
            <w:r>
              <w:rPr>
                <w:sz w:val="24"/>
              </w:rPr>
              <w:fldChar w:fldCharType="separate"/>
            </w:r>
            <w:r>
              <w:rPr>
                <w:sz w:val="24"/>
              </w:rPr>
              <w:t>③</w:t>
            </w:r>
            <w:r>
              <w:rPr>
                <w:sz w:val="24"/>
              </w:rPr>
              <w:fldChar w:fldCharType="end"/>
            </w:r>
            <w:r>
              <w:rPr>
                <w:sz w:val="24"/>
              </w:rPr>
              <w:t>计算出靠近室外围护结构处的声压级：</w:t>
            </w:r>
          </w:p>
          <w:p>
            <w:pPr>
              <w:keepNext w:val="0"/>
              <w:keepLines w:val="0"/>
              <w:widowControl/>
              <w:suppressLineNumbers w:val="0"/>
              <w:adjustRightInd w:val="0"/>
              <w:snapToGrid w:val="0"/>
              <w:spacing w:before="0" w:beforeAutospacing="0" w:after="0" w:afterAutospacing="0" w:line="480" w:lineRule="exact"/>
              <w:ind w:left="0" w:right="0" w:firstLine="480" w:firstLineChars="200"/>
              <w:jc w:val="center"/>
              <w:rPr>
                <w:sz w:val="24"/>
              </w:rPr>
            </w:pPr>
            <w:r>
              <w:rPr>
                <w:position w:val="-12"/>
                <w:sz w:val="24"/>
              </w:rPr>
              <w:object>
                <v:shape id="_x0000_i1034" o:spt="75" type="#_x0000_t75" style="height:17.35pt;width:135.35pt;" o:ole="t" filled="f" o:preferrelative="t" stroked="f" coordsize="21600,21600">
                  <v:path/>
                  <v:fill on="f" focussize="0,0"/>
                  <v:stroke on="f" joinstyle="miter"/>
                  <v:imagedata r:id="rId51" o:title=""/>
                  <o:lock v:ext="edit" aspectratio="t"/>
                  <w10:wrap type="none"/>
                  <w10:anchorlock/>
                </v:shape>
                <o:OLEObject Type="Embed" ProgID="Equation.3" ShapeID="_x0000_i1034" DrawAspect="Content" ObjectID="_1468075734" r:id="rId50">
                  <o:LockedField>false</o:LockedField>
                </o:OLEObject>
              </w:objec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式中：</w:t>
            </w:r>
          </w:p>
          <w:p>
            <w:pPr>
              <w:keepNext w:val="0"/>
              <w:keepLines w:val="0"/>
              <w:widowControl/>
              <w:suppressLineNumbers w:val="0"/>
              <w:adjustRightInd w:val="0"/>
              <w:snapToGrid w:val="0"/>
              <w:spacing w:before="0" w:beforeAutospacing="0" w:after="0" w:afterAutospacing="0" w:line="480" w:lineRule="exact"/>
              <w:ind w:left="0" w:right="0" w:firstLine="480" w:firstLineChars="200"/>
              <w:rPr>
                <w:bCs/>
                <w:sz w:val="24"/>
              </w:rPr>
            </w:pPr>
            <w:r>
              <w:rPr>
                <w:position w:val="-12"/>
                <w:sz w:val="24"/>
              </w:rPr>
              <w:object>
                <v:shape id="_x0000_i1035" o:spt="75" type="#_x0000_t75" style="height:17.35pt;width:39.35pt;" o:ole="t" filled="f" o:preferrelative="t" stroked="f" coordsize="21600,21600">
                  <v:path/>
                  <v:fill on="f" focussize="0,0"/>
                  <v:stroke on="f" joinstyle="miter"/>
                  <v:imagedata r:id="rId53" o:title=""/>
                  <o:lock v:ext="edit" aspectratio="t"/>
                  <w10:wrap type="none"/>
                  <w10:anchorlock/>
                </v:shape>
                <o:OLEObject Type="Embed" ProgID="Equation.DSMT4" ShapeID="_x0000_i1035" DrawAspect="Content" ObjectID="_1468075735" r:id="rId52">
                  <o:LockedField>false</o:LockedField>
                </o:OLEObject>
              </w:object>
            </w:r>
            <w:r>
              <w:rPr>
                <w:sz w:val="24"/>
              </w:rPr>
              <w:t>—靠近围护结构处室外N个声源</w:t>
            </w:r>
            <w:r>
              <w:rPr>
                <w:bCs/>
                <w:sz w:val="24"/>
              </w:rPr>
              <w:object>
                <v:shape id="_x0000_i1036" o:spt="75" type="#_x0000_t75" style="height:13.35pt;width:6.65pt;" o:ole="t" filled="f" o:preferrelative="t" stroked="f" coordsize="21600,21600">
                  <v:path/>
                  <v:fill on="f" focussize="0,0"/>
                  <v:stroke on="f" joinstyle="miter"/>
                  <v:imagedata r:id="rId55" o:title=""/>
                  <o:lock v:ext="edit" aspectratio="t"/>
                  <w10:wrap type="none"/>
                  <w10:anchorlock/>
                </v:shape>
                <o:OLEObject Type="Embed" ProgID="Equation.DSMT4" ShapeID="_x0000_i1036" DrawAspect="Content" ObjectID="_1468075736" r:id="rId54">
                  <o:LockedField>false</o:LockedField>
                </o:OLEObject>
              </w:object>
            </w:r>
            <w:r>
              <w:rPr>
                <w:sz w:val="24"/>
              </w:rPr>
              <w:t>倍频带的叠加声压级，单位dB；</w:t>
            </w:r>
          </w:p>
          <w:p>
            <w:pPr>
              <w:keepNext w:val="0"/>
              <w:keepLines w:val="0"/>
              <w:widowControl/>
              <w:suppressLineNumbers w:val="0"/>
              <w:adjustRightInd w:val="0"/>
              <w:snapToGrid w:val="0"/>
              <w:spacing w:before="0" w:beforeAutospacing="0" w:after="0" w:afterAutospacing="0" w:line="480" w:lineRule="exact"/>
              <w:ind w:left="0" w:right="0" w:firstLine="480" w:firstLineChars="200"/>
              <w:rPr>
                <w:bCs/>
                <w:sz w:val="24"/>
              </w:rPr>
            </w:pPr>
            <w:r>
              <w:rPr>
                <w:bCs/>
                <w:sz w:val="24"/>
              </w:rPr>
              <w:object>
                <v:shape id="_x0000_i1037" o:spt="75" type="#_x0000_t75" style="height:17.35pt;width:17.35pt;" o:ole="t" filled="f" o:preferrelative="t" stroked="f" coordsize="21600,21600">
                  <v:path/>
                  <v:fill on="f" focussize="0,0"/>
                  <v:stroke on="f" joinstyle="miter"/>
                  <v:imagedata r:id="rId57" o:title=""/>
                  <o:lock v:ext="edit" aspectratio="t"/>
                  <w10:wrap type="none"/>
                  <w10:anchorlock/>
                </v:shape>
                <o:OLEObject Type="Embed" ProgID="Equation.DSMT4" ShapeID="_x0000_i1037" DrawAspect="Content" ObjectID="_1468075737" r:id="rId56">
                  <o:LockedField>false</o:LockedField>
                </o:OLEObject>
              </w:object>
            </w:r>
            <w:r>
              <w:rPr>
                <w:bCs/>
                <w:sz w:val="24"/>
              </w:rPr>
              <w:t>—围护结构</w:t>
            </w:r>
            <w:r>
              <w:rPr>
                <w:bCs/>
                <w:position w:val="-6"/>
                <w:sz w:val="24"/>
              </w:rPr>
              <w:object>
                <v:shape id="_x0000_i1038" o:spt="75" type="#_x0000_t75" style="height:13.35pt;width:6.65pt;" o:ole="t" filled="f" o:preferrelative="t" stroked="f" coordsize="21600,21600">
                  <v:path/>
                  <v:fill on="f" focussize="0,0"/>
                  <v:stroke on="f" joinstyle="miter"/>
                  <v:imagedata r:id="rId59" o:title=""/>
                  <o:lock v:ext="edit" aspectratio="t"/>
                  <w10:wrap type="none"/>
                  <w10:anchorlock/>
                </v:shape>
                <o:OLEObject Type="Embed" ProgID="Equation.DSMT4" ShapeID="_x0000_i1038" DrawAspect="Content" ObjectID="_1468075738" r:id="rId58">
                  <o:LockedField>false</o:LockedField>
                </o:OLEObject>
              </w:object>
            </w:r>
            <w:r>
              <w:rPr>
                <w:bCs/>
                <w:sz w:val="24"/>
              </w:rPr>
              <w:t>倍频带的隔声量，单位dB。</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④将室外声级和透声面积换算成等效的室外声源，计算出等效声源第N个倍频带的声功率级；</w:t>
            </w:r>
          </w:p>
          <w:p>
            <w:pPr>
              <w:keepNext w:val="0"/>
              <w:keepLines w:val="0"/>
              <w:widowControl/>
              <w:suppressLineNumbers w:val="0"/>
              <w:adjustRightInd w:val="0"/>
              <w:snapToGrid w:val="0"/>
              <w:spacing w:before="0" w:beforeAutospacing="0" w:after="0" w:afterAutospacing="0" w:line="480" w:lineRule="exact"/>
              <w:ind w:left="0" w:right="0" w:firstLine="480" w:firstLineChars="200"/>
              <w:jc w:val="center"/>
              <w:rPr>
                <w:spacing w:val="5"/>
                <w:sz w:val="24"/>
              </w:rPr>
            </w:pPr>
            <w:r>
              <w:rPr>
                <w:position w:val="-12"/>
                <w:sz w:val="24"/>
              </w:rPr>
              <w:object>
                <v:shape id="_x0000_i1039" o:spt="75" type="#_x0000_t75" style="height:17.35pt;width:101.35pt;" o:ole="t" filled="f" o:preferrelative="t" stroked="f" coordsize="21600,21600">
                  <v:path/>
                  <v:fill on="f" focussize="0,0"/>
                  <v:stroke on="f" joinstyle="miter"/>
                  <v:imagedata r:id="rId61" o:title=""/>
                  <o:lock v:ext="edit" aspectratio="t"/>
                  <w10:wrap type="none"/>
                  <w10:anchorlock/>
                </v:shape>
                <o:OLEObject Type="Embed" ProgID="Equation.3" ShapeID="_x0000_i1039" DrawAspect="Content" ObjectID="_1468075739" r:id="rId60">
                  <o:LockedField>false</o:LockedField>
                </o:OLEObject>
              </w:objec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式中：S为透声面积，m</w:t>
            </w:r>
            <w:r>
              <w:rPr>
                <w:sz w:val="24"/>
                <w:vertAlign w:val="superscript"/>
              </w:rPr>
              <w:t>2</w:t>
            </w:r>
            <w:r>
              <w:rPr>
                <w:sz w:val="24"/>
              </w:rPr>
              <w:t>。</w:t>
            </w:r>
          </w:p>
          <w:p>
            <w:pPr>
              <w:keepNext w:val="0"/>
              <w:keepLines w:val="0"/>
              <w:widowControl/>
              <w:suppressLineNumbers w:val="0"/>
              <w:adjustRightInd w:val="0"/>
              <w:snapToGrid w:val="0"/>
              <w:spacing w:before="0" w:beforeAutospacing="0" w:after="0" w:afterAutospacing="0" w:line="480" w:lineRule="exact"/>
              <w:ind w:left="0" w:right="0" w:firstLine="480" w:firstLineChars="200"/>
              <w:rPr>
                <w:kern w:val="0"/>
                <w:sz w:val="24"/>
              </w:rPr>
            </w:pPr>
            <w:r>
              <w:rPr>
                <w:kern w:val="0"/>
                <w:sz w:val="24"/>
              </w:rPr>
              <w:t>然后按室外声源预测方法计算预测点处的A声级。</w:t>
            </w:r>
          </w:p>
          <w:p>
            <w:pPr>
              <w:keepNext w:val="0"/>
              <w:keepLines w:val="0"/>
              <w:widowControl/>
              <w:suppressLineNumbers w:val="0"/>
              <w:adjustRightInd w:val="0"/>
              <w:snapToGrid w:val="0"/>
              <w:spacing w:before="0" w:beforeAutospacing="0" w:after="0" w:afterAutospacing="0" w:line="480" w:lineRule="exact"/>
              <w:ind w:left="0" w:right="0" w:firstLine="482" w:firstLineChars="200"/>
              <w:rPr>
                <w:b/>
                <w:bCs/>
                <w:kern w:val="0"/>
                <w:sz w:val="24"/>
              </w:rPr>
            </w:pPr>
            <w:r>
              <w:rPr>
                <w:b/>
                <w:bCs/>
                <w:kern w:val="0"/>
                <w:sz w:val="24"/>
              </w:rPr>
              <w:t>噪声贡献值计算</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设第i个室外声源在预测点产生的A声级为L</w:t>
            </w:r>
            <w:r>
              <w:rPr>
                <w:sz w:val="24"/>
                <w:vertAlign w:val="subscript"/>
              </w:rPr>
              <w:t>Ai</w:t>
            </w:r>
            <w:r>
              <w:rPr>
                <w:sz w:val="24"/>
              </w:rPr>
              <w:t>，在</w:t>
            </w:r>
            <w:r>
              <w:rPr>
                <w:iCs/>
                <w:sz w:val="24"/>
              </w:rPr>
              <w:t>T</w:t>
            </w:r>
            <w:r>
              <w:rPr>
                <w:sz w:val="24"/>
              </w:rPr>
              <w:t>时间内该声源工作时间为t</w:t>
            </w:r>
            <w:r>
              <w:rPr>
                <w:sz w:val="24"/>
                <w:vertAlign w:val="subscript"/>
              </w:rPr>
              <w:t>i</w:t>
            </w:r>
            <w:r>
              <w:rPr>
                <w:sz w:val="24"/>
              </w:rPr>
              <w:t>；第</w:t>
            </w:r>
            <w:r>
              <w:rPr>
                <w:iCs/>
                <w:sz w:val="24"/>
              </w:rPr>
              <w:t>j</w:t>
            </w:r>
            <w:r>
              <w:rPr>
                <w:sz w:val="24"/>
              </w:rPr>
              <w:t>个等效室外声源在预测点产生的A声级为</w:t>
            </w:r>
            <w:r>
              <w:rPr>
                <w:iCs/>
                <w:sz w:val="24"/>
              </w:rPr>
              <w:t>L</w:t>
            </w:r>
            <w:r>
              <w:rPr>
                <w:iCs/>
                <w:sz w:val="24"/>
                <w:vertAlign w:val="subscript"/>
              </w:rPr>
              <w:t>Aj</w:t>
            </w:r>
            <w:r>
              <w:rPr>
                <w:sz w:val="24"/>
              </w:rPr>
              <w:t>，在</w:t>
            </w:r>
            <w:r>
              <w:rPr>
                <w:iCs/>
                <w:sz w:val="24"/>
              </w:rPr>
              <w:t>T</w:t>
            </w:r>
            <w:r>
              <w:rPr>
                <w:sz w:val="24"/>
              </w:rPr>
              <w:t>时间内该声源工作时间为</w:t>
            </w:r>
            <w:r>
              <w:rPr>
                <w:iCs/>
                <w:sz w:val="24"/>
              </w:rPr>
              <w:t>t</w:t>
            </w:r>
            <w:r>
              <w:rPr>
                <w:iCs/>
                <w:sz w:val="24"/>
                <w:vertAlign w:val="subscript"/>
              </w:rPr>
              <w:t>j</w:t>
            </w:r>
            <w:r>
              <w:rPr>
                <w:sz w:val="24"/>
              </w:rPr>
              <w:t>，则拟建工程声源对预测点产生的贡献值（</w:t>
            </w:r>
            <w:r>
              <w:rPr>
                <w:iCs/>
                <w:sz w:val="24"/>
              </w:rPr>
              <w:t>L</w:t>
            </w:r>
            <w:r>
              <w:rPr>
                <w:iCs/>
                <w:sz w:val="24"/>
                <w:vertAlign w:val="subscript"/>
              </w:rPr>
              <w:t>eqg</w:t>
            </w:r>
            <w:r>
              <w:rPr>
                <w:sz w:val="24"/>
              </w:rPr>
              <w:t>）为：</w:t>
            </w:r>
          </w:p>
          <w:p>
            <w:pPr>
              <w:keepNext w:val="0"/>
              <w:keepLines w:val="0"/>
              <w:widowControl/>
              <w:suppressLineNumbers w:val="0"/>
              <w:spacing w:before="0" w:beforeAutospacing="0" w:after="0" w:afterAutospacing="0" w:line="480" w:lineRule="exact"/>
              <w:ind w:left="0" w:right="-79" w:firstLine="480" w:firstLineChars="200"/>
              <w:jc w:val="center"/>
              <w:rPr>
                <w:sz w:val="24"/>
              </w:rPr>
            </w:pPr>
            <w:r>
              <w:rPr>
                <w:position w:val="-30"/>
                <w:sz w:val="24"/>
              </w:rPr>
              <w:drawing>
                <wp:inline distT="0" distB="0" distL="114300" distR="114300">
                  <wp:extent cx="2581910" cy="447675"/>
                  <wp:effectExtent l="0" t="0" r="8890" b="8890"/>
                  <wp:docPr id="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pic:cNvPicPr>
                            <a:picLocks noChangeAspect="1"/>
                          </pic:cNvPicPr>
                        </pic:nvPicPr>
                        <pic:blipFill>
                          <a:blip r:embed="rId62" cstate="print"/>
                          <a:stretch>
                            <a:fillRect/>
                          </a:stretch>
                        </pic:blipFill>
                        <pic:spPr>
                          <a:xfrm>
                            <a:off x="0" y="0"/>
                            <a:ext cx="2581910" cy="447675"/>
                          </a:xfrm>
                          <a:prstGeom prst="rect">
                            <a:avLst/>
                          </a:prstGeom>
                          <a:noFill/>
                          <a:ln>
                            <a:noFill/>
                          </a:ln>
                        </pic:spPr>
                      </pic:pic>
                    </a:graphicData>
                  </a:graphic>
                </wp:inline>
              </w:drawing>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式中：</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L</w:t>
            </w:r>
            <w:r>
              <w:rPr>
                <w:sz w:val="24"/>
                <w:vertAlign w:val="subscript"/>
              </w:rPr>
              <w:t>eqg</w:t>
            </w:r>
            <w:r>
              <w:rPr>
                <w:sz w:val="24"/>
              </w:rPr>
              <w:t>—建设项目声源</w:t>
            </w:r>
            <w:r>
              <w:rPr>
                <w:rFonts w:hint="eastAsia"/>
                <w:sz w:val="24"/>
              </w:rPr>
              <w:t>在</w:t>
            </w:r>
            <w:r>
              <w:rPr>
                <w:sz w:val="24"/>
              </w:rPr>
              <w:t>预测点产生的噪声贡献值，dB；</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T—用于计算等效声级的时间，s；</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N—室外声源个数；</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t</w:t>
            </w:r>
            <w:r>
              <w:rPr>
                <w:sz w:val="24"/>
                <w:vertAlign w:val="subscript"/>
              </w:rPr>
              <w:t>i</w:t>
            </w:r>
            <w:r>
              <w:rPr>
                <w:sz w:val="24"/>
              </w:rPr>
              <w:t>—在T时间内i声源工作时间，s；</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M—等效室外声源个数。</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r>
              <w:rPr>
                <w:sz w:val="24"/>
              </w:rPr>
              <w:t>t</w:t>
            </w:r>
            <w:r>
              <w:rPr>
                <w:sz w:val="24"/>
                <w:vertAlign w:val="subscript"/>
              </w:rPr>
              <w:t>j</w:t>
            </w:r>
            <w:r>
              <w:rPr>
                <w:sz w:val="24"/>
              </w:rPr>
              <w:t>—在T时间内j声源工作时间，s。</w:t>
            </w:r>
          </w:p>
          <w:p>
            <w:pPr>
              <w:keepNext w:val="0"/>
              <w:keepLines w:val="0"/>
              <w:widowControl/>
              <w:suppressLineNumbers w:val="0"/>
              <w:adjustRightInd w:val="0"/>
              <w:snapToGrid w:val="0"/>
              <w:spacing w:before="0" w:beforeAutospacing="0" w:after="0" w:afterAutospacing="0" w:line="480" w:lineRule="exact"/>
              <w:ind w:left="0" w:right="0" w:firstLine="482" w:firstLineChars="200"/>
              <w:rPr>
                <w:b/>
                <w:bCs/>
                <w:kern w:val="0"/>
                <w:sz w:val="24"/>
              </w:rPr>
            </w:pPr>
            <w:r>
              <w:rPr>
                <w:b/>
                <w:bCs/>
                <w:kern w:val="0"/>
                <w:sz w:val="24"/>
              </w:rPr>
              <w:t>噪声预测值计算</w:t>
            </w:r>
          </w:p>
          <w:p>
            <w:pPr>
              <w:keepNext w:val="0"/>
              <w:keepLines w:val="0"/>
              <w:widowControl/>
              <w:suppressLineNumbers w:val="0"/>
              <w:adjustRightInd w:val="0"/>
              <w:snapToGrid w:val="0"/>
              <w:spacing w:before="0" w:beforeAutospacing="0" w:after="0" w:afterAutospacing="0" w:line="480" w:lineRule="exact"/>
              <w:ind w:left="0" w:right="0" w:firstLine="480" w:firstLineChars="200"/>
              <w:jc w:val="center"/>
              <w:rPr>
                <w:sz w:val="24"/>
              </w:rPr>
            </w:pPr>
            <w:r>
              <w:rPr>
                <w:sz w:val="24"/>
              </w:rPr>
              <w:object>
                <v:shape id="_x0000_i1040" o:spt="75" type="#_x0000_t75" style="height:20.65pt;width:141.35pt;" o:ole="t" filled="f" o:preferrelative="t" stroked="f" coordsize="21600,21600">
                  <v:path/>
                  <v:fill on="f" focussize="0,0"/>
                  <v:stroke on="f" joinstyle="miter"/>
                  <v:imagedata r:id="rId64" o:title=""/>
                  <o:lock v:ext="edit" aspectratio="t"/>
                  <w10:wrap type="none"/>
                  <w10:anchorlock/>
                </v:shape>
                <o:OLEObject Type="Embed" ProgID="Equation.3" ShapeID="_x0000_i1040" DrawAspect="Content" ObjectID="_1468075740" r:id="rId63">
                  <o:LockedField>false</o:LockedField>
                </o:OLEObject>
              </w:object>
            </w:r>
          </w:p>
          <w:p>
            <w:pPr>
              <w:keepNext w:val="0"/>
              <w:keepLines w:val="0"/>
              <w:widowControl/>
              <w:suppressLineNumbers w:val="0"/>
              <w:adjustRightInd w:val="0"/>
              <w:snapToGrid w:val="0"/>
              <w:spacing w:before="0" w:beforeAutospacing="0" w:after="0" w:afterAutospacing="0" w:line="480" w:lineRule="exact"/>
              <w:ind w:left="0" w:right="0" w:firstLine="480" w:firstLineChars="200"/>
              <w:rPr>
                <w:kern w:val="0"/>
                <w:sz w:val="24"/>
                <w:lang w:val="pt-BR"/>
              </w:rPr>
            </w:pPr>
            <w:r>
              <w:rPr>
                <w:sz w:val="24"/>
              </w:rPr>
              <w:t>式中：</w:t>
            </w:r>
            <w:r>
              <w:rPr>
                <w:sz w:val="24"/>
              </w:rPr>
              <w:object>
                <v:shape id="_x0000_i1041" o:spt="75" type="#_x0000_t75" style="height:18.65pt;width:20.65pt;" o:ole="t" filled="f" o:preferrelative="t" stroked="f" coordsize="21600,21600">
                  <v:path/>
                  <v:fill on="f" focussize="0,0"/>
                  <v:stroke on="f" joinstyle="miter"/>
                  <v:imagedata r:id="rId66" o:title=""/>
                  <o:lock v:ext="edit" aspectratio="t"/>
                  <w10:wrap type="none"/>
                  <w10:anchorlock/>
                </v:shape>
                <o:OLEObject Type="Embed" ProgID="Equation.3" ShapeID="_x0000_i1041" DrawAspect="Content" ObjectID="_1468075741" r:id="rId65">
                  <o:LockedField>false</o:LockedField>
                </o:OLEObject>
              </w:object>
            </w:r>
            <w:r>
              <w:rPr>
                <w:sz w:val="24"/>
                <w:lang w:val="pt-BR"/>
              </w:rPr>
              <w:t>——建设项目声源在预测点的等效声级贡献值，dB(A)；</w:t>
            </w:r>
          </w:p>
          <w:p>
            <w:pPr>
              <w:keepNext w:val="0"/>
              <w:keepLines w:val="0"/>
              <w:widowControl/>
              <w:suppressLineNumbers w:val="0"/>
              <w:adjustRightInd w:val="0"/>
              <w:snapToGrid w:val="0"/>
              <w:spacing w:before="0" w:beforeAutospacing="0" w:after="0" w:afterAutospacing="0" w:line="480" w:lineRule="exact"/>
              <w:ind w:left="0" w:right="0" w:firstLine="480" w:firstLineChars="200"/>
              <w:rPr>
                <w:kern w:val="0"/>
                <w:sz w:val="24"/>
              </w:rPr>
            </w:pPr>
            <w:r>
              <w:rPr>
                <w:sz w:val="24"/>
              </w:rPr>
              <w:object>
                <v:shape id="_x0000_i1042" o:spt="75" type="#_x0000_t75" style="height:18.65pt;width:20.65pt;" o:ole="t" filled="f" o:preferrelative="t" stroked="f" coordsize="21600,21600">
                  <v:path/>
                  <v:fill on="f" focussize="0,0"/>
                  <v:stroke on="f" joinstyle="miter"/>
                  <v:imagedata r:id="rId68" o:title=""/>
                  <o:lock v:ext="edit" aspectratio="t"/>
                  <w10:wrap type="none"/>
                  <w10:anchorlock/>
                </v:shape>
                <o:OLEObject Type="Embed" ProgID="Equation.3" ShapeID="_x0000_i1042" DrawAspect="Content" ObjectID="_1468075742" r:id="rId67">
                  <o:LockedField>false</o:LockedField>
                </o:OLEObject>
              </w:object>
            </w:r>
            <w:r>
              <w:rPr>
                <w:sz w:val="24"/>
                <w:lang w:val="pt-BR"/>
              </w:rPr>
              <w:t>——预测点的背景值，dB(A)。</w:t>
            </w:r>
          </w:p>
          <w:p>
            <w:pPr>
              <w:keepNext w:val="0"/>
              <w:keepLines w:val="0"/>
              <w:widowControl/>
              <w:suppressLineNumbers w:val="0"/>
              <w:adjustRightInd w:val="0"/>
              <w:snapToGrid w:val="0"/>
              <w:spacing w:before="0" w:beforeAutospacing="0" w:after="0" w:afterAutospacing="0" w:line="480" w:lineRule="exact"/>
              <w:ind w:left="0" w:right="0" w:firstLine="480" w:firstLineChars="200"/>
              <w:rPr>
                <w:sz w:val="24"/>
              </w:rPr>
            </w:pPr>
            <w:bookmarkStart w:id="30" w:name="_Toc23205"/>
            <w:r>
              <w:rPr>
                <w:sz w:val="24"/>
              </w:rPr>
              <w:t>3）预测结果与评价</w:t>
            </w:r>
            <w:bookmarkEnd w:id="30"/>
          </w:p>
          <w:p>
            <w:pPr>
              <w:keepNext w:val="0"/>
              <w:keepLines w:val="0"/>
              <w:widowControl/>
              <w:suppressLineNumbers w:val="0"/>
              <w:adjustRightInd w:val="0"/>
              <w:snapToGrid w:val="0"/>
              <w:spacing w:before="0" w:beforeAutospacing="0" w:after="0" w:afterAutospacing="0" w:line="480" w:lineRule="exact"/>
              <w:ind w:left="0" w:right="0" w:firstLine="480" w:firstLineChars="200"/>
              <w:rPr>
                <w:b/>
              </w:rPr>
            </w:pPr>
            <w:r>
              <w:rPr>
                <w:sz w:val="24"/>
                <w:lang w:val="pt-BR"/>
              </w:rPr>
              <w:t>按照以上预测模式及源强参数，结合噪声源到各预测点距离，通过计算，得出项目实施后对</w:t>
            </w:r>
            <w:r>
              <w:rPr>
                <w:sz w:val="24"/>
              </w:rPr>
              <w:t>升压站</w:t>
            </w:r>
            <w:r>
              <w:rPr>
                <w:sz w:val="24"/>
                <w:lang w:val="pt-BR"/>
              </w:rPr>
              <w:t>厂界的预测值。</w:t>
            </w:r>
          </w:p>
          <w:p>
            <w:pPr>
              <w:keepNext w:val="0"/>
              <w:keepLines w:val="0"/>
              <w:widowControl/>
              <w:suppressLineNumbers w:val="0"/>
              <w:spacing w:before="0" w:beforeAutospacing="0" w:after="0" w:afterAutospacing="0" w:line="500" w:lineRule="exact"/>
              <w:ind w:left="0" w:right="0"/>
              <w:jc w:val="center"/>
              <w:rPr>
                <w:rFonts w:ascii="Times New Roman" w:eastAsia="黑体"/>
                <w:color w:val="000000" w:themeColor="text1"/>
                <w:sz w:val="24"/>
                <w:szCs w:val="20"/>
              </w:rPr>
            </w:pPr>
            <w:r>
              <w:rPr>
                <w:b/>
              </w:rPr>
              <w:t>表4-</w:t>
            </w:r>
            <w:r>
              <w:rPr>
                <w:rFonts w:hint="eastAsia"/>
                <w:b/>
              </w:rPr>
              <w:t>3</w:t>
            </w:r>
            <w:r>
              <w:rPr>
                <w:rFonts w:hint="eastAsia" w:ascii="Times New Roman" w:eastAsia="黑体"/>
                <w:color w:val="000000" w:themeColor="text1"/>
                <w:sz w:val="24"/>
                <w:szCs w:val="20"/>
              </w:rPr>
              <w:t>工业企业声环境保护目标</w:t>
            </w:r>
            <w:r>
              <w:rPr>
                <w:rFonts w:ascii="Times New Roman" w:eastAsia="黑体"/>
                <w:color w:val="000000" w:themeColor="text1"/>
                <w:sz w:val="24"/>
                <w:szCs w:val="20"/>
              </w:rPr>
              <w:t>噪声预测结果</w:t>
            </w:r>
            <w:r>
              <w:rPr>
                <w:rFonts w:hint="eastAsia" w:ascii="Times New Roman" w:eastAsia="黑体"/>
                <w:color w:val="000000" w:themeColor="text1"/>
                <w:sz w:val="24"/>
                <w:szCs w:val="20"/>
              </w:rPr>
              <w:t>与达标分析表</w:t>
            </w:r>
            <w:r>
              <w:rPr>
                <w:rFonts w:ascii="Times New Roman" w:eastAsia="黑体"/>
                <w:color w:val="000000" w:themeColor="text1"/>
                <w:sz w:val="24"/>
                <w:szCs w:val="20"/>
              </w:rPr>
              <w:t xml:space="preserve">   单位：dB(A)</w:t>
            </w:r>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879"/>
              <w:gridCol w:w="595"/>
              <w:gridCol w:w="595"/>
              <w:gridCol w:w="482"/>
              <w:gridCol w:w="484"/>
              <w:gridCol w:w="689"/>
              <w:gridCol w:w="689"/>
              <w:gridCol w:w="689"/>
              <w:gridCol w:w="689"/>
              <w:gridCol w:w="597"/>
              <w:gridCol w:w="599"/>
              <w:gridCol w:w="54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restar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序号</w:t>
                  </w:r>
                </w:p>
              </w:tc>
              <w:tc>
                <w:tcPr>
                  <w:tcW w:w="514" w:type="pct"/>
                  <w:vMerge w:val="restar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声环境保护目标名称</w:t>
                  </w:r>
                </w:p>
              </w:tc>
              <w:tc>
                <w:tcPr>
                  <w:tcW w:w="696" w:type="pct"/>
                  <w:gridSpan w:val="2"/>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噪声现状（背景）值</w:t>
                  </w:r>
                </w:p>
              </w:tc>
              <w:tc>
                <w:tcPr>
                  <w:tcW w:w="565" w:type="pct"/>
                  <w:gridSpan w:val="2"/>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噪声标准</w:t>
                  </w:r>
                </w:p>
              </w:tc>
              <w:tc>
                <w:tcPr>
                  <w:tcW w:w="806" w:type="pct"/>
                  <w:gridSpan w:val="2"/>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噪声贡献值</w:t>
                  </w:r>
                </w:p>
              </w:tc>
              <w:tc>
                <w:tcPr>
                  <w:tcW w:w="806" w:type="pct"/>
                  <w:gridSpan w:val="2"/>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噪声预测值</w:t>
                  </w:r>
                </w:p>
              </w:tc>
              <w:tc>
                <w:tcPr>
                  <w:tcW w:w="699" w:type="pct"/>
                  <w:gridSpan w:val="2"/>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较现状增量</w:t>
                  </w:r>
                </w:p>
              </w:tc>
              <w:tc>
                <w:tcPr>
                  <w:tcW w:w="630" w:type="pct"/>
                  <w:gridSpan w:val="2"/>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continue"/>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p>
              </w:tc>
              <w:tc>
                <w:tcPr>
                  <w:tcW w:w="514" w:type="pct"/>
                  <w:vMerge w:val="continue"/>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p>
              </w:tc>
              <w:tc>
                <w:tcPr>
                  <w:tcW w:w="348"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昼间</w:t>
                  </w:r>
                </w:p>
              </w:tc>
              <w:tc>
                <w:tcPr>
                  <w:tcW w:w="348"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夜间</w:t>
                  </w:r>
                </w:p>
              </w:tc>
              <w:tc>
                <w:tcPr>
                  <w:tcW w:w="282"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昼间</w:t>
                  </w:r>
                </w:p>
              </w:tc>
              <w:tc>
                <w:tcPr>
                  <w:tcW w:w="282"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夜间</w:t>
                  </w:r>
                </w:p>
              </w:tc>
              <w:tc>
                <w:tcPr>
                  <w:tcW w:w="403"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昼间</w:t>
                  </w:r>
                </w:p>
              </w:tc>
              <w:tc>
                <w:tcPr>
                  <w:tcW w:w="403"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夜间</w:t>
                  </w:r>
                </w:p>
              </w:tc>
              <w:tc>
                <w:tcPr>
                  <w:tcW w:w="403"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昼间</w:t>
                  </w:r>
                </w:p>
              </w:tc>
              <w:tc>
                <w:tcPr>
                  <w:tcW w:w="403"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夜间</w:t>
                  </w:r>
                </w:p>
              </w:tc>
              <w:tc>
                <w:tcPr>
                  <w:tcW w:w="349"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昼间</w:t>
                  </w:r>
                </w:p>
              </w:tc>
              <w:tc>
                <w:tcPr>
                  <w:tcW w:w="349"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夜间</w:t>
                  </w:r>
                </w:p>
              </w:tc>
              <w:tc>
                <w:tcPr>
                  <w:tcW w:w="315"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昼间</w:t>
                  </w:r>
                </w:p>
              </w:tc>
              <w:tc>
                <w:tcPr>
                  <w:tcW w:w="315"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1</w:t>
                  </w:r>
                </w:p>
              </w:tc>
              <w:tc>
                <w:tcPr>
                  <w:tcW w:w="514" w:type="pct"/>
                  <w:vAlign w:val="center"/>
                </w:tcPr>
                <w:p>
                  <w:pPr>
                    <w:keepNext w:val="0"/>
                    <w:keepLines w:val="0"/>
                    <w:widowControl/>
                    <w:suppressLineNumbers w:val="0"/>
                    <w:spacing w:before="0" w:beforeAutospacing="0" w:after="0" w:afterAutospacing="0"/>
                    <w:ind w:left="0" w:right="0"/>
                    <w:jc w:val="center"/>
                    <w:rPr>
                      <w:rFonts w:hAnsi="宋体" w:cs="宋体"/>
                      <w:color w:val="000000" w:themeColor="text1"/>
                      <w:sz w:val="18"/>
                      <w:szCs w:val="18"/>
                    </w:rPr>
                  </w:pPr>
                  <w:r>
                    <w:rPr>
                      <w:rFonts w:hint="eastAsia"/>
                      <w:color w:val="000000" w:themeColor="text1"/>
                      <w:sz w:val="18"/>
                      <w:szCs w:val="18"/>
                    </w:rPr>
                    <w:t>东厂界</w:t>
                  </w:r>
                </w:p>
              </w:tc>
              <w:tc>
                <w:tcPr>
                  <w:tcW w:w="34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40</w:t>
                  </w:r>
                </w:p>
              </w:tc>
              <w:tc>
                <w:tcPr>
                  <w:tcW w:w="34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37</w:t>
                  </w:r>
                </w:p>
              </w:tc>
              <w:tc>
                <w:tcPr>
                  <w:tcW w:w="282"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color w:val="000000" w:themeColor="text1"/>
                      <w:kern w:val="2"/>
                      <w:sz w:val="18"/>
                      <w:szCs w:val="18"/>
                    </w:rPr>
                    <w:t>50</w:t>
                  </w:r>
                </w:p>
              </w:tc>
              <w:tc>
                <w:tcPr>
                  <w:tcW w:w="282"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color w:val="000000" w:themeColor="text1"/>
                      <w:kern w:val="2"/>
                      <w:sz w:val="18"/>
                      <w:szCs w:val="18"/>
                    </w:rPr>
                    <w:t>45</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27.96</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27.96</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40.26</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37.5</w:t>
                  </w:r>
                  <w:r>
                    <w:rPr>
                      <w:rFonts w:ascii="Times New Roman"/>
                      <w:color w:val="000000" w:themeColor="text1"/>
                      <w:sz w:val="18"/>
                      <w:szCs w:val="18"/>
                    </w:rPr>
                    <w:t>1</w:t>
                  </w:r>
                </w:p>
              </w:tc>
              <w:tc>
                <w:tcPr>
                  <w:tcW w:w="349"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0.26</w:t>
                  </w:r>
                </w:p>
              </w:tc>
              <w:tc>
                <w:tcPr>
                  <w:tcW w:w="349"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0.51</w:t>
                  </w:r>
                </w:p>
              </w:tc>
              <w:tc>
                <w:tcPr>
                  <w:tcW w:w="315"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达标</w:t>
                  </w:r>
                </w:p>
              </w:tc>
              <w:tc>
                <w:tcPr>
                  <w:tcW w:w="315"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2</w:t>
                  </w:r>
                </w:p>
              </w:tc>
              <w:tc>
                <w:tcPr>
                  <w:tcW w:w="514" w:type="pct"/>
                  <w:vAlign w:val="center"/>
                </w:tcPr>
                <w:p>
                  <w:pPr>
                    <w:keepNext w:val="0"/>
                    <w:keepLines w:val="0"/>
                    <w:widowControl/>
                    <w:suppressLineNumbers w:val="0"/>
                    <w:spacing w:before="0" w:beforeAutospacing="0" w:after="0" w:afterAutospacing="0"/>
                    <w:ind w:left="0" w:right="0"/>
                    <w:jc w:val="center"/>
                    <w:rPr>
                      <w:rFonts w:hAnsi="宋体" w:cs="宋体"/>
                      <w:color w:val="000000" w:themeColor="text1"/>
                      <w:sz w:val="18"/>
                      <w:szCs w:val="18"/>
                    </w:rPr>
                  </w:pPr>
                  <w:r>
                    <w:rPr>
                      <w:rFonts w:hint="eastAsia"/>
                      <w:color w:val="000000" w:themeColor="text1"/>
                      <w:sz w:val="18"/>
                      <w:szCs w:val="18"/>
                    </w:rPr>
                    <w:t>西厂界</w:t>
                  </w:r>
                </w:p>
              </w:tc>
              <w:tc>
                <w:tcPr>
                  <w:tcW w:w="34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40</w:t>
                  </w:r>
                </w:p>
              </w:tc>
              <w:tc>
                <w:tcPr>
                  <w:tcW w:w="34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37</w:t>
                  </w:r>
                </w:p>
              </w:tc>
              <w:tc>
                <w:tcPr>
                  <w:tcW w:w="282"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color w:val="000000" w:themeColor="text1"/>
                      <w:kern w:val="2"/>
                      <w:sz w:val="18"/>
                      <w:szCs w:val="18"/>
                    </w:rPr>
                    <w:t>50</w:t>
                  </w:r>
                </w:p>
              </w:tc>
              <w:tc>
                <w:tcPr>
                  <w:tcW w:w="282"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color w:val="000000" w:themeColor="text1"/>
                      <w:kern w:val="2"/>
                      <w:sz w:val="18"/>
                      <w:szCs w:val="18"/>
                    </w:rPr>
                    <w:t>45</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34.15</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34.15</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41.00</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38.82</w:t>
                  </w:r>
                </w:p>
              </w:tc>
              <w:tc>
                <w:tcPr>
                  <w:tcW w:w="349"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1.00</w:t>
                  </w:r>
                </w:p>
              </w:tc>
              <w:tc>
                <w:tcPr>
                  <w:tcW w:w="349"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1.82</w:t>
                  </w:r>
                </w:p>
              </w:tc>
              <w:tc>
                <w:tcPr>
                  <w:tcW w:w="315"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达标</w:t>
                  </w:r>
                </w:p>
              </w:tc>
              <w:tc>
                <w:tcPr>
                  <w:tcW w:w="315"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3</w:t>
                  </w:r>
                </w:p>
              </w:tc>
              <w:tc>
                <w:tcPr>
                  <w:tcW w:w="514" w:type="pct"/>
                  <w:vAlign w:val="center"/>
                </w:tcPr>
                <w:p>
                  <w:pPr>
                    <w:keepNext w:val="0"/>
                    <w:keepLines w:val="0"/>
                    <w:widowControl/>
                    <w:suppressLineNumbers w:val="0"/>
                    <w:spacing w:before="0" w:beforeAutospacing="0" w:after="0" w:afterAutospacing="0"/>
                    <w:ind w:left="0" w:right="0"/>
                    <w:jc w:val="center"/>
                    <w:rPr>
                      <w:rFonts w:hAnsi="宋体" w:cs="宋体"/>
                      <w:color w:val="000000" w:themeColor="text1"/>
                      <w:sz w:val="18"/>
                      <w:szCs w:val="18"/>
                    </w:rPr>
                  </w:pPr>
                  <w:r>
                    <w:rPr>
                      <w:rFonts w:hint="eastAsia"/>
                      <w:color w:val="000000" w:themeColor="text1"/>
                      <w:sz w:val="18"/>
                      <w:szCs w:val="18"/>
                    </w:rPr>
                    <w:t>南厂界</w:t>
                  </w:r>
                </w:p>
              </w:tc>
              <w:tc>
                <w:tcPr>
                  <w:tcW w:w="34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41</w:t>
                  </w:r>
                </w:p>
              </w:tc>
              <w:tc>
                <w:tcPr>
                  <w:tcW w:w="34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38</w:t>
                  </w:r>
                </w:p>
              </w:tc>
              <w:tc>
                <w:tcPr>
                  <w:tcW w:w="282"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color w:val="000000" w:themeColor="text1"/>
                      <w:kern w:val="2"/>
                      <w:sz w:val="18"/>
                      <w:szCs w:val="18"/>
                    </w:rPr>
                    <w:t>50</w:t>
                  </w:r>
                </w:p>
              </w:tc>
              <w:tc>
                <w:tcPr>
                  <w:tcW w:w="282"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color w:val="000000" w:themeColor="text1"/>
                      <w:kern w:val="2"/>
                      <w:sz w:val="18"/>
                      <w:szCs w:val="18"/>
                    </w:rPr>
                    <w:t>45</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38.88</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38.88</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43.08</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41.47</w:t>
                  </w:r>
                </w:p>
              </w:tc>
              <w:tc>
                <w:tcPr>
                  <w:tcW w:w="349"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2.08</w:t>
                  </w:r>
                </w:p>
              </w:tc>
              <w:tc>
                <w:tcPr>
                  <w:tcW w:w="349"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3.47</w:t>
                  </w:r>
                </w:p>
              </w:tc>
              <w:tc>
                <w:tcPr>
                  <w:tcW w:w="315"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达标</w:t>
                  </w:r>
                </w:p>
              </w:tc>
              <w:tc>
                <w:tcPr>
                  <w:tcW w:w="315"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4</w:t>
                  </w:r>
                </w:p>
              </w:tc>
              <w:tc>
                <w:tcPr>
                  <w:tcW w:w="514" w:type="pct"/>
                  <w:vAlign w:val="center"/>
                </w:tcPr>
                <w:p>
                  <w:pPr>
                    <w:keepNext w:val="0"/>
                    <w:keepLines w:val="0"/>
                    <w:widowControl/>
                    <w:suppressLineNumbers w:val="0"/>
                    <w:spacing w:before="0" w:beforeAutospacing="0" w:after="0" w:afterAutospacing="0"/>
                    <w:ind w:left="0" w:right="0"/>
                    <w:jc w:val="center"/>
                    <w:rPr>
                      <w:rFonts w:hAnsi="宋体" w:cs="宋体"/>
                      <w:color w:val="000000" w:themeColor="text1"/>
                      <w:sz w:val="18"/>
                      <w:szCs w:val="18"/>
                    </w:rPr>
                  </w:pPr>
                  <w:r>
                    <w:rPr>
                      <w:rFonts w:hint="eastAsia"/>
                      <w:color w:val="000000" w:themeColor="text1"/>
                      <w:sz w:val="18"/>
                      <w:szCs w:val="18"/>
                    </w:rPr>
                    <w:t>北厂界</w:t>
                  </w:r>
                </w:p>
              </w:tc>
              <w:tc>
                <w:tcPr>
                  <w:tcW w:w="34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38</w:t>
                  </w:r>
                </w:p>
              </w:tc>
              <w:tc>
                <w:tcPr>
                  <w:tcW w:w="348"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36</w:t>
                  </w:r>
                </w:p>
              </w:tc>
              <w:tc>
                <w:tcPr>
                  <w:tcW w:w="282"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color w:val="000000" w:themeColor="text1"/>
                      <w:kern w:val="2"/>
                      <w:sz w:val="18"/>
                      <w:szCs w:val="18"/>
                    </w:rPr>
                    <w:t>50</w:t>
                  </w:r>
                </w:p>
              </w:tc>
              <w:tc>
                <w:tcPr>
                  <w:tcW w:w="282"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color w:val="000000" w:themeColor="text1"/>
                      <w:kern w:val="2"/>
                      <w:sz w:val="18"/>
                      <w:szCs w:val="18"/>
                    </w:rPr>
                    <w:t>45</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27.33</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27.33</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38.36</w:t>
                  </w:r>
                </w:p>
              </w:tc>
              <w:tc>
                <w:tcPr>
                  <w:tcW w:w="403" w:type="pct"/>
                  <w:vAlign w:val="center"/>
                </w:tcPr>
                <w:p>
                  <w:pPr>
                    <w:keepNext w:val="0"/>
                    <w:keepLines w:val="0"/>
                    <w:widowControl/>
                    <w:suppressLineNumbers w:val="0"/>
                    <w:spacing w:before="0" w:beforeAutospacing="0" w:after="0" w:afterAutospacing="0"/>
                    <w:ind w:left="0" w:right="0"/>
                    <w:jc w:val="center"/>
                    <w:rPr>
                      <w:rFonts w:ascii="Times New Roman"/>
                      <w:color w:val="000000" w:themeColor="text1"/>
                      <w:sz w:val="18"/>
                      <w:szCs w:val="18"/>
                    </w:rPr>
                  </w:pPr>
                  <w:r>
                    <w:rPr>
                      <w:rFonts w:hint="eastAsia" w:ascii="Times New Roman"/>
                      <w:color w:val="000000" w:themeColor="text1"/>
                      <w:sz w:val="18"/>
                      <w:szCs w:val="18"/>
                    </w:rPr>
                    <w:t>36.55</w:t>
                  </w:r>
                </w:p>
              </w:tc>
              <w:tc>
                <w:tcPr>
                  <w:tcW w:w="349"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0.36</w:t>
                  </w:r>
                </w:p>
              </w:tc>
              <w:tc>
                <w:tcPr>
                  <w:tcW w:w="349"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0.55</w:t>
                  </w:r>
                </w:p>
              </w:tc>
              <w:tc>
                <w:tcPr>
                  <w:tcW w:w="315"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达标</w:t>
                  </w:r>
                </w:p>
              </w:tc>
              <w:tc>
                <w:tcPr>
                  <w:tcW w:w="315" w:type="pct"/>
                  <w:vAlign w:val="center"/>
                </w:tcPr>
                <w:p>
                  <w:pPr>
                    <w:pStyle w:val="236"/>
                    <w:keepNext w:val="0"/>
                    <w:keepLines w:val="0"/>
                    <w:widowControl/>
                    <w:suppressLineNumbers w:val="0"/>
                    <w:spacing w:before="0" w:beforeAutospacing="0" w:after="0" w:afterAutospacing="0"/>
                    <w:ind w:left="0" w:right="0"/>
                    <w:rPr>
                      <w:color w:val="000000" w:themeColor="text1"/>
                      <w:kern w:val="2"/>
                      <w:sz w:val="18"/>
                      <w:szCs w:val="18"/>
                    </w:rPr>
                  </w:pPr>
                  <w:r>
                    <w:rPr>
                      <w:rFonts w:hint="eastAsia"/>
                      <w:color w:val="000000" w:themeColor="text1"/>
                      <w:kern w:val="2"/>
                      <w:sz w:val="18"/>
                      <w:szCs w:val="18"/>
                    </w:rPr>
                    <w:t>达标</w:t>
                  </w:r>
                </w:p>
              </w:tc>
            </w:tr>
          </w:tbl>
          <w:p>
            <w:pPr>
              <w:keepNext w:val="0"/>
              <w:keepLines w:val="0"/>
              <w:widowControl/>
              <w:suppressLineNumbers w:val="0"/>
              <w:spacing w:before="0" w:beforeAutospacing="0" w:after="0" w:afterAutospacing="0" w:line="500" w:lineRule="exact"/>
              <w:ind w:left="0" w:right="0" w:firstLine="480" w:firstLineChars="200"/>
              <w:rPr>
                <w:rFonts w:ascii="Times New Roman"/>
                <w:color w:val="000000" w:themeColor="text1"/>
                <w:sz w:val="24"/>
              </w:rPr>
            </w:pPr>
            <w:r>
              <w:rPr>
                <w:rFonts w:ascii="Times New Roman"/>
                <w:color w:val="000000" w:themeColor="text1"/>
                <w:sz w:val="24"/>
                <w:szCs w:val="24"/>
              </w:rPr>
              <w:t>由上表可以看出，项目噪声源对厂界的贡献值为27.33～38.8</w:t>
            </w:r>
            <w:r>
              <w:rPr>
                <w:rFonts w:hint="eastAsia" w:ascii="Times New Roman"/>
                <w:color w:val="000000" w:themeColor="text1"/>
                <w:sz w:val="24"/>
                <w:szCs w:val="24"/>
              </w:rPr>
              <w:t>8</w:t>
            </w:r>
            <w:r>
              <w:rPr>
                <w:rFonts w:ascii="Times New Roman"/>
                <w:color w:val="000000" w:themeColor="text1"/>
                <w:sz w:val="24"/>
                <w:szCs w:val="24"/>
              </w:rPr>
              <w:t>dB(A)，满足《工业企业厂界环境噪声排放标准》(GB12348-2008)1类标准要求；</w:t>
            </w:r>
            <w:r>
              <w:rPr>
                <w:rFonts w:hint="eastAsia" w:ascii="Times New Roman"/>
                <w:color w:val="000000" w:themeColor="text1"/>
                <w:sz w:val="24"/>
                <w:szCs w:val="24"/>
              </w:rPr>
              <w:t>叠加现状背景值后，</w:t>
            </w:r>
            <w:r>
              <w:rPr>
                <w:rFonts w:ascii="Times New Roman"/>
                <w:color w:val="000000" w:themeColor="text1"/>
                <w:sz w:val="24"/>
                <w:szCs w:val="24"/>
              </w:rPr>
              <w:t>项目厂界昼间预测值为38.36~43.08dB(A)，夜间预测值为36.55~41.47dB(A)，满足《声环境质量标准》(GB3096-2008)1类标准要求；因此，本项目建成运营后，不会对周围声环境产生明显的影响</w:t>
            </w:r>
            <w:r>
              <w:rPr>
                <w:rFonts w:ascii="Times New Roman"/>
                <w:color w:val="000000" w:themeColor="text1"/>
                <w:sz w:val="24"/>
              </w:rPr>
              <w:t>。</w:t>
            </w:r>
          </w:p>
          <w:p>
            <w:pPr>
              <w:pStyle w:val="235"/>
              <w:keepNext w:val="0"/>
              <w:keepLines w:val="0"/>
              <w:widowControl/>
              <w:suppressLineNumbers w:val="0"/>
              <w:spacing w:before="0" w:beforeAutospacing="0" w:after="0" w:afterAutospacing="0"/>
              <w:ind w:left="0" w:right="0" w:firstLine="0" w:firstLineChars="0"/>
              <w:rPr>
                <w:kern w:val="2"/>
                <w:sz w:val="24"/>
                <w:lang w:val="pt-BR"/>
              </w:rPr>
            </w:pPr>
            <w:r>
              <w:rPr>
                <w:rFonts w:ascii="Times New Roman"/>
                <w:color w:val="000000" w:themeColor="text1"/>
                <w:sz w:val="24"/>
                <w:szCs w:val="24"/>
              </w:rPr>
              <w:drawing>
                <wp:inline distT="0" distB="0" distL="0" distR="0">
                  <wp:extent cx="5274310" cy="3329940"/>
                  <wp:effectExtent l="0" t="0" r="13970" b="7620"/>
                  <wp:docPr id="1" name="图片 1" descr="C:\Users\Administrator\Documents\WeChat Files\wxid_3ss04bt5wwlm22\FileStorage\Temp\5ee361de835b9a9b5d96eb7f2db3a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3ss04bt5wwlm22\FileStorage\Temp\5ee361de835b9a9b5d96eb7f2db3a0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74310" cy="3329998"/>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500" w:lineRule="exact"/>
              <w:ind w:left="0" w:right="0"/>
              <w:jc w:val="center"/>
              <w:rPr>
                <w:rFonts w:ascii="Times New Roman"/>
                <w:b/>
                <w:bCs/>
                <w:sz w:val="24"/>
              </w:rPr>
            </w:pPr>
            <w:r>
              <w:rPr>
                <w:rFonts w:ascii="Times New Roman"/>
                <w:b/>
                <w:color w:val="000000" w:themeColor="text1"/>
                <w:sz w:val="24"/>
              </w:rPr>
              <w:t>图</w:t>
            </w:r>
            <w:r>
              <w:rPr>
                <w:rFonts w:hint="eastAsia" w:ascii="Times New Roman"/>
                <w:b/>
                <w:color w:val="000000" w:themeColor="text1"/>
                <w:sz w:val="24"/>
              </w:rPr>
              <w:t>4-1噪声影响等声级线图</w:t>
            </w:r>
          </w:p>
          <w:p>
            <w:pPr>
              <w:keepNext w:val="0"/>
              <w:keepLines w:val="0"/>
              <w:widowControl/>
              <w:suppressLineNumbers w:val="0"/>
              <w:adjustRightInd w:val="0"/>
              <w:snapToGri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rPr>
              <w:t>3</w:t>
            </w:r>
            <w:r>
              <w:rPr>
                <w:rFonts w:ascii="Times New Roman"/>
                <w:b/>
                <w:bCs/>
                <w:sz w:val="24"/>
                <w:szCs w:val="24"/>
              </w:rPr>
              <w:t>、水环境影响分析</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ascii="Times New Roman"/>
                <w:kern w:val="0"/>
                <w:sz w:val="24"/>
              </w:rPr>
            </w:pPr>
            <w:r>
              <w:rPr>
                <w:rFonts w:ascii="Times New Roman"/>
                <w:sz w:val="24"/>
              </w:rPr>
              <w:t>本项目运营期劳动定员20人，采</w:t>
            </w:r>
            <w:r>
              <w:rPr>
                <w:rFonts w:ascii="Times New Roman"/>
                <w:bCs/>
                <w:kern w:val="0"/>
                <w:sz w:val="24"/>
              </w:rPr>
              <w:t>用3班制，根据《生活与服务业用水定额第一部分：居民生活》(DB13/T5450.1-2021)及项目实际情况，</w:t>
            </w:r>
            <w:r>
              <w:rPr>
                <w:rFonts w:ascii="Times New Roman"/>
                <w:sz w:val="24"/>
              </w:rPr>
              <w:t>生活用水包括职工饮用水、盥洗用水，</w:t>
            </w:r>
            <w:r>
              <w:rPr>
                <w:rFonts w:ascii="Times New Roman"/>
                <w:bCs/>
                <w:kern w:val="0"/>
                <w:sz w:val="24"/>
              </w:rPr>
              <w:t>用水量按20L/人·d计，年工作365天，生活用水量为0.4m</w:t>
            </w:r>
            <w:r>
              <w:rPr>
                <w:rFonts w:ascii="Times New Roman"/>
                <w:bCs/>
                <w:kern w:val="0"/>
                <w:sz w:val="24"/>
                <w:vertAlign w:val="superscript"/>
              </w:rPr>
              <w:t>3</w:t>
            </w:r>
            <w:r>
              <w:rPr>
                <w:rFonts w:ascii="Times New Roman"/>
                <w:bCs/>
                <w:kern w:val="0"/>
                <w:sz w:val="24"/>
              </w:rPr>
              <w:t>/d(146m</w:t>
            </w:r>
            <w:r>
              <w:rPr>
                <w:rFonts w:ascii="Times New Roman"/>
                <w:bCs/>
                <w:kern w:val="0"/>
                <w:sz w:val="24"/>
                <w:vertAlign w:val="superscript"/>
              </w:rPr>
              <w:t>3</w:t>
            </w:r>
            <w:r>
              <w:rPr>
                <w:rFonts w:ascii="Times New Roman"/>
                <w:bCs/>
                <w:kern w:val="0"/>
                <w:sz w:val="24"/>
              </w:rPr>
              <w:t>/a)。</w:t>
            </w:r>
            <w:r>
              <w:rPr>
                <w:rFonts w:ascii="Times New Roman"/>
                <w:kern w:val="0"/>
                <w:sz w:val="24"/>
              </w:rPr>
              <w:t>生活废水的产生量按用水量的80%计算，为0.32m</w:t>
            </w:r>
            <w:r>
              <w:rPr>
                <w:rFonts w:ascii="Times New Roman"/>
                <w:kern w:val="0"/>
                <w:sz w:val="24"/>
                <w:vertAlign w:val="superscript"/>
              </w:rPr>
              <w:t>3</w:t>
            </w:r>
            <w:r>
              <w:rPr>
                <w:rFonts w:ascii="Times New Roman"/>
                <w:kern w:val="0"/>
                <w:sz w:val="24"/>
              </w:rPr>
              <w:t>/d(116.8m</w:t>
            </w:r>
            <w:r>
              <w:rPr>
                <w:rFonts w:ascii="Times New Roman"/>
                <w:kern w:val="0"/>
                <w:sz w:val="24"/>
                <w:vertAlign w:val="superscript"/>
              </w:rPr>
              <w:t>3</w:t>
            </w:r>
            <w:r>
              <w:rPr>
                <w:rFonts w:ascii="Times New Roman"/>
                <w:kern w:val="0"/>
                <w:sz w:val="24"/>
              </w:rPr>
              <w:t>/a)。</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rPr>
            </w:pPr>
            <w:r>
              <w:rPr>
                <w:rFonts w:ascii="Times New Roman"/>
                <w:sz w:val="24"/>
              </w:rPr>
              <w:t>本项目生活废水产生量为</w:t>
            </w:r>
            <w:r>
              <w:rPr>
                <w:rFonts w:ascii="Times New Roman"/>
                <w:kern w:val="0"/>
                <w:sz w:val="24"/>
              </w:rPr>
              <w:t>0.32m</w:t>
            </w:r>
            <w:r>
              <w:rPr>
                <w:rFonts w:ascii="Times New Roman"/>
                <w:kern w:val="0"/>
                <w:sz w:val="24"/>
                <w:vertAlign w:val="superscript"/>
              </w:rPr>
              <w:t>3</w:t>
            </w:r>
            <w:r>
              <w:rPr>
                <w:rFonts w:ascii="Times New Roman"/>
                <w:kern w:val="0"/>
                <w:sz w:val="24"/>
              </w:rPr>
              <w:t>/d(116.8m</w:t>
            </w:r>
            <w:r>
              <w:rPr>
                <w:rFonts w:ascii="Times New Roman"/>
                <w:kern w:val="0"/>
                <w:sz w:val="24"/>
                <w:vertAlign w:val="superscript"/>
              </w:rPr>
              <w:t>3</w:t>
            </w:r>
            <w:r>
              <w:rPr>
                <w:rFonts w:ascii="Times New Roman"/>
                <w:kern w:val="0"/>
                <w:sz w:val="24"/>
              </w:rPr>
              <w:t>/a)</w:t>
            </w:r>
            <w:r>
              <w:rPr>
                <w:rFonts w:ascii="Times New Roman"/>
                <w:sz w:val="24"/>
              </w:rPr>
              <w:t>，主要污染物为COD、BOD</w:t>
            </w:r>
            <w:r>
              <w:rPr>
                <w:rFonts w:ascii="Times New Roman"/>
                <w:sz w:val="24"/>
                <w:vertAlign w:val="subscript"/>
              </w:rPr>
              <w:t>5</w:t>
            </w:r>
            <w:r>
              <w:rPr>
                <w:rFonts w:ascii="Times New Roman"/>
                <w:sz w:val="24"/>
              </w:rPr>
              <w:t>、SS、氨氮、动植物油，污染物浓度为COD 300mg/L、BOD5 180mg/L、SS 200mg/L、氨氮25mg/L、动植物油40mg/L。食堂废水经隔油池处理后与其他生活废水一同排入升压站内化粪池处理后，进入污水一体化处理设备。</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rPr>
              <w:t>本项目污水一体化处理设备处理规模为1m</w:t>
            </w:r>
            <w:r>
              <w:rPr>
                <w:rFonts w:ascii="Times New Roman"/>
                <w:sz w:val="24"/>
                <w:vertAlign w:val="superscript"/>
              </w:rPr>
              <w:t>3</w:t>
            </w:r>
            <w:r>
              <w:rPr>
                <w:rFonts w:ascii="Times New Roman"/>
                <w:sz w:val="24"/>
              </w:rPr>
              <w:t>/d，存储污水能力大于日污水排放量，可满足项目运营后日常其他生活废水处理排放，处理工艺为隔油池+A/O(厌氧+好氧)+生物过滤工艺，处理后的污水出水水质为COD 60mg/L、BOD5 9mg/L、SS 10mg/L、氨氮6mg/L、动植物油8mg/L，满足《城市污水再生利用 城市杂用水水质》(GB/T 18920-2020)表1中城市绿化、道路清扫限值要求，废水用于站内泼洒、绿化，不外排。</w:t>
            </w:r>
            <w:r>
              <w:rPr>
                <w:rFonts w:ascii="Times New Roman"/>
                <w:bCs/>
                <w:sz w:val="24"/>
              </w:rPr>
              <w:t>为防止对地下水影响，建设单位拟对污水处理站及管网采取防渗措施，防渗系数不小于1×10</w:t>
            </w:r>
            <w:r>
              <w:rPr>
                <w:rFonts w:ascii="Times New Roman"/>
                <w:bCs/>
                <w:sz w:val="24"/>
                <w:vertAlign w:val="superscript"/>
              </w:rPr>
              <w:t>-7</w:t>
            </w:r>
            <w:r>
              <w:rPr>
                <w:rFonts w:ascii="Times New Roman"/>
                <w:bCs/>
                <w:sz w:val="24"/>
              </w:rPr>
              <w:t>cm/s</w:t>
            </w:r>
            <w:r>
              <w:rPr>
                <w:rFonts w:ascii="Times New Roman"/>
                <w:sz w:val="24"/>
                <w:szCs w:val="24"/>
              </w:rPr>
              <w:t>。</w:t>
            </w:r>
          </w:p>
          <w:p>
            <w:pPr>
              <w:keepNext w:val="0"/>
              <w:keepLines w:val="0"/>
              <w:widowControl/>
              <w:suppressLineNumbers w:val="0"/>
              <w:autoSpaceDE w:val="0"/>
              <w:autoSpaceDN w:val="0"/>
              <w:adjustRightIn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szCs w:val="24"/>
              </w:rPr>
              <w:t>4、</w:t>
            </w:r>
            <w:r>
              <w:rPr>
                <w:rFonts w:hint="eastAsia" w:ascii="Times New Roman"/>
                <w:b/>
                <w:bCs/>
                <w:sz w:val="24"/>
                <w:szCs w:val="24"/>
              </w:rPr>
              <w:t>大气</w:t>
            </w:r>
            <w:r>
              <w:rPr>
                <w:rFonts w:ascii="Times New Roman"/>
                <w:b/>
                <w:bCs/>
                <w:sz w:val="24"/>
                <w:szCs w:val="24"/>
              </w:rPr>
              <w:t>环境影响分析</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本项目食堂油烟经1套净化效率不低于60%油烟净化器处理后经高于屋顶的排气筒排放。项目食堂三餐就餐人数20人，一般食堂的食用油耗油系数为0.03kg/人·餐，年工作365天，核算全年食用油消耗量0.657t。根据《社会区域类环境影响评价》(环境保护部环境影响评价工程师执业资格登记管理办公室编)，餐饮油烟污染排放因子(以油计)：3.815kg/t食用油，核算项目油烟产生量2.506kg/a。项目食堂设置1个灶头，每天工作1.5小时，油烟净化器设计风量2000m</w:t>
            </w:r>
            <w:r>
              <w:rPr>
                <w:rFonts w:hint="eastAsia" w:ascii="Times New Roman"/>
                <w:sz w:val="24"/>
                <w:szCs w:val="24"/>
                <w:vertAlign w:val="superscript"/>
              </w:rPr>
              <w:t>3</w:t>
            </w:r>
            <w:r>
              <w:rPr>
                <w:rFonts w:hint="eastAsia" w:ascii="Times New Roman"/>
                <w:sz w:val="24"/>
                <w:szCs w:val="24"/>
              </w:rPr>
              <w:t>/h，油烟净化器的净化效率按60%计，则油烟排放量1.002kg/a，排放浓度为0.915mg/m</w:t>
            </w:r>
            <w:r>
              <w:rPr>
                <w:rFonts w:hint="eastAsia" w:ascii="Times New Roman"/>
                <w:sz w:val="24"/>
                <w:szCs w:val="24"/>
                <w:vertAlign w:val="superscript"/>
              </w:rPr>
              <w:t>3</w:t>
            </w:r>
            <w:r>
              <w:rPr>
                <w:rFonts w:hint="eastAsia" w:ascii="Times New Roman"/>
                <w:sz w:val="24"/>
                <w:szCs w:val="24"/>
              </w:rPr>
              <w:t>，满足《餐饮业大气污染物排放标准》(DB13/5808-2023)表1小型标准要求(最高允许排放浓度1.5mg/m</w:t>
            </w:r>
            <w:r>
              <w:rPr>
                <w:rFonts w:hint="eastAsia" w:ascii="Times New Roman"/>
                <w:sz w:val="24"/>
                <w:szCs w:val="24"/>
                <w:vertAlign w:val="superscript"/>
              </w:rPr>
              <w:t>3</w:t>
            </w:r>
            <w:r>
              <w:rPr>
                <w:rFonts w:hint="eastAsia" w:ascii="Times New Roman"/>
                <w:sz w:val="24"/>
                <w:szCs w:val="24"/>
              </w:rPr>
              <w:t>)、饮食业油烟排放标准GB18483-2001表2小型净化设施最低去除效率(最低去除效率60%)。</w:t>
            </w:r>
          </w:p>
          <w:p>
            <w:pPr>
              <w:keepNext w:val="0"/>
              <w:keepLines w:val="0"/>
              <w:widowControl/>
              <w:suppressLineNumbers w:val="0"/>
              <w:autoSpaceDE w:val="0"/>
              <w:autoSpaceDN w:val="0"/>
              <w:adjustRightIn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szCs w:val="24"/>
              </w:rPr>
              <w:t>5、生态环境影响分析</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本项目运行期不会对当地生态环境产生明显影响。</w:t>
            </w:r>
          </w:p>
          <w:p>
            <w:pPr>
              <w:pStyle w:val="89"/>
              <w:keepNext w:val="0"/>
              <w:keepLines w:val="0"/>
              <w:widowControl/>
              <w:suppressLineNumbers w:val="0"/>
              <w:spacing w:before="0" w:beforeAutospacing="0" w:after="0" w:afterAutospacing="0" w:line="360" w:lineRule="auto"/>
              <w:ind w:left="0" w:right="0" w:firstLine="482"/>
              <w:rPr>
                <w:rFonts w:ascii="Times New Roman"/>
                <w:b/>
                <w:bCs/>
                <w:sz w:val="24"/>
                <w:szCs w:val="24"/>
              </w:rPr>
            </w:pPr>
            <w:r>
              <w:rPr>
                <w:rFonts w:ascii="Times New Roman"/>
                <w:b/>
                <w:bCs/>
                <w:sz w:val="24"/>
                <w:szCs w:val="24"/>
              </w:rPr>
              <w:t>6、固体废物影响预测与分析</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bCs/>
                <w:sz w:val="24"/>
              </w:rPr>
              <w:t>本项目固废主要包括生活垃圾、一般工业固体废物及危险废物。一般工业固体废物</w:t>
            </w:r>
            <w:r>
              <w:rPr>
                <w:rFonts w:hint="eastAsia"/>
                <w:bCs/>
                <w:sz w:val="24"/>
              </w:rPr>
              <w:t>为废旧磷酸铁锂电池</w:t>
            </w:r>
            <w:r>
              <w:rPr>
                <w:bCs/>
                <w:sz w:val="24"/>
              </w:rPr>
              <w:t>，</w:t>
            </w:r>
            <w:r>
              <w:rPr>
                <w:rFonts w:hint="eastAsia"/>
                <w:bCs/>
                <w:sz w:val="24"/>
              </w:rPr>
              <w:t>危险</w:t>
            </w:r>
            <w:r>
              <w:rPr>
                <w:rFonts w:hint="eastAsia" w:ascii="Times New Roman"/>
                <w:sz w:val="24"/>
                <w:szCs w:val="24"/>
              </w:rPr>
              <w:t>废物主要为废铅酸蓄电池、废变压器油（变压器检修废油、变压器事故油）、沾油抹布。</w:t>
            </w:r>
          </w:p>
          <w:p>
            <w:pPr>
              <w:pStyle w:val="182"/>
              <w:keepNext w:val="0"/>
              <w:keepLines w:val="0"/>
              <w:suppressLineNumbers w:val="0"/>
              <w:spacing w:before="0" w:beforeAutospacing="0" w:after="0" w:afterAutospacing="0" w:line="480" w:lineRule="exact"/>
              <w:ind w:left="480" w:right="0" w:firstLine="0" w:firstLineChars="0"/>
              <w:rPr>
                <w:bCs/>
              </w:rPr>
            </w:pPr>
            <w:r>
              <w:rPr>
                <w:rFonts w:hint="eastAsia"/>
                <w:bCs/>
              </w:rPr>
              <w:t>（1）</w:t>
            </w:r>
            <w:r>
              <w:rPr>
                <w:bCs/>
              </w:rPr>
              <w:t>生活垃圾</w:t>
            </w:r>
          </w:p>
          <w:p>
            <w:pPr>
              <w:keepNext w:val="0"/>
              <w:keepLines w:val="0"/>
              <w:widowControl/>
              <w:suppressLineNumbers w:val="0"/>
              <w:spacing w:before="0" w:beforeAutospacing="0" w:after="0" w:afterAutospacing="0" w:line="480" w:lineRule="exact"/>
              <w:ind w:left="0" w:right="0" w:firstLine="480" w:firstLineChars="200"/>
              <w:rPr>
                <w:bCs/>
                <w:sz w:val="24"/>
              </w:rPr>
            </w:pPr>
            <w:r>
              <w:rPr>
                <w:bCs/>
                <w:sz w:val="24"/>
              </w:rPr>
              <w:t>本项目员工为20人，人均生活垃圾产生量按1kg/d 计，则生活垃圾产生量约7.3t/a，经收集后全部由环卫部门统一处理。</w:t>
            </w:r>
          </w:p>
          <w:p>
            <w:pPr>
              <w:keepNext w:val="0"/>
              <w:keepLines w:val="0"/>
              <w:widowControl/>
              <w:suppressLineNumbers w:val="0"/>
              <w:spacing w:before="0" w:beforeAutospacing="0" w:after="0" w:afterAutospacing="0" w:line="480" w:lineRule="exact"/>
              <w:ind w:left="0" w:right="0" w:firstLine="480" w:firstLineChars="200"/>
              <w:rPr>
                <w:bCs/>
                <w:sz w:val="24"/>
              </w:rPr>
            </w:pPr>
            <w:r>
              <w:rPr>
                <w:bCs/>
                <w:sz w:val="24"/>
              </w:rPr>
              <w:t>与此同时，生活垃圾要求分类存放，生活垃圾分类的基本原则是按</w:t>
            </w:r>
            <w:r>
              <w:rPr>
                <w:rFonts w:hint="eastAsia"/>
                <w:bCs/>
                <w:sz w:val="24"/>
              </w:rPr>
              <w:t>生活</w:t>
            </w:r>
            <w:r>
              <w:rPr>
                <w:bCs/>
                <w:sz w:val="24"/>
              </w:rPr>
              <w:t>垃圾的不同性质将生活垃圾分类，并选择适宜而有针对性的方法对各类生活垃圾进行处理、处置或回收利用，以实现较好的综合效益。具体的分类原则主要包括：可回收物与不可回收物分开；可燃物与不可燃物分开；干垃圾与湿垃圾分开；有毒有害物质与一般物质分开。具体的分类方法要根据当地的生活垃圾处理设施条件进行选择。</w:t>
            </w:r>
          </w:p>
          <w:p>
            <w:pPr>
              <w:keepNext w:val="0"/>
              <w:keepLines w:val="0"/>
              <w:widowControl/>
              <w:suppressLineNumbers w:val="0"/>
              <w:spacing w:before="0" w:beforeAutospacing="0" w:after="0" w:afterAutospacing="0" w:line="480" w:lineRule="exact"/>
              <w:ind w:left="0" w:right="0" w:firstLine="480" w:firstLineChars="200"/>
              <w:rPr>
                <w:bCs/>
                <w:sz w:val="24"/>
              </w:rPr>
            </w:pPr>
            <w:r>
              <w:rPr>
                <w:rFonts w:hint="eastAsia"/>
                <w:bCs/>
                <w:sz w:val="24"/>
              </w:rPr>
              <w:t>（2）</w:t>
            </w:r>
            <w:r>
              <w:rPr>
                <w:bCs/>
                <w:sz w:val="24"/>
              </w:rPr>
              <w:t>一般固废（废</w:t>
            </w:r>
            <w:r>
              <w:rPr>
                <w:sz w:val="24"/>
              </w:rPr>
              <w:t>磷酸铁锂电池</w:t>
            </w:r>
            <w:r>
              <w:rPr>
                <w:bCs/>
                <w:sz w:val="24"/>
              </w:rPr>
              <w:t>）</w:t>
            </w:r>
          </w:p>
          <w:p>
            <w:pPr>
              <w:keepNext w:val="0"/>
              <w:keepLines w:val="0"/>
              <w:widowControl/>
              <w:suppressLineNumbers w:val="0"/>
              <w:adjustRightInd w:val="0"/>
              <w:snapToGrid w:val="0"/>
              <w:spacing w:before="0" w:beforeAutospacing="0" w:after="0" w:afterAutospacing="0" w:line="480" w:lineRule="exact"/>
              <w:ind w:left="0" w:right="0" w:firstLine="480" w:firstLineChars="200"/>
              <w:rPr>
                <w:bCs/>
                <w:sz w:val="24"/>
              </w:rPr>
            </w:pPr>
            <w:r>
              <w:rPr>
                <w:sz w:val="24"/>
              </w:rPr>
              <w:t>经核实磷酸铁锂电池为一般固体废物（一般固废代码：900-999-13）。</w:t>
            </w:r>
            <w:r>
              <w:rPr>
                <w:rFonts w:hint="eastAsia" w:ascii="Times New Roman"/>
                <w:sz w:val="24"/>
                <w:szCs w:val="24"/>
              </w:rPr>
              <w:t>根据《国家危险废物名录</w:t>
            </w:r>
            <w:r>
              <w:rPr>
                <w:rFonts w:ascii="Times New Roman"/>
                <w:sz w:val="24"/>
                <w:szCs w:val="24"/>
              </w:rPr>
              <w:t>(2021年版)</w:t>
            </w:r>
            <w:r>
              <w:rPr>
                <w:rFonts w:hint="eastAsia" w:ascii="Times New Roman"/>
                <w:sz w:val="24"/>
                <w:szCs w:val="24"/>
              </w:rPr>
              <w:t>》，本项目废旧磷酸铁锂电池产生周期一般为8~10年，平均产生量约为0</w:t>
            </w:r>
            <w:r>
              <w:rPr>
                <w:rFonts w:ascii="Times New Roman"/>
                <w:sz w:val="24"/>
                <w:szCs w:val="24"/>
              </w:rPr>
              <w:t>.05</w:t>
            </w:r>
            <w:r>
              <w:rPr>
                <w:rFonts w:hint="eastAsia" w:ascii="Times New Roman"/>
                <w:sz w:val="24"/>
                <w:szCs w:val="24"/>
              </w:rPr>
              <w:t>t</w:t>
            </w:r>
            <w:r>
              <w:rPr>
                <w:rFonts w:ascii="Times New Roman"/>
                <w:sz w:val="24"/>
                <w:szCs w:val="24"/>
              </w:rPr>
              <w:t>/</w:t>
            </w:r>
            <w:r>
              <w:rPr>
                <w:rFonts w:hint="eastAsia" w:ascii="Times New Roman"/>
                <w:sz w:val="24"/>
                <w:szCs w:val="24"/>
              </w:rPr>
              <w:t>a，不属于危险废物，</w:t>
            </w:r>
            <w:r>
              <w:rPr>
                <w:sz w:val="24"/>
              </w:rPr>
              <w:t>收集后暂存于升压站</w:t>
            </w:r>
            <w:r>
              <w:rPr>
                <w:rFonts w:hint="eastAsia"/>
                <w:sz w:val="24"/>
              </w:rPr>
              <w:t>辅助用房内</w:t>
            </w:r>
            <w:r>
              <w:rPr>
                <w:rFonts w:hint="eastAsia" w:ascii="Times New Roman"/>
                <w:sz w:val="24"/>
                <w:szCs w:val="24"/>
              </w:rPr>
              <w:t>，直接由设备厂家回收处理，不会造成固体废弃物影响。</w:t>
            </w:r>
            <w:r>
              <w:rPr>
                <w:kern w:val="0"/>
                <w:sz w:val="24"/>
              </w:rPr>
              <w:t>一般固废处置满足《一般工业固体废物贮存和填埋污染控制标准》</w:t>
            </w:r>
            <w:r>
              <w:rPr>
                <w:bCs/>
                <w:sz w:val="24"/>
              </w:rPr>
              <w:t>（GB18599-2020）要求。</w:t>
            </w:r>
          </w:p>
          <w:p>
            <w:pPr>
              <w:keepNext w:val="0"/>
              <w:keepLines w:val="0"/>
              <w:widowControl/>
              <w:suppressLineNumbers w:val="0"/>
              <w:autoSpaceDE w:val="0"/>
              <w:autoSpaceDN w:val="0"/>
              <w:spacing w:before="0" w:beforeAutospacing="0" w:after="0" w:afterAutospacing="0" w:line="480" w:lineRule="exact"/>
              <w:ind w:left="0" w:right="0" w:firstLine="480" w:firstLineChars="200"/>
              <w:rPr>
                <w:bCs/>
                <w:sz w:val="24"/>
              </w:rPr>
            </w:pPr>
            <w:r>
              <w:rPr>
                <w:rFonts w:hint="eastAsia"/>
                <w:bCs/>
                <w:sz w:val="24"/>
              </w:rPr>
              <w:t>（3）主变压器</w:t>
            </w:r>
            <w:r>
              <w:rPr>
                <w:bCs/>
                <w:sz w:val="24"/>
              </w:rPr>
              <w:t>检修时</w:t>
            </w:r>
            <w:r>
              <w:rPr>
                <w:rFonts w:hint="eastAsia"/>
                <w:bCs/>
                <w:sz w:val="24"/>
              </w:rPr>
              <w:t>产生的</w:t>
            </w:r>
            <w:r>
              <w:rPr>
                <w:bCs/>
                <w:sz w:val="24"/>
              </w:rPr>
              <w:t>废变压器油</w:t>
            </w:r>
          </w:p>
          <w:p>
            <w:pPr>
              <w:keepNext w:val="0"/>
              <w:keepLines w:val="0"/>
              <w:widowControl/>
              <w:suppressLineNumbers w:val="0"/>
              <w:autoSpaceDE w:val="0"/>
              <w:autoSpaceDN w:val="0"/>
              <w:spacing w:before="0" w:beforeAutospacing="0" w:after="0" w:afterAutospacing="0" w:line="480" w:lineRule="exact"/>
              <w:ind w:left="0" w:right="0" w:firstLine="480" w:firstLineChars="200"/>
              <w:rPr>
                <w:sz w:val="24"/>
                <w:szCs w:val="24"/>
              </w:rPr>
            </w:pPr>
            <w:r>
              <w:rPr>
                <w:rFonts w:hint="eastAsia"/>
                <w:bCs/>
                <w:sz w:val="24"/>
              </w:rPr>
              <w:t>主变压器</w:t>
            </w:r>
            <w:r>
              <w:rPr>
                <w:bCs/>
                <w:sz w:val="24"/>
              </w:rPr>
              <w:t>检修时废变压器油属于危险废物（HW08，900-220-08），产生量约</w:t>
            </w:r>
            <w:r>
              <w:rPr>
                <w:rFonts w:hint="eastAsia"/>
                <w:bCs/>
                <w:sz w:val="24"/>
              </w:rPr>
              <w:t>0.15</w:t>
            </w:r>
            <w:r>
              <w:rPr>
                <w:bCs/>
                <w:sz w:val="24"/>
              </w:rPr>
              <w:t>t/a，统一收集后，</w:t>
            </w:r>
            <w:r>
              <w:rPr>
                <w:rFonts w:hint="eastAsia"/>
                <w:bCs/>
                <w:sz w:val="24"/>
                <w:lang w:val="en-US" w:eastAsia="zh-CN"/>
              </w:rPr>
              <w:t>暂存于危废暂存间</w:t>
            </w:r>
            <w:r>
              <w:rPr>
                <w:bCs/>
                <w:sz w:val="24"/>
              </w:rPr>
              <w:t>，</w:t>
            </w:r>
            <w:r>
              <w:rPr>
                <w:rFonts w:hint="eastAsia"/>
                <w:bCs/>
                <w:sz w:val="24"/>
              </w:rPr>
              <w:t>最终</w:t>
            </w:r>
            <w:r>
              <w:rPr>
                <w:bCs/>
                <w:sz w:val="24"/>
              </w:rPr>
              <w:t>交</w:t>
            </w:r>
            <w:r>
              <w:rPr>
                <w:rFonts w:hint="eastAsia"/>
                <w:bCs/>
                <w:sz w:val="24"/>
              </w:rPr>
              <w:t>由承德双然环保科技有限公司运输至乐亭县海畅环保科技有限公司处理</w:t>
            </w:r>
            <w:r>
              <w:rPr>
                <w:rFonts w:hint="eastAsia"/>
                <w:sz w:val="24"/>
                <w:szCs w:val="24"/>
              </w:rPr>
              <w:t>。</w:t>
            </w:r>
          </w:p>
          <w:p>
            <w:pPr>
              <w:pStyle w:val="20"/>
              <w:keepNext w:val="0"/>
              <w:keepLines w:val="0"/>
              <w:widowControl w:val="0"/>
              <w:suppressLineNumbers w:val="0"/>
              <w:adjustRightInd w:val="0"/>
              <w:spacing w:before="0" w:beforeAutospacing="0" w:after="0" w:afterAutospacing="0" w:line="480" w:lineRule="exact"/>
              <w:ind w:left="0" w:right="0" w:firstLine="480" w:firstLineChars="200"/>
              <w:rPr>
                <w:sz w:val="24"/>
                <w:szCs w:val="24"/>
              </w:rPr>
            </w:pPr>
            <w:r>
              <w:rPr>
                <w:rFonts w:hint="eastAsia"/>
                <w:sz w:val="24"/>
                <w:szCs w:val="24"/>
              </w:rPr>
              <w:t>（4）</w:t>
            </w:r>
            <w:r>
              <w:rPr>
                <w:sz w:val="24"/>
                <w:szCs w:val="24"/>
              </w:rPr>
              <w:t>事故状态下的废变压器油</w:t>
            </w:r>
          </w:p>
          <w:p>
            <w:pPr>
              <w:keepNext w:val="0"/>
              <w:keepLines w:val="0"/>
              <w:widowControl/>
              <w:suppressLineNumbers w:val="0"/>
              <w:autoSpaceDE w:val="0"/>
              <w:autoSpaceDN w:val="0"/>
              <w:spacing w:before="0" w:beforeAutospacing="0" w:after="0" w:afterAutospacing="0" w:line="480" w:lineRule="exact"/>
              <w:ind w:left="0" w:right="0" w:firstLine="480" w:firstLineChars="200"/>
              <w:rPr>
                <w:kern w:val="0"/>
                <w:sz w:val="24"/>
              </w:rPr>
            </w:pPr>
            <w:r>
              <w:rPr>
                <w:bCs/>
                <w:sz w:val="24"/>
              </w:rPr>
              <w:t>本项目主变压器事故状态下（如变压器密封件老化开裂、检修人员操作不当、油箱开裂等）产生的废变压器油（HW08，</w:t>
            </w:r>
            <w:r>
              <w:rPr>
                <w:kern w:val="0"/>
                <w:sz w:val="24"/>
              </w:rPr>
              <w:t>900-220-08</w:t>
            </w:r>
            <w:r>
              <w:rPr>
                <w:bCs/>
                <w:sz w:val="24"/>
              </w:rPr>
              <w:t>）。</w:t>
            </w:r>
            <w:r>
              <w:rPr>
                <w:rFonts w:hint="eastAsia"/>
                <w:bCs/>
                <w:sz w:val="24"/>
              </w:rPr>
              <w:t>主</w:t>
            </w:r>
            <w:r>
              <w:rPr>
                <w:bCs/>
                <w:sz w:val="24"/>
              </w:rPr>
              <w:t>变压器事故</w:t>
            </w:r>
            <w:r>
              <w:rPr>
                <w:rFonts w:hint="eastAsia"/>
                <w:bCs/>
                <w:sz w:val="24"/>
              </w:rPr>
              <w:t>油</w:t>
            </w:r>
            <w:r>
              <w:rPr>
                <w:bCs/>
                <w:sz w:val="24"/>
              </w:rPr>
              <w:t>暂存升压站</w:t>
            </w:r>
            <w:r>
              <w:rPr>
                <w:rFonts w:hint="eastAsia"/>
                <w:bCs/>
                <w:sz w:val="24"/>
              </w:rPr>
              <w:t>新建</w:t>
            </w:r>
            <w:r>
              <w:rPr>
                <w:bCs/>
                <w:sz w:val="24"/>
              </w:rPr>
              <w:t>事故池内</w:t>
            </w:r>
            <w:r>
              <w:rPr>
                <w:rFonts w:hint="eastAsia"/>
                <w:bCs/>
                <w:sz w:val="24"/>
              </w:rPr>
              <w:t>，</w:t>
            </w:r>
            <w:r>
              <w:rPr>
                <w:rFonts w:hint="eastAsia"/>
                <w:sz w:val="24"/>
              </w:rPr>
              <w:t>由承德双然环保科技有限公司运输至乐亭县海畅环保科技有限公司处理</w:t>
            </w:r>
            <w:r>
              <w:rPr>
                <w:sz w:val="24"/>
              </w:rPr>
              <w:t>。</w:t>
            </w:r>
          </w:p>
          <w:p>
            <w:pPr>
              <w:pStyle w:val="20"/>
              <w:keepNext w:val="0"/>
              <w:keepLines w:val="0"/>
              <w:widowControl w:val="0"/>
              <w:suppressLineNumbers w:val="0"/>
              <w:adjustRightInd w:val="0"/>
              <w:spacing w:before="0" w:beforeAutospacing="0" w:after="0" w:afterAutospacing="0" w:line="480" w:lineRule="exact"/>
              <w:ind w:left="0" w:right="0" w:firstLine="480" w:firstLineChars="200"/>
              <w:rPr>
                <w:sz w:val="24"/>
                <w:szCs w:val="24"/>
              </w:rPr>
            </w:pPr>
            <w:r>
              <w:rPr>
                <w:rFonts w:hint="eastAsia"/>
                <w:sz w:val="24"/>
                <w:szCs w:val="24"/>
              </w:rPr>
              <w:t>（5）</w:t>
            </w:r>
            <w:r>
              <w:rPr>
                <w:sz w:val="24"/>
                <w:szCs w:val="24"/>
              </w:rPr>
              <w:t>废铅酸蓄电池</w:t>
            </w:r>
          </w:p>
          <w:p>
            <w:pPr>
              <w:keepNext w:val="0"/>
              <w:keepLines w:val="0"/>
              <w:widowControl/>
              <w:suppressLineNumbers w:val="0"/>
              <w:adjustRightInd w:val="0"/>
              <w:snapToGrid w:val="0"/>
              <w:spacing w:before="0" w:beforeAutospacing="0" w:after="0" w:afterAutospacing="0" w:line="480" w:lineRule="exact"/>
              <w:ind w:left="0" w:right="0" w:firstLine="480" w:firstLineChars="200"/>
              <w:rPr>
                <w:bCs/>
                <w:sz w:val="24"/>
              </w:rPr>
            </w:pPr>
            <w:r>
              <w:rPr>
                <w:sz w:val="24"/>
                <w:szCs w:val="24"/>
              </w:rPr>
              <w:t>厂区自动化设备需要安装</w:t>
            </w:r>
            <w:r>
              <w:rPr>
                <w:rFonts w:hint="eastAsia"/>
                <w:sz w:val="24"/>
                <w:szCs w:val="24"/>
              </w:rPr>
              <w:t>2组容量为500ah（额定电压2V）的</w:t>
            </w:r>
            <w:r>
              <w:rPr>
                <w:sz w:val="24"/>
                <w:szCs w:val="24"/>
              </w:rPr>
              <w:t>免维护</w:t>
            </w:r>
            <w:r>
              <w:rPr>
                <w:rFonts w:hint="eastAsia"/>
                <w:sz w:val="24"/>
                <w:szCs w:val="24"/>
              </w:rPr>
              <w:t>铅酸</w:t>
            </w:r>
            <w:r>
              <w:rPr>
                <w:sz w:val="24"/>
                <w:szCs w:val="24"/>
              </w:rPr>
              <w:t>蓄电池</w:t>
            </w:r>
            <w:r>
              <w:rPr>
                <w:rFonts w:hint="eastAsia"/>
                <w:sz w:val="24"/>
                <w:szCs w:val="24"/>
              </w:rPr>
              <w:t>，每组104只</w:t>
            </w:r>
            <w:r>
              <w:rPr>
                <w:sz w:val="24"/>
                <w:szCs w:val="24"/>
              </w:rPr>
              <w:t>，</w:t>
            </w:r>
            <w:r>
              <w:rPr>
                <w:rFonts w:hint="eastAsia"/>
                <w:sz w:val="24"/>
                <w:szCs w:val="24"/>
              </w:rPr>
              <w:t>单只重量约30kg，总重量</w:t>
            </w:r>
            <w:r>
              <w:rPr>
                <w:sz w:val="24"/>
                <w:szCs w:val="24"/>
              </w:rPr>
              <w:t>约</w:t>
            </w:r>
            <w:r>
              <w:rPr>
                <w:rFonts w:hint="eastAsia"/>
                <w:sz w:val="24"/>
                <w:szCs w:val="24"/>
              </w:rPr>
              <w:t>6.24</w:t>
            </w:r>
            <w:r>
              <w:rPr>
                <w:sz w:val="24"/>
                <w:szCs w:val="24"/>
              </w:rPr>
              <w:t>t，免维护蓄电池使用寿命约10年，服务期满交</w:t>
            </w:r>
            <w:r>
              <w:rPr>
                <w:sz w:val="24"/>
              </w:rPr>
              <w:t>废铅酸蓄电池</w:t>
            </w:r>
            <w:r>
              <w:rPr>
                <w:rFonts w:hint="eastAsia"/>
                <w:sz w:val="24"/>
              </w:rPr>
              <w:t>暂存于危废间定期由承德雅舍再生资源回收有限公司运输、回收处理</w:t>
            </w:r>
            <w:r>
              <w:rPr>
                <w:sz w:val="24"/>
                <w:szCs w:val="24"/>
              </w:rPr>
              <w:t>。</w:t>
            </w:r>
          </w:p>
          <w:p>
            <w:pPr>
              <w:pStyle w:val="20"/>
              <w:keepNext w:val="0"/>
              <w:keepLines w:val="0"/>
              <w:widowControl w:val="0"/>
              <w:suppressLineNumbers w:val="0"/>
              <w:adjustRightInd w:val="0"/>
              <w:spacing w:before="0" w:beforeAutospacing="0" w:after="0" w:afterAutospacing="0" w:line="480" w:lineRule="exact"/>
              <w:ind w:left="0" w:right="0" w:firstLine="480" w:firstLineChars="200"/>
              <w:rPr>
                <w:sz w:val="24"/>
                <w:szCs w:val="24"/>
              </w:rPr>
            </w:pPr>
            <w:r>
              <w:rPr>
                <w:rFonts w:hint="eastAsia"/>
                <w:sz w:val="24"/>
                <w:szCs w:val="24"/>
              </w:rPr>
              <w:t>（6）沾油抹布</w:t>
            </w:r>
          </w:p>
          <w:p>
            <w:pPr>
              <w:pStyle w:val="20"/>
              <w:keepNext w:val="0"/>
              <w:keepLines w:val="0"/>
              <w:widowControl w:val="0"/>
              <w:suppressLineNumbers w:val="0"/>
              <w:adjustRightInd w:val="0"/>
              <w:spacing w:before="0" w:beforeAutospacing="0" w:after="0" w:afterAutospacing="0" w:line="480" w:lineRule="exact"/>
              <w:ind w:left="0" w:right="0" w:firstLine="480" w:firstLineChars="200"/>
              <w:rPr>
                <w:sz w:val="24"/>
                <w:szCs w:val="24"/>
              </w:rPr>
            </w:pPr>
            <w:r>
              <w:rPr>
                <w:rFonts w:hint="eastAsia"/>
                <w:sz w:val="24"/>
                <w:szCs w:val="24"/>
              </w:rPr>
              <w:t>主变压器在检修时擦拭废油及事故状态下擦拭事故油产生的沾油抹布（HW49，900-041-49），暂存于升压站危废间内，定期交由承德双然环保科技有限公司运输至乐亭县海畅环保科技有限公司处理。</w:t>
            </w:r>
          </w:p>
          <w:p>
            <w:pPr>
              <w:pStyle w:val="20"/>
              <w:keepNext w:val="0"/>
              <w:keepLines w:val="0"/>
              <w:widowControl w:val="0"/>
              <w:suppressLineNumbers w:val="0"/>
              <w:adjustRightInd w:val="0"/>
              <w:spacing w:before="0" w:beforeAutospacing="0" w:after="0" w:afterAutospacing="0" w:line="480" w:lineRule="exact"/>
              <w:ind w:left="0" w:right="0" w:firstLine="480" w:firstLineChars="200"/>
              <w:rPr>
                <w:sz w:val="24"/>
                <w:szCs w:val="24"/>
              </w:rPr>
            </w:pPr>
            <w:r>
              <w:rPr>
                <w:rFonts w:hint="eastAsia"/>
                <w:sz w:val="24"/>
                <w:szCs w:val="24"/>
              </w:rPr>
              <w:t>根据《国家危险废物名录(2021年版)》(部令第15号)，废铅酸蓄电池属危险废物(HW31 900-052-31)，废变压器油（变压器检修废油、变压器事故油）属危险废物(HW08 900-220-08)，沾油抹布（HW49，900-041-49），应按《危险废物贮存污染控制标准》(GB 18597-2023)及修改单和《危险废物收集、贮存、运输技术规范》(HJ 2025-2012)要求进行收集、贮存及运输、处置。危险废物汇总表见表4-4。</w:t>
            </w:r>
          </w:p>
          <w:p>
            <w:pPr>
              <w:keepNext w:val="0"/>
              <w:keepLines w:val="0"/>
              <w:widowControl/>
              <w:suppressLineNumbers w:val="0"/>
              <w:adjustRightInd w:val="0"/>
              <w:snapToGrid w:val="0"/>
              <w:spacing w:before="0" w:beforeAutospacing="0" w:after="0" w:afterAutospacing="0" w:line="360" w:lineRule="auto"/>
              <w:ind w:left="0" w:right="0"/>
              <w:jc w:val="center"/>
              <w:rPr>
                <w:rFonts w:ascii="Times New Roman"/>
                <w:b/>
                <w:bCs/>
                <w:kern w:val="0"/>
                <w:sz w:val="24"/>
                <w:szCs w:val="24"/>
              </w:rPr>
            </w:pPr>
            <w:r>
              <w:rPr>
                <w:rFonts w:ascii="Times New Roman"/>
                <w:b/>
                <w:bCs/>
                <w:kern w:val="0"/>
                <w:sz w:val="24"/>
                <w:szCs w:val="24"/>
              </w:rPr>
              <w:t>表4-</w:t>
            </w:r>
            <w:r>
              <w:rPr>
                <w:rFonts w:hint="eastAsia" w:ascii="Times New Roman"/>
                <w:b/>
                <w:bCs/>
                <w:kern w:val="0"/>
                <w:sz w:val="24"/>
                <w:szCs w:val="24"/>
              </w:rPr>
              <w:t>4</w:t>
            </w:r>
            <w:r>
              <w:rPr>
                <w:rFonts w:ascii="Times New Roman"/>
                <w:b/>
                <w:bCs/>
                <w:kern w:val="0"/>
                <w:sz w:val="24"/>
                <w:szCs w:val="24"/>
              </w:rPr>
              <w:t xml:space="preserve">  危险废物汇总表</w:t>
            </w:r>
          </w:p>
          <w:tbl>
            <w:tblPr>
              <w:tblStyle w:val="54"/>
              <w:tblW w:w="47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5"/>
              <w:gridCol w:w="545"/>
              <w:gridCol w:w="856"/>
              <w:gridCol w:w="631"/>
              <w:gridCol w:w="1123"/>
              <w:gridCol w:w="954"/>
              <w:gridCol w:w="329"/>
              <w:gridCol w:w="850"/>
              <w:gridCol w:w="820"/>
              <w:gridCol w:w="964"/>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序号</w:t>
                  </w:r>
                </w:p>
              </w:tc>
              <w:tc>
                <w:tcPr>
                  <w:tcW w:w="1365" w:type="dxa"/>
                  <w:gridSpan w:val="2"/>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危险废物名称</w:t>
                  </w:r>
                </w:p>
              </w:tc>
              <w:tc>
                <w:tcPr>
                  <w:tcW w:w="615"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危险废物类别</w:t>
                  </w:r>
                </w:p>
              </w:tc>
              <w:tc>
                <w:tcPr>
                  <w:tcW w:w="1095"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危险废物</w:t>
                  </w:r>
                </w:p>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代码</w:t>
                  </w:r>
                </w:p>
              </w:tc>
              <w:tc>
                <w:tcPr>
                  <w:tcW w:w="930"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产生工序及装置</w:t>
                  </w:r>
                </w:p>
              </w:tc>
              <w:tc>
                <w:tcPr>
                  <w:tcW w:w="321"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形态</w:t>
                  </w:r>
                </w:p>
              </w:tc>
              <w:tc>
                <w:tcPr>
                  <w:tcW w:w="829"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有害</w:t>
                  </w:r>
                </w:p>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成分</w:t>
                  </w:r>
                </w:p>
              </w:tc>
              <w:tc>
                <w:tcPr>
                  <w:tcW w:w="799"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产废</w:t>
                  </w:r>
                </w:p>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周期</w:t>
                  </w:r>
                </w:p>
              </w:tc>
              <w:tc>
                <w:tcPr>
                  <w:tcW w:w="940"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产生量</w:t>
                  </w:r>
                </w:p>
              </w:tc>
              <w:tc>
                <w:tcPr>
                  <w:tcW w:w="814"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危险</w:t>
                  </w:r>
                </w:p>
                <w:p>
                  <w:pPr>
                    <w:keepNext w:val="0"/>
                    <w:keepLines w:val="0"/>
                    <w:widowControl/>
                    <w:suppressLineNumbers w:val="0"/>
                    <w:topLinePunct/>
                    <w:adjustRightInd w:val="0"/>
                    <w:snapToGrid w:val="0"/>
                    <w:spacing w:before="0" w:beforeAutospacing="0" w:after="0" w:afterAutospacing="0"/>
                    <w:ind w:left="0" w:right="0"/>
                    <w:jc w:val="center"/>
                    <w:rPr>
                      <w:rFonts w:ascii="Times New Roman"/>
                      <w:b/>
                      <w:spacing w:val="-10"/>
                      <w:kern w:val="0"/>
                    </w:rPr>
                  </w:pPr>
                  <w:r>
                    <w:rPr>
                      <w:rFonts w:ascii="Times New Roman"/>
                      <w:b/>
                      <w:spacing w:val="-10"/>
                      <w:kern w:val="0"/>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spacing w:val="-10"/>
                      <w:kern w:val="0"/>
                    </w:rPr>
                    <w:t>1</w:t>
                  </w:r>
                </w:p>
              </w:tc>
              <w:tc>
                <w:tcPr>
                  <w:tcW w:w="1365" w:type="dxa"/>
                  <w:gridSpan w:val="2"/>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spacing w:val="-4"/>
                    </w:rPr>
                    <w:t>废铅酸蓄</w:t>
                  </w:r>
                  <w:r>
                    <w:rPr>
                      <w:spacing w:val="-6"/>
                    </w:rPr>
                    <w:t>电池</w:t>
                  </w:r>
                </w:p>
              </w:tc>
              <w:tc>
                <w:tcPr>
                  <w:tcW w:w="615"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spacing w:val="-4"/>
                    </w:rPr>
                    <w:t>HW31</w:t>
                  </w:r>
                </w:p>
              </w:tc>
              <w:tc>
                <w:tcPr>
                  <w:tcW w:w="1095"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spacing w:val="-2"/>
                    </w:rPr>
                    <w:t>900-</w:t>
                  </w:r>
                  <w:r>
                    <w:rPr>
                      <w:rFonts w:ascii="Times New Roman"/>
                      <w:spacing w:val="-5"/>
                    </w:rPr>
                    <w:t>05</w:t>
                  </w:r>
                  <w:r>
                    <w:rPr>
                      <w:rFonts w:ascii="Times New Roman"/>
                      <w:spacing w:val="-2"/>
                    </w:rPr>
                    <w:t>2-</w:t>
                  </w:r>
                  <w:r>
                    <w:rPr>
                      <w:rFonts w:ascii="Times New Roman"/>
                      <w:spacing w:val="-5"/>
                    </w:rPr>
                    <w:t>31</w:t>
                  </w:r>
                </w:p>
              </w:tc>
              <w:tc>
                <w:tcPr>
                  <w:tcW w:w="930"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spacing w:val="-4"/>
                    </w:rPr>
                    <w:t>升压站电气设备</w:t>
                  </w:r>
                </w:p>
              </w:tc>
              <w:tc>
                <w:tcPr>
                  <w:tcW w:w="321"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spacing w:val="-8"/>
                    </w:rPr>
                    <w:t>固态</w:t>
                  </w:r>
                </w:p>
              </w:tc>
              <w:tc>
                <w:tcPr>
                  <w:tcW w:w="829"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spacing w:val="-5"/>
                    </w:rPr>
                    <w:t>铅、酸</w:t>
                  </w:r>
                </w:p>
              </w:tc>
              <w:tc>
                <w:tcPr>
                  <w:tcW w:w="799"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1</w:t>
                  </w:r>
                  <w:r>
                    <w:rPr>
                      <w:rFonts w:ascii="Times New Roman"/>
                      <w:spacing w:val="-10"/>
                      <w:kern w:val="0"/>
                    </w:rPr>
                    <w:t>0</w:t>
                  </w:r>
                  <w:r>
                    <w:rPr>
                      <w:rFonts w:hint="eastAsia" w:ascii="Times New Roman"/>
                      <w:spacing w:val="-10"/>
                      <w:kern w:val="0"/>
                    </w:rPr>
                    <w:t>年</w:t>
                  </w:r>
                </w:p>
              </w:tc>
              <w:tc>
                <w:tcPr>
                  <w:tcW w:w="940"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eastAsia="Times New Roman"/>
                    </w:rPr>
                    <w:t>6.24t/10a</w:t>
                  </w:r>
                </w:p>
              </w:tc>
              <w:tc>
                <w:tcPr>
                  <w:tcW w:w="814"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eastAsia="Times New Roman"/>
                      <w:spacing w:val="-5"/>
                    </w:rPr>
                    <w:t>T</w:t>
                  </w:r>
                  <w:r>
                    <w:rPr>
                      <w:spacing w:val="-5"/>
                    </w:rPr>
                    <w:t>，</w:t>
                  </w:r>
                  <w:r>
                    <w:rPr>
                      <w:rFonts w:ascii="Times New Roman" w:eastAsia="Times New Roman"/>
                      <w:spacing w:val="-5"/>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288" w:type="dxa"/>
                  <w:vMerge w:val="restart"/>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spacing w:val="-10"/>
                      <w:kern w:val="0"/>
                    </w:rPr>
                    <w:t>2</w:t>
                  </w:r>
                </w:p>
              </w:tc>
              <w:tc>
                <w:tcPr>
                  <w:tcW w:w="531" w:type="dxa"/>
                  <w:vMerge w:val="restart"/>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废变压器油</w:t>
                  </w:r>
                </w:p>
              </w:tc>
              <w:tc>
                <w:tcPr>
                  <w:tcW w:w="834"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检修废油</w:t>
                  </w:r>
                </w:p>
              </w:tc>
              <w:tc>
                <w:tcPr>
                  <w:tcW w:w="615" w:type="dxa"/>
                  <w:vMerge w:val="restart"/>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spacing w:val="-4"/>
                    </w:rPr>
                    <w:t>HW08</w:t>
                  </w:r>
                </w:p>
              </w:tc>
              <w:tc>
                <w:tcPr>
                  <w:tcW w:w="1095" w:type="dxa"/>
                  <w:vMerge w:val="restart"/>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spacing w:val="-2"/>
                    </w:rPr>
                    <w:t>900-</w:t>
                  </w:r>
                  <w:r>
                    <w:rPr>
                      <w:rFonts w:ascii="Times New Roman"/>
                      <w:spacing w:val="-5"/>
                    </w:rPr>
                    <w:t>22</w:t>
                  </w:r>
                  <w:r>
                    <w:rPr>
                      <w:rFonts w:ascii="Times New Roman"/>
                      <w:spacing w:val="-2"/>
                    </w:rPr>
                    <w:t>0-</w:t>
                  </w:r>
                  <w:r>
                    <w:rPr>
                      <w:rFonts w:ascii="Times New Roman"/>
                      <w:spacing w:val="-5"/>
                    </w:rPr>
                    <w:t>08</w:t>
                  </w:r>
                </w:p>
              </w:tc>
              <w:tc>
                <w:tcPr>
                  <w:tcW w:w="930"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变压器</w:t>
                  </w:r>
                </w:p>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检修</w:t>
                  </w:r>
                </w:p>
              </w:tc>
              <w:tc>
                <w:tcPr>
                  <w:tcW w:w="321" w:type="dxa"/>
                  <w:vMerge w:val="restart"/>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spacing w:val="-8"/>
                    </w:rPr>
                    <w:t>液态</w:t>
                  </w:r>
                </w:p>
              </w:tc>
              <w:tc>
                <w:tcPr>
                  <w:tcW w:w="829" w:type="dxa"/>
                  <w:vMerge w:val="restart"/>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spacing w:val="-8"/>
                    </w:rPr>
                    <w:t>油类</w:t>
                  </w:r>
                </w:p>
              </w:tc>
              <w:tc>
                <w:tcPr>
                  <w:tcW w:w="799"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1年</w:t>
                  </w:r>
                </w:p>
              </w:tc>
              <w:tc>
                <w:tcPr>
                  <w:tcW w:w="940"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eastAsia="Times New Roman"/>
                    </w:rPr>
                    <w:t>0.15</w:t>
                  </w:r>
                  <w:r>
                    <w:rPr>
                      <w:rFonts w:ascii="Times New Roman" w:eastAsia="Times New Roman"/>
                    </w:rPr>
                    <w:t>t/1a</w:t>
                  </w:r>
                </w:p>
              </w:tc>
              <w:tc>
                <w:tcPr>
                  <w:tcW w:w="814" w:type="dxa"/>
                  <w:vMerge w:val="restart"/>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eastAsia="Times New Roman"/>
                      <w:spacing w:val="-5"/>
                    </w:rPr>
                    <w:t>T</w:t>
                  </w:r>
                  <w:r>
                    <w:rPr>
                      <w:spacing w:val="-5"/>
                    </w:rPr>
                    <w:t>，</w:t>
                  </w:r>
                  <w:r>
                    <w:rPr>
                      <w:rFonts w:ascii="Times New Roman" w:eastAsia="Times New Roman"/>
                      <w:spacing w:val="-5"/>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288" w:type="dxa"/>
                  <w:vMerge w:val="continue"/>
                  <w:vAlign w:val="center"/>
                </w:tcPr>
                <w:p>
                  <w:pPr>
                    <w:keepNext w:val="0"/>
                    <w:keepLines w:val="0"/>
                    <w:widowControl/>
                    <w:suppressLineNumbers w:val="0"/>
                    <w:topLinePunct/>
                    <w:adjustRightInd w:val="0"/>
                    <w:snapToGrid w:val="0"/>
                    <w:spacing w:before="0" w:beforeAutospacing="0" w:after="0" w:afterAutospacing="0"/>
                    <w:ind w:left="0" w:right="0"/>
                    <w:jc w:val="center"/>
                  </w:pPr>
                </w:p>
              </w:tc>
              <w:tc>
                <w:tcPr>
                  <w:tcW w:w="531" w:type="dxa"/>
                  <w:vMerge w:val="continue"/>
                  <w:vAlign w:val="center"/>
                </w:tcPr>
                <w:p>
                  <w:pPr>
                    <w:keepNext w:val="0"/>
                    <w:keepLines w:val="0"/>
                    <w:widowControl/>
                    <w:suppressLineNumbers w:val="0"/>
                    <w:topLinePunct/>
                    <w:adjustRightInd w:val="0"/>
                    <w:snapToGrid w:val="0"/>
                    <w:spacing w:before="0" w:beforeAutospacing="0" w:after="0" w:afterAutospacing="0"/>
                    <w:ind w:left="0" w:right="0"/>
                    <w:jc w:val="center"/>
                  </w:pPr>
                </w:p>
              </w:tc>
              <w:tc>
                <w:tcPr>
                  <w:tcW w:w="834"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事故油</w:t>
                  </w:r>
                </w:p>
              </w:tc>
              <w:tc>
                <w:tcPr>
                  <w:tcW w:w="615" w:type="dxa"/>
                  <w:vMerge w:val="continue"/>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p>
              </w:tc>
              <w:tc>
                <w:tcPr>
                  <w:tcW w:w="1095" w:type="dxa"/>
                  <w:vMerge w:val="continue"/>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p>
              </w:tc>
              <w:tc>
                <w:tcPr>
                  <w:tcW w:w="930"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事故</w:t>
                  </w:r>
                </w:p>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状态下</w:t>
                  </w:r>
                </w:p>
              </w:tc>
              <w:tc>
                <w:tcPr>
                  <w:tcW w:w="321" w:type="dxa"/>
                  <w:vMerge w:val="continue"/>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p>
              </w:tc>
              <w:tc>
                <w:tcPr>
                  <w:tcW w:w="829" w:type="dxa"/>
                  <w:vMerge w:val="continue"/>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p>
              </w:tc>
              <w:tc>
                <w:tcPr>
                  <w:tcW w:w="799"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w:t>
                  </w:r>
                </w:p>
              </w:tc>
              <w:tc>
                <w:tcPr>
                  <w:tcW w:w="940"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60t/a</w:t>
                  </w:r>
                </w:p>
              </w:tc>
              <w:tc>
                <w:tcPr>
                  <w:tcW w:w="814" w:type="dxa"/>
                  <w:vMerge w:val="continue"/>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4" w:hRule="atLeast"/>
                <w:jc w:val="center"/>
              </w:trPr>
              <w:tc>
                <w:tcPr>
                  <w:tcW w:w="288" w:type="dxa"/>
                  <w:vAlign w:val="center"/>
                </w:tcPr>
                <w:p>
                  <w:pPr>
                    <w:keepNext w:val="0"/>
                    <w:keepLines w:val="0"/>
                    <w:widowControl/>
                    <w:suppressLineNumbers w:val="0"/>
                    <w:topLinePunct/>
                    <w:adjustRightInd w:val="0"/>
                    <w:snapToGrid w:val="0"/>
                    <w:spacing w:before="0" w:beforeAutospacing="0" w:after="0" w:afterAutospacing="0"/>
                    <w:ind w:left="0" w:right="0"/>
                    <w:jc w:val="center"/>
                  </w:pPr>
                  <w:r>
                    <w:rPr>
                      <w:rFonts w:ascii="Times New Roman"/>
                    </w:rPr>
                    <w:t>3</w:t>
                  </w:r>
                </w:p>
              </w:tc>
              <w:tc>
                <w:tcPr>
                  <w:tcW w:w="1365" w:type="dxa"/>
                  <w:gridSpan w:val="2"/>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沾油抹布</w:t>
                  </w:r>
                </w:p>
              </w:tc>
              <w:tc>
                <w:tcPr>
                  <w:tcW w:w="615"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spacing w:val="-4"/>
                    </w:rPr>
                    <w:t>HW</w:t>
                  </w:r>
                  <w:r>
                    <w:rPr>
                      <w:rFonts w:hint="eastAsia" w:ascii="Times New Roman"/>
                      <w:spacing w:val="-4"/>
                    </w:rPr>
                    <w:t>49</w:t>
                  </w:r>
                </w:p>
              </w:tc>
              <w:tc>
                <w:tcPr>
                  <w:tcW w:w="1095"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spacing w:val="-2"/>
                    </w:rPr>
                    <w:t>900-</w:t>
                  </w:r>
                  <w:r>
                    <w:rPr>
                      <w:rFonts w:hint="eastAsia" w:ascii="Times New Roman"/>
                      <w:spacing w:val="-5"/>
                    </w:rPr>
                    <w:t>041</w:t>
                  </w:r>
                  <w:r>
                    <w:rPr>
                      <w:rFonts w:ascii="Times New Roman"/>
                      <w:spacing w:val="-2"/>
                    </w:rPr>
                    <w:t>-</w:t>
                  </w:r>
                  <w:r>
                    <w:rPr>
                      <w:rFonts w:hint="eastAsia" w:ascii="Times New Roman"/>
                      <w:spacing w:val="-2"/>
                    </w:rPr>
                    <w:t>49</w:t>
                  </w:r>
                </w:p>
              </w:tc>
              <w:tc>
                <w:tcPr>
                  <w:tcW w:w="930"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检修及事故状态下</w:t>
                  </w:r>
                </w:p>
              </w:tc>
              <w:tc>
                <w:tcPr>
                  <w:tcW w:w="321"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固态</w:t>
                  </w:r>
                </w:p>
              </w:tc>
              <w:tc>
                <w:tcPr>
                  <w:tcW w:w="829"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spacing w:val="-8"/>
                    </w:rPr>
                    <w:t>油类</w:t>
                  </w:r>
                </w:p>
              </w:tc>
              <w:tc>
                <w:tcPr>
                  <w:tcW w:w="799"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w:t>
                  </w:r>
                </w:p>
              </w:tc>
              <w:tc>
                <w:tcPr>
                  <w:tcW w:w="940"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hint="eastAsia" w:ascii="Times New Roman"/>
                      <w:spacing w:val="-10"/>
                      <w:kern w:val="0"/>
                    </w:rPr>
                    <w:t>/</w:t>
                  </w:r>
                </w:p>
              </w:tc>
              <w:tc>
                <w:tcPr>
                  <w:tcW w:w="814" w:type="dxa"/>
                  <w:vAlign w:val="center"/>
                </w:tcPr>
                <w:p>
                  <w:pPr>
                    <w:keepNext w:val="0"/>
                    <w:keepLines w:val="0"/>
                    <w:widowControl/>
                    <w:suppressLineNumbers w:val="0"/>
                    <w:topLinePunct/>
                    <w:adjustRightInd w:val="0"/>
                    <w:snapToGrid w:val="0"/>
                    <w:spacing w:before="0" w:beforeAutospacing="0" w:after="0" w:afterAutospacing="0"/>
                    <w:ind w:left="0" w:right="0"/>
                    <w:jc w:val="center"/>
                    <w:rPr>
                      <w:rFonts w:ascii="Times New Roman"/>
                      <w:spacing w:val="-10"/>
                      <w:kern w:val="0"/>
                    </w:rPr>
                  </w:pPr>
                  <w:r>
                    <w:rPr>
                      <w:rFonts w:ascii="Times New Roman" w:eastAsia="Times New Roman"/>
                      <w:spacing w:val="-5"/>
                    </w:rPr>
                    <w:t>T</w:t>
                  </w:r>
                  <w:r>
                    <w:rPr>
                      <w:spacing w:val="-5"/>
                    </w:rPr>
                    <w:t>，</w:t>
                  </w:r>
                  <w:r>
                    <w:rPr>
                      <w:rFonts w:ascii="Times New Roman" w:eastAsia="Times New Roman"/>
                      <w:spacing w:val="-5"/>
                    </w:rPr>
                    <w:t>I</w:t>
                  </w:r>
                  <w:r>
                    <w:rPr>
                      <w:rFonts w:hint="eastAsia" w:ascii="Times New Roman"/>
                      <w:spacing w:val="-5"/>
                    </w:rPr>
                    <w:t>n</w:t>
                  </w:r>
                </w:p>
              </w:tc>
            </w:tr>
          </w:tbl>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highlight w:val="yellow"/>
              </w:rPr>
            </w:pPr>
            <w:r>
              <w:rPr>
                <w:rFonts w:hint="eastAsia" w:ascii="Times New Roman"/>
                <w:sz w:val="24"/>
                <w:szCs w:val="24"/>
              </w:rPr>
              <w:t>（7）危险废物储存</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本项目设置危险废物暂存间1座，面积约85.25m</w:t>
            </w:r>
            <w:r>
              <w:rPr>
                <w:rFonts w:hint="eastAsia" w:ascii="Times New Roman"/>
                <w:sz w:val="24"/>
                <w:szCs w:val="24"/>
                <w:vertAlign w:val="superscript"/>
              </w:rPr>
              <w:t>2</w:t>
            </w:r>
            <w:r>
              <w:rPr>
                <w:rFonts w:hint="eastAsia" w:ascii="Times New Roman"/>
                <w:sz w:val="24"/>
                <w:szCs w:val="24"/>
              </w:rPr>
              <w:t>。</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危废暂存间按照《危险废物贮存污染控制标准》(GB</w:t>
            </w:r>
            <w:r>
              <w:rPr>
                <w:rFonts w:ascii="Times New Roman"/>
                <w:sz w:val="24"/>
                <w:szCs w:val="24"/>
              </w:rPr>
              <w:t xml:space="preserve"> </w:t>
            </w:r>
            <w:r>
              <w:rPr>
                <w:rFonts w:hint="eastAsia" w:ascii="Times New Roman"/>
                <w:sz w:val="24"/>
                <w:szCs w:val="24"/>
              </w:rPr>
              <w:t>18597-20</w:t>
            </w:r>
            <w:r>
              <w:rPr>
                <w:rFonts w:ascii="Times New Roman"/>
                <w:sz w:val="24"/>
                <w:szCs w:val="24"/>
              </w:rPr>
              <w:t>23</w:t>
            </w:r>
            <w:r>
              <w:rPr>
                <w:rFonts w:hint="eastAsia" w:ascii="Times New Roman"/>
                <w:sz w:val="24"/>
                <w:szCs w:val="24"/>
              </w:rPr>
              <w:t>)要求设置，危废暂存间内地面、墙面裙脚、堵截泄漏的围堰、表面无裂缝。</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地面与裙脚采取表面防渗且表面防渗材料与本项目危险废物相容。地面进行基础防渗，防渗层为至少1m厚黏土层(渗透系数不大于10</w:t>
            </w:r>
            <w:r>
              <w:rPr>
                <w:rFonts w:hint="eastAsia" w:ascii="Times New Roman"/>
                <w:sz w:val="24"/>
                <w:szCs w:val="24"/>
                <w:vertAlign w:val="superscript"/>
              </w:rPr>
              <w:t>-7</w:t>
            </w:r>
            <w:r>
              <w:rPr>
                <w:rFonts w:hint="eastAsia" w:ascii="Times New Roman"/>
                <w:sz w:val="24"/>
                <w:szCs w:val="24"/>
              </w:rPr>
              <w:t>cm/s)，或至少2mm厚高密度聚乙烯膜等人工防渗材料(渗透系数不大于10</w:t>
            </w:r>
            <w:r>
              <w:rPr>
                <w:rFonts w:hint="eastAsia" w:ascii="Times New Roman"/>
                <w:sz w:val="24"/>
                <w:szCs w:val="24"/>
                <w:vertAlign w:val="superscript"/>
              </w:rPr>
              <w:t>-10</w:t>
            </w:r>
            <w:r>
              <w:rPr>
                <w:rFonts w:hint="eastAsia" w:ascii="Times New Roman"/>
                <w:sz w:val="24"/>
                <w:szCs w:val="24"/>
              </w:rPr>
              <w:t>cm/s)，或其他防渗性能等效的材料。</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危废间采用相同的防渗、防腐工艺，防渗、防腐材料覆盖所有可能与废物及其渗滤液、渗漏液等接触的构筑物表面。</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危废暂存间设立危险废物警示标志，房间设置双人双锁，由专人进行管理，做好危险废物排放量及处置记录；危险废物堆要防风、防雨、防晒；废旧蓄电池采用专用的容器或托盘存放，并粘贴符合GB18597要求的危险废物标签，贮存过程中禁止擅自拆解、破碎、丢弃；禁止倾倒含铅酸性电解质；对装有危废的容器进行定期检查，容器泄漏损坏时必须立即处理，并将危废装入完好容器内；制定危险废物管理计划。</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本项目主变油重约为60t，变压器油密度为0.9g/mL，经计算所需事故油</w:t>
            </w:r>
            <w:r>
              <w:rPr>
                <w:rFonts w:hint="eastAsia" w:ascii="Times New Roman"/>
                <w:sz w:val="24"/>
                <w:szCs w:val="24"/>
              </w:rPr>
              <w:t>池</w:t>
            </w:r>
            <w:r>
              <w:rPr>
                <w:rFonts w:ascii="Times New Roman"/>
                <w:sz w:val="24"/>
                <w:szCs w:val="24"/>
              </w:rPr>
              <w:t>体积约为66.67m</w:t>
            </w:r>
            <w:r>
              <w:rPr>
                <w:rFonts w:ascii="Times New Roman"/>
                <w:sz w:val="24"/>
                <w:szCs w:val="24"/>
                <w:vertAlign w:val="superscript"/>
              </w:rPr>
              <w:t>3</w:t>
            </w:r>
            <w:r>
              <w:rPr>
                <w:rFonts w:ascii="Times New Roman"/>
                <w:sz w:val="24"/>
                <w:szCs w:val="24"/>
              </w:rPr>
              <w:t>，本项目设置事故油池体积为</w:t>
            </w:r>
            <w:r>
              <w:rPr>
                <w:rFonts w:hint="eastAsia" w:ascii="Times New Roman"/>
                <w:sz w:val="24"/>
                <w:szCs w:val="24"/>
              </w:rPr>
              <w:t>153</w:t>
            </w:r>
            <w:r>
              <w:rPr>
                <w:rFonts w:ascii="Times New Roman"/>
                <w:sz w:val="24"/>
                <w:szCs w:val="24"/>
              </w:rPr>
              <w:t>m</w:t>
            </w:r>
            <w:r>
              <w:rPr>
                <w:rFonts w:ascii="Times New Roman"/>
                <w:sz w:val="24"/>
                <w:szCs w:val="24"/>
                <w:vertAlign w:val="superscript"/>
              </w:rPr>
              <w:t>3</w:t>
            </w:r>
            <w:r>
              <w:rPr>
                <w:rFonts w:hint="eastAsia" w:ascii="Times New Roman"/>
                <w:sz w:val="24"/>
                <w:szCs w:val="24"/>
              </w:rPr>
              <w:t>，做重点防渗处理，具体要求为：地面与裙脚采取表面防渗且表面防渗材料与本项目危险废物相容。地面进行基础防渗，防渗层为至少1m厚黏土层(渗透系数不大于10</w:t>
            </w:r>
            <w:r>
              <w:rPr>
                <w:rFonts w:hint="eastAsia" w:ascii="Times New Roman"/>
                <w:sz w:val="24"/>
                <w:szCs w:val="24"/>
                <w:vertAlign w:val="superscript"/>
              </w:rPr>
              <w:t>-7</w:t>
            </w:r>
            <w:r>
              <w:rPr>
                <w:rFonts w:hint="eastAsia" w:ascii="Times New Roman"/>
                <w:sz w:val="24"/>
                <w:szCs w:val="24"/>
              </w:rPr>
              <w:t>cm/s)，或至少2mm厚高密度聚乙烯膜等人工防渗材料(渗透系数不大于10</w:t>
            </w:r>
            <w:r>
              <w:rPr>
                <w:rFonts w:hint="eastAsia" w:ascii="Times New Roman"/>
                <w:sz w:val="24"/>
                <w:szCs w:val="24"/>
                <w:vertAlign w:val="superscript"/>
              </w:rPr>
              <w:t>-10</w:t>
            </w:r>
            <w:r>
              <w:rPr>
                <w:rFonts w:hint="eastAsia" w:ascii="Times New Roman"/>
                <w:sz w:val="24"/>
                <w:szCs w:val="24"/>
              </w:rPr>
              <w:t>cm/s)，发生事故时，排出的事故油暂存于事故油池，避免泄漏对地下水产生污染影响。</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（8）危险废物管理简述</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危险废物贮存单位建立危险废物贮存的台帐制度，并做好危险废物出入库交接记录。为防范环境风险，河北省新修订的审批工作程序对申报企业提出了严格要求。申报单位需在网上如实填报申请表、实施计划等信息；实施转移的所有关键环节照片或视频资料需至少保留3年供抽查。环保部门可随时对转移过程中的运输工具、人员资质，废物种类、数量，企业报备、危险废物转移联单等情况进行核查。企业需按照国家环境保护总局令1999年第5号《危险废物转移联单管理办法》要求，于每年12月31日前向有批准权的环境保护行政主管部门申报次年危险废物转移年度计划，经批准后按计划转移。危险废物转移年度计划应当包括拟转移危险废物的种类、特性、数量、运输单位、接受单位、利用和处置方案、转移时间和次数等内容。按照国家《危险废物环境影响评价指南》、《危险废物转移联单管理办法》的规定。企业在转移危险废物前，报批危险废物转移计划，申请领取联单。在转移前三日内报告当地生态环境局，每转移一次同类危险废物，填写一份联单；每次有多类危险废物时，分别填写联单，并加盖公章。交付运输单位核实验收签字后，将联单第一联副联自留存档，将联单第二联交环保主管部门。</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（9）危险废物运输、处置及措施可行性分析</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本项目拟通过承德双然环保科技有限公司对危险废物进行运输，承德双然环保科技有限公司具备危险货物运输资质，其道路运输经营许可证经营范围包括：危险货物运输(第3类、第9类、医疗废物、危险废物)3类汽油、柴油9类、废蓄电池(锂电池组)、医疗废物、危险废物，其运输资质涵盖本项目涉及的危险废物，能够满足本项目危险废物运输需要。</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本项目废变压器油危险废物处置拟通过乐亭县海畅环保科技有限公司，该公司具备危险废物收集、贮存、利用、处置资质，其危险废物经营许可证经营类别包括——综合利用类别：HW08废矿物油与含矿物油废物(900-199-08(油泥除外)、900-201-08、900-203-08、900-209-08(废石蜡除外)、900-214-08、900-216-08、900-217-08、900-218-08、900-219-08、900-220-08、900-249-08、398-001-08)，HW09油水、烃/水混合物或乳化液，HW08废矿物油与含矿物油废物(900-249-08)、HW49其他废物(900-041-49)(特指用于接收HW08、HW09类危险废物产生的废弃包装物、容器)；焚烧处置类别；HW02医药废物，HW03废药物、药品，HW04农药废物，HW06废有机溶剂与含有机溶剂废物，HW08废矿物油与含矿物油废物，HW09油水、烃/水混合物或乳化液，HW11精(蒸)馏残渣，HW12染料、涂料废物，HW13有机树脂类废物，HW16感光材料废物，HW39含酚废物，HW40含醚废物，HW49其他废物(除309-001-49、900-044-49、900-045-49、900-053-49外)。其危险废物经营许可类别涵盖本项目涉及的危险废物，且经营规模远大于本项目危险废物产生量，能够满足项目危险废物处置需要。</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本项目废旧铅酸蓄电池将委托承德雅舍再生资源回收有限公司进行运输、回收处理，依据承德市生态环境局《关于同意承德雅舍再生资源回收有限公司废铅蓄电池集中收集试点经营资质延续的复函》(承环函[2023]2号)，该单位收集类别:废铅蓄电池(900-052-31)集中收集贮存转运，收集地域范围：河北省，经营规模为：1850吨/年，可充分接纳本项目所产生的危险废物。</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综上，本项目固体废物全部妥善处理，不会对周围环境产生明显影响。</w:t>
            </w:r>
          </w:p>
          <w:p>
            <w:pPr>
              <w:keepNext w:val="0"/>
              <w:keepLines w:val="0"/>
              <w:widowControl/>
              <w:suppressLineNumbers w:val="0"/>
              <w:spacing w:before="0" w:beforeAutospacing="0" w:after="0" w:afterAutospacing="0" w:line="360" w:lineRule="auto"/>
              <w:ind w:left="0" w:right="0" w:firstLine="482" w:firstLineChars="200"/>
              <w:rPr>
                <w:rFonts w:ascii="Times New Roman"/>
                <w:b/>
                <w:sz w:val="24"/>
                <w:szCs w:val="24"/>
              </w:rPr>
            </w:pPr>
            <w:r>
              <w:rPr>
                <w:rFonts w:ascii="Times New Roman"/>
                <w:b/>
                <w:sz w:val="24"/>
                <w:szCs w:val="24"/>
              </w:rPr>
              <w:t>7、地下水、土壤影响分析</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本项目地下水、土壤污染源主要为变压器事故油池。</w:t>
            </w:r>
            <w:r>
              <w:rPr>
                <w:rFonts w:hint="eastAsia" w:ascii="Times New Roman"/>
                <w:sz w:val="24"/>
                <w:szCs w:val="24"/>
              </w:rPr>
              <w:t>为避免升压站事故油、废旧蓄电池、污水对土壤、地下水造成污染影响，项目进行分区防渗，其中、事故池、输油管路属重点防渗区，采用抗渗混凝土进行防渗，等效黏土层Mb≥6.0m、K≤1.0×10</w:t>
            </w:r>
            <w:r>
              <w:rPr>
                <w:rFonts w:hint="eastAsia" w:ascii="Times New Roman"/>
                <w:sz w:val="24"/>
                <w:szCs w:val="24"/>
                <w:vertAlign w:val="superscript"/>
              </w:rPr>
              <w:t>-10</w:t>
            </w:r>
            <w:r>
              <w:rPr>
                <w:rFonts w:hint="eastAsia" w:ascii="Times New Roman"/>
                <w:sz w:val="24"/>
                <w:szCs w:val="24"/>
              </w:rPr>
              <w:t>cm/s；化粪池等属于一般防渗区，等效黏土层Mb≥1.5m、K≤1.0×10</w:t>
            </w:r>
            <w:r>
              <w:rPr>
                <w:rFonts w:hint="eastAsia" w:ascii="Times New Roman"/>
                <w:sz w:val="24"/>
                <w:szCs w:val="24"/>
                <w:vertAlign w:val="superscript"/>
              </w:rPr>
              <w:t>-7</w:t>
            </w:r>
            <w:r>
              <w:rPr>
                <w:rFonts w:hint="eastAsia" w:ascii="Times New Roman"/>
                <w:sz w:val="24"/>
                <w:szCs w:val="24"/>
              </w:rPr>
              <w:t>cm/s或参照GB16889执行；其他区域属简单防渗区，采取地面硬化。危废间按照</w:t>
            </w:r>
            <w:r>
              <w:rPr>
                <w:rFonts w:ascii="Times New Roman"/>
                <w:sz w:val="24"/>
                <w:szCs w:val="24"/>
              </w:rPr>
              <w:t>《危险废物贮存污染控制标准》(GB 18597-2023)要求</w:t>
            </w:r>
            <w:r>
              <w:rPr>
                <w:rFonts w:hint="eastAsia" w:ascii="Times New Roman"/>
                <w:sz w:val="24"/>
                <w:szCs w:val="24"/>
              </w:rPr>
              <w:t>建设，地面进行基础防渗，防渗层为至少1m厚黏土层(渗透系数不大于10</w:t>
            </w:r>
            <w:r>
              <w:rPr>
                <w:rFonts w:hint="eastAsia" w:ascii="Times New Roman"/>
                <w:sz w:val="24"/>
                <w:szCs w:val="24"/>
                <w:vertAlign w:val="superscript"/>
              </w:rPr>
              <w:t>-7</w:t>
            </w:r>
            <w:r>
              <w:rPr>
                <w:rFonts w:hint="eastAsia" w:ascii="Times New Roman"/>
                <w:sz w:val="24"/>
                <w:szCs w:val="24"/>
              </w:rPr>
              <w:t>cm/s)，或至少2mm厚高密度聚乙烯膜等人工防渗材料(渗透系数不大于10</w:t>
            </w:r>
            <w:r>
              <w:rPr>
                <w:rFonts w:hint="eastAsia" w:ascii="Times New Roman"/>
                <w:sz w:val="24"/>
                <w:szCs w:val="24"/>
                <w:vertAlign w:val="superscript"/>
              </w:rPr>
              <w:t>-10</w:t>
            </w:r>
            <w:r>
              <w:rPr>
                <w:rFonts w:hint="eastAsia" w:ascii="Times New Roman"/>
                <w:sz w:val="24"/>
                <w:szCs w:val="24"/>
              </w:rPr>
              <w:t>cm/s)。</w:t>
            </w:r>
          </w:p>
          <w:p>
            <w:pPr>
              <w:keepNext w:val="0"/>
              <w:keepLines w:val="0"/>
              <w:widowControl/>
              <w:suppressLineNumbers w:val="0"/>
              <w:spacing w:before="0" w:beforeAutospacing="0" w:after="0" w:afterAutospacing="0" w:line="360" w:lineRule="auto"/>
              <w:ind w:left="0" w:right="0" w:firstLine="482" w:firstLineChars="200"/>
              <w:rPr>
                <w:rFonts w:ascii="Times New Roman"/>
                <w:b/>
                <w:sz w:val="24"/>
                <w:szCs w:val="24"/>
              </w:rPr>
            </w:pPr>
            <w:r>
              <w:rPr>
                <w:rFonts w:ascii="Times New Roman"/>
                <w:b/>
                <w:sz w:val="24"/>
                <w:szCs w:val="24"/>
              </w:rPr>
              <w:t>8、环境风险分析</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根据《建设项目环境风险评价技术导则》(HJ/T</w:t>
            </w:r>
            <w:r>
              <w:rPr>
                <w:rFonts w:ascii="Times New Roman"/>
                <w:sz w:val="24"/>
                <w:szCs w:val="24"/>
              </w:rPr>
              <w:t xml:space="preserve"> </w:t>
            </w:r>
            <w:r>
              <w:rPr>
                <w:rFonts w:hint="eastAsia" w:ascii="Times New Roman"/>
                <w:sz w:val="24"/>
                <w:szCs w:val="24"/>
              </w:rPr>
              <w:t>169-2018)要求，对于涉及有毒有害和易燃易爆危险物质生产、使用、储存(包括使用管线输运)的建设项目可能发生的突发性事故(不包括人为破坏及自然灾害引发的事故)进行环境风险评价。</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(1)风险调查</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对照《建设项目环境风险评价技术导则》(HJ169-2018)附录B，对其按有毒有害、易燃易爆物质逐个分类识别判定，本项目涉及的风险物质主要为使用环节的变压器油和铅酸蓄电池。考虑铅酸蓄电池虽然为危险物质但根据《建设项目环境风险评价技术导则》(HJ169-2018)附录B中并未计入其临界量，因此只计算废变压器油与其临界量比值Q计算。</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(2)风险潜势判定</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根据《建设项目环境风险评价技术导则》(HJ/T</w:t>
            </w:r>
            <w:r>
              <w:rPr>
                <w:rFonts w:ascii="Times New Roman"/>
                <w:sz w:val="24"/>
                <w:szCs w:val="24"/>
              </w:rPr>
              <w:t xml:space="preserve"> </w:t>
            </w:r>
            <w:r>
              <w:rPr>
                <w:rFonts w:hint="eastAsia" w:ascii="Times New Roman"/>
                <w:sz w:val="24"/>
                <w:szCs w:val="24"/>
              </w:rPr>
              <w:t>169-2018)，当只涉及一种危险物质时计算该物质的总量与其临界量的比值，即为Q；</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当存在多种危险物质时，则按下面公式计算物质总量与其临界量的比值(Q)：</w:t>
            </w:r>
          </w:p>
          <w:p>
            <w:pPr>
              <w:keepNext w:val="0"/>
              <w:keepLines w:val="0"/>
              <w:widowControl/>
              <w:suppressLineNumbers w:val="0"/>
              <w:spacing w:before="0" w:beforeAutospacing="0" w:after="0" w:afterAutospacing="0" w:line="360" w:lineRule="auto"/>
              <w:ind w:left="0" w:right="0" w:firstLine="480" w:firstLineChars="200"/>
              <w:rPr>
                <w:rFonts w:ascii="Times New Roman"/>
                <w:i/>
                <w:sz w:val="24"/>
                <w:szCs w:val="24"/>
              </w:rPr>
            </w:pPr>
            <m:oMathPara>
              <m:oMath>
                <m:r>
                  <m:rPr/>
                  <w:rPr>
                    <w:rFonts w:ascii="Cambria Math" w:hAnsi="Cambria Math"/>
                    <w:sz w:val="24"/>
                    <w:szCs w:val="24"/>
                  </w:rPr>
                  <m:t>Q=</m:t>
                </m:r>
                <m:f>
                  <m:fPr>
                    <m:ctrlPr>
                      <w:rPr>
                        <w:rFonts w:ascii="Cambria Math" w:hAnsi="Cambria Math"/>
                        <w:i/>
                        <w:sz w:val="24"/>
                        <w:szCs w:val="24"/>
                      </w:rPr>
                    </m:ctrlPr>
                  </m:fPr>
                  <m:num>
                    <m:sSub>
                      <m:sSubPr>
                        <m:ctrlPr>
                          <w:rPr>
                            <w:rFonts w:ascii="Cambria Math" w:hAnsi="Cambria Math"/>
                            <w:i/>
                            <w:sz w:val="24"/>
                            <w:szCs w:val="24"/>
                          </w:rPr>
                        </m:ctrlPr>
                      </m:sSubPr>
                      <m:e>
                        <m:r>
                          <m:rPr/>
                          <w:rPr>
                            <w:rFonts w:hint="eastAsia" w:ascii="Cambria Math" w:hAnsi="Cambria Math"/>
                            <w:sz w:val="24"/>
                            <w:szCs w:val="24"/>
                          </w:rPr>
                          <m:t>q</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w:rPr>
                            <w:rFonts w:hint="eastAsia" w:ascii="Cambria Math" w:hAnsi="Cambria Math"/>
                            <w:sz w:val="24"/>
                            <w:szCs w:val="24"/>
                          </w:rPr>
                          <m:t>q</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w:rPr>
                            <w:rFonts w:hint="eastAsia" w:ascii="Cambria Math" w:hAnsi="Cambria Math"/>
                            <w:sz w:val="24"/>
                            <w:szCs w:val="24"/>
                          </w:rPr>
                          <m:t>q</m:t>
                        </m:r>
                        <m:ctrlPr>
                          <w:rPr>
                            <w:rFonts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den>
                </m:f>
              </m:oMath>
            </m:oMathPara>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式中：</w:t>
            </w:r>
            <w:r>
              <w:rPr>
                <w:rFonts w:hint="eastAsia" w:ascii="Times New Roman"/>
                <w:i/>
                <w:iCs/>
                <w:sz w:val="24"/>
                <w:szCs w:val="24"/>
              </w:rPr>
              <w:t>q</w:t>
            </w:r>
            <w:r>
              <w:rPr>
                <w:rFonts w:hint="eastAsia" w:ascii="Times New Roman"/>
                <w:i/>
                <w:iCs/>
                <w:sz w:val="24"/>
                <w:szCs w:val="24"/>
                <w:vertAlign w:val="subscript"/>
              </w:rPr>
              <w:t>1</w:t>
            </w:r>
            <w:r>
              <w:rPr>
                <w:rFonts w:hint="eastAsia" w:ascii="Times New Roman"/>
                <w:sz w:val="24"/>
                <w:szCs w:val="24"/>
              </w:rPr>
              <w:t>，</w:t>
            </w:r>
            <w:r>
              <w:rPr>
                <w:rFonts w:hint="eastAsia" w:ascii="Times New Roman"/>
                <w:i/>
                <w:iCs/>
                <w:sz w:val="24"/>
                <w:szCs w:val="24"/>
              </w:rPr>
              <w:t>q</w:t>
            </w:r>
            <w:r>
              <w:rPr>
                <w:rFonts w:hint="eastAsia" w:ascii="Times New Roman"/>
                <w:i/>
                <w:iCs/>
                <w:sz w:val="24"/>
                <w:szCs w:val="24"/>
                <w:vertAlign w:val="subscript"/>
              </w:rPr>
              <w:t>2</w:t>
            </w:r>
            <w:r>
              <w:rPr>
                <w:rFonts w:hint="eastAsia" w:ascii="Times New Roman"/>
                <w:sz w:val="24"/>
                <w:szCs w:val="24"/>
              </w:rPr>
              <w:t>····</w:t>
            </w:r>
            <w:r>
              <w:rPr>
                <w:rFonts w:hint="eastAsia" w:ascii="Times New Roman"/>
                <w:i/>
                <w:iCs/>
                <w:sz w:val="24"/>
                <w:szCs w:val="24"/>
              </w:rPr>
              <w:t>q</w:t>
            </w:r>
            <w:r>
              <w:rPr>
                <w:rFonts w:hint="eastAsia" w:ascii="Times New Roman"/>
                <w:i/>
                <w:iCs/>
                <w:sz w:val="24"/>
                <w:szCs w:val="24"/>
                <w:vertAlign w:val="subscript"/>
              </w:rPr>
              <w:t>n</w:t>
            </w:r>
            <w:r>
              <w:rPr>
                <w:rFonts w:hint="eastAsia" w:ascii="Times New Roman"/>
                <w:sz w:val="24"/>
                <w:szCs w:val="24"/>
              </w:rPr>
              <w:t>—每种危险物质的最大存在总量，t。</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i/>
                <w:iCs/>
                <w:sz w:val="24"/>
                <w:szCs w:val="24"/>
              </w:rPr>
              <w:t>Q</w:t>
            </w:r>
            <w:r>
              <w:rPr>
                <w:rFonts w:hint="eastAsia" w:ascii="Times New Roman"/>
                <w:i/>
                <w:iCs/>
                <w:sz w:val="24"/>
                <w:szCs w:val="24"/>
                <w:vertAlign w:val="subscript"/>
              </w:rPr>
              <w:t>1</w:t>
            </w:r>
            <w:r>
              <w:rPr>
                <w:rFonts w:hint="eastAsia" w:ascii="Times New Roman"/>
                <w:sz w:val="24"/>
                <w:szCs w:val="24"/>
              </w:rPr>
              <w:t>，</w:t>
            </w:r>
            <w:r>
              <w:rPr>
                <w:rFonts w:hint="eastAsia" w:ascii="Times New Roman"/>
                <w:i/>
                <w:iCs/>
                <w:sz w:val="24"/>
                <w:szCs w:val="24"/>
              </w:rPr>
              <w:t>Q</w:t>
            </w:r>
            <w:r>
              <w:rPr>
                <w:rFonts w:hint="eastAsia" w:ascii="Times New Roman"/>
                <w:i/>
                <w:iCs/>
                <w:sz w:val="24"/>
                <w:szCs w:val="24"/>
                <w:vertAlign w:val="subscript"/>
              </w:rPr>
              <w:t>2</w:t>
            </w:r>
            <w:r>
              <w:rPr>
                <w:rFonts w:hint="eastAsia" w:ascii="Times New Roman"/>
                <w:sz w:val="24"/>
                <w:szCs w:val="24"/>
              </w:rPr>
              <w:t>···</w:t>
            </w:r>
            <w:r>
              <w:rPr>
                <w:rFonts w:hint="eastAsia" w:ascii="Times New Roman"/>
                <w:i/>
                <w:iCs/>
                <w:sz w:val="24"/>
                <w:szCs w:val="24"/>
              </w:rPr>
              <w:t>Q</w:t>
            </w:r>
            <w:r>
              <w:rPr>
                <w:rFonts w:hint="eastAsia" w:ascii="Times New Roman"/>
                <w:i/>
                <w:iCs/>
                <w:sz w:val="24"/>
                <w:szCs w:val="24"/>
                <w:vertAlign w:val="subscript"/>
              </w:rPr>
              <w:t>n</w:t>
            </w:r>
            <w:r>
              <w:rPr>
                <w:rFonts w:hint="eastAsia" w:ascii="Times New Roman"/>
                <w:sz w:val="24"/>
                <w:szCs w:val="24"/>
              </w:rPr>
              <w:t>—每种危险物质的临界量，t。</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当Q&lt;1时，该项目环境风险潜势为Ⅰ。</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当Q≥1时候，将Q值划分为：(1)1≤Q&lt;10；(2)10≤Q&lt;100；(3)Q≥100。</w:t>
            </w:r>
          </w:p>
          <w:p>
            <w:pPr>
              <w:keepNext w:val="0"/>
              <w:keepLines w:val="0"/>
              <w:widowControl/>
              <w:suppressLineNumbers w:val="0"/>
              <w:spacing w:before="0" w:beforeAutospacing="0" w:after="0" w:afterAutospacing="0" w:line="360" w:lineRule="auto"/>
              <w:ind w:left="0" w:right="0" w:firstLine="480" w:firstLineChars="200"/>
              <w:rPr>
                <w:rFonts w:ascii="Times New Roman"/>
                <w:b/>
                <w:bCs/>
                <w:sz w:val="24"/>
                <w:szCs w:val="24"/>
              </w:rPr>
            </w:pPr>
            <w:r>
              <w:rPr>
                <w:rFonts w:hint="eastAsia" w:ascii="Times New Roman"/>
                <w:sz w:val="24"/>
                <w:szCs w:val="24"/>
              </w:rPr>
              <w:t>本项目危险物质及临界量的比值</w:t>
            </w:r>
            <w:r>
              <w:rPr>
                <w:rFonts w:hint="eastAsia" w:ascii="Times New Roman"/>
                <w:i/>
                <w:iCs/>
                <w:sz w:val="24"/>
                <w:szCs w:val="24"/>
              </w:rPr>
              <w:t>Q</w:t>
            </w:r>
            <w:r>
              <w:rPr>
                <w:rFonts w:hint="eastAsia" w:ascii="Times New Roman"/>
                <w:sz w:val="24"/>
                <w:szCs w:val="24"/>
              </w:rPr>
              <w:t>值计算如表4</w:t>
            </w:r>
            <w:r>
              <w:rPr>
                <w:rFonts w:ascii="Times New Roman"/>
                <w:sz w:val="24"/>
                <w:szCs w:val="24"/>
              </w:rPr>
              <w:t>-</w:t>
            </w:r>
            <w:r>
              <w:rPr>
                <w:rFonts w:hint="eastAsia" w:ascii="Times New Roman"/>
                <w:sz w:val="24"/>
                <w:szCs w:val="24"/>
              </w:rPr>
              <w:t>5。</w:t>
            </w:r>
          </w:p>
          <w:p>
            <w:pPr>
              <w:keepNext w:val="0"/>
              <w:keepLines w:val="0"/>
              <w:widowControl/>
              <w:suppressLineNumbers w:val="0"/>
              <w:spacing w:before="0" w:beforeAutospacing="0" w:after="0" w:afterAutospacing="0" w:line="360" w:lineRule="auto"/>
              <w:ind w:left="0" w:right="0"/>
              <w:jc w:val="center"/>
              <w:rPr>
                <w:rFonts w:ascii="Times New Roman"/>
                <w:b/>
                <w:bCs/>
                <w:sz w:val="24"/>
                <w:szCs w:val="24"/>
              </w:rPr>
            </w:pPr>
          </w:p>
          <w:p>
            <w:pPr>
              <w:keepNext w:val="0"/>
              <w:keepLines w:val="0"/>
              <w:widowControl/>
              <w:suppressLineNumbers w:val="0"/>
              <w:spacing w:before="0" w:beforeAutospacing="0" w:after="0" w:afterAutospacing="0" w:line="360" w:lineRule="auto"/>
              <w:ind w:left="0" w:right="0"/>
              <w:jc w:val="center"/>
              <w:rPr>
                <w:rFonts w:ascii="Times New Roman"/>
                <w:b/>
                <w:bCs/>
                <w:sz w:val="24"/>
                <w:szCs w:val="24"/>
              </w:rPr>
            </w:pPr>
            <w:r>
              <w:rPr>
                <w:rFonts w:hint="eastAsia" w:ascii="Times New Roman"/>
                <w:b/>
                <w:bCs/>
                <w:sz w:val="24"/>
                <w:szCs w:val="24"/>
              </w:rPr>
              <w:t xml:space="preserve">表4-5 </w:t>
            </w:r>
            <w:r>
              <w:rPr>
                <w:rFonts w:ascii="Times New Roman"/>
                <w:b/>
                <w:bCs/>
                <w:sz w:val="24"/>
                <w:szCs w:val="24"/>
              </w:rPr>
              <w:t xml:space="preserve"> </w:t>
            </w:r>
            <w:r>
              <w:rPr>
                <w:rFonts w:hint="eastAsia" w:ascii="Times New Roman"/>
                <w:b/>
                <w:bCs/>
                <w:sz w:val="24"/>
                <w:szCs w:val="24"/>
              </w:rPr>
              <w:t>危险物质及其临界量的比值Q值计算</w:t>
            </w:r>
          </w:p>
          <w:tbl>
            <w:tblPr>
              <w:tblStyle w:val="9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2150"/>
              <w:gridCol w:w="1705"/>
              <w:gridCol w:w="17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44" w:type="dxa"/>
                  <w:tcBorders>
                    <w:left w:val="nil"/>
                  </w:tcBorders>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物质名称</w:t>
                  </w:r>
                </w:p>
              </w:tc>
              <w:tc>
                <w:tcPr>
                  <w:tcW w:w="2150"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最大储存量(t)</w:t>
                  </w:r>
                </w:p>
              </w:tc>
              <w:tc>
                <w:tcPr>
                  <w:tcW w:w="1705" w:type="dxa"/>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临界量(t)</w:t>
                  </w:r>
                </w:p>
              </w:tc>
              <w:tc>
                <w:tcPr>
                  <w:tcW w:w="1733" w:type="dxa"/>
                  <w:tcBorders>
                    <w:right w:val="nil"/>
                  </w:tcBorders>
                  <w:vAlign w:val="center"/>
                </w:tcPr>
                <w:p>
                  <w:pPr>
                    <w:widowControl w:val="0"/>
                    <w:autoSpaceDE w:val="0"/>
                    <w:autoSpaceDN w:val="0"/>
                    <w:jc w:val="center"/>
                    <w:rPr>
                      <w:rFonts w:ascii="Times New Roman" w:hAnsi="Calibri"/>
                      <w:b/>
                      <w:bCs/>
                      <w:lang w:eastAsia="en-US"/>
                    </w:rPr>
                  </w:pPr>
                  <w:r>
                    <w:rPr>
                      <w:rFonts w:ascii="Times New Roman" w:hAnsi="Calibri"/>
                      <w:b/>
                      <w:bCs/>
                      <w:lang w:eastAsia="en-US"/>
                    </w:rPr>
                    <w:t>Q值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2044" w:type="dxa"/>
                  <w:tcBorders>
                    <w:left w:val="nil"/>
                  </w:tcBorders>
                  <w:vAlign w:val="center"/>
                </w:tcPr>
                <w:p>
                  <w:pPr>
                    <w:widowControl w:val="0"/>
                    <w:autoSpaceDE w:val="0"/>
                    <w:autoSpaceDN w:val="0"/>
                    <w:jc w:val="center"/>
                    <w:rPr>
                      <w:rFonts w:hint="default" w:ascii="Times New Roman" w:hAnsi="Calibri" w:eastAsia="宋体"/>
                      <w:color w:val="auto"/>
                      <w:lang w:val="en-US" w:eastAsia="zh-CN"/>
                    </w:rPr>
                  </w:pPr>
                  <w:r>
                    <w:rPr>
                      <w:rFonts w:hint="eastAsia" w:ascii="Times New Roman" w:hAnsi="Calibri"/>
                      <w:color w:val="auto"/>
                      <w:lang w:val="en-US" w:eastAsia="zh-CN"/>
                    </w:rPr>
                    <w:t>主变压器油</w:t>
                  </w:r>
                </w:p>
              </w:tc>
              <w:tc>
                <w:tcPr>
                  <w:tcW w:w="2150" w:type="dxa"/>
                  <w:vAlign w:val="center"/>
                </w:tcPr>
                <w:p>
                  <w:pPr>
                    <w:widowControl w:val="0"/>
                    <w:autoSpaceDE w:val="0"/>
                    <w:autoSpaceDN w:val="0"/>
                    <w:jc w:val="center"/>
                    <w:rPr>
                      <w:rFonts w:ascii="Times New Roman" w:hAnsi="Calibri"/>
                      <w:color w:val="auto"/>
                      <w:lang w:eastAsia="en-US"/>
                    </w:rPr>
                  </w:pPr>
                  <w:r>
                    <w:rPr>
                      <w:rFonts w:ascii="Times New Roman" w:hAnsi="Calibri"/>
                      <w:color w:val="auto"/>
                      <w:lang w:eastAsia="en-US"/>
                    </w:rPr>
                    <w:t>60</w:t>
                  </w:r>
                  <w:r>
                    <w:rPr>
                      <w:rFonts w:hint="eastAsia" w:ascii="Times New Roman" w:hAnsi="Calibri"/>
                      <w:color w:val="auto"/>
                      <w:lang w:eastAsia="en-US"/>
                    </w:rPr>
                    <w:t>.15</w:t>
                  </w:r>
                </w:p>
              </w:tc>
              <w:tc>
                <w:tcPr>
                  <w:tcW w:w="1705" w:type="dxa"/>
                  <w:vAlign w:val="center"/>
                </w:tcPr>
                <w:p>
                  <w:pPr>
                    <w:widowControl w:val="0"/>
                    <w:autoSpaceDE w:val="0"/>
                    <w:autoSpaceDN w:val="0"/>
                    <w:jc w:val="center"/>
                    <w:rPr>
                      <w:rFonts w:ascii="Times New Roman" w:hAnsi="Calibri"/>
                      <w:lang w:eastAsia="en-US"/>
                    </w:rPr>
                  </w:pPr>
                  <w:r>
                    <w:rPr>
                      <w:rFonts w:ascii="Times New Roman" w:hAnsi="Calibri"/>
                      <w:lang w:eastAsia="en-US"/>
                    </w:rPr>
                    <w:t>2500</w:t>
                  </w:r>
                </w:p>
              </w:tc>
              <w:tc>
                <w:tcPr>
                  <w:tcW w:w="1733" w:type="dxa"/>
                  <w:tcBorders>
                    <w:right w:val="nil"/>
                  </w:tcBorders>
                  <w:vAlign w:val="center"/>
                </w:tcPr>
                <w:p>
                  <w:pPr>
                    <w:widowControl w:val="0"/>
                    <w:autoSpaceDE w:val="0"/>
                    <w:autoSpaceDN w:val="0"/>
                    <w:jc w:val="center"/>
                    <w:rPr>
                      <w:rFonts w:ascii="Times New Roman" w:hAnsi="Calibri"/>
                      <w:lang w:eastAsia="en-US"/>
                    </w:rPr>
                  </w:pPr>
                  <w:r>
                    <w:rPr>
                      <w:rFonts w:ascii="Times New Roman" w:hAnsi="Calibri"/>
                      <w:lang w:eastAsia="en-US"/>
                    </w:rPr>
                    <w:t>0.024</w:t>
                  </w:r>
                  <w:r>
                    <w:rPr>
                      <w:rFonts w:hint="eastAsia" w:ascii="Times New Roman" w:hAnsi="Calibri"/>
                      <w:lang w:eastAsia="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99" w:type="dxa"/>
                  <w:gridSpan w:val="3"/>
                  <w:tcBorders>
                    <w:left w:val="nil"/>
                  </w:tcBorders>
                  <w:vAlign w:val="center"/>
                </w:tcPr>
                <w:p>
                  <w:pPr>
                    <w:widowControl w:val="0"/>
                    <w:autoSpaceDE w:val="0"/>
                    <w:autoSpaceDN w:val="0"/>
                    <w:jc w:val="center"/>
                    <w:rPr>
                      <w:rFonts w:ascii="Times New Roman" w:hAnsi="Calibri"/>
                      <w:lang w:eastAsia="en-US"/>
                    </w:rPr>
                  </w:pPr>
                  <w:r>
                    <w:rPr>
                      <w:rFonts w:ascii="Times New Roman" w:hAnsi="Calibri"/>
                      <w:lang w:eastAsia="en-US"/>
                    </w:rPr>
                    <w:t>合计</w:t>
                  </w:r>
                </w:p>
              </w:tc>
              <w:tc>
                <w:tcPr>
                  <w:tcW w:w="1733" w:type="dxa"/>
                  <w:tcBorders>
                    <w:right w:val="nil"/>
                  </w:tcBorders>
                  <w:vAlign w:val="center"/>
                </w:tcPr>
                <w:p>
                  <w:pPr>
                    <w:widowControl w:val="0"/>
                    <w:autoSpaceDE w:val="0"/>
                    <w:autoSpaceDN w:val="0"/>
                    <w:jc w:val="center"/>
                    <w:rPr>
                      <w:rFonts w:ascii="Times New Roman" w:hAnsi="Calibri"/>
                      <w:lang w:eastAsia="en-US"/>
                    </w:rPr>
                  </w:pPr>
                  <w:r>
                    <w:rPr>
                      <w:rFonts w:ascii="Times New Roman" w:hAnsi="Calibri"/>
                      <w:lang w:eastAsia="en-US"/>
                    </w:rPr>
                    <w:t>0.</w:t>
                  </w:r>
                  <w:r>
                    <w:rPr>
                      <w:rFonts w:hint="eastAsia" w:ascii="Times New Roman" w:hAnsi="Calibri"/>
                      <w:lang w:eastAsia="en-US"/>
                    </w:rPr>
                    <w:t>0241</w:t>
                  </w:r>
                </w:p>
              </w:tc>
            </w:tr>
          </w:tbl>
          <w:p>
            <w:pPr>
              <w:keepNext w:val="0"/>
              <w:keepLines w:val="0"/>
              <w:widowControl/>
              <w:suppressLineNumbers w:val="0"/>
              <w:spacing w:before="120" w:beforeLines="50" w:beforeAutospacing="0" w:after="0" w:afterAutospacing="0" w:line="360" w:lineRule="auto"/>
              <w:ind w:left="0" w:right="0" w:firstLine="480" w:firstLineChars="200"/>
              <w:rPr>
                <w:rFonts w:ascii="Times New Roman"/>
                <w:sz w:val="24"/>
                <w:szCs w:val="24"/>
              </w:rPr>
            </w:pPr>
            <w:r>
              <w:rPr>
                <w:rFonts w:hint="eastAsia" w:ascii="Times New Roman"/>
                <w:sz w:val="24"/>
                <w:szCs w:val="24"/>
              </w:rPr>
              <w:t>本项目危险物质及其临界量比值Q小于1，项目环境风险潜势为I，说明本场不存在重大风险源，只需进行简单评价即可。</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(3)环境风险识别</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本项目生产过程使用的铅酸蓄电池处于预制舱内，所产生的废铅酸蓄电池在危废库暂存，主变压器检修产生的废油及事故状态下产生的事故油排入项目新建事故油池，根据企业的特点，在储存过程中可能发生的风险因素见表4</w:t>
            </w:r>
            <w:r>
              <w:rPr>
                <w:rFonts w:ascii="Times New Roman"/>
                <w:sz w:val="24"/>
                <w:szCs w:val="24"/>
              </w:rPr>
              <w:t>-</w:t>
            </w:r>
            <w:r>
              <w:rPr>
                <w:rFonts w:hint="eastAsia" w:ascii="Times New Roman"/>
                <w:sz w:val="24"/>
                <w:szCs w:val="24"/>
              </w:rPr>
              <w:t>6。</w:t>
            </w:r>
          </w:p>
          <w:p>
            <w:pPr>
              <w:keepNext w:val="0"/>
              <w:keepLines w:val="0"/>
              <w:widowControl/>
              <w:suppressLineNumbers w:val="0"/>
              <w:spacing w:before="0" w:beforeAutospacing="0" w:after="0" w:afterAutospacing="0" w:line="360" w:lineRule="auto"/>
              <w:ind w:left="0" w:right="0"/>
              <w:jc w:val="center"/>
              <w:rPr>
                <w:rFonts w:ascii="Times New Roman"/>
                <w:b/>
                <w:bCs/>
                <w:sz w:val="24"/>
                <w:szCs w:val="24"/>
              </w:rPr>
            </w:pPr>
            <w:r>
              <w:rPr>
                <w:rFonts w:hint="eastAsia" w:ascii="Times New Roman"/>
                <w:b/>
                <w:bCs/>
                <w:sz w:val="24"/>
                <w:szCs w:val="24"/>
              </w:rPr>
              <w:t>表4-6</w:t>
            </w:r>
            <w:r>
              <w:rPr>
                <w:rFonts w:ascii="Times New Roman"/>
                <w:b/>
                <w:bCs/>
                <w:sz w:val="24"/>
                <w:szCs w:val="24"/>
              </w:rPr>
              <w:t xml:space="preserve"> </w:t>
            </w:r>
            <w:r>
              <w:rPr>
                <w:rFonts w:hint="eastAsia" w:ascii="Times New Roman"/>
                <w:b/>
                <w:bCs/>
                <w:sz w:val="24"/>
                <w:szCs w:val="24"/>
              </w:rPr>
              <w:t xml:space="preserve"> 生产过程中潜在风险</w:t>
            </w:r>
          </w:p>
          <w:tbl>
            <w:tblPr>
              <w:tblStyle w:val="90"/>
              <w:tblW w:w="8558" w:type="dxa"/>
              <w:tblInd w:w="13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37"/>
              <w:gridCol w:w="1355"/>
              <w:gridCol w:w="1070"/>
              <w:gridCol w:w="49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137" w:type="dxa"/>
                  <w:vAlign w:val="center"/>
                </w:tcPr>
                <w:p>
                  <w:pPr>
                    <w:widowControl w:val="0"/>
                    <w:autoSpaceDE w:val="0"/>
                    <w:autoSpaceDN w:val="0"/>
                    <w:jc w:val="center"/>
                    <w:rPr>
                      <w:rFonts w:hAnsi="Calibri"/>
                      <w:b/>
                      <w:bCs/>
                      <w:lang w:eastAsia="en-US"/>
                    </w:rPr>
                  </w:pPr>
                  <w:r>
                    <w:rPr>
                      <w:rFonts w:hAnsi="Calibri"/>
                      <w:b/>
                      <w:bCs/>
                      <w:lang w:eastAsia="en-US"/>
                    </w:rPr>
                    <w:t>风险目标</w:t>
                  </w:r>
                </w:p>
              </w:tc>
              <w:tc>
                <w:tcPr>
                  <w:tcW w:w="1355" w:type="dxa"/>
                  <w:vAlign w:val="center"/>
                </w:tcPr>
                <w:p>
                  <w:pPr>
                    <w:widowControl w:val="0"/>
                    <w:autoSpaceDE w:val="0"/>
                    <w:autoSpaceDN w:val="0"/>
                    <w:jc w:val="center"/>
                    <w:rPr>
                      <w:rFonts w:hAnsi="Calibri"/>
                      <w:b/>
                      <w:bCs/>
                      <w:lang w:eastAsia="en-US"/>
                    </w:rPr>
                  </w:pPr>
                  <w:r>
                    <w:rPr>
                      <w:rFonts w:hAnsi="Calibri"/>
                      <w:b/>
                      <w:bCs/>
                      <w:lang w:eastAsia="en-US"/>
                    </w:rPr>
                    <w:t>事故类型</w:t>
                  </w:r>
                </w:p>
              </w:tc>
              <w:tc>
                <w:tcPr>
                  <w:tcW w:w="1070" w:type="dxa"/>
                  <w:vAlign w:val="center"/>
                </w:tcPr>
                <w:p>
                  <w:pPr>
                    <w:widowControl w:val="0"/>
                    <w:autoSpaceDE w:val="0"/>
                    <w:autoSpaceDN w:val="0"/>
                    <w:jc w:val="center"/>
                    <w:rPr>
                      <w:rFonts w:hAnsi="Calibri"/>
                      <w:b/>
                      <w:bCs/>
                      <w:lang w:eastAsia="en-US"/>
                    </w:rPr>
                  </w:pPr>
                  <w:r>
                    <w:rPr>
                      <w:rFonts w:hAnsi="Calibri"/>
                      <w:b/>
                      <w:bCs/>
                      <w:lang w:eastAsia="en-US"/>
                    </w:rPr>
                    <w:t>事故原因</w:t>
                  </w:r>
                </w:p>
              </w:tc>
              <w:tc>
                <w:tcPr>
                  <w:tcW w:w="4996" w:type="dxa"/>
                  <w:vAlign w:val="center"/>
                </w:tcPr>
                <w:p>
                  <w:pPr>
                    <w:widowControl w:val="0"/>
                    <w:autoSpaceDE w:val="0"/>
                    <w:autoSpaceDN w:val="0"/>
                    <w:jc w:val="center"/>
                    <w:rPr>
                      <w:rFonts w:hAnsi="Calibri"/>
                      <w:b/>
                      <w:bCs/>
                      <w:lang w:eastAsia="en-US"/>
                    </w:rPr>
                  </w:pPr>
                  <w:r>
                    <w:rPr>
                      <w:rFonts w:hAnsi="Calibri"/>
                      <w:b/>
                      <w:bCs/>
                      <w:lang w:eastAsia="en-US"/>
                    </w:rPr>
                    <w:t>影响分析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1137" w:type="dxa"/>
                  <w:vAlign w:val="center"/>
                </w:tcPr>
                <w:p>
                  <w:pPr>
                    <w:widowControl w:val="0"/>
                    <w:autoSpaceDE w:val="0"/>
                    <w:autoSpaceDN w:val="0"/>
                    <w:jc w:val="center"/>
                    <w:rPr>
                      <w:rFonts w:ascii="Times New Roman" w:hAnsi="Calibri"/>
                      <w:lang w:eastAsia="en-US"/>
                    </w:rPr>
                  </w:pPr>
                  <w:r>
                    <w:rPr>
                      <w:rFonts w:ascii="Times New Roman" w:hAnsi="Calibri"/>
                      <w:lang w:eastAsia="en-US"/>
                    </w:rPr>
                    <w:t>主变</w:t>
                  </w:r>
                </w:p>
              </w:tc>
              <w:tc>
                <w:tcPr>
                  <w:tcW w:w="1355" w:type="dxa"/>
                  <w:vAlign w:val="center"/>
                </w:tcPr>
                <w:p>
                  <w:pPr>
                    <w:widowControl w:val="0"/>
                    <w:autoSpaceDE w:val="0"/>
                    <w:autoSpaceDN w:val="0"/>
                    <w:jc w:val="center"/>
                    <w:rPr>
                      <w:rFonts w:ascii="Times New Roman" w:hAnsi="Calibri"/>
                      <w:lang w:eastAsia="en-US"/>
                    </w:rPr>
                  </w:pPr>
                  <w:r>
                    <w:rPr>
                      <w:rFonts w:ascii="Times New Roman" w:hAnsi="Calibri"/>
                      <w:lang w:eastAsia="en-US"/>
                    </w:rPr>
                    <w:t>火灾、爆炸、泄</w:t>
                  </w:r>
                  <w:r>
                    <w:rPr>
                      <w:rFonts w:hint="eastAsia" w:ascii="Times New Roman" w:hAnsi="Calibri"/>
                      <w:lang w:eastAsia="en-US"/>
                    </w:rPr>
                    <w:t>漏</w:t>
                  </w:r>
                </w:p>
              </w:tc>
              <w:tc>
                <w:tcPr>
                  <w:tcW w:w="1070" w:type="dxa"/>
                  <w:vAlign w:val="center"/>
                </w:tcPr>
                <w:p>
                  <w:pPr>
                    <w:widowControl w:val="0"/>
                    <w:autoSpaceDE w:val="0"/>
                    <w:autoSpaceDN w:val="0"/>
                    <w:jc w:val="center"/>
                    <w:rPr>
                      <w:rFonts w:ascii="Times New Roman" w:hAnsi="Calibri"/>
                      <w:lang w:eastAsia="en-US"/>
                    </w:rPr>
                  </w:pPr>
                  <w:r>
                    <w:rPr>
                      <w:rFonts w:ascii="Times New Roman" w:hAnsi="Calibri"/>
                      <w:lang w:eastAsia="en-US"/>
                    </w:rPr>
                    <w:t>人为操作不当</w:t>
                  </w:r>
                </w:p>
              </w:tc>
              <w:tc>
                <w:tcPr>
                  <w:tcW w:w="4996" w:type="dxa"/>
                  <w:vAlign w:val="center"/>
                </w:tcPr>
                <w:p>
                  <w:pPr>
                    <w:widowControl w:val="0"/>
                    <w:autoSpaceDE w:val="0"/>
                    <w:autoSpaceDN w:val="0"/>
                    <w:jc w:val="center"/>
                    <w:rPr>
                      <w:rFonts w:ascii="Times New Roman" w:hAnsi="Calibri"/>
                      <w:lang w:eastAsia="en-US"/>
                    </w:rPr>
                  </w:pPr>
                  <w:r>
                    <w:rPr>
                      <w:rFonts w:ascii="Times New Roman" w:hAnsi="Calibri"/>
                      <w:lang w:eastAsia="en-US"/>
                    </w:rPr>
                    <w:t>废变压器油为可燃液体，泄漏时在高温下遇到明火或静电火花易引发火灾和爆炸。火灾爆炸事故发生后，会产生CO、NOX，对大气环境造成影响。</w:t>
                  </w:r>
                </w:p>
                <w:p>
                  <w:pPr>
                    <w:widowControl w:val="0"/>
                    <w:autoSpaceDE w:val="0"/>
                    <w:autoSpaceDN w:val="0"/>
                    <w:jc w:val="center"/>
                    <w:rPr>
                      <w:rFonts w:ascii="Times New Roman" w:hAnsi="Calibri"/>
                      <w:lang w:eastAsia="en-US"/>
                    </w:rPr>
                  </w:pPr>
                  <w:r>
                    <w:rPr>
                      <w:rFonts w:ascii="Times New Roman" w:hAnsi="Calibri"/>
                      <w:lang w:eastAsia="en-US"/>
                    </w:rPr>
                    <w:t>变压器油泄漏遇防渗层破损，下渗污染土壤或地下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1137" w:type="dxa"/>
                  <w:vAlign w:val="center"/>
                </w:tcPr>
                <w:p>
                  <w:pPr>
                    <w:widowControl w:val="0"/>
                    <w:autoSpaceDE w:val="0"/>
                    <w:autoSpaceDN w:val="0"/>
                    <w:jc w:val="center"/>
                    <w:rPr>
                      <w:rFonts w:ascii="Times New Roman" w:hAnsi="Calibri"/>
                      <w:lang w:eastAsia="en-US"/>
                    </w:rPr>
                  </w:pPr>
                  <w:r>
                    <w:rPr>
                      <w:rFonts w:ascii="Times New Roman" w:hAnsi="Calibri"/>
                      <w:lang w:eastAsia="en-US"/>
                    </w:rPr>
                    <w:t>预制舱</w:t>
                  </w:r>
                </w:p>
              </w:tc>
              <w:tc>
                <w:tcPr>
                  <w:tcW w:w="1355" w:type="dxa"/>
                  <w:vAlign w:val="center"/>
                </w:tcPr>
                <w:p>
                  <w:pPr>
                    <w:widowControl w:val="0"/>
                    <w:autoSpaceDE w:val="0"/>
                    <w:autoSpaceDN w:val="0"/>
                    <w:jc w:val="center"/>
                    <w:rPr>
                      <w:rFonts w:ascii="Times New Roman" w:hAnsi="Calibri"/>
                      <w:lang w:eastAsia="en-US"/>
                    </w:rPr>
                  </w:pPr>
                  <w:r>
                    <w:rPr>
                      <w:rFonts w:ascii="Times New Roman" w:hAnsi="Calibri"/>
                      <w:kern w:val="0"/>
                      <w:lang w:eastAsia="en-US"/>
                    </w:rPr>
                    <w:t>爆炸、泄露</w:t>
                  </w:r>
                </w:p>
              </w:tc>
              <w:tc>
                <w:tcPr>
                  <w:tcW w:w="1070" w:type="dxa"/>
                  <w:vAlign w:val="center"/>
                </w:tcPr>
                <w:p>
                  <w:pPr>
                    <w:widowControl w:val="0"/>
                    <w:autoSpaceDE w:val="0"/>
                    <w:autoSpaceDN w:val="0"/>
                    <w:adjustRightInd w:val="0"/>
                    <w:jc w:val="center"/>
                    <w:rPr>
                      <w:rFonts w:ascii="Times New Roman" w:hAnsi="Calibri"/>
                      <w:kern w:val="0"/>
                      <w:lang w:eastAsia="en-US"/>
                    </w:rPr>
                  </w:pPr>
                  <w:r>
                    <w:rPr>
                      <w:rFonts w:ascii="Times New Roman" w:hAnsi="Calibri"/>
                      <w:kern w:val="0"/>
                      <w:lang w:eastAsia="en-US"/>
                    </w:rPr>
                    <w:t>人为操作</w:t>
                  </w:r>
                </w:p>
                <w:p>
                  <w:pPr>
                    <w:widowControl w:val="0"/>
                    <w:autoSpaceDE w:val="0"/>
                    <w:autoSpaceDN w:val="0"/>
                    <w:jc w:val="center"/>
                    <w:rPr>
                      <w:rFonts w:ascii="Times New Roman" w:hAnsi="Calibri"/>
                      <w:lang w:eastAsia="en-US"/>
                    </w:rPr>
                  </w:pPr>
                  <w:r>
                    <w:rPr>
                      <w:rFonts w:ascii="Times New Roman" w:hAnsi="Calibri"/>
                      <w:kern w:val="0"/>
                      <w:lang w:eastAsia="en-US"/>
                    </w:rPr>
                    <w:t>不当</w:t>
                  </w:r>
                </w:p>
              </w:tc>
              <w:tc>
                <w:tcPr>
                  <w:tcW w:w="4996" w:type="dxa"/>
                  <w:vAlign w:val="center"/>
                </w:tcPr>
                <w:p>
                  <w:pPr>
                    <w:widowControl w:val="0"/>
                    <w:autoSpaceDE w:val="0"/>
                    <w:autoSpaceDN w:val="0"/>
                    <w:adjustRightInd w:val="0"/>
                    <w:jc w:val="center"/>
                    <w:rPr>
                      <w:rFonts w:ascii="Times New Roman" w:hAnsi="Calibri"/>
                      <w:kern w:val="0"/>
                      <w:lang w:eastAsia="en-US"/>
                    </w:rPr>
                  </w:pPr>
                  <w:r>
                    <w:rPr>
                      <w:rFonts w:ascii="Times New Roman" w:hAnsi="Calibri"/>
                      <w:kern w:val="0"/>
                      <w:lang w:eastAsia="en-US"/>
                    </w:rPr>
                    <w:t>电池本身原因，由于电池内部缺陷，在不充、放电</w:t>
                  </w:r>
                </w:p>
                <w:p>
                  <w:pPr>
                    <w:widowControl w:val="0"/>
                    <w:autoSpaceDE w:val="0"/>
                    <w:autoSpaceDN w:val="0"/>
                    <w:adjustRightInd w:val="0"/>
                    <w:jc w:val="center"/>
                    <w:rPr>
                      <w:rFonts w:ascii="Times New Roman" w:hAnsi="Calibri"/>
                      <w:kern w:val="0"/>
                      <w:lang w:eastAsia="en-US"/>
                    </w:rPr>
                  </w:pPr>
                  <w:r>
                    <w:rPr>
                      <w:rFonts w:ascii="Times New Roman" w:hAnsi="Calibri"/>
                      <w:kern w:val="0"/>
                      <w:lang w:eastAsia="en-US"/>
                    </w:rPr>
                    <w:t>的情况下爆炸；高温环境引发自燃或爆炸。</w:t>
                  </w:r>
                </w:p>
                <w:p>
                  <w:pPr>
                    <w:widowControl w:val="0"/>
                    <w:autoSpaceDE w:val="0"/>
                    <w:autoSpaceDN w:val="0"/>
                    <w:adjustRightInd w:val="0"/>
                    <w:jc w:val="center"/>
                    <w:rPr>
                      <w:rFonts w:ascii="Times New Roman" w:hAnsi="Calibri"/>
                      <w:kern w:val="0"/>
                      <w:lang w:eastAsia="en-US"/>
                    </w:rPr>
                  </w:pPr>
                  <w:r>
                    <w:rPr>
                      <w:rFonts w:ascii="Times New Roman" w:hAnsi="Calibri"/>
                      <w:kern w:val="0"/>
                      <w:lang w:eastAsia="en-US"/>
                    </w:rPr>
                    <w:t>受外环境影响，如温度、压力、湿度等发生变化或</w:t>
                  </w:r>
                </w:p>
                <w:p>
                  <w:pPr>
                    <w:widowControl w:val="0"/>
                    <w:autoSpaceDE w:val="0"/>
                    <w:autoSpaceDN w:val="0"/>
                    <w:adjustRightInd w:val="0"/>
                    <w:jc w:val="center"/>
                    <w:rPr>
                      <w:rFonts w:ascii="Times New Roman" w:hAnsi="Calibri"/>
                      <w:kern w:val="0"/>
                      <w:lang w:eastAsia="en-US"/>
                    </w:rPr>
                  </w:pPr>
                  <w:r>
                    <w:rPr>
                      <w:rFonts w:ascii="Times New Roman" w:hAnsi="Calibri"/>
                      <w:kern w:val="0"/>
                      <w:lang w:eastAsia="en-US"/>
                    </w:rPr>
                    <w:t>劣质假冒电池引发电池外壳破损，内部电解液泄露；</w:t>
                  </w:r>
                </w:p>
                <w:p>
                  <w:pPr>
                    <w:widowControl w:val="0"/>
                    <w:autoSpaceDE w:val="0"/>
                    <w:autoSpaceDN w:val="0"/>
                    <w:adjustRightInd w:val="0"/>
                    <w:jc w:val="center"/>
                    <w:rPr>
                      <w:rFonts w:ascii="Times New Roman" w:hAnsi="Calibri"/>
                      <w:kern w:val="0"/>
                      <w:lang w:eastAsia="en-US"/>
                    </w:rPr>
                  </w:pPr>
                  <w:r>
                    <w:rPr>
                      <w:rFonts w:ascii="Times New Roman" w:hAnsi="Calibri"/>
                      <w:kern w:val="0"/>
                      <w:lang w:eastAsia="en-US"/>
                    </w:rPr>
                    <w:t>搬运过程操作失误引发电解液</w:t>
                  </w:r>
                  <w:r>
                    <w:rPr>
                      <w:rFonts w:hint="eastAsia" w:ascii="Times New Roman" w:hAnsi="Calibri"/>
                      <w:kern w:val="0"/>
                      <w:lang w:eastAsia="en-US"/>
                    </w:rPr>
                    <w:t>泄漏</w:t>
                  </w:r>
                  <w:r>
                    <w:rPr>
                      <w:rFonts w:ascii="Times New Roman" w:hAnsi="Calibri"/>
                      <w:kern w:val="0"/>
                      <w:lang w:eastAsia="en-US"/>
                    </w:rPr>
                    <w:t>，下渗污染土壤</w:t>
                  </w:r>
                </w:p>
                <w:p>
                  <w:pPr>
                    <w:widowControl w:val="0"/>
                    <w:autoSpaceDE w:val="0"/>
                    <w:autoSpaceDN w:val="0"/>
                    <w:jc w:val="center"/>
                    <w:rPr>
                      <w:rFonts w:ascii="Times New Roman" w:hAnsi="Calibri"/>
                      <w:lang w:eastAsia="en-US"/>
                    </w:rPr>
                  </w:pPr>
                  <w:r>
                    <w:rPr>
                      <w:rFonts w:ascii="Times New Roman" w:hAnsi="Calibri"/>
                      <w:kern w:val="0"/>
                      <w:lang w:eastAsia="en-US"/>
                    </w:rPr>
                    <w:t>或地下水。</w:t>
                  </w:r>
                </w:p>
              </w:tc>
            </w:tr>
          </w:tbl>
          <w:p>
            <w:pPr>
              <w:keepNext w:val="0"/>
              <w:keepLines w:val="0"/>
              <w:widowControl/>
              <w:suppressLineNumbers w:val="0"/>
              <w:spacing w:before="120" w:beforeLines="50" w:beforeAutospacing="0" w:after="0" w:afterAutospacing="0" w:line="360" w:lineRule="auto"/>
              <w:ind w:left="0" w:right="0" w:firstLine="480" w:firstLineChars="200"/>
              <w:rPr>
                <w:sz w:val="24"/>
                <w:szCs w:val="24"/>
              </w:rPr>
            </w:pPr>
            <w:r>
              <w:rPr>
                <w:rFonts w:ascii="Times New Roman"/>
                <w:sz w:val="24"/>
                <w:szCs w:val="24"/>
              </w:rPr>
              <w:t>(4)环</w:t>
            </w:r>
            <w:r>
              <w:rPr>
                <w:rFonts w:hint="eastAsia"/>
                <w:sz w:val="24"/>
                <w:szCs w:val="24"/>
              </w:rPr>
              <w:t>境风险影响分析</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当突发事故时变压器事故油排入事故油池，并交由有危废处理资质的单位运输、处置，不外排。</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本项目主变油重约为60t，变压器油密度为0.9g/mL，经计算所需事故油</w:t>
            </w:r>
            <w:r>
              <w:rPr>
                <w:rFonts w:hint="eastAsia" w:ascii="Times New Roman"/>
                <w:sz w:val="24"/>
                <w:szCs w:val="24"/>
              </w:rPr>
              <w:t>池</w:t>
            </w:r>
            <w:r>
              <w:rPr>
                <w:rFonts w:ascii="Times New Roman"/>
                <w:sz w:val="24"/>
                <w:szCs w:val="24"/>
              </w:rPr>
              <w:t>体积约为66.67m</w:t>
            </w:r>
            <w:r>
              <w:rPr>
                <w:rFonts w:ascii="Times New Roman"/>
                <w:sz w:val="24"/>
                <w:szCs w:val="24"/>
                <w:vertAlign w:val="superscript"/>
              </w:rPr>
              <w:t>3</w:t>
            </w:r>
            <w:r>
              <w:rPr>
                <w:rFonts w:ascii="Times New Roman"/>
                <w:sz w:val="24"/>
                <w:szCs w:val="24"/>
              </w:rPr>
              <w:t>，本项目设置事故油池体积为</w:t>
            </w:r>
            <w:r>
              <w:rPr>
                <w:rFonts w:hint="eastAsia" w:ascii="Times New Roman"/>
                <w:sz w:val="24"/>
                <w:szCs w:val="24"/>
              </w:rPr>
              <w:t>153</w:t>
            </w:r>
            <w:r>
              <w:rPr>
                <w:rFonts w:ascii="Times New Roman"/>
                <w:sz w:val="24"/>
                <w:szCs w:val="24"/>
              </w:rPr>
              <w:t>m</w:t>
            </w:r>
            <w:r>
              <w:rPr>
                <w:rFonts w:ascii="Times New Roman"/>
                <w:sz w:val="24"/>
                <w:szCs w:val="24"/>
                <w:vertAlign w:val="superscript"/>
              </w:rPr>
              <w:t>3</w:t>
            </w:r>
            <w:r>
              <w:rPr>
                <w:rFonts w:ascii="Times New Roman"/>
                <w:sz w:val="24"/>
                <w:szCs w:val="24"/>
              </w:rPr>
              <w:t>，可以满足《火力发电厂与升压站设计防火标准》(GB 50229-2019)规定的“最大一个油箱容量的100%”要求。</w:t>
            </w:r>
            <w:r>
              <w:rPr>
                <w:rFonts w:hint="eastAsia" w:ascii="Times New Roman"/>
                <w:sz w:val="24"/>
                <w:szCs w:val="24"/>
              </w:rPr>
              <w:t>满足升压站内单台最大油量主变压器事故状态下变压器油100%不外排的需求。</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主事故油池内设置油水分离系统，并通过事故排油管与变压器相连，在事故情况下，泄漏的变压器油经事故排油管自流进入事故油池，确保变压器油不会溢流外环境，事故油池收集的变压器废油由有资质的变压器废油处置单位回收处置。事故油池采取重点防渗设计，防止事故油池收集的变压器废油渗漏而污染土壤及地下水。</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ascii="Times New Roman"/>
                <w:sz w:val="24"/>
                <w:szCs w:val="24"/>
              </w:rPr>
              <w:t>本项目升压站选用寿命长(10年～20年)的阀控铅酸蓄电池，应加强蓄电池维护延长其使用寿命，有效降低废旧蓄电池产生量，并加强巡查及时更换到期的蓄电池。</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为防止发生化学品泄漏、火灾、爆炸等事故引起的次生环境污染，企业拟采取以下风险防范措施：</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①</w:t>
            </w:r>
            <w:r>
              <w:rPr>
                <w:rFonts w:ascii="Times New Roman"/>
                <w:sz w:val="24"/>
                <w:szCs w:val="24"/>
              </w:rPr>
              <w:t xml:space="preserve">总平面布置严格遵守国家颁布的有关防火和安全等方面规范和规定，采取生产区域与集中办公区分离，设置明显的标志； </w:t>
            </w:r>
          </w:p>
          <w:p>
            <w:pPr>
              <w:keepNext w:val="0"/>
              <w:keepLines w:val="0"/>
              <w:widowControl w:val="0"/>
              <w:suppressLineNumbers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②</w:t>
            </w:r>
            <w:r>
              <w:rPr>
                <w:rFonts w:ascii="Times New Roman"/>
                <w:sz w:val="24"/>
                <w:szCs w:val="24"/>
              </w:rPr>
              <w:t>危险废物暂存间按照《危险废物贮存污染控制标准》(GB 18597-2023)要求设置，严格落实防渗、围堰等，并加强管理及巡查，发现危险废物暂存间防渗层破裂的及时修复；废旧蓄电池破损的及时更换盛装容器，对泄漏含铅物质及硫酸电解液收集交有资质单位运输、处置；</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③</w:t>
            </w:r>
            <w:r>
              <w:rPr>
                <w:rFonts w:ascii="Times New Roman"/>
                <w:sz w:val="24"/>
                <w:szCs w:val="24"/>
              </w:rPr>
              <w:t>严格执行入库前</w:t>
            </w:r>
            <w:r>
              <w:rPr>
                <w:rFonts w:hint="eastAsia" w:ascii="Times New Roman"/>
                <w:sz w:val="24"/>
                <w:szCs w:val="24"/>
              </w:rPr>
              <w:t>记账</w:t>
            </w:r>
            <w:r>
              <w:rPr>
                <w:rFonts w:ascii="Times New Roman"/>
                <w:sz w:val="24"/>
                <w:szCs w:val="24"/>
              </w:rPr>
              <w:t>、登记制度，入库后应当定期检查并记录；</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④</w:t>
            </w:r>
            <w:r>
              <w:rPr>
                <w:rFonts w:ascii="Times New Roman"/>
                <w:sz w:val="24"/>
                <w:szCs w:val="24"/>
              </w:rPr>
              <w:t>配置应急装备与应急物资，相应器材确保性能完好；</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fldChar w:fldCharType="begin"/>
            </w:r>
            <w:r>
              <w:rPr>
                <w:rFonts w:ascii="Times New Roman"/>
                <w:sz w:val="24"/>
                <w:szCs w:val="24"/>
              </w:rPr>
              <w:instrText xml:space="preserve"> = 5 \* GB3 </w:instrText>
            </w:r>
            <w:r>
              <w:rPr>
                <w:rFonts w:ascii="Times New Roman"/>
                <w:sz w:val="24"/>
                <w:szCs w:val="24"/>
              </w:rPr>
              <w:fldChar w:fldCharType="separate"/>
            </w:r>
            <w:r>
              <w:rPr>
                <w:rFonts w:hint="eastAsia" w:hAnsi="宋体" w:cs="宋体"/>
                <w:sz w:val="24"/>
                <w:szCs w:val="24"/>
              </w:rPr>
              <w:t>⑤</w:t>
            </w:r>
            <w:r>
              <w:rPr>
                <w:rFonts w:ascii="Times New Roman"/>
                <w:sz w:val="24"/>
                <w:szCs w:val="24"/>
              </w:rPr>
              <w:fldChar w:fldCharType="end"/>
            </w:r>
            <w:r>
              <w:rPr>
                <w:rFonts w:ascii="Times New Roman"/>
                <w:sz w:val="24"/>
                <w:szCs w:val="24"/>
              </w:rPr>
              <w:t>编制应急预案并定期组织应急演练；</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hint="eastAsia" w:hAnsi="宋体" w:cs="宋体"/>
                <w:sz w:val="24"/>
                <w:szCs w:val="24"/>
              </w:rPr>
              <w:t>⑥</w:t>
            </w:r>
            <w:r>
              <w:rPr>
                <w:rFonts w:ascii="Times New Roman"/>
                <w:sz w:val="24"/>
                <w:szCs w:val="24"/>
              </w:rPr>
              <w:t>事故发生后，立即启动相应的应急预案并通知当地生态环境局、政府、医院等部门，协同事故救援与监控。</w:t>
            </w:r>
          </w:p>
          <w:p>
            <w:pPr>
              <w:keepNext w:val="0"/>
              <w:keepLines w:val="0"/>
              <w:widowControl/>
              <w:suppressLineNumbers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在采取严格管理措施的情况下，变压器即使发生故障也能得到及时处置，对环境影响较小。</w:t>
            </w:r>
          </w:p>
          <w:p>
            <w:pPr>
              <w:pStyle w:val="27"/>
              <w:keepNext w:val="0"/>
              <w:keepLines w:val="0"/>
              <w:widowControl/>
              <w:suppressLineNumbers w:val="0"/>
              <w:spacing w:before="0" w:beforeAutospacing="0" w:after="0" w:afterAutospacing="0" w:line="360" w:lineRule="auto"/>
              <w:ind w:right="0"/>
              <w:rPr>
                <w:rFonts w:ascii="Times New Roman"/>
              </w:rPr>
            </w:pPr>
          </w:p>
          <w:p>
            <w:pPr>
              <w:keepNext w:val="0"/>
              <w:keepLines w:val="0"/>
              <w:widowControl/>
              <w:suppressLineNumbers w:val="0"/>
              <w:spacing w:before="0" w:beforeAutospacing="0" w:after="0" w:afterAutospacing="0"/>
              <w:ind w:left="0" w:right="0"/>
            </w:pPr>
          </w:p>
          <w:p>
            <w:pPr>
              <w:keepNext w:val="0"/>
              <w:keepLines w:val="0"/>
              <w:widowControl/>
              <w:suppressLineNumbers w:val="0"/>
              <w:spacing w:before="0" w:beforeAutospacing="0" w:after="0" w:afterAutospacing="0"/>
              <w:ind w:left="0"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pStyle w:val="27"/>
              <w:keepNext w:val="0"/>
              <w:keepLines w:val="0"/>
              <w:widowControl/>
              <w:suppressLineNumbers w:val="0"/>
              <w:spacing w:before="0" w:beforeAutospacing="0" w:after="0" w:afterAutospacing="0"/>
              <w:ind w:left="0" w:leftChars="0" w:right="0"/>
              <w:rPr>
                <w:rFonts w:ascii="Times New Roman"/>
              </w:rPr>
            </w:pPr>
          </w:p>
        </w:tc>
      </w:tr>
    </w:tbl>
    <w:p>
      <w:pPr>
        <w:pStyle w:val="48"/>
        <w:spacing w:after="0" w:afterAutospacing="0" w:line="360" w:lineRule="auto"/>
        <w:jc w:val="center"/>
        <w:outlineLvl w:val="0"/>
        <w:rPr>
          <w:rFonts w:ascii="Times New Roman" w:hAnsi="Times New Roman"/>
          <w:b/>
          <w:bCs/>
          <w:snapToGrid w:val="0"/>
          <w:sz w:val="30"/>
          <w:szCs w:val="30"/>
        </w:rPr>
      </w:pPr>
      <w:bookmarkStart w:id="31" w:name="_Toc157070563"/>
    </w:p>
    <w:p>
      <w:pPr>
        <w:pStyle w:val="48"/>
        <w:spacing w:after="0" w:afterAutospacing="0" w:line="360" w:lineRule="auto"/>
        <w:jc w:val="both"/>
        <w:outlineLvl w:val="0"/>
        <w:rPr>
          <w:rFonts w:ascii="Times New Roman" w:hAnsi="Times New Roman"/>
          <w:b/>
          <w:bCs/>
          <w:snapToGrid w:val="0"/>
          <w:sz w:val="30"/>
          <w:szCs w:val="30"/>
        </w:rPr>
      </w:pPr>
    </w:p>
    <w:p>
      <w:pPr>
        <w:pStyle w:val="48"/>
        <w:spacing w:after="0" w:afterAutospacing="0" w:line="360" w:lineRule="auto"/>
        <w:jc w:val="center"/>
        <w:outlineLvl w:val="0"/>
        <w:rPr>
          <w:rFonts w:ascii="Times New Roman" w:hAnsi="Times New Roman"/>
          <w:b/>
          <w:bCs/>
          <w:snapToGrid w:val="0"/>
          <w:sz w:val="30"/>
          <w:szCs w:val="30"/>
        </w:rPr>
      </w:pPr>
      <w:r>
        <w:rPr>
          <w:rFonts w:ascii="Times New Roman" w:hAnsi="Times New Roman"/>
          <w:b/>
          <w:bCs/>
          <w:snapToGrid w:val="0"/>
          <w:sz w:val="30"/>
          <w:szCs w:val="30"/>
        </w:rPr>
        <w:t>五、</w:t>
      </w:r>
      <w:bookmarkStart w:id="32" w:name="_Hlk54167917"/>
      <w:r>
        <w:rPr>
          <w:rFonts w:ascii="Times New Roman" w:hAnsi="Times New Roman"/>
          <w:b/>
          <w:bCs/>
          <w:snapToGrid w:val="0"/>
          <w:sz w:val="30"/>
          <w:szCs w:val="30"/>
        </w:rPr>
        <w:t>环境保护措施监督检查清单</w:t>
      </w:r>
      <w:bookmarkEnd w:id="31"/>
      <w:bookmarkEnd w:id="32"/>
    </w:p>
    <w:tbl>
      <w:tblPr>
        <w:tblStyle w:val="54"/>
        <w:tblW w:w="94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1"/>
        <w:gridCol w:w="785"/>
        <w:gridCol w:w="850"/>
        <w:gridCol w:w="4885"/>
        <w:gridCol w:w="21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tcBorders>
              <w:tl2br w:val="single" w:color="auto" w:sz="4" w:space="0"/>
            </w:tcBorders>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b/>
                <w:bCs/>
                <w:szCs w:val="24"/>
              </w:rPr>
            </w:pPr>
            <w:r>
              <w:rPr>
                <w:rFonts w:ascii="Times New Roman"/>
                <w:b/>
                <w:bCs/>
                <w:szCs w:val="24"/>
              </w:rPr>
              <w:t>内容</w:t>
            </w:r>
          </w:p>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b/>
                <w:bCs/>
                <w:szCs w:val="24"/>
              </w:rPr>
            </w:pPr>
            <w:r>
              <w:rPr>
                <w:rFonts w:ascii="Times New Roman"/>
                <w:b/>
                <w:bCs/>
                <w:szCs w:val="24"/>
              </w:rPr>
              <w:t>要素</w:t>
            </w:r>
          </w:p>
        </w:tc>
        <w:tc>
          <w:tcPr>
            <w:tcW w:w="785" w:type="dxa"/>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b/>
                <w:bCs/>
                <w:szCs w:val="24"/>
              </w:rPr>
            </w:pPr>
            <w:r>
              <w:rPr>
                <w:rFonts w:ascii="Times New Roman"/>
                <w:b/>
                <w:bCs/>
                <w:szCs w:val="24"/>
              </w:rPr>
              <w:t>排放口</w:t>
            </w:r>
          </w:p>
        </w:tc>
        <w:tc>
          <w:tcPr>
            <w:tcW w:w="850" w:type="dxa"/>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b/>
                <w:bCs/>
                <w:szCs w:val="24"/>
              </w:rPr>
            </w:pPr>
            <w:r>
              <w:rPr>
                <w:rFonts w:ascii="Times New Roman"/>
                <w:b/>
                <w:bCs/>
                <w:szCs w:val="24"/>
              </w:rPr>
              <w:t>污染物</w:t>
            </w:r>
          </w:p>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b/>
                <w:bCs/>
                <w:szCs w:val="24"/>
              </w:rPr>
            </w:pPr>
            <w:r>
              <w:rPr>
                <w:rFonts w:ascii="Times New Roman"/>
                <w:b/>
                <w:bCs/>
                <w:szCs w:val="24"/>
              </w:rPr>
              <w:t>项目</w:t>
            </w:r>
          </w:p>
        </w:tc>
        <w:tc>
          <w:tcPr>
            <w:tcW w:w="4885" w:type="dxa"/>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b/>
                <w:bCs/>
                <w:szCs w:val="24"/>
              </w:rPr>
            </w:pPr>
            <w:r>
              <w:rPr>
                <w:rFonts w:ascii="Times New Roman"/>
                <w:b/>
                <w:bCs/>
                <w:szCs w:val="24"/>
              </w:rPr>
              <w:t>环境保护措施</w:t>
            </w:r>
          </w:p>
        </w:tc>
        <w:tc>
          <w:tcPr>
            <w:tcW w:w="212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b/>
                <w:bCs/>
                <w:szCs w:val="24"/>
              </w:rPr>
            </w:pPr>
            <w:r>
              <w:rPr>
                <w:rFonts w:ascii="Times New Roman"/>
                <w:b/>
                <w:bCs/>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41" w:type="dxa"/>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大气环境</w:t>
            </w:r>
          </w:p>
        </w:tc>
        <w:tc>
          <w:tcPr>
            <w:tcW w:w="785" w:type="dxa"/>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w:t>
            </w:r>
          </w:p>
        </w:tc>
        <w:tc>
          <w:tcPr>
            <w:tcW w:w="850" w:type="dxa"/>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扬尘TSP</w:t>
            </w:r>
          </w:p>
          <w:p>
            <w:pPr>
              <w:keepNext w:val="0"/>
              <w:keepLines w:val="0"/>
              <w:widowControl/>
              <w:suppressLineNumbers w:val="0"/>
              <w:spacing w:before="0" w:beforeAutospacing="0" w:after="0" w:afterAutospacing="0"/>
              <w:ind w:left="0" w:right="0"/>
              <w:jc w:val="center"/>
            </w:pPr>
            <w:r>
              <w:rPr>
                <w:rFonts w:hint="eastAsia"/>
              </w:rPr>
              <w:t>油烟</w:t>
            </w:r>
          </w:p>
        </w:tc>
        <w:tc>
          <w:tcPr>
            <w:tcW w:w="4885" w:type="dxa"/>
            <w:vAlign w:val="center"/>
          </w:tcPr>
          <w:p>
            <w:pPr>
              <w:keepNext w:val="0"/>
              <w:keepLines w:val="0"/>
              <w:widowControl/>
              <w:suppressLineNumbers w:val="0"/>
              <w:adjustRightInd w:val="0"/>
              <w:snapToGrid w:val="0"/>
              <w:spacing w:before="0" w:beforeAutospacing="0" w:after="0" w:afterAutospacing="0" w:line="276" w:lineRule="auto"/>
              <w:ind w:left="0" w:right="0"/>
              <w:rPr>
                <w:rFonts w:ascii="Times New Roman"/>
                <w:b/>
                <w:bCs/>
                <w:szCs w:val="24"/>
              </w:rPr>
            </w:pPr>
            <w:r>
              <w:rPr>
                <w:rFonts w:ascii="Times New Roman"/>
                <w:b/>
                <w:bCs/>
                <w:szCs w:val="24"/>
              </w:rPr>
              <w:t>施工期：</w:t>
            </w:r>
            <w:r>
              <w:rPr>
                <w:rFonts w:hint="eastAsia" w:ascii="Times New Roman"/>
                <w:b/>
                <w:bCs/>
                <w:szCs w:val="24"/>
              </w:rPr>
              <w:t>依托已批复的《承德县源网荷储一体化和多能互补示范项目》主体环评中措施</w:t>
            </w:r>
          </w:p>
          <w:p>
            <w:pPr>
              <w:keepNext w:val="0"/>
              <w:keepLines w:val="0"/>
              <w:widowControl/>
              <w:suppressLineNumbers w:val="0"/>
              <w:adjustRightInd w:val="0"/>
              <w:snapToGrid w:val="0"/>
              <w:spacing w:before="0" w:beforeAutospacing="0" w:after="0" w:afterAutospacing="0" w:line="276" w:lineRule="auto"/>
              <w:ind w:left="0" w:right="0"/>
              <w:rPr>
                <w:rFonts w:ascii="Times New Roman"/>
                <w:szCs w:val="24"/>
              </w:rPr>
            </w:pPr>
            <w:r>
              <w:rPr>
                <w:rFonts w:ascii="Times New Roman"/>
                <w:szCs w:val="24"/>
              </w:rPr>
              <w:t>封闭式车辆运输、采取围挡、使用商混、物料进行覆盖、定期洒水抑尘、冲洗车辆轮胎、使用尾气达标施工机械和施工车辆等措施。</w:t>
            </w:r>
          </w:p>
          <w:p>
            <w:pPr>
              <w:pStyle w:val="27"/>
              <w:keepNext w:val="0"/>
              <w:keepLines w:val="0"/>
              <w:widowControl/>
              <w:suppressLineNumbers w:val="0"/>
              <w:spacing w:before="0" w:beforeAutospacing="0" w:after="0" w:afterAutospacing="0"/>
              <w:ind w:left="0" w:leftChars="0" w:right="0"/>
              <w:rPr>
                <w:b/>
                <w:bCs/>
              </w:rPr>
            </w:pPr>
            <w:r>
              <w:rPr>
                <w:rFonts w:hint="eastAsia"/>
                <w:b/>
                <w:bCs/>
              </w:rPr>
              <w:t>运行期：</w:t>
            </w:r>
            <w:r>
              <w:rPr>
                <w:rFonts w:hint="eastAsia" w:ascii="Times New Roman"/>
                <w:b/>
                <w:bCs/>
                <w:szCs w:val="24"/>
              </w:rPr>
              <w:t>依托已批复的《承德县源网荷储一体化和多能互补示范项目》主体环评中措施</w:t>
            </w:r>
          </w:p>
          <w:p>
            <w:pPr>
              <w:keepNext w:val="0"/>
              <w:keepLines w:val="0"/>
              <w:widowControl/>
              <w:suppressLineNumbers w:val="0"/>
              <w:spacing w:before="0" w:beforeAutospacing="0" w:after="0" w:afterAutospacing="0"/>
              <w:ind w:left="0" w:right="0"/>
            </w:pPr>
            <w:r>
              <w:t>食堂油烟经1套净化效率</w:t>
            </w:r>
            <w:r>
              <w:rPr>
                <w:rFonts w:hint="eastAsia"/>
              </w:rPr>
              <w:t>≥</w:t>
            </w:r>
            <w:r>
              <w:t>60%油烟净化器处理后经高于屋顶的排气筒排放。</w:t>
            </w:r>
          </w:p>
        </w:tc>
        <w:tc>
          <w:tcPr>
            <w:tcW w:w="212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rPr>
            </w:pPr>
            <w:r>
              <w:rPr>
                <w:rFonts w:ascii="Times New Roman"/>
                <w:szCs w:val="24"/>
              </w:rPr>
              <w:t>《施工场地扬尘排放标准》(DB 13/2934-2019)</w:t>
            </w:r>
            <w:r>
              <w:rPr>
                <w:rFonts w:ascii="Times New Roman"/>
              </w:rPr>
              <w:t xml:space="preserve"> </w:t>
            </w:r>
          </w:p>
          <w:p>
            <w:pPr>
              <w:pStyle w:val="27"/>
              <w:keepNext w:val="0"/>
              <w:keepLines w:val="0"/>
              <w:widowControl/>
              <w:suppressLineNumbers w:val="0"/>
              <w:spacing w:before="0" w:beforeAutospacing="0" w:after="0" w:afterAutospacing="0"/>
              <w:ind w:left="0" w:leftChars="0" w:right="0"/>
            </w:pPr>
            <w:r>
              <w:rPr>
                <w:rFonts w:ascii="Times New Roman"/>
              </w:rPr>
              <w:t>《餐饮业大气污染物排放标准》(DB13/5808-2023)表1小型标准，同时满足《饮食业油烟排放标准（试行）》（GB 18483-2001）表2去除效率要求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8" w:hRule="atLeast"/>
          <w:jc w:val="center"/>
        </w:trPr>
        <w:tc>
          <w:tcPr>
            <w:tcW w:w="841"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地表水环境</w:t>
            </w:r>
          </w:p>
        </w:tc>
        <w:tc>
          <w:tcPr>
            <w:tcW w:w="785"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w:t>
            </w:r>
          </w:p>
        </w:tc>
        <w:tc>
          <w:tcPr>
            <w:tcW w:w="850"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SS、NH</w:t>
            </w:r>
            <w:r>
              <w:rPr>
                <w:rFonts w:ascii="Times New Roman"/>
                <w:szCs w:val="24"/>
                <w:vertAlign w:val="subscript"/>
              </w:rPr>
              <w:t>3</w:t>
            </w:r>
            <w:r>
              <w:rPr>
                <w:rFonts w:ascii="Times New Roman"/>
                <w:szCs w:val="24"/>
              </w:rPr>
              <w:t>-N、COD、BOD等</w:t>
            </w:r>
          </w:p>
        </w:tc>
        <w:tc>
          <w:tcPr>
            <w:tcW w:w="4885" w:type="dxa"/>
          </w:tcPr>
          <w:p>
            <w:pPr>
              <w:keepNext w:val="0"/>
              <w:keepLines w:val="0"/>
              <w:widowControl/>
              <w:suppressLineNumbers w:val="0"/>
              <w:spacing w:before="0" w:beforeAutospacing="0" w:after="0" w:afterAutospacing="0" w:line="276" w:lineRule="auto"/>
              <w:ind w:left="0" w:right="0"/>
              <w:rPr>
                <w:rFonts w:ascii="Times New Roman"/>
                <w:b/>
                <w:bCs/>
                <w:szCs w:val="24"/>
                <w:lang w:val="fr-FR"/>
              </w:rPr>
            </w:pPr>
            <w:r>
              <w:rPr>
                <w:rFonts w:ascii="Times New Roman"/>
                <w:b/>
                <w:bCs/>
                <w:szCs w:val="24"/>
                <w:lang w:val="fr-FR"/>
              </w:rPr>
              <w:t>施工期：</w:t>
            </w:r>
            <w:r>
              <w:rPr>
                <w:rFonts w:hint="eastAsia" w:ascii="Times New Roman"/>
                <w:b/>
                <w:bCs/>
                <w:szCs w:val="24"/>
              </w:rPr>
              <w:t>依托已批复的《承德县源网荷储一体化和多能互补示范项目》主体环评中措施</w:t>
            </w:r>
          </w:p>
          <w:p>
            <w:pPr>
              <w:keepNext w:val="0"/>
              <w:keepLines w:val="0"/>
              <w:widowControl/>
              <w:suppressLineNumbers w:val="0"/>
              <w:spacing w:before="0" w:beforeAutospacing="0" w:after="0" w:afterAutospacing="0" w:line="276" w:lineRule="auto"/>
              <w:ind w:left="0" w:right="0"/>
              <w:rPr>
                <w:rFonts w:ascii="Times New Roman"/>
                <w:szCs w:val="24"/>
                <w:lang w:val="fr-FR"/>
              </w:rPr>
            </w:pPr>
            <w:r>
              <w:rPr>
                <w:rFonts w:ascii="Times New Roman"/>
                <w:szCs w:val="24"/>
                <w:lang w:val="fr-FR"/>
              </w:rPr>
              <w:t>废水主要有生活污水和施工生产废水。</w:t>
            </w:r>
            <w:r>
              <w:rPr>
                <w:rFonts w:hint="eastAsia" w:ascii="Times New Roman"/>
                <w:szCs w:val="24"/>
                <w:lang w:val="fr-FR"/>
              </w:rPr>
              <w:t>施工期施工人员主要为附近村庄居民，生活废水分散于周边村庄，依托村镇现有污水处理设施处理</w:t>
            </w:r>
            <w:r>
              <w:rPr>
                <w:rFonts w:ascii="Times New Roman"/>
                <w:szCs w:val="24"/>
                <w:lang w:val="fr-FR"/>
              </w:rPr>
              <w:t>。施工生产废水主要是车辆冲洗和水泥构件养护所产生的废水，施工废水很少，经简单沉淀处理后用于场地抑尘。</w:t>
            </w:r>
          </w:p>
        </w:tc>
        <w:tc>
          <w:tcPr>
            <w:tcW w:w="212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Cs w:val="24"/>
                <w:lang w:val="fr-FR"/>
              </w:rPr>
            </w:pPr>
            <w:r>
              <w:rPr>
                <w:rFonts w:ascii="Times New Roman"/>
                <w:szCs w:val="24"/>
                <w:lang w:val="fr-F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785"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850"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4885" w:type="dxa"/>
          </w:tcPr>
          <w:p>
            <w:pPr>
              <w:keepNext w:val="0"/>
              <w:keepLines w:val="0"/>
              <w:widowControl/>
              <w:suppressLineNumbers w:val="0"/>
              <w:adjustRightInd w:val="0"/>
              <w:snapToGrid w:val="0"/>
              <w:spacing w:before="0" w:beforeAutospacing="0" w:after="0" w:afterAutospacing="0" w:line="276" w:lineRule="auto"/>
              <w:ind w:left="0" w:right="0"/>
              <w:rPr>
                <w:rFonts w:ascii="Times New Roman"/>
                <w:b/>
                <w:bCs/>
                <w:szCs w:val="24"/>
              </w:rPr>
            </w:pPr>
            <w:r>
              <w:rPr>
                <w:rFonts w:ascii="Times New Roman"/>
                <w:b/>
                <w:bCs/>
                <w:szCs w:val="24"/>
              </w:rPr>
              <w:t>运行期：</w:t>
            </w:r>
            <w:r>
              <w:rPr>
                <w:rFonts w:hint="eastAsia" w:ascii="Times New Roman"/>
                <w:b/>
                <w:bCs/>
                <w:szCs w:val="24"/>
              </w:rPr>
              <w:t>依托已批复的《承德县源网荷储一体化和多能互补示范项目》主体环评中措施</w:t>
            </w:r>
          </w:p>
          <w:p>
            <w:pPr>
              <w:keepNext w:val="0"/>
              <w:keepLines w:val="0"/>
              <w:widowControl/>
              <w:suppressLineNumbers w:val="0"/>
              <w:adjustRightInd w:val="0"/>
              <w:snapToGrid w:val="0"/>
              <w:spacing w:before="0" w:beforeAutospacing="0" w:after="0" w:afterAutospacing="0" w:line="276" w:lineRule="auto"/>
              <w:ind w:left="0" w:right="0"/>
              <w:rPr>
                <w:rFonts w:ascii="Times New Roman"/>
                <w:szCs w:val="24"/>
              </w:rPr>
            </w:pPr>
            <w:r>
              <w:rPr>
                <w:rFonts w:hint="eastAsia" w:ascii="Times New Roman"/>
                <w:szCs w:val="24"/>
                <w:lang w:val="fr-FR"/>
              </w:rPr>
              <w:t>本项目营运期废水主要为食堂废水及其他生活废水，食堂废水经隔油池处理、其他生活废水经化粪池处理后一同进入污水一体化处理设备处理，处理后满足《城市污水再生利用城市杂用水水质》中城市绿化、道路清扫、消防用水水质标准，用于厂区洒水抑尘。</w:t>
            </w:r>
          </w:p>
        </w:tc>
        <w:tc>
          <w:tcPr>
            <w:tcW w:w="212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rPr>
            </w:pPr>
            <w:r>
              <w:rPr>
                <w:rFonts w:hint="eastAsia" w:ascii="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声</w:t>
            </w:r>
          </w:p>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环</w:t>
            </w:r>
          </w:p>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境</w:t>
            </w:r>
          </w:p>
        </w:tc>
        <w:tc>
          <w:tcPr>
            <w:tcW w:w="785"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w:t>
            </w:r>
          </w:p>
        </w:tc>
        <w:tc>
          <w:tcPr>
            <w:tcW w:w="850"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噪声</w:t>
            </w:r>
          </w:p>
        </w:tc>
        <w:tc>
          <w:tcPr>
            <w:tcW w:w="4885" w:type="dxa"/>
          </w:tcPr>
          <w:p>
            <w:pPr>
              <w:keepNext w:val="0"/>
              <w:keepLines w:val="0"/>
              <w:widowControl/>
              <w:suppressLineNumbers w:val="0"/>
              <w:adjustRightInd w:val="0"/>
              <w:snapToGrid w:val="0"/>
              <w:spacing w:before="0" w:beforeAutospacing="0" w:after="0" w:afterAutospacing="0" w:line="276" w:lineRule="auto"/>
              <w:ind w:left="0" w:right="0"/>
              <w:rPr>
                <w:rFonts w:ascii="Times New Roman"/>
                <w:b/>
                <w:bCs/>
                <w:szCs w:val="24"/>
              </w:rPr>
            </w:pPr>
            <w:r>
              <w:rPr>
                <w:rFonts w:ascii="Times New Roman"/>
                <w:b/>
                <w:bCs/>
                <w:szCs w:val="24"/>
              </w:rPr>
              <w:t>设计期：</w:t>
            </w:r>
          </w:p>
          <w:p>
            <w:pPr>
              <w:keepNext w:val="0"/>
              <w:keepLines w:val="0"/>
              <w:widowControl/>
              <w:suppressLineNumbers w:val="0"/>
              <w:adjustRightInd w:val="0"/>
              <w:snapToGrid w:val="0"/>
              <w:spacing w:before="0" w:beforeAutospacing="0" w:after="0" w:afterAutospacing="0" w:line="276" w:lineRule="auto"/>
              <w:ind w:left="0" w:right="0"/>
              <w:rPr>
                <w:rFonts w:ascii="Times New Roman"/>
                <w:szCs w:val="24"/>
              </w:rPr>
            </w:pPr>
            <w:r>
              <w:rPr>
                <w:rFonts w:ascii="Times New Roman"/>
                <w:szCs w:val="24"/>
              </w:rPr>
              <w:t>合理选择升压站站址，合理布置主变、SVG及配电装置位置，采用低噪声主变。</w:t>
            </w:r>
          </w:p>
        </w:tc>
        <w:tc>
          <w:tcPr>
            <w:tcW w:w="212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Cs w:val="24"/>
              </w:rPr>
            </w:pPr>
            <w:r>
              <w:rPr>
                <w:rFonts w:ascii="Times New Roman"/>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785"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850"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4885" w:type="dxa"/>
          </w:tcPr>
          <w:p>
            <w:pPr>
              <w:keepNext w:val="0"/>
              <w:keepLines w:val="0"/>
              <w:widowControl/>
              <w:suppressLineNumbers w:val="0"/>
              <w:adjustRightInd w:val="0"/>
              <w:snapToGrid w:val="0"/>
              <w:spacing w:before="0" w:beforeAutospacing="0" w:after="0" w:afterAutospacing="0" w:line="276" w:lineRule="auto"/>
              <w:ind w:left="0" w:right="0"/>
              <w:rPr>
                <w:rFonts w:ascii="Times New Roman"/>
                <w:b/>
                <w:bCs/>
                <w:szCs w:val="24"/>
              </w:rPr>
            </w:pPr>
            <w:r>
              <w:rPr>
                <w:rFonts w:ascii="Times New Roman"/>
                <w:b/>
                <w:bCs/>
                <w:szCs w:val="24"/>
              </w:rPr>
              <w:t>施工期：</w:t>
            </w:r>
            <w:r>
              <w:rPr>
                <w:rFonts w:hint="eastAsia" w:ascii="Times New Roman"/>
                <w:b/>
                <w:bCs/>
                <w:szCs w:val="24"/>
              </w:rPr>
              <w:t>依托已批复的《承德县源网荷储一体化和多能互补示范项目》主体环评中措施</w:t>
            </w:r>
          </w:p>
          <w:p>
            <w:pPr>
              <w:keepNext w:val="0"/>
              <w:keepLines w:val="0"/>
              <w:widowControl/>
              <w:suppressLineNumbers w:val="0"/>
              <w:adjustRightInd w:val="0"/>
              <w:snapToGrid w:val="0"/>
              <w:spacing w:before="0" w:beforeAutospacing="0" w:after="0" w:afterAutospacing="0" w:line="276" w:lineRule="auto"/>
              <w:ind w:left="0" w:right="0"/>
              <w:rPr>
                <w:rFonts w:ascii="Times New Roman"/>
                <w:szCs w:val="24"/>
              </w:rPr>
            </w:pPr>
            <w:r>
              <w:rPr>
                <w:rFonts w:ascii="Times New Roman"/>
                <w:szCs w:val="24"/>
              </w:rPr>
              <w:t>采取围挡、隔声装置，低噪音、振动小的施工设备，合理布置施工现场及安排施工时间，并加强管理；运输车辆途经居民点时采取控制车速、禁鸣，加强车辆维护等措施。</w:t>
            </w:r>
          </w:p>
        </w:tc>
        <w:tc>
          <w:tcPr>
            <w:tcW w:w="212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Cs w:val="24"/>
              </w:rPr>
            </w:pPr>
            <w:r>
              <w:rPr>
                <w:rFonts w:ascii="Times New Roman"/>
                <w:szCs w:val="24"/>
              </w:rPr>
              <w:t>《建筑施工厂界环境噪声排放标准》(GB 12523-2011)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785"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850"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4885" w:type="dxa"/>
          </w:tcPr>
          <w:p>
            <w:pPr>
              <w:keepNext w:val="0"/>
              <w:keepLines w:val="0"/>
              <w:widowControl/>
              <w:suppressLineNumbers w:val="0"/>
              <w:adjustRightInd w:val="0"/>
              <w:snapToGrid w:val="0"/>
              <w:spacing w:before="0" w:beforeAutospacing="0" w:after="0" w:afterAutospacing="0" w:line="276" w:lineRule="auto"/>
              <w:ind w:left="0" w:right="0"/>
              <w:rPr>
                <w:rFonts w:ascii="Times New Roman"/>
                <w:b/>
                <w:bCs/>
                <w:szCs w:val="24"/>
              </w:rPr>
            </w:pPr>
            <w:r>
              <w:rPr>
                <w:rFonts w:ascii="Times New Roman"/>
                <w:b/>
                <w:bCs/>
                <w:szCs w:val="24"/>
              </w:rPr>
              <w:t>运行期：</w:t>
            </w:r>
          </w:p>
          <w:p>
            <w:pPr>
              <w:keepNext w:val="0"/>
              <w:keepLines w:val="0"/>
              <w:widowControl/>
              <w:suppressLineNumbers w:val="0"/>
              <w:adjustRightInd w:val="0"/>
              <w:snapToGrid w:val="0"/>
              <w:spacing w:before="0" w:beforeAutospacing="0" w:after="0" w:afterAutospacing="0" w:line="276" w:lineRule="auto"/>
              <w:ind w:left="0" w:right="0"/>
              <w:rPr>
                <w:rFonts w:ascii="Times New Roman"/>
                <w:szCs w:val="24"/>
              </w:rPr>
            </w:pPr>
            <w:r>
              <w:rPr>
                <w:rFonts w:ascii="Times New Roman"/>
                <w:szCs w:val="24"/>
              </w:rPr>
              <w:t>加强运行维护管理。</w:t>
            </w:r>
          </w:p>
        </w:tc>
        <w:tc>
          <w:tcPr>
            <w:tcW w:w="212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Cs w:val="24"/>
              </w:rPr>
            </w:pPr>
            <w:r>
              <w:rPr>
                <w:rFonts w:ascii="Times New Roman"/>
                <w:szCs w:val="24"/>
              </w:rPr>
              <w:t>升压站厂界执行《工业企业厂界环境噪声排放标准》(GB 12348-2008)中的1类标准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1"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电磁辐射</w:t>
            </w:r>
          </w:p>
        </w:tc>
        <w:tc>
          <w:tcPr>
            <w:tcW w:w="785"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w:t>
            </w:r>
          </w:p>
        </w:tc>
        <w:tc>
          <w:tcPr>
            <w:tcW w:w="850"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lang w:val="zh-CN"/>
              </w:rPr>
              <w:t>工频电场强度</w:t>
            </w:r>
            <w:r>
              <w:rPr>
                <w:rFonts w:ascii="Times New Roman"/>
                <w:szCs w:val="24"/>
              </w:rPr>
              <w:t>、工频磁感应强度</w:t>
            </w:r>
          </w:p>
        </w:tc>
        <w:tc>
          <w:tcPr>
            <w:tcW w:w="4885" w:type="dxa"/>
          </w:tcPr>
          <w:p>
            <w:pPr>
              <w:keepNext w:val="0"/>
              <w:keepLines w:val="0"/>
              <w:widowControl/>
              <w:suppressLineNumbers w:val="0"/>
              <w:adjustRightInd w:val="0"/>
              <w:snapToGrid w:val="0"/>
              <w:spacing w:before="0" w:beforeAutospacing="0" w:after="0" w:afterAutospacing="0" w:line="276" w:lineRule="auto"/>
              <w:ind w:left="0" w:right="0"/>
              <w:rPr>
                <w:rFonts w:ascii="Times New Roman"/>
                <w:b/>
                <w:bCs/>
                <w:szCs w:val="24"/>
              </w:rPr>
            </w:pPr>
            <w:r>
              <w:rPr>
                <w:rFonts w:ascii="Times New Roman"/>
                <w:b/>
                <w:bCs/>
                <w:szCs w:val="24"/>
              </w:rPr>
              <w:t>设计期：</w:t>
            </w:r>
          </w:p>
          <w:p>
            <w:pPr>
              <w:keepNext w:val="0"/>
              <w:keepLines w:val="0"/>
              <w:widowControl/>
              <w:suppressLineNumbers w:val="0"/>
              <w:adjustRightInd w:val="0"/>
              <w:snapToGrid w:val="0"/>
              <w:spacing w:before="0" w:beforeAutospacing="0" w:after="0" w:afterAutospacing="0" w:line="276" w:lineRule="auto"/>
              <w:ind w:left="0" w:right="0"/>
              <w:rPr>
                <w:rFonts w:ascii="Times New Roman"/>
                <w:szCs w:val="24"/>
              </w:rPr>
            </w:pPr>
            <w:r>
              <w:rPr>
                <w:rFonts w:ascii="Times New Roman"/>
                <w:szCs w:val="24"/>
              </w:rPr>
              <w:t>合理选择升压站站址，合理布置主变、配电装置位置。</w:t>
            </w:r>
          </w:p>
        </w:tc>
        <w:tc>
          <w:tcPr>
            <w:tcW w:w="212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Cs w:val="24"/>
              </w:rPr>
            </w:pPr>
            <w:r>
              <w:rPr>
                <w:rFonts w:ascii="Times New Roman"/>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785"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850"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4885" w:type="dxa"/>
          </w:tcPr>
          <w:p>
            <w:pPr>
              <w:keepNext w:val="0"/>
              <w:keepLines w:val="0"/>
              <w:widowControl/>
              <w:suppressLineNumbers w:val="0"/>
              <w:adjustRightInd w:val="0"/>
              <w:snapToGrid w:val="0"/>
              <w:spacing w:before="0" w:beforeAutospacing="0" w:after="0" w:afterAutospacing="0" w:line="276" w:lineRule="auto"/>
              <w:ind w:left="0" w:right="0"/>
              <w:rPr>
                <w:rFonts w:ascii="Times New Roman"/>
                <w:szCs w:val="24"/>
              </w:rPr>
            </w:pPr>
            <w:r>
              <w:rPr>
                <w:rFonts w:ascii="Times New Roman"/>
                <w:b/>
                <w:bCs/>
                <w:szCs w:val="24"/>
              </w:rPr>
              <w:t>运行期：</w:t>
            </w:r>
          </w:p>
          <w:p>
            <w:pPr>
              <w:keepNext w:val="0"/>
              <w:keepLines w:val="0"/>
              <w:widowControl/>
              <w:suppressLineNumbers w:val="0"/>
              <w:adjustRightInd w:val="0"/>
              <w:snapToGrid w:val="0"/>
              <w:spacing w:before="0" w:beforeAutospacing="0" w:after="0" w:afterAutospacing="0" w:line="276" w:lineRule="auto"/>
              <w:ind w:left="0" w:right="0"/>
              <w:rPr>
                <w:rFonts w:ascii="Times New Roman"/>
                <w:szCs w:val="24"/>
              </w:rPr>
            </w:pPr>
            <w:r>
              <w:rPr>
                <w:rFonts w:ascii="Times New Roman"/>
                <w:szCs w:val="24"/>
              </w:rPr>
              <w:t>加强运行维护管理。</w:t>
            </w:r>
          </w:p>
        </w:tc>
        <w:tc>
          <w:tcPr>
            <w:tcW w:w="2127" w:type="dxa"/>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Cs w:val="24"/>
              </w:rPr>
            </w:pPr>
            <w:r>
              <w:rPr>
                <w:rFonts w:ascii="Times New Roman"/>
                <w:szCs w:val="24"/>
              </w:rPr>
              <w:t>升压站执行《电磁环境控制限值》(GB 8702-2014)中4kV/m和100μT的公众</w:t>
            </w:r>
            <w:r>
              <w:rPr>
                <w:rFonts w:hint="eastAsia" w:ascii="Times New Roman"/>
                <w:szCs w:val="24"/>
              </w:rPr>
              <w:t>暴露</w:t>
            </w:r>
            <w:r>
              <w:rPr>
                <w:rFonts w:ascii="Times New Roman"/>
                <w:szCs w:val="24"/>
              </w:rPr>
              <w:t>控制限值</w:t>
            </w:r>
            <w:r>
              <w:rPr>
                <w:rFonts w:ascii="Times New Roman"/>
                <w:szCs w:val="24"/>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土壤环境及地下水环境</w:t>
            </w:r>
          </w:p>
        </w:tc>
        <w:tc>
          <w:tcPr>
            <w:tcW w:w="785"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w:t>
            </w:r>
          </w:p>
        </w:tc>
        <w:tc>
          <w:tcPr>
            <w:tcW w:w="850" w:type="dxa"/>
            <w:vMerge w:val="restart"/>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w:t>
            </w:r>
          </w:p>
        </w:tc>
        <w:tc>
          <w:tcPr>
            <w:tcW w:w="4885" w:type="dxa"/>
          </w:tcPr>
          <w:p>
            <w:pPr>
              <w:keepNext w:val="0"/>
              <w:keepLines w:val="0"/>
              <w:widowControl/>
              <w:suppressLineNumbers w:val="0"/>
              <w:adjustRightInd w:val="0"/>
              <w:snapToGrid w:val="0"/>
              <w:spacing w:before="0" w:beforeAutospacing="0" w:after="0" w:afterAutospacing="0" w:line="276" w:lineRule="auto"/>
              <w:ind w:left="0" w:right="0"/>
              <w:rPr>
                <w:rFonts w:ascii="Times New Roman"/>
                <w:b/>
                <w:bCs/>
                <w:szCs w:val="24"/>
              </w:rPr>
            </w:pPr>
            <w:r>
              <w:rPr>
                <w:rFonts w:ascii="Times New Roman"/>
                <w:b/>
                <w:bCs/>
                <w:szCs w:val="24"/>
              </w:rPr>
              <w:t>设计期：</w:t>
            </w:r>
            <w:r>
              <w:rPr>
                <w:rFonts w:hint="eastAsia" w:ascii="Times New Roman"/>
                <w:b/>
                <w:bCs/>
                <w:szCs w:val="24"/>
              </w:rPr>
              <w:t>依托已批复的《承德县源网荷储一体化和多能互补示范项目》主体环评中措施</w:t>
            </w:r>
          </w:p>
          <w:p>
            <w:pPr>
              <w:keepNext w:val="0"/>
              <w:keepLines w:val="0"/>
              <w:widowControl/>
              <w:suppressLineNumbers w:val="0"/>
              <w:adjustRightInd w:val="0"/>
              <w:snapToGrid w:val="0"/>
              <w:spacing w:before="0" w:beforeAutospacing="0" w:after="0" w:afterAutospacing="0" w:line="276" w:lineRule="auto"/>
              <w:ind w:left="0" w:right="0"/>
              <w:rPr>
                <w:rFonts w:ascii="Times New Roman"/>
                <w:b/>
                <w:bCs/>
                <w:szCs w:val="24"/>
              </w:rPr>
            </w:pPr>
            <w:r>
              <w:rPr>
                <w:rFonts w:ascii="Times New Roman"/>
                <w:szCs w:val="24"/>
              </w:rPr>
              <w:t>升压站内设置</w:t>
            </w:r>
            <w:r>
              <w:rPr>
                <w:rFonts w:hint="eastAsia" w:ascii="Times New Roman"/>
                <w:szCs w:val="24"/>
              </w:rPr>
              <w:t>153</w:t>
            </w:r>
            <w:r>
              <w:rPr>
                <w:rFonts w:ascii="Times New Roman"/>
                <w:szCs w:val="24"/>
              </w:rPr>
              <w:t>m</w:t>
            </w:r>
            <w:r>
              <w:rPr>
                <w:rFonts w:ascii="Times New Roman"/>
                <w:szCs w:val="24"/>
                <w:vertAlign w:val="superscript"/>
              </w:rPr>
              <w:t>3</w:t>
            </w:r>
            <w:r>
              <w:rPr>
                <w:rFonts w:ascii="Times New Roman"/>
                <w:szCs w:val="24"/>
              </w:rPr>
              <w:t>防渗事故油池，设置危险废物暂存间。</w:t>
            </w:r>
          </w:p>
        </w:tc>
        <w:tc>
          <w:tcPr>
            <w:tcW w:w="2127" w:type="dxa"/>
            <w:vMerge w:val="restart"/>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Cs w:val="24"/>
              </w:rPr>
            </w:pPr>
            <w:r>
              <w:rPr>
                <w:rFonts w:ascii="Times New Roman"/>
                <w:snapToGrid w:val="0"/>
              </w:rPr>
              <w:t>减小对地下水和土壤生态影响。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841"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785"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850" w:type="dxa"/>
            <w:vMerge w:val="continue"/>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p>
        </w:tc>
        <w:tc>
          <w:tcPr>
            <w:tcW w:w="4885" w:type="dxa"/>
          </w:tcPr>
          <w:p>
            <w:pPr>
              <w:keepNext w:val="0"/>
              <w:keepLines w:val="0"/>
              <w:widowControl/>
              <w:suppressLineNumbers w:val="0"/>
              <w:adjustRightInd w:val="0"/>
              <w:snapToGrid w:val="0"/>
              <w:spacing w:before="0" w:beforeAutospacing="0" w:after="0" w:afterAutospacing="0" w:line="276" w:lineRule="auto"/>
              <w:ind w:left="0" w:right="0"/>
              <w:rPr>
                <w:rFonts w:ascii="Times New Roman"/>
                <w:b/>
                <w:bCs/>
                <w:szCs w:val="24"/>
              </w:rPr>
            </w:pPr>
            <w:r>
              <w:rPr>
                <w:rFonts w:hint="eastAsia" w:ascii="Times New Roman"/>
                <w:b/>
                <w:bCs/>
                <w:szCs w:val="24"/>
              </w:rPr>
              <w:t>运行期</w:t>
            </w:r>
            <w:r>
              <w:rPr>
                <w:rFonts w:ascii="Times New Roman"/>
                <w:b/>
                <w:bCs/>
                <w:szCs w:val="24"/>
              </w:rPr>
              <w:t>：</w:t>
            </w:r>
            <w:r>
              <w:rPr>
                <w:rFonts w:hint="eastAsia" w:ascii="Times New Roman"/>
                <w:b/>
                <w:bCs/>
                <w:szCs w:val="24"/>
              </w:rPr>
              <w:t>依托已批复的《承德县源网荷储一体化和多能互补示范项目》主体环评中措施</w:t>
            </w:r>
          </w:p>
          <w:p>
            <w:pPr>
              <w:keepNext w:val="0"/>
              <w:keepLines w:val="0"/>
              <w:widowControl/>
              <w:suppressLineNumbers w:val="0"/>
              <w:adjustRightInd w:val="0"/>
              <w:snapToGrid w:val="0"/>
              <w:spacing w:before="0" w:beforeAutospacing="0" w:after="0" w:afterAutospacing="0" w:line="276" w:lineRule="auto"/>
              <w:ind w:left="0" w:right="0"/>
              <w:rPr>
                <w:rFonts w:ascii="Times New Roman"/>
                <w:b/>
                <w:bCs/>
                <w:szCs w:val="24"/>
              </w:rPr>
            </w:pPr>
            <w:r>
              <w:rPr>
                <w:rFonts w:hint="eastAsia" w:ascii="Times New Roman"/>
              </w:rPr>
              <w:t>主变事故油池进行重点防渗，防渗系数为等效黏土层Mb≥6.0m、K≤1.0×10-10cm/s；危废间防渗进行重点防渗，防渗层为至少1m厚黏土层(渗透系数不大于10</w:t>
            </w:r>
            <w:r>
              <w:rPr>
                <w:rFonts w:hint="eastAsia" w:ascii="Times New Roman"/>
                <w:vertAlign w:val="superscript"/>
              </w:rPr>
              <w:t>-7</w:t>
            </w:r>
            <w:r>
              <w:rPr>
                <w:rFonts w:hint="eastAsia" w:ascii="Times New Roman"/>
              </w:rPr>
              <w:t>cm/s)，或至少2mm厚高密度聚乙烯膜等人工防渗材料(渗透系数不大于10</w:t>
            </w:r>
            <w:r>
              <w:rPr>
                <w:rFonts w:hint="eastAsia" w:ascii="Times New Roman"/>
                <w:vertAlign w:val="superscript"/>
              </w:rPr>
              <w:t>-10</w:t>
            </w:r>
            <w:r>
              <w:rPr>
                <w:rFonts w:hint="eastAsia" w:ascii="Times New Roman"/>
              </w:rPr>
              <w:t>cm/s)；化粪池进行一般防渗处理，防渗系数为等效黏土层Mb≥1.5m、K≤1.0×10</w:t>
            </w:r>
            <w:r>
              <w:rPr>
                <w:rFonts w:hint="eastAsia" w:ascii="Times New Roman"/>
                <w:vertAlign w:val="superscript"/>
              </w:rPr>
              <w:t>-7</w:t>
            </w:r>
            <w:r>
              <w:rPr>
                <w:rFonts w:hint="eastAsia" w:ascii="Times New Roman"/>
              </w:rPr>
              <w:t>cm/s</w:t>
            </w:r>
            <w:r>
              <w:rPr>
                <w:rFonts w:ascii="Times New Roman"/>
              </w:rPr>
              <w:t>。</w:t>
            </w:r>
          </w:p>
        </w:tc>
        <w:tc>
          <w:tcPr>
            <w:tcW w:w="2127" w:type="dxa"/>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ascii="Times New Roman"/>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固体废物</w:t>
            </w:r>
          </w:p>
        </w:tc>
        <w:tc>
          <w:tcPr>
            <w:tcW w:w="8647" w:type="dxa"/>
            <w:gridSpan w:val="4"/>
            <w:vAlign w:val="center"/>
          </w:tcPr>
          <w:p>
            <w:pPr>
              <w:keepNext w:val="0"/>
              <w:keepLines w:val="0"/>
              <w:widowControl/>
              <w:suppressLineNumbers w:val="0"/>
              <w:adjustRightInd w:val="0"/>
              <w:snapToGrid w:val="0"/>
              <w:spacing w:before="0" w:beforeAutospacing="0" w:after="0" w:afterAutospacing="0"/>
              <w:ind w:left="0" w:right="0" w:firstLine="422"/>
              <w:rPr>
                <w:rFonts w:ascii="Times New Roman"/>
                <w:szCs w:val="24"/>
              </w:rPr>
            </w:pPr>
            <w:r>
              <w:rPr>
                <w:rFonts w:ascii="Times New Roman"/>
                <w:b/>
                <w:bCs/>
                <w:szCs w:val="24"/>
              </w:rPr>
              <w:t>设计期：</w:t>
            </w:r>
            <w:r>
              <w:rPr>
                <w:rFonts w:hint="eastAsia" w:ascii="Times New Roman"/>
                <w:b/>
                <w:bCs/>
                <w:szCs w:val="24"/>
              </w:rPr>
              <w:t>依托已批复的《承德县源网荷储一体化和多能互补示范项目》主体环评中措施</w:t>
            </w:r>
          </w:p>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设置防渗事故油池及危险废物暂存间。</w:t>
            </w:r>
          </w:p>
          <w:p>
            <w:pPr>
              <w:keepNext w:val="0"/>
              <w:keepLines w:val="0"/>
              <w:widowControl/>
              <w:suppressLineNumbers w:val="0"/>
              <w:adjustRightInd w:val="0"/>
              <w:snapToGrid w:val="0"/>
              <w:spacing w:before="0" w:beforeAutospacing="0" w:after="0" w:afterAutospacing="0"/>
              <w:ind w:left="0" w:right="0" w:firstLine="422"/>
              <w:rPr>
                <w:rFonts w:ascii="Times New Roman"/>
                <w:b/>
                <w:bCs/>
                <w:szCs w:val="24"/>
              </w:rPr>
            </w:pPr>
            <w:r>
              <w:rPr>
                <w:rFonts w:ascii="Times New Roman"/>
                <w:b/>
                <w:bCs/>
                <w:szCs w:val="24"/>
              </w:rPr>
              <w:t>施工期：</w:t>
            </w:r>
            <w:r>
              <w:rPr>
                <w:rFonts w:hint="eastAsia" w:ascii="Times New Roman"/>
                <w:b/>
                <w:bCs/>
                <w:szCs w:val="24"/>
              </w:rPr>
              <w:t>依托已批复的《承德县源网荷储一体化和多能互补示范项目》主体环评中措施</w:t>
            </w:r>
          </w:p>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施工期的固体废物主要为建筑垃圾、废弃金具、废弃包装物及施工人员产生的生活垃圾。建筑垃圾、废弃金具、废弃包装物运至指定的场所处理。生活垃圾经集中收集后，定期清运。</w:t>
            </w:r>
          </w:p>
          <w:p>
            <w:pPr>
              <w:keepNext w:val="0"/>
              <w:keepLines w:val="0"/>
              <w:widowControl/>
              <w:suppressLineNumbers w:val="0"/>
              <w:adjustRightInd w:val="0"/>
              <w:snapToGrid w:val="0"/>
              <w:spacing w:before="0" w:beforeAutospacing="0" w:after="0" w:afterAutospacing="0"/>
              <w:ind w:left="0" w:right="0" w:firstLine="422"/>
              <w:rPr>
                <w:rFonts w:ascii="Times New Roman"/>
                <w:b/>
                <w:bCs/>
                <w:szCs w:val="24"/>
              </w:rPr>
            </w:pPr>
            <w:r>
              <w:rPr>
                <w:rFonts w:ascii="Times New Roman"/>
                <w:b/>
                <w:bCs/>
                <w:szCs w:val="24"/>
              </w:rPr>
              <w:t>运行期：</w:t>
            </w:r>
            <w:r>
              <w:rPr>
                <w:rFonts w:hint="eastAsia" w:ascii="Times New Roman"/>
                <w:b/>
                <w:bCs/>
                <w:szCs w:val="24"/>
              </w:rPr>
              <w:t>依托已批复的《承德县源网荷储一体化和多能互补示范项目》主体环评中措施</w:t>
            </w:r>
          </w:p>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hint="eastAsia" w:ascii="Times New Roman"/>
                <w:szCs w:val="24"/>
              </w:rPr>
              <w:t>主要为值班工作人员产生的生活垃圾、废旧磷酸铁锂电池、废旧铅酸蓄电池和废变压器油（检修废油、事故油）。升压站内设置带盖垃圾箱，生活垃圾经集中收集后，由当地环卫部门统一清运处理。废旧磷酸铁锂电池由厂家更换处理，不暂存。废旧铅酸蓄电池暂存于站内危险废物暂存间，定期由承德雅舍再生资源回收有限公司运输、回收处理。主变压器检修产生的废油</w:t>
            </w:r>
            <w:r>
              <w:rPr>
                <w:rFonts w:hint="eastAsia" w:ascii="Times New Roman"/>
                <w:szCs w:val="24"/>
                <w:lang w:val="en-US" w:eastAsia="zh-CN"/>
              </w:rPr>
              <w:t>暂存于危废暂存间，主变压器</w:t>
            </w:r>
            <w:r>
              <w:rPr>
                <w:rFonts w:hint="eastAsia" w:ascii="Times New Roman"/>
                <w:szCs w:val="24"/>
              </w:rPr>
              <w:t>事故状态下产生的事故油排入项目新建事故油池，检修废油、事故废油、沾油抹布最终统一由承德双然环保科技有限公司运输至乐亭县海畅环保科技有限公司处理。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生态保护</w:t>
            </w:r>
          </w:p>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措施</w:t>
            </w:r>
          </w:p>
        </w:tc>
        <w:tc>
          <w:tcPr>
            <w:tcW w:w="8647" w:type="dxa"/>
            <w:gridSpan w:val="4"/>
            <w:vAlign w:val="center"/>
          </w:tcPr>
          <w:p>
            <w:pPr>
              <w:keepNext w:val="0"/>
              <w:keepLines w:val="0"/>
              <w:widowControl/>
              <w:suppressLineNumbers w:val="0"/>
              <w:adjustRightInd w:val="0"/>
              <w:snapToGrid w:val="0"/>
              <w:spacing w:before="0" w:beforeAutospacing="0" w:after="0" w:afterAutospacing="0"/>
              <w:ind w:left="0" w:right="0" w:firstLine="422"/>
              <w:rPr>
                <w:rFonts w:ascii="Times New Roman"/>
                <w:b/>
                <w:bCs/>
                <w:szCs w:val="24"/>
              </w:rPr>
            </w:pPr>
            <w:r>
              <w:rPr>
                <w:rFonts w:ascii="Times New Roman"/>
                <w:b/>
                <w:bCs/>
                <w:szCs w:val="24"/>
              </w:rPr>
              <w:t>施工期：</w:t>
            </w:r>
            <w:r>
              <w:rPr>
                <w:rFonts w:hint="eastAsia" w:ascii="Times New Roman"/>
                <w:b/>
                <w:bCs/>
                <w:szCs w:val="24"/>
              </w:rPr>
              <w:t>依托已批复的《承德县源网荷储一体化和多能互补示范项目》主体环评中措施</w:t>
            </w:r>
          </w:p>
          <w:p>
            <w:pPr>
              <w:keepNext w:val="0"/>
              <w:keepLines w:val="0"/>
              <w:widowControl/>
              <w:suppressLineNumbers w:val="0"/>
              <w:snapToGrid w:val="0"/>
              <w:spacing w:before="0" w:beforeAutospacing="0" w:after="0" w:afterAutospacing="0"/>
              <w:ind w:left="0" w:right="0" w:firstLine="420"/>
              <w:rPr>
                <w:szCs w:val="24"/>
              </w:rPr>
            </w:pPr>
            <w:r>
              <w:rPr>
                <w:rFonts w:hint="eastAsia"/>
                <w:szCs w:val="24"/>
              </w:rPr>
              <w:t>①对施工营地、道路占地进行合理规划；</w:t>
            </w:r>
          </w:p>
          <w:p>
            <w:pPr>
              <w:keepNext w:val="0"/>
              <w:keepLines w:val="0"/>
              <w:widowControl/>
              <w:suppressLineNumbers w:val="0"/>
              <w:spacing w:before="0" w:beforeAutospacing="0" w:after="0" w:afterAutospacing="0"/>
              <w:ind w:left="0" w:right="0" w:firstLine="420"/>
            </w:pPr>
            <w:r>
              <w:rPr>
                <w:rFonts w:hint="eastAsia"/>
              </w:rPr>
              <w:t>②现场施工机械和人员活动范围严格限制在作业带范围内，尽量减少施工破坏面，同时避免在大风天气下进行施工作业，施工作业带使用完毕后全部进行生态恢复；</w:t>
            </w:r>
          </w:p>
          <w:p>
            <w:pPr>
              <w:keepNext w:val="0"/>
              <w:keepLines w:val="0"/>
              <w:widowControl/>
              <w:suppressLineNumbers w:val="0"/>
              <w:snapToGrid w:val="0"/>
              <w:spacing w:before="0" w:beforeAutospacing="0" w:after="0" w:afterAutospacing="0"/>
              <w:ind w:left="0" w:right="0" w:firstLine="420" w:firstLineChars="200"/>
              <w:rPr>
                <w:szCs w:val="24"/>
              </w:rPr>
            </w:pPr>
            <w:r>
              <w:rPr>
                <w:rFonts w:hint="eastAsia"/>
                <w:szCs w:val="24"/>
              </w:rPr>
              <w:t>③项目施工材料及设备尽量分拆改用小型运输工具运输，以减轻对地表植被的碾压；</w:t>
            </w:r>
          </w:p>
          <w:p>
            <w:pPr>
              <w:keepNext w:val="0"/>
              <w:keepLines w:val="0"/>
              <w:widowControl/>
              <w:suppressLineNumbers w:val="0"/>
              <w:snapToGrid w:val="0"/>
              <w:spacing w:before="0" w:beforeAutospacing="0" w:after="0" w:afterAutospacing="0"/>
              <w:ind w:left="0" w:right="0" w:firstLine="420" w:firstLineChars="200"/>
              <w:rPr>
                <w:szCs w:val="24"/>
              </w:rPr>
            </w:pPr>
            <w:r>
              <w:rPr>
                <w:rFonts w:hint="eastAsia"/>
                <w:szCs w:val="24"/>
              </w:rPr>
              <w:t>④施工优先采用环保型设备；</w:t>
            </w:r>
          </w:p>
          <w:p>
            <w:pPr>
              <w:keepNext w:val="0"/>
              <w:keepLines w:val="0"/>
              <w:widowControl/>
              <w:suppressLineNumbers w:val="0"/>
              <w:snapToGrid w:val="0"/>
              <w:spacing w:before="0" w:beforeAutospacing="0" w:after="0" w:afterAutospacing="0"/>
              <w:ind w:left="0" w:right="0" w:firstLine="420" w:firstLineChars="200"/>
              <w:rPr>
                <w:szCs w:val="24"/>
              </w:rPr>
            </w:pPr>
            <w:r>
              <w:rPr>
                <w:rFonts w:hint="eastAsia"/>
                <w:szCs w:val="24"/>
              </w:rPr>
              <w:t>⑤施工期剥离的表土保存，采用密网覆盖临时堆土区域，减少水土流失和扬尘，播撒草籽恢复植被；</w:t>
            </w:r>
          </w:p>
          <w:p>
            <w:pPr>
              <w:keepNext w:val="0"/>
              <w:keepLines w:val="0"/>
              <w:widowControl/>
              <w:suppressLineNumbers w:val="0"/>
              <w:snapToGrid w:val="0"/>
              <w:spacing w:before="0" w:beforeAutospacing="0" w:after="0" w:afterAutospacing="0"/>
              <w:ind w:left="0" w:right="0" w:firstLine="420" w:firstLineChars="200"/>
              <w:rPr>
                <w:szCs w:val="24"/>
              </w:rPr>
            </w:pPr>
            <w:r>
              <w:rPr>
                <w:rFonts w:hint="eastAsia"/>
                <w:szCs w:val="24"/>
              </w:rPr>
              <w:t>⑥减少大型机械施工，基坑开挖后，及时回填，其表层进行碾压，缩短裸露时间，减少扬尘发生。</w:t>
            </w:r>
          </w:p>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b/>
                <w:bCs/>
                <w:szCs w:val="24"/>
              </w:rPr>
              <w:t>运行期：</w:t>
            </w:r>
          </w:p>
          <w:p>
            <w:pPr>
              <w:pStyle w:val="27"/>
              <w:keepNext w:val="0"/>
              <w:keepLines w:val="0"/>
              <w:widowControl/>
              <w:suppressLineNumbers w:val="0"/>
              <w:spacing w:before="0" w:beforeAutospacing="0" w:after="0" w:afterAutospacing="0"/>
              <w:ind w:left="0" w:leftChars="0" w:right="0" w:firstLine="420" w:firstLineChars="200"/>
            </w:pPr>
            <w:r>
              <w:rPr>
                <w:rFonts w:hint="eastAsia"/>
              </w:rPr>
              <w:t>升压站两侧撒播草籽、种植树木并加强植被抚育。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环境风险</w:t>
            </w:r>
          </w:p>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防范措施</w:t>
            </w:r>
          </w:p>
        </w:tc>
        <w:tc>
          <w:tcPr>
            <w:tcW w:w="8647" w:type="dxa"/>
            <w:gridSpan w:val="4"/>
            <w:vAlign w:val="center"/>
          </w:tcPr>
          <w:p>
            <w:pPr>
              <w:keepNext w:val="0"/>
              <w:keepLines w:val="0"/>
              <w:widowControl/>
              <w:suppressLineNumbers w:val="0"/>
              <w:adjustRightInd w:val="0"/>
              <w:snapToGrid w:val="0"/>
              <w:spacing w:before="0" w:beforeAutospacing="0" w:after="0" w:afterAutospacing="0"/>
              <w:ind w:left="0" w:right="0" w:firstLine="422"/>
              <w:rPr>
                <w:rFonts w:ascii="Times New Roman"/>
                <w:b/>
                <w:bCs/>
                <w:szCs w:val="24"/>
              </w:rPr>
            </w:pPr>
            <w:r>
              <w:rPr>
                <w:rFonts w:ascii="Times New Roman"/>
                <w:b/>
                <w:bCs/>
                <w:szCs w:val="24"/>
              </w:rPr>
              <w:t>设计期：</w:t>
            </w:r>
            <w:r>
              <w:rPr>
                <w:rFonts w:hint="eastAsia" w:ascii="Times New Roman"/>
                <w:b/>
                <w:bCs/>
                <w:szCs w:val="24"/>
              </w:rPr>
              <w:t>依托已批复的《承德县源网荷储一体化和多能互补示范项目》主体环评中措施</w:t>
            </w:r>
          </w:p>
          <w:p>
            <w:pPr>
              <w:keepNext w:val="0"/>
              <w:keepLines w:val="0"/>
              <w:widowControl/>
              <w:suppressLineNumbers w:val="0"/>
              <w:tabs>
                <w:tab w:val="left" w:pos="1583"/>
              </w:tabs>
              <w:adjustRightInd w:val="0"/>
              <w:snapToGrid w:val="0"/>
              <w:spacing w:before="0" w:beforeAutospacing="0" w:after="0" w:afterAutospacing="0"/>
              <w:ind w:left="0" w:right="0" w:firstLine="420"/>
              <w:rPr>
                <w:rFonts w:ascii="Times New Roman"/>
                <w:szCs w:val="24"/>
              </w:rPr>
            </w:pPr>
            <w:r>
              <w:rPr>
                <w:rFonts w:ascii="Times New Roman"/>
                <w:szCs w:val="24"/>
              </w:rPr>
              <w:t>升压站内设计建设</w:t>
            </w:r>
            <w:r>
              <w:rPr>
                <w:rFonts w:hint="eastAsia" w:ascii="Times New Roman"/>
                <w:szCs w:val="24"/>
              </w:rPr>
              <w:t>153</w:t>
            </w:r>
            <w:r>
              <w:rPr>
                <w:rFonts w:ascii="Times New Roman"/>
                <w:szCs w:val="24"/>
              </w:rPr>
              <w:t>m</w:t>
            </w:r>
            <w:r>
              <w:rPr>
                <w:rFonts w:ascii="Times New Roman"/>
                <w:szCs w:val="24"/>
                <w:vertAlign w:val="superscript"/>
              </w:rPr>
              <w:t>3</w:t>
            </w:r>
            <w:r>
              <w:rPr>
                <w:rFonts w:ascii="Times New Roman"/>
                <w:szCs w:val="24"/>
              </w:rPr>
              <w:t>主变事故油池。</w:t>
            </w:r>
          </w:p>
          <w:p>
            <w:pPr>
              <w:keepNext w:val="0"/>
              <w:keepLines w:val="0"/>
              <w:widowControl/>
              <w:suppressLineNumbers w:val="0"/>
              <w:adjustRightInd w:val="0"/>
              <w:snapToGrid w:val="0"/>
              <w:spacing w:before="0" w:beforeAutospacing="0" w:after="0" w:afterAutospacing="0"/>
              <w:ind w:left="0" w:right="0" w:firstLine="422"/>
              <w:rPr>
                <w:rFonts w:ascii="Times New Roman"/>
                <w:b/>
                <w:bCs/>
                <w:szCs w:val="24"/>
              </w:rPr>
            </w:pPr>
            <w:r>
              <w:rPr>
                <w:rFonts w:ascii="Times New Roman"/>
                <w:b/>
                <w:bCs/>
                <w:szCs w:val="24"/>
              </w:rPr>
              <w:t>施工期：-</w:t>
            </w:r>
          </w:p>
          <w:p>
            <w:pPr>
              <w:keepNext w:val="0"/>
              <w:keepLines w:val="0"/>
              <w:widowControl/>
              <w:suppressLineNumbers w:val="0"/>
              <w:adjustRightInd w:val="0"/>
              <w:snapToGrid w:val="0"/>
              <w:spacing w:before="0" w:beforeAutospacing="0" w:after="0" w:afterAutospacing="0"/>
              <w:ind w:left="0" w:right="0" w:firstLine="422"/>
              <w:rPr>
                <w:rFonts w:ascii="Times New Roman"/>
                <w:b/>
                <w:bCs/>
                <w:szCs w:val="24"/>
              </w:rPr>
            </w:pPr>
            <w:r>
              <w:rPr>
                <w:rFonts w:ascii="Times New Roman"/>
                <w:b/>
                <w:bCs/>
                <w:szCs w:val="24"/>
              </w:rPr>
              <w:t>运行期：</w:t>
            </w:r>
            <w:r>
              <w:rPr>
                <w:rFonts w:hint="eastAsia" w:ascii="Times New Roman"/>
                <w:b/>
                <w:bCs/>
                <w:szCs w:val="24"/>
              </w:rPr>
              <w:t>依托已批复的《承德县源网荷储一体化和多能互补示范项目》主体环评中措施</w:t>
            </w:r>
          </w:p>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做好环境保护设施的维护和运行管理，加强巡查和检查，确保事故油池无渗漏、无溢流。升压站运行过程中产生的变压器事故油进行回收处理。废旧蓄电池存放危险废物暂存间，</w:t>
            </w:r>
            <w:r>
              <w:rPr>
                <w:rFonts w:hint="eastAsia" w:ascii="Times New Roman"/>
                <w:szCs w:val="24"/>
              </w:rPr>
              <w:t>定期由承德雅舍再生资源回收有限公司运输、回收处理。主变压器检修产生的废油</w:t>
            </w:r>
            <w:r>
              <w:rPr>
                <w:rFonts w:hint="eastAsia" w:ascii="Times New Roman"/>
                <w:szCs w:val="24"/>
                <w:lang w:val="en-US" w:eastAsia="zh-CN"/>
              </w:rPr>
              <w:t>暂存于危废暂存间</w:t>
            </w:r>
            <w:r>
              <w:rPr>
                <w:rFonts w:hint="eastAsia" w:ascii="Times New Roman"/>
                <w:szCs w:val="24"/>
              </w:rPr>
              <w:t>及事故状态下产生的事故油排入项目新建事故油池，检修废油、事故废油、沾油抹布最终统一由承德双然环保科技有限公司运输至乐亭县海畅环保科技有限公司处理。</w:t>
            </w:r>
            <w:r>
              <w:rPr>
                <w:rFonts w:ascii="Times New Roman"/>
                <w:szCs w:val="24"/>
              </w:rPr>
              <w:t>针对变电工程站内可能发生的突发环境事件，应按照国家有关规定制定突发环境事件应急预案，并定期演练。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dxa"/>
            <w:vAlign w:val="center"/>
          </w:tcPr>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其他环境</w:t>
            </w:r>
          </w:p>
          <w:p>
            <w:pPr>
              <w:keepNext w:val="0"/>
              <w:keepLines w:val="0"/>
              <w:widowControl/>
              <w:suppressLineNumbers w:val="0"/>
              <w:adjustRightInd w:val="0"/>
              <w:snapToGrid w:val="0"/>
              <w:spacing w:before="0" w:beforeAutospacing="0" w:after="0" w:afterAutospacing="0" w:line="276" w:lineRule="auto"/>
              <w:ind w:left="0" w:right="0"/>
              <w:jc w:val="center"/>
              <w:rPr>
                <w:rFonts w:ascii="Times New Roman"/>
                <w:szCs w:val="24"/>
              </w:rPr>
            </w:pPr>
            <w:r>
              <w:rPr>
                <w:rFonts w:ascii="Times New Roman"/>
                <w:szCs w:val="24"/>
              </w:rPr>
              <w:t>管理要求</w:t>
            </w:r>
          </w:p>
        </w:tc>
        <w:tc>
          <w:tcPr>
            <w:tcW w:w="8647" w:type="dxa"/>
            <w:gridSpan w:val="4"/>
            <w:vAlign w:val="center"/>
          </w:tcPr>
          <w:p>
            <w:pPr>
              <w:keepNext w:val="0"/>
              <w:keepLines w:val="0"/>
              <w:widowControl/>
              <w:suppressLineNumbers w:val="0"/>
              <w:snapToGrid w:val="0"/>
              <w:spacing w:before="0" w:beforeAutospacing="0" w:after="0" w:afterAutospacing="0"/>
              <w:ind w:left="0" w:right="0" w:firstLine="422"/>
              <w:rPr>
                <w:rFonts w:ascii="Times New Roman"/>
                <w:b/>
                <w:bCs/>
                <w:szCs w:val="24"/>
              </w:rPr>
            </w:pPr>
            <w:r>
              <w:rPr>
                <w:rFonts w:ascii="Times New Roman"/>
                <w:b/>
                <w:bCs/>
                <w:szCs w:val="24"/>
              </w:rPr>
              <w:t>1、环境管理</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建设单位设置环境管理体制、管理机构和人员。加强施工期环境管理，及时组织竣工环境保护验收并加强运行期环境管理。开展环境保护培训。</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严格环境保护法规、政策的执行，编制环境管理计划并落实环境保护措施的实施。</w:t>
            </w:r>
          </w:p>
          <w:p>
            <w:pPr>
              <w:keepNext w:val="0"/>
              <w:keepLines w:val="0"/>
              <w:widowControl/>
              <w:suppressLineNumbers w:val="0"/>
              <w:snapToGrid w:val="0"/>
              <w:spacing w:before="0" w:beforeAutospacing="0" w:after="0" w:afterAutospacing="0"/>
              <w:ind w:left="0" w:right="0" w:firstLine="422"/>
              <w:rPr>
                <w:rFonts w:ascii="Times New Roman"/>
                <w:b/>
                <w:bCs/>
                <w:szCs w:val="24"/>
              </w:rPr>
            </w:pPr>
            <w:r>
              <w:rPr>
                <w:rFonts w:ascii="Times New Roman"/>
                <w:b/>
                <w:bCs/>
                <w:szCs w:val="24"/>
              </w:rPr>
              <w:t>(1)施工期</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1)输变电建设项目施工应落实设计文件中提出的环境保护要求。</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2)建设单位、施工单位及监理单位共同进行施工期环境管理。严格控制施工影响范围，确定适宜的施工季节和施工方式。</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3)变电工程施工过程中</w:t>
            </w:r>
            <w:r>
              <w:rPr>
                <w:rFonts w:hint="eastAsia" w:ascii="Times New Roman"/>
                <w:szCs w:val="24"/>
              </w:rPr>
              <w:t>厂</w:t>
            </w:r>
            <w:r>
              <w:rPr>
                <w:rFonts w:ascii="Times New Roman"/>
                <w:szCs w:val="24"/>
              </w:rPr>
              <w:t>界环境噪声排放应满足GB 12523中的要求。</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4)施工现场使用带油料的机械器具，应采取措施防止油料跑、冒、滴、漏，防止对土壤和水体造成污染。水体保护区内或附近施工时，应加强管理，做好污水防治措施，确保水环境不受影响。施工期间禁止向水体排放、倾倒垃圾等废弃物。施工结束后，应及时清理施工现场，因地制宜进行土地功能恢复。</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5)施工过程中，应当加强对施工现场和物料运输的管理，在施工</w:t>
            </w:r>
            <w:r>
              <w:rPr>
                <w:rFonts w:hint="eastAsia" w:ascii="Times New Roman"/>
                <w:szCs w:val="24"/>
              </w:rPr>
              <w:t>场地</w:t>
            </w:r>
            <w:r>
              <w:rPr>
                <w:rFonts w:ascii="Times New Roman"/>
                <w:szCs w:val="24"/>
              </w:rPr>
              <w:t>设置硬质围挡，保持道路清洁，管控料堆和渣土堆放，</w:t>
            </w:r>
            <w:r>
              <w:rPr>
                <w:rFonts w:hint="eastAsia" w:ascii="Times New Roman"/>
                <w:szCs w:val="24"/>
              </w:rPr>
              <w:t>防止</w:t>
            </w:r>
            <w:r>
              <w:rPr>
                <w:rFonts w:ascii="Times New Roman"/>
                <w:szCs w:val="24"/>
              </w:rPr>
              <w:t>扬尘污染。施工过程中，对易起尘的临时堆土、运输过程中的土石方等应采用密闭式防尘布(网)进行苫盖，施工面集中且有条件的地方宜采取洒水降尘等有效措施，减少易造成大气污染的施工作业。施工过程中，建设单位应当对裸露地面进行覆盖。</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6)施工现场禁止将包装物、可燃垃圾等固体废弃物就地焚烧。施工过程中产生的废弃金具、废弃包装物、建筑垃圾、生活垃圾应分类集中收集，并按国家和地方有关规定并定期进行清运处置，施工完成后及时做好迹地清理工作。</w:t>
            </w:r>
          </w:p>
          <w:p>
            <w:pPr>
              <w:keepNext w:val="0"/>
              <w:keepLines w:val="0"/>
              <w:widowControl/>
              <w:suppressLineNumbers w:val="0"/>
              <w:snapToGrid w:val="0"/>
              <w:spacing w:before="0" w:beforeAutospacing="0" w:after="0" w:afterAutospacing="0"/>
              <w:ind w:left="0" w:right="0" w:firstLine="422"/>
              <w:rPr>
                <w:rFonts w:ascii="Times New Roman"/>
                <w:b/>
                <w:bCs/>
                <w:szCs w:val="24"/>
              </w:rPr>
            </w:pPr>
            <w:r>
              <w:rPr>
                <w:rFonts w:ascii="Times New Roman"/>
                <w:b/>
                <w:bCs/>
                <w:szCs w:val="24"/>
              </w:rPr>
              <w:t>(2)运行期</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运行期安全由升压站环保部门负责现场环境管理工作。</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1)加强运行期相关环境管理。</w:t>
            </w:r>
          </w:p>
          <w:p>
            <w:pPr>
              <w:keepNext w:val="0"/>
              <w:keepLines w:val="0"/>
              <w:widowControl w:val="0"/>
              <w:suppressLineNumbers w:val="0"/>
              <w:snapToGrid w:val="0"/>
              <w:spacing w:before="0" w:beforeAutospacing="0" w:after="0" w:afterAutospacing="0"/>
              <w:ind w:left="0" w:right="0" w:firstLine="420"/>
              <w:rPr>
                <w:rFonts w:ascii="Times New Roman"/>
                <w:szCs w:val="24"/>
              </w:rPr>
            </w:pPr>
            <w:r>
              <w:rPr>
                <w:rFonts w:ascii="Times New Roman"/>
                <w:szCs w:val="24"/>
              </w:rPr>
              <w:t>2)运行期做好环境保护设施的维护和运行管理，加强巡查和检查，保障发挥环境保护作用。</w:t>
            </w:r>
          </w:p>
          <w:p>
            <w:pPr>
              <w:keepNext w:val="0"/>
              <w:keepLines w:val="0"/>
              <w:widowControl w:val="0"/>
              <w:suppressLineNumbers w:val="0"/>
              <w:snapToGrid w:val="0"/>
              <w:spacing w:before="0" w:beforeAutospacing="0" w:after="0" w:afterAutospacing="0"/>
              <w:ind w:left="0" w:right="0" w:firstLine="420"/>
              <w:rPr>
                <w:rFonts w:ascii="Times New Roman"/>
                <w:szCs w:val="24"/>
              </w:rPr>
            </w:pPr>
            <w:r>
              <w:rPr>
                <w:rFonts w:ascii="Times New Roman"/>
                <w:szCs w:val="24"/>
              </w:rPr>
              <w:t>3)主要声源设备大修前后，应对变电工程厂界排放噪声和周围声环境敏感目标环境噪声进行监测，监测结果向社会公开。</w:t>
            </w:r>
          </w:p>
          <w:p>
            <w:pPr>
              <w:keepNext w:val="0"/>
              <w:keepLines w:val="0"/>
              <w:widowControl w:val="0"/>
              <w:suppressLineNumbers w:val="0"/>
              <w:snapToGrid w:val="0"/>
              <w:spacing w:before="0" w:beforeAutospacing="0" w:after="0" w:afterAutospacing="0"/>
              <w:ind w:left="0" w:right="0" w:firstLine="420"/>
              <w:rPr>
                <w:rFonts w:ascii="Times New Roman"/>
                <w:szCs w:val="24"/>
              </w:rPr>
            </w:pPr>
            <w:r>
              <w:rPr>
                <w:rFonts w:ascii="Times New Roman"/>
                <w:szCs w:val="24"/>
              </w:rPr>
              <w:t>4)运行期应对事故油池的完好情况进行检查，确保无渗漏、无溢流。</w:t>
            </w:r>
          </w:p>
          <w:p>
            <w:pPr>
              <w:keepNext w:val="0"/>
              <w:keepLines w:val="0"/>
              <w:widowControl w:val="0"/>
              <w:suppressLineNumbers w:val="0"/>
              <w:snapToGrid w:val="0"/>
              <w:spacing w:before="0" w:beforeAutospacing="0" w:after="0" w:afterAutospacing="0"/>
              <w:ind w:left="0" w:right="0" w:firstLine="420"/>
              <w:rPr>
                <w:rFonts w:ascii="Times New Roman"/>
                <w:szCs w:val="24"/>
              </w:rPr>
            </w:pPr>
            <w:r>
              <w:rPr>
                <w:rFonts w:ascii="Times New Roman"/>
                <w:szCs w:val="24"/>
              </w:rPr>
              <w:t>5)废旧蓄电池存放危险废物暂存间，定期委托有资质单位运输、处置；变压器事故油按照国家危废有关管理规定委托有资质单位进行运输、处置。</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6)针对变电工程站内可能发生的突发环境事件，应按照HJ 169等国家有关规定制定突发环境事件应急预案，并定期演练。</w:t>
            </w:r>
          </w:p>
          <w:p>
            <w:pPr>
              <w:keepNext w:val="0"/>
              <w:keepLines w:val="0"/>
              <w:widowControl/>
              <w:suppressLineNumbers w:val="0"/>
              <w:snapToGrid w:val="0"/>
              <w:spacing w:before="0" w:beforeAutospacing="0" w:after="0" w:afterAutospacing="0"/>
              <w:ind w:left="0" w:right="0" w:firstLine="422"/>
              <w:rPr>
                <w:rFonts w:ascii="Times New Roman"/>
                <w:b/>
                <w:bCs/>
                <w:szCs w:val="24"/>
              </w:rPr>
            </w:pPr>
            <w:r>
              <w:rPr>
                <w:rFonts w:ascii="Times New Roman"/>
                <w:b/>
                <w:bCs/>
                <w:szCs w:val="24"/>
              </w:rPr>
              <w:t>2、培训管理</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本项目运行期对与工程项目有关的人员，进行一次环境保护技术和政策方面的培训与宣传，从而进一步</w:t>
            </w:r>
            <w:r>
              <w:rPr>
                <w:rFonts w:hint="eastAsia" w:ascii="Times New Roman"/>
                <w:szCs w:val="24"/>
              </w:rPr>
              <w:t>增强</w:t>
            </w:r>
            <w:r>
              <w:rPr>
                <w:rFonts w:ascii="Times New Roman"/>
                <w:szCs w:val="24"/>
              </w:rPr>
              <w:t>运行单位的环保管理的能力，减少运行产生的不利环境影响，并且能够更好地参与和监督本项目的环保管理；同时对附近居民进行相关环境保护技术及政策法规、电力安全防护知识宣传，提高公众的环境保护和自我保护意识。</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主要培训内容有：</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(1)环保基本知识，环境污染具体情况、环保工作的重要性及意义。</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(2)环境保护法规体系、以及其他方面的要求。</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(3)公司的各项环境保护管理制度。</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(4)环境污染事故以及应急设备的具体处理方式。</w:t>
            </w:r>
          </w:p>
          <w:p>
            <w:pPr>
              <w:keepNext w:val="0"/>
              <w:keepLines w:val="0"/>
              <w:widowControl/>
              <w:suppressLineNumbers w:val="0"/>
              <w:snapToGrid w:val="0"/>
              <w:spacing w:before="0" w:beforeAutospacing="0" w:after="0" w:afterAutospacing="0"/>
              <w:ind w:left="0" w:right="0" w:firstLine="422"/>
              <w:rPr>
                <w:rFonts w:ascii="Times New Roman"/>
                <w:b/>
                <w:bCs/>
                <w:szCs w:val="24"/>
              </w:rPr>
            </w:pPr>
            <w:r>
              <w:rPr>
                <w:rFonts w:ascii="Times New Roman"/>
                <w:b/>
                <w:bCs/>
                <w:szCs w:val="24"/>
              </w:rPr>
              <w:t>3、档案管理</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工程档案是指建设项目从立项审批、勘察设计、施工、安装调试、生产准备到竣工投产全过程形成的、应当归档保存的文字材料、图纸、图表、电子文件、声像等形式与载体的材料，包括环境影响报告表及批复、竣工环境保护验收报告及验收意见、水土保持报告及意见等。</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工程档案应由专人负责各阶段(工程前期、启动验收及其以后)档案材料的归档、立卷、管理工作。</w:t>
            </w:r>
          </w:p>
          <w:p>
            <w:pPr>
              <w:keepNext w:val="0"/>
              <w:keepLines w:val="0"/>
              <w:widowControl/>
              <w:suppressLineNumbers w:val="0"/>
              <w:snapToGrid w:val="0"/>
              <w:spacing w:before="0" w:beforeAutospacing="0" w:after="0" w:afterAutospacing="0"/>
              <w:ind w:left="0" w:right="0" w:firstLine="422"/>
              <w:rPr>
                <w:rFonts w:ascii="Times New Roman"/>
                <w:b/>
                <w:bCs/>
                <w:szCs w:val="24"/>
              </w:rPr>
            </w:pPr>
            <w:r>
              <w:rPr>
                <w:rFonts w:ascii="Times New Roman"/>
                <w:b/>
                <w:bCs/>
                <w:szCs w:val="24"/>
              </w:rPr>
              <w:t>4、环境监测计划</w:t>
            </w:r>
          </w:p>
          <w:p>
            <w:pPr>
              <w:keepNext w:val="0"/>
              <w:keepLines w:val="0"/>
              <w:widowControl/>
              <w:suppressLineNumbers w:val="0"/>
              <w:snapToGrid w:val="0"/>
              <w:spacing w:before="0" w:beforeAutospacing="0" w:after="0" w:afterAutospacing="0"/>
              <w:ind w:left="0" w:right="0" w:firstLine="420"/>
              <w:rPr>
                <w:rFonts w:ascii="Times New Roman"/>
                <w:szCs w:val="24"/>
              </w:rPr>
            </w:pPr>
            <w:r>
              <w:rPr>
                <w:rFonts w:ascii="Times New Roman"/>
                <w:szCs w:val="24"/>
              </w:rPr>
              <w:t>为建立本工程对环境影响情况的档案，应对升压站周围环境进行监测或调查。监测内容如下：</w:t>
            </w:r>
          </w:p>
          <w:p>
            <w:pPr>
              <w:pStyle w:val="27"/>
              <w:keepNext w:val="0"/>
              <w:keepLines w:val="0"/>
              <w:widowControl/>
              <w:suppressLineNumbers w:val="0"/>
              <w:spacing w:before="0" w:beforeAutospacing="0" w:after="0" w:afterAutospacing="0"/>
              <w:ind w:right="0"/>
              <w:rPr>
                <w:rFonts w:ascii="Times New Roman"/>
                <w:szCs w:val="24"/>
              </w:rPr>
            </w:pPr>
          </w:p>
          <w:p>
            <w:pPr>
              <w:keepNext w:val="0"/>
              <w:keepLines w:val="0"/>
              <w:widowControl/>
              <w:suppressLineNumbers w:val="0"/>
              <w:spacing w:before="0" w:beforeAutospacing="0" w:after="0" w:afterAutospacing="0"/>
              <w:ind w:left="0" w:right="0"/>
            </w:pPr>
          </w:p>
          <w:tbl>
            <w:tblPr>
              <w:tblStyle w:val="54"/>
              <w:tblW w:w="785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071"/>
              <w:gridCol w:w="2503"/>
              <w:gridCol w:w="127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71"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b/>
                      <w:bCs/>
                    </w:rPr>
                  </w:pPr>
                  <w:r>
                    <w:rPr>
                      <w:rFonts w:ascii="Times New Roman"/>
                      <w:b/>
                      <w:bCs/>
                    </w:rPr>
                    <w:t>监测布点</w:t>
                  </w:r>
                </w:p>
              </w:tc>
              <w:tc>
                <w:tcPr>
                  <w:tcW w:w="2503"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b/>
                      <w:bCs/>
                    </w:rPr>
                  </w:pPr>
                  <w:r>
                    <w:rPr>
                      <w:rFonts w:ascii="Times New Roman"/>
                      <w:b/>
                      <w:bCs/>
                    </w:rPr>
                    <w:t>监测时间</w:t>
                  </w:r>
                </w:p>
              </w:tc>
              <w:tc>
                <w:tcPr>
                  <w:tcW w:w="1277"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b/>
                      <w:bCs/>
                    </w:rPr>
                  </w:pPr>
                  <w:r>
                    <w:rPr>
                      <w:rFonts w:ascii="Times New Roman"/>
                      <w:b/>
                      <w:bCs/>
                    </w:rPr>
                    <w:t>监测项目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71"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rPr>
                  </w:pPr>
                  <w:r>
                    <w:rPr>
                      <w:rFonts w:ascii="Times New Roman"/>
                    </w:rPr>
                    <w:t>四周厂界外5m，在影响较大厂界外布设垂直于厂界监测断面，监测点间距一般为5m，顺序测至距厂界外50m处。</w:t>
                  </w:r>
                </w:p>
              </w:tc>
              <w:tc>
                <w:tcPr>
                  <w:tcW w:w="2503"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rPr>
                  </w:pPr>
                  <w:r>
                    <w:rPr>
                      <w:rFonts w:ascii="Times New Roman"/>
                    </w:rPr>
                    <w:t>本工程完成后正式投产后第一年内结合竣工环境保护验收监测一次。</w:t>
                  </w:r>
                </w:p>
              </w:tc>
              <w:tc>
                <w:tcPr>
                  <w:tcW w:w="1277"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rPr>
                  </w:pPr>
                  <w:r>
                    <w:rPr>
                      <w:rFonts w:ascii="Times New Roman"/>
                    </w:rPr>
                    <w:t>工频电场、工频磁感应强度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71"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rPr>
                  </w:pPr>
                  <w:r>
                    <w:rPr>
                      <w:rFonts w:ascii="Times New Roman"/>
                    </w:rPr>
                    <w:t>四周厂界1m处，昼间、夜间各监测一次。</w:t>
                  </w:r>
                </w:p>
              </w:tc>
              <w:tc>
                <w:tcPr>
                  <w:tcW w:w="2503"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rPr>
                  </w:pPr>
                  <w:r>
                    <w:rPr>
                      <w:rFonts w:ascii="Times New Roman"/>
                    </w:rPr>
                    <w:t>本工程完成后正式投产后第一年内结合竣工环境保护验收监测一次；主要声源设备大修前后。</w:t>
                  </w:r>
                </w:p>
              </w:tc>
              <w:tc>
                <w:tcPr>
                  <w:tcW w:w="1277"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rPr>
                  </w:pPr>
                  <w:r>
                    <w:rPr>
                      <w:rFonts w:ascii="Times New Roman"/>
                    </w:rPr>
                    <w:t>昼间等效声级、夜间等效声级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71"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rPr>
                  </w:pPr>
                  <w:r>
                    <w:rPr>
                      <w:rFonts w:ascii="Times New Roman"/>
                    </w:rPr>
                    <w:t>油烟净化器进出口</w:t>
                  </w:r>
                </w:p>
              </w:tc>
              <w:tc>
                <w:tcPr>
                  <w:tcW w:w="2503"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rPr>
                  </w:pPr>
                  <w:r>
                    <w:rPr>
                      <w:rFonts w:ascii="Times New Roman"/>
                    </w:rPr>
                    <w:t>1次/年</w:t>
                  </w:r>
                </w:p>
              </w:tc>
              <w:tc>
                <w:tcPr>
                  <w:tcW w:w="1277" w:type="dxa"/>
                  <w:shd w:val="clear" w:color="auto" w:fill="auto"/>
                  <w:vAlign w:val="center"/>
                </w:tcPr>
                <w:p>
                  <w:pPr>
                    <w:keepNext w:val="0"/>
                    <w:keepLines w:val="0"/>
                    <w:widowControl/>
                    <w:suppressLineNumbers w:val="0"/>
                    <w:autoSpaceDE w:val="0"/>
                    <w:autoSpaceDN w:val="0"/>
                    <w:snapToGrid w:val="0"/>
                    <w:spacing w:before="0" w:beforeAutospacing="0" w:after="0" w:afterAutospacing="0"/>
                    <w:ind w:left="0" w:right="0"/>
                    <w:jc w:val="center"/>
                    <w:rPr>
                      <w:rFonts w:ascii="Times New Roman"/>
                    </w:rPr>
                  </w:pPr>
                  <w:r>
                    <w:rPr>
                      <w:rFonts w:ascii="Times New Roman"/>
                    </w:rPr>
                    <w:t>废气</w:t>
                  </w:r>
                </w:p>
              </w:tc>
            </w:tr>
          </w:tbl>
          <w:p>
            <w:pPr>
              <w:keepNext w:val="0"/>
              <w:keepLines w:val="0"/>
              <w:widowControl/>
              <w:suppressLineNumbers w:val="0"/>
              <w:snapToGrid w:val="0"/>
              <w:spacing w:before="0" w:beforeAutospacing="0" w:after="0" w:afterAutospacing="0"/>
              <w:ind w:left="0" w:right="0" w:firstLine="422"/>
              <w:rPr>
                <w:rFonts w:ascii="Times New Roman"/>
                <w:b/>
                <w:bCs/>
                <w:szCs w:val="24"/>
              </w:rPr>
            </w:pPr>
            <w:r>
              <w:rPr>
                <w:rFonts w:ascii="Times New Roman"/>
                <w:b/>
                <w:bCs/>
                <w:szCs w:val="24"/>
              </w:rPr>
              <w:t>5、环境保护设施竣工验收</w:t>
            </w:r>
          </w:p>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根据《建设项目环境保护管理条例》，本项目建设应执行污染治理设施与主体工程同时设计、同时施工、同时投产使用的“三同时”制度。建设单位应当按照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pPr>
              <w:keepNext w:val="0"/>
              <w:keepLines w:val="0"/>
              <w:widowControl/>
              <w:suppressLineNumbers w:val="0"/>
              <w:snapToGrid w:val="0"/>
              <w:spacing w:before="0" w:beforeAutospacing="0" w:after="0" w:afterAutospacing="0"/>
              <w:ind w:left="0" w:right="0"/>
              <w:jc w:val="center"/>
              <w:rPr>
                <w:rFonts w:ascii="Times New Roman"/>
                <w:b/>
                <w:bCs/>
                <w:szCs w:val="24"/>
              </w:rPr>
            </w:pPr>
            <w:r>
              <w:rPr>
                <w:rFonts w:ascii="Times New Roman"/>
                <w:b/>
                <w:bCs/>
                <w:szCs w:val="24"/>
              </w:rPr>
              <w:t>表5-1  本项目竣工环保验收一览表</w:t>
            </w:r>
          </w:p>
          <w:tbl>
            <w:tblPr>
              <w:tblStyle w:val="54"/>
              <w:tblW w:w="77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42"/>
              <w:gridCol w:w="1774"/>
              <w:gridCol w:w="48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816" w:type="dxa"/>
                  <w:gridSpan w:val="2"/>
                  <w:vAlign w:val="center"/>
                </w:tcPr>
                <w:p>
                  <w:pPr>
                    <w:keepNext w:val="0"/>
                    <w:keepLines w:val="0"/>
                    <w:widowControl/>
                    <w:suppressLineNumbers w:val="0"/>
                    <w:snapToGrid w:val="0"/>
                    <w:spacing w:before="0" w:beforeAutospacing="0" w:after="0" w:afterAutospacing="0"/>
                    <w:ind w:left="0" w:right="0"/>
                    <w:jc w:val="center"/>
                    <w:rPr>
                      <w:rFonts w:ascii="Times New Roman"/>
                      <w:b/>
                      <w:spacing w:val="-10"/>
                    </w:rPr>
                  </w:pPr>
                  <w:r>
                    <w:rPr>
                      <w:rFonts w:ascii="Times New Roman"/>
                      <w:b/>
                      <w:spacing w:val="-10"/>
                    </w:rPr>
                    <w:t>验收项目</w:t>
                  </w:r>
                </w:p>
              </w:tc>
              <w:tc>
                <w:tcPr>
                  <w:tcW w:w="4891" w:type="dxa"/>
                  <w:vAlign w:val="center"/>
                </w:tcPr>
                <w:p>
                  <w:pPr>
                    <w:keepNext w:val="0"/>
                    <w:keepLines w:val="0"/>
                    <w:widowControl/>
                    <w:suppressLineNumbers w:val="0"/>
                    <w:snapToGrid w:val="0"/>
                    <w:spacing w:before="0" w:beforeAutospacing="0" w:after="0" w:afterAutospacing="0"/>
                    <w:ind w:left="0" w:right="0"/>
                    <w:jc w:val="center"/>
                    <w:rPr>
                      <w:rFonts w:ascii="Times New Roman"/>
                      <w:b/>
                      <w:spacing w:val="-10"/>
                    </w:rPr>
                  </w:pPr>
                  <w:r>
                    <w:rPr>
                      <w:rFonts w:ascii="Times New Roman"/>
                      <w:b/>
                      <w:spacing w:val="-10"/>
                    </w:rPr>
                    <w:t>内容和要求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7" w:hRule="atLeast"/>
                <w:jc w:val="center"/>
              </w:trPr>
              <w:tc>
                <w:tcPr>
                  <w:tcW w:w="1042" w:type="dxa"/>
                  <w:vMerge w:val="restart"/>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r>
                    <w:rPr>
                      <w:rFonts w:ascii="Times New Roman"/>
                      <w:spacing w:val="-10"/>
                    </w:rPr>
                    <w:t>升压站</w:t>
                  </w:r>
                </w:p>
              </w:tc>
              <w:tc>
                <w:tcPr>
                  <w:tcW w:w="1774" w:type="dxa"/>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r>
                    <w:rPr>
                      <w:rFonts w:ascii="Times New Roman"/>
                      <w:spacing w:val="-10"/>
                    </w:rPr>
                    <w:t>工频电场、工频磁场</w:t>
                  </w:r>
                </w:p>
              </w:tc>
              <w:tc>
                <w:tcPr>
                  <w:tcW w:w="4891" w:type="dxa"/>
                  <w:vAlign w:val="center"/>
                </w:tcPr>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工频电场强度、工频磁感应强度符合《电磁环境控制限值》(GB 8702-2014)规定的4kV/m、100μT的公众</w:t>
                  </w:r>
                  <w:r>
                    <w:rPr>
                      <w:rFonts w:hint="eastAsia" w:ascii="Times New Roman"/>
                      <w:szCs w:val="24"/>
                    </w:rPr>
                    <w:t>暴露</w:t>
                  </w:r>
                  <w:r>
                    <w:rPr>
                      <w:rFonts w:ascii="Times New Roman"/>
                      <w:szCs w:val="24"/>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7" w:hRule="atLeast"/>
                <w:jc w:val="center"/>
              </w:trPr>
              <w:tc>
                <w:tcPr>
                  <w:tcW w:w="1042"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p>
              </w:tc>
              <w:tc>
                <w:tcPr>
                  <w:tcW w:w="1774" w:type="dxa"/>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r>
                    <w:rPr>
                      <w:rFonts w:ascii="Times New Roman"/>
                      <w:spacing w:val="-10"/>
                    </w:rPr>
                    <w:t>站界噪声</w:t>
                  </w:r>
                </w:p>
              </w:tc>
              <w:tc>
                <w:tcPr>
                  <w:tcW w:w="4891" w:type="dxa"/>
                  <w:vAlign w:val="center"/>
                </w:tcPr>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站界噪声符合《工业企业厂界环境噪声排放标准》(GB 12348-2008)1类标准。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0" w:hRule="atLeast"/>
                <w:jc w:val="center"/>
              </w:trPr>
              <w:tc>
                <w:tcPr>
                  <w:tcW w:w="1042"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p>
              </w:tc>
              <w:tc>
                <w:tcPr>
                  <w:tcW w:w="1774" w:type="dxa"/>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r>
                    <w:rPr>
                      <w:rFonts w:ascii="Times New Roman"/>
                      <w:spacing w:val="-10"/>
                    </w:rPr>
                    <w:t>事故油池</w:t>
                  </w:r>
                </w:p>
              </w:tc>
              <w:tc>
                <w:tcPr>
                  <w:tcW w:w="4891" w:type="dxa"/>
                  <w:vAlign w:val="center"/>
                </w:tcPr>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容积为1</w:t>
                  </w:r>
                  <w:r>
                    <w:rPr>
                      <w:rFonts w:hint="eastAsia" w:ascii="Times New Roman"/>
                      <w:szCs w:val="24"/>
                    </w:rPr>
                    <w:t>53</w:t>
                  </w:r>
                  <w:r>
                    <w:rPr>
                      <w:rFonts w:ascii="Times New Roman"/>
                      <w:szCs w:val="24"/>
                    </w:rPr>
                    <w:t>m</w:t>
                  </w:r>
                  <w:r>
                    <w:rPr>
                      <w:rFonts w:ascii="Times New Roman"/>
                      <w:szCs w:val="24"/>
                      <w:vertAlign w:val="superscript"/>
                    </w:rPr>
                    <w:t>3</w:t>
                  </w:r>
                  <w:r>
                    <w:rPr>
                      <w:rFonts w:ascii="Times New Roman"/>
                      <w:szCs w:val="24"/>
                    </w:rPr>
                    <w:t>，建立完善的事故油池巡查和维护管理制度，确保事故油池处于良好的状态，各项条件能够达到事故时的使用要求。事故油池进行防渗处理。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1042"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p>
              </w:tc>
              <w:tc>
                <w:tcPr>
                  <w:tcW w:w="1774" w:type="dxa"/>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r>
                    <w:rPr>
                      <w:rFonts w:ascii="Times New Roman"/>
                      <w:spacing w:val="-10"/>
                    </w:rPr>
                    <w:t>危险废物暂存间</w:t>
                  </w:r>
                </w:p>
              </w:tc>
              <w:tc>
                <w:tcPr>
                  <w:tcW w:w="4891" w:type="dxa"/>
                  <w:vAlign w:val="center"/>
                </w:tcPr>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危险间依据《危险废物贮存污染控制标准》(GB 18597-2023)中关于危险废物贮存设施的规定建设。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19" w:hRule="atLeast"/>
                <w:jc w:val="center"/>
              </w:trPr>
              <w:tc>
                <w:tcPr>
                  <w:tcW w:w="1042"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p>
              </w:tc>
              <w:tc>
                <w:tcPr>
                  <w:tcW w:w="1774" w:type="dxa"/>
                  <w:vAlign w:val="center"/>
                </w:tcPr>
                <w:p>
                  <w:pPr>
                    <w:keepNext w:val="0"/>
                    <w:keepLines w:val="0"/>
                    <w:widowControl/>
                    <w:suppressLineNumbers w:val="0"/>
                    <w:snapToGrid w:val="0"/>
                    <w:spacing w:before="0" w:beforeAutospacing="0" w:after="0" w:afterAutospacing="0"/>
                    <w:ind w:left="0" w:right="0"/>
                    <w:rPr>
                      <w:rFonts w:ascii="Times New Roman"/>
                      <w:bCs/>
                      <w:spacing w:val="-10"/>
                    </w:rPr>
                  </w:pPr>
                  <w:r>
                    <w:rPr>
                      <w:rFonts w:ascii="Times New Roman"/>
                      <w:bCs/>
                      <w:spacing w:val="-10"/>
                    </w:rPr>
                    <w:t>废旧</w:t>
                  </w:r>
                  <w:r>
                    <w:rPr>
                      <w:rFonts w:hint="eastAsia" w:ascii="Times New Roman"/>
                      <w:bCs/>
                      <w:spacing w:val="-10"/>
                    </w:rPr>
                    <w:t>铅酸</w:t>
                  </w:r>
                  <w:r>
                    <w:rPr>
                      <w:rFonts w:ascii="Times New Roman"/>
                      <w:bCs/>
                      <w:spacing w:val="-10"/>
                    </w:rPr>
                    <w:t>蓄电池(HW31 900-052-31)</w:t>
                  </w:r>
                  <w:r>
                    <w:rPr>
                      <w:rFonts w:hint="eastAsia" w:ascii="Times New Roman"/>
                      <w:bCs/>
                      <w:spacing w:val="-10"/>
                    </w:rPr>
                    <w:t>、沾油抹布（HW49，900-041-49）</w:t>
                  </w:r>
                </w:p>
              </w:tc>
              <w:tc>
                <w:tcPr>
                  <w:tcW w:w="4891" w:type="dxa"/>
                  <w:vAlign w:val="center"/>
                </w:tcPr>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废铅酸蓄电池</w:t>
                  </w:r>
                  <w:r>
                    <w:rPr>
                      <w:rFonts w:hint="eastAsia" w:ascii="Times New Roman"/>
                      <w:szCs w:val="24"/>
                    </w:rPr>
                    <w:t>暂存于危废间定期由承德雅舍再生资源回收有限公司运输、回收处理；</w:t>
                  </w:r>
                </w:p>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hint="eastAsia" w:ascii="Times New Roman"/>
                      <w:szCs w:val="24"/>
                    </w:rPr>
                    <w:t>沾油抹布暂存于危险废物暂存间，定期由承德双然环保科技有限公司运输至乐亭县海畅环保科技有限公司处理。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24" w:hRule="atLeast"/>
                <w:jc w:val="center"/>
              </w:trPr>
              <w:tc>
                <w:tcPr>
                  <w:tcW w:w="1042" w:type="dxa"/>
                  <w:vMerge w:val="continue"/>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p>
              </w:tc>
              <w:tc>
                <w:tcPr>
                  <w:tcW w:w="1774" w:type="dxa"/>
                  <w:vAlign w:val="center"/>
                </w:tcPr>
                <w:p>
                  <w:pPr>
                    <w:keepNext w:val="0"/>
                    <w:keepLines w:val="0"/>
                    <w:widowControl/>
                    <w:suppressLineNumbers w:val="0"/>
                    <w:snapToGrid w:val="0"/>
                    <w:spacing w:before="0" w:beforeAutospacing="0" w:after="0" w:afterAutospacing="0"/>
                    <w:ind w:left="0" w:right="0"/>
                    <w:jc w:val="center"/>
                    <w:rPr>
                      <w:rFonts w:ascii="Times New Roman"/>
                      <w:spacing w:val="-10"/>
                    </w:rPr>
                  </w:pPr>
                  <w:r>
                    <w:rPr>
                      <w:rFonts w:ascii="Times New Roman"/>
                      <w:spacing w:val="-10"/>
                    </w:rPr>
                    <w:t>变压器事故油</w:t>
                  </w:r>
                  <w:r>
                    <w:rPr>
                      <w:rFonts w:hint="eastAsia" w:ascii="Times New Roman"/>
                      <w:spacing w:val="-10"/>
                    </w:rPr>
                    <w:t>、</w:t>
                  </w:r>
                </w:p>
                <w:p>
                  <w:pPr>
                    <w:keepNext w:val="0"/>
                    <w:keepLines w:val="0"/>
                    <w:widowControl/>
                    <w:suppressLineNumbers w:val="0"/>
                    <w:snapToGrid w:val="0"/>
                    <w:spacing w:before="0" w:beforeAutospacing="0" w:after="0" w:afterAutospacing="0"/>
                    <w:ind w:left="0" w:right="0"/>
                    <w:jc w:val="center"/>
                    <w:rPr>
                      <w:rFonts w:ascii="Times New Roman"/>
                      <w:spacing w:val="-10"/>
                    </w:rPr>
                  </w:pPr>
                  <w:r>
                    <w:rPr>
                      <w:rFonts w:hint="eastAsia" w:ascii="Times New Roman"/>
                      <w:spacing w:val="-10"/>
                    </w:rPr>
                    <w:t>检修废油</w:t>
                  </w:r>
                </w:p>
                <w:p>
                  <w:pPr>
                    <w:keepNext w:val="0"/>
                    <w:keepLines w:val="0"/>
                    <w:widowControl/>
                    <w:suppressLineNumbers w:val="0"/>
                    <w:snapToGrid w:val="0"/>
                    <w:spacing w:before="0" w:beforeAutospacing="0" w:after="0" w:afterAutospacing="0"/>
                    <w:ind w:left="0" w:right="0"/>
                    <w:jc w:val="center"/>
                    <w:rPr>
                      <w:rFonts w:ascii="Times New Roman"/>
                      <w:spacing w:val="-10"/>
                    </w:rPr>
                  </w:pPr>
                  <w:r>
                    <w:rPr>
                      <w:rFonts w:ascii="Times New Roman"/>
                      <w:spacing w:val="-10"/>
                    </w:rPr>
                    <w:t>(HW08 900-220-08)</w:t>
                  </w:r>
                </w:p>
              </w:tc>
              <w:tc>
                <w:tcPr>
                  <w:tcW w:w="4891" w:type="dxa"/>
                  <w:vAlign w:val="center"/>
                </w:tcPr>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按照国家危废管理有关规定</w:t>
                  </w:r>
                  <w:r>
                    <w:rPr>
                      <w:rFonts w:hint="eastAsia" w:ascii="Times New Roman"/>
                      <w:szCs w:val="24"/>
                    </w:rPr>
                    <w:t>，</w:t>
                  </w:r>
                  <w:r>
                    <w:rPr>
                      <w:rFonts w:hint="eastAsia" w:ascii="Times New Roman"/>
                      <w:szCs w:val="24"/>
                      <w:lang w:val="en-US" w:eastAsia="zh-CN"/>
                    </w:rPr>
                    <w:t>事故油</w:t>
                  </w:r>
                  <w:r>
                    <w:rPr>
                      <w:rFonts w:hint="eastAsia" w:ascii="Times New Roman"/>
                      <w:szCs w:val="24"/>
                    </w:rPr>
                    <w:t>暂存于事故油池内，</w:t>
                  </w:r>
                  <w:r>
                    <w:rPr>
                      <w:rFonts w:hint="eastAsia" w:ascii="Times New Roman"/>
                      <w:szCs w:val="24"/>
                      <w:lang w:val="en-US" w:eastAsia="zh-CN"/>
                    </w:rPr>
                    <w:t>检修废油暂存于危废暂存间内，统一</w:t>
                  </w:r>
                  <w:r>
                    <w:rPr>
                      <w:rFonts w:ascii="Times New Roman"/>
                      <w:szCs w:val="24"/>
                    </w:rPr>
                    <w:t>交由</w:t>
                  </w:r>
                  <w:r>
                    <w:rPr>
                      <w:rFonts w:hint="eastAsia" w:ascii="Times New Roman"/>
                      <w:szCs w:val="24"/>
                    </w:rPr>
                    <w:t>承德双然环保科技有限公司运输至乐亭县海畅环保科技有限公司处理。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1" w:hRule="atLeast"/>
                <w:jc w:val="center"/>
              </w:trPr>
              <w:tc>
                <w:tcPr>
                  <w:tcW w:w="2816" w:type="dxa"/>
                  <w:gridSpan w:val="2"/>
                  <w:vAlign w:val="center"/>
                </w:tcPr>
                <w:p>
                  <w:pPr>
                    <w:keepNext w:val="0"/>
                    <w:keepLines w:val="0"/>
                    <w:widowControl/>
                    <w:suppressLineNumbers w:val="0"/>
                    <w:adjustRightInd w:val="0"/>
                    <w:snapToGrid w:val="0"/>
                    <w:spacing w:before="0" w:beforeAutospacing="0" w:after="0" w:afterAutospacing="0"/>
                    <w:ind w:left="0" w:right="0" w:firstLine="420"/>
                    <w:jc w:val="center"/>
                    <w:rPr>
                      <w:rFonts w:ascii="Times New Roman"/>
                      <w:szCs w:val="24"/>
                    </w:rPr>
                  </w:pPr>
                  <w:r>
                    <w:rPr>
                      <w:rFonts w:ascii="Times New Roman"/>
                      <w:szCs w:val="24"/>
                    </w:rPr>
                    <w:t>临时占地</w:t>
                  </w:r>
                </w:p>
              </w:tc>
              <w:tc>
                <w:tcPr>
                  <w:tcW w:w="4891" w:type="dxa"/>
                  <w:vAlign w:val="center"/>
                </w:tcPr>
                <w:p>
                  <w:pPr>
                    <w:keepNext w:val="0"/>
                    <w:keepLines w:val="0"/>
                    <w:widowControl/>
                    <w:suppressLineNumbers w:val="0"/>
                    <w:adjustRightInd w:val="0"/>
                    <w:snapToGrid w:val="0"/>
                    <w:spacing w:before="0" w:beforeAutospacing="0" w:after="0" w:afterAutospacing="0"/>
                    <w:ind w:left="0" w:right="0" w:firstLine="420"/>
                    <w:rPr>
                      <w:rFonts w:ascii="Times New Roman"/>
                      <w:szCs w:val="24"/>
                    </w:rPr>
                  </w:pPr>
                  <w:r>
                    <w:rPr>
                      <w:rFonts w:ascii="Times New Roman"/>
                      <w:szCs w:val="24"/>
                    </w:rPr>
                    <w:t>施工结束后恢复临时占用土地原有使用功能。</w:t>
                  </w:r>
                </w:p>
              </w:tc>
            </w:tr>
          </w:tbl>
          <w:p>
            <w:pPr>
              <w:pStyle w:val="27"/>
              <w:keepNext w:val="0"/>
              <w:keepLines w:val="0"/>
              <w:widowControl/>
              <w:suppressLineNumbers w:val="0"/>
              <w:snapToGrid w:val="0"/>
              <w:spacing w:before="0" w:beforeAutospacing="0" w:after="0" w:afterAutospacing="0"/>
              <w:ind w:left="0" w:leftChars="0" w:right="0"/>
              <w:rPr>
                <w:rFonts w:ascii="Times New Roman"/>
              </w:rPr>
            </w:pPr>
          </w:p>
          <w:p>
            <w:pPr>
              <w:keepNext w:val="0"/>
              <w:keepLines w:val="0"/>
              <w:widowControl/>
              <w:suppressLineNumbers w:val="0"/>
              <w:snapToGrid w:val="0"/>
              <w:spacing w:before="0" w:beforeAutospacing="0" w:after="0" w:afterAutospacing="0"/>
              <w:ind w:left="0" w:right="0"/>
              <w:rPr>
                <w:rFonts w:ascii="Times New Roman"/>
              </w:rPr>
            </w:pPr>
          </w:p>
          <w:p>
            <w:pPr>
              <w:keepNext w:val="0"/>
              <w:keepLines w:val="0"/>
              <w:widowControl/>
              <w:suppressLineNumbers w:val="0"/>
              <w:snapToGrid w:val="0"/>
              <w:spacing w:before="0" w:beforeAutospacing="0" w:after="0" w:afterAutospacing="0"/>
              <w:ind w:left="0" w:right="0"/>
              <w:rPr>
                <w:rFonts w:ascii="Times New Roman"/>
              </w:rPr>
            </w:pPr>
          </w:p>
          <w:p>
            <w:pPr>
              <w:pStyle w:val="27"/>
              <w:keepNext w:val="0"/>
              <w:keepLines w:val="0"/>
              <w:widowControl/>
              <w:suppressLineNumbers w:val="0"/>
              <w:snapToGrid w:val="0"/>
              <w:spacing w:before="0" w:beforeAutospacing="0" w:after="0" w:afterAutospacing="0"/>
              <w:ind w:leftChars="0" w:right="0"/>
              <w:rPr>
                <w:rFonts w:ascii="Times New Roman"/>
              </w:rPr>
            </w:pPr>
          </w:p>
        </w:tc>
      </w:tr>
    </w:tbl>
    <w:p>
      <w:pPr>
        <w:pStyle w:val="48"/>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snapToGrid w:val="0"/>
        </w:rPr>
        <w:br w:type="page"/>
      </w:r>
      <w:bookmarkStart w:id="33" w:name="_Toc157070564"/>
      <w:r>
        <w:rPr>
          <w:rFonts w:ascii="Times New Roman" w:hAnsi="Times New Roman"/>
          <w:b/>
          <w:bCs/>
          <w:snapToGrid w:val="0"/>
          <w:sz w:val="30"/>
          <w:szCs w:val="30"/>
        </w:rPr>
        <w:t>六、结论</w:t>
      </w:r>
      <w:bookmarkEnd w:id="33"/>
    </w:p>
    <w:tbl>
      <w:tblPr>
        <w:tblStyle w:val="54"/>
        <w:tblW w:w="9072"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072"/>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2723" w:hRule="atLeast"/>
          <w:jc w:val="center"/>
        </w:trPr>
        <w:tc>
          <w:tcPr>
            <w:tcW w:w="9072" w:type="dxa"/>
            <w:tcBorders>
              <w:bottom w:val="single" w:color="auto" w:sz="8" w:space="0"/>
            </w:tcBorders>
          </w:tcPr>
          <w:p>
            <w:pPr>
              <w:keepNext w:val="0"/>
              <w:keepLines w:val="0"/>
              <w:widowControl/>
              <w:suppressLineNumbers w:val="0"/>
              <w:snapToGri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szCs w:val="24"/>
              </w:rPr>
              <w:t>1、建设概况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(1)项目选址及占地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bCs/>
                <w:color w:val="000000" w:themeColor="text1"/>
                <w:sz w:val="24"/>
                <w:szCs w:val="24"/>
              </w:rPr>
            </w:pPr>
            <w:r>
              <w:rPr>
                <w:rFonts w:ascii="Times New Roman"/>
                <w:sz w:val="24"/>
                <w:szCs w:val="24"/>
              </w:rPr>
              <w:t>拟建220kV升压站位于</w:t>
            </w:r>
            <w:r>
              <w:rPr>
                <w:rFonts w:ascii="Times New Roman"/>
                <w:sz w:val="24"/>
              </w:rPr>
              <w:t>河北省承德市承德县</w:t>
            </w:r>
            <w:r>
              <w:rPr>
                <w:rFonts w:hint="eastAsia" w:ascii="Times New Roman"/>
                <w:sz w:val="24"/>
              </w:rPr>
              <w:t>新杖子镇鹰手营村</w:t>
            </w:r>
            <w:r>
              <w:rPr>
                <w:rFonts w:ascii="Times New Roman"/>
                <w:sz w:val="24"/>
                <w:szCs w:val="24"/>
              </w:rPr>
              <w:t>，</w:t>
            </w:r>
            <w:r>
              <w:rPr>
                <w:rFonts w:hint="eastAsia" w:ascii="Times New Roman"/>
                <w:bCs/>
                <w:color w:val="000000" w:themeColor="text1"/>
                <w:sz w:val="24"/>
                <w:szCs w:val="24"/>
              </w:rPr>
              <w:t>占地面积</w:t>
            </w:r>
            <w:r>
              <w:rPr>
                <w:rFonts w:hint="eastAsia"/>
                <w:color w:val="000000" w:themeColor="text1"/>
                <w:sz w:val="24"/>
                <w:szCs w:val="24"/>
              </w:rPr>
              <w:t>39331.03m²</w:t>
            </w:r>
            <w:r>
              <w:rPr>
                <w:rFonts w:hint="eastAsia" w:ascii="Times New Roman"/>
                <w:bCs/>
                <w:color w:val="000000" w:themeColor="text1"/>
                <w:sz w:val="24"/>
                <w:szCs w:val="24"/>
              </w:rPr>
              <w:t>，(其中升压站场26631.03m</w:t>
            </w:r>
            <w:r>
              <w:rPr>
                <w:rFonts w:hint="eastAsia" w:ascii="Times New Roman"/>
                <w:bCs/>
                <w:color w:val="000000" w:themeColor="text1"/>
                <w:sz w:val="24"/>
                <w:szCs w:val="24"/>
                <w:vertAlign w:val="superscript"/>
              </w:rPr>
              <w:t>2</w:t>
            </w:r>
            <w:r>
              <w:rPr>
                <w:rFonts w:hint="eastAsia" w:ascii="Times New Roman"/>
                <w:bCs/>
                <w:color w:val="000000" w:themeColor="text1"/>
                <w:sz w:val="24"/>
                <w:szCs w:val="24"/>
              </w:rPr>
              <w:t>、护坡12700m</w:t>
            </w:r>
            <w:r>
              <w:rPr>
                <w:rFonts w:hint="eastAsia" w:ascii="Times New Roman"/>
                <w:bCs/>
                <w:color w:val="000000" w:themeColor="text1"/>
                <w:sz w:val="24"/>
                <w:szCs w:val="24"/>
                <w:vertAlign w:val="superscript"/>
              </w:rPr>
              <w:t>2</w:t>
            </w:r>
            <w:r>
              <w:rPr>
                <w:rFonts w:hint="eastAsia" w:ascii="Times New Roman"/>
                <w:bCs/>
                <w:color w:val="000000" w:themeColor="text1"/>
                <w:sz w:val="24"/>
                <w:szCs w:val="24"/>
              </w:rPr>
              <w:t>)，升压站场南北向长约158m，东西向长约118m</w:t>
            </w:r>
            <w:r>
              <w:rPr>
                <w:rFonts w:ascii="Times New Roman"/>
                <w:bCs/>
                <w:color w:val="000000" w:themeColor="text1"/>
                <w:sz w:val="24"/>
                <w:szCs w:val="24"/>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(2)建设规模</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本期安装2台210MVA主变压器，电压等级为220/35kV。</w:t>
            </w:r>
            <w:r>
              <w:rPr>
                <w:rFonts w:hint="eastAsia" w:ascii="Times New Roman"/>
                <w:sz w:val="24"/>
                <w:szCs w:val="24"/>
              </w:rPr>
              <w:t>220kV采用GIS布置型式，规划采用单母线接线型式，本期建成单母线接线形式；35kV侧可采用多段单母线接线</w:t>
            </w:r>
            <w:r>
              <w:rPr>
                <w:rFonts w:ascii="Times New Roman"/>
                <w:sz w:val="24"/>
                <w:szCs w:val="24"/>
              </w:rPr>
              <w:t>。</w:t>
            </w:r>
            <w:r>
              <w:rPr>
                <w:rFonts w:hint="eastAsia" w:ascii="Times New Roman"/>
                <w:sz w:val="24"/>
                <w:szCs w:val="24"/>
              </w:rPr>
              <w:t>本工程光伏及储能装置，通过20回（光伏区16回、储能区4回）35kV集电线路接入220kV升压站的35kV母线，35kV采用高压开关柜布置型式。</w:t>
            </w:r>
          </w:p>
          <w:p>
            <w:pPr>
              <w:keepNext w:val="0"/>
              <w:keepLines w:val="0"/>
              <w:widowControl/>
              <w:suppressLineNumbers w:val="0"/>
              <w:snapToGri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szCs w:val="24"/>
              </w:rPr>
              <w:t>2、环境现状</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(1)大气环境</w:t>
            </w:r>
          </w:p>
          <w:p>
            <w:pPr>
              <w:pStyle w:val="20"/>
              <w:keepNext w:val="0"/>
              <w:keepLines w:val="0"/>
              <w:widowControl w:val="0"/>
              <w:suppressLineNumbers w:val="0"/>
              <w:spacing w:before="0" w:beforeAutospacing="0" w:after="0" w:afterAutospacing="0" w:line="360" w:lineRule="auto"/>
              <w:ind w:left="0" w:firstLine="472" w:firstLineChars="200"/>
              <w:rPr>
                <w:spacing w:val="3"/>
                <w:sz w:val="24"/>
                <w:szCs w:val="24"/>
              </w:rPr>
            </w:pPr>
            <w:r>
              <w:rPr>
                <w:spacing w:val="-2"/>
                <w:position w:val="2"/>
                <w:sz w:val="24"/>
                <w:szCs w:val="24"/>
              </w:rPr>
              <w:t>项目所在区域PM</w:t>
            </w:r>
            <w:r>
              <w:rPr>
                <w:spacing w:val="-2"/>
                <w:position w:val="2"/>
                <w:sz w:val="24"/>
                <w:szCs w:val="24"/>
                <w:vertAlign w:val="subscript"/>
              </w:rPr>
              <w:t>2.5</w:t>
            </w:r>
            <w:r>
              <w:rPr>
                <w:spacing w:val="-2"/>
                <w:position w:val="2"/>
                <w:sz w:val="24"/>
                <w:szCs w:val="24"/>
              </w:rPr>
              <w:t>、PM</w:t>
            </w:r>
            <w:r>
              <w:rPr>
                <w:spacing w:val="-2"/>
                <w:position w:val="2"/>
                <w:sz w:val="24"/>
                <w:szCs w:val="24"/>
                <w:vertAlign w:val="subscript"/>
              </w:rPr>
              <w:t>10</w:t>
            </w:r>
            <w:r>
              <w:rPr>
                <w:spacing w:val="-2"/>
                <w:position w:val="2"/>
                <w:sz w:val="24"/>
                <w:szCs w:val="24"/>
              </w:rPr>
              <w:t>、SO</w:t>
            </w:r>
            <w:r>
              <w:rPr>
                <w:spacing w:val="-2"/>
                <w:position w:val="2"/>
                <w:sz w:val="24"/>
                <w:szCs w:val="24"/>
                <w:vertAlign w:val="subscript"/>
              </w:rPr>
              <w:t>2</w:t>
            </w:r>
            <w:r>
              <w:rPr>
                <w:spacing w:val="-2"/>
                <w:position w:val="2"/>
                <w:sz w:val="24"/>
                <w:szCs w:val="24"/>
              </w:rPr>
              <w:t>、NO</w:t>
            </w:r>
            <w:r>
              <w:rPr>
                <w:spacing w:val="-2"/>
                <w:position w:val="2"/>
                <w:sz w:val="24"/>
                <w:szCs w:val="24"/>
                <w:vertAlign w:val="subscript"/>
              </w:rPr>
              <w:t>2</w:t>
            </w:r>
            <w:r>
              <w:rPr>
                <w:spacing w:val="-2"/>
                <w:position w:val="2"/>
                <w:sz w:val="24"/>
                <w:szCs w:val="24"/>
              </w:rPr>
              <w:t>年均浓度、CO24小时平均浓度值均满足《环境空气质量标准》(GB 3095-2012)及其修改单二级标准，O</w:t>
            </w:r>
            <w:r>
              <w:rPr>
                <w:spacing w:val="-2"/>
                <w:position w:val="2"/>
                <w:sz w:val="24"/>
                <w:szCs w:val="24"/>
                <w:vertAlign w:val="subscript"/>
              </w:rPr>
              <w:t>3</w:t>
            </w:r>
            <w:r>
              <w:rPr>
                <w:spacing w:val="-2"/>
                <w:position w:val="2"/>
                <w:sz w:val="24"/>
                <w:szCs w:val="24"/>
              </w:rPr>
              <w:t>日最大8小时平均值不满足《环境空气质量标准》(GB 3095-2012)及其修改单二级标准。因此，本项目所在区域属于环境空气质量不达标区域。</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(2)声环境</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项目所在区域内无明显噪声污染源，环境背景值较低，根据现状监测结果分析，各监测点昼间、夜间噪声监测值满足《声环境质量标准》(GB 3096-2008)1类标准。</w:t>
            </w:r>
          </w:p>
          <w:p>
            <w:pPr>
              <w:pStyle w:val="20"/>
              <w:keepNext w:val="0"/>
              <w:keepLines w:val="0"/>
              <w:widowControl/>
              <w:suppressLineNumbers w:val="0"/>
              <w:spacing w:before="0" w:beforeAutospacing="0" w:after="0" w:afterAutospacing="0" w:line="360" w:lineRule="auto"/>
              <w:ind w:left="0" w:right="0" w:firstLine="480" w:firstLineChars="200"/>
              <w:rPr>
                <w:sz w:val="24"/>
                <w:szCs w:val="24"/>
              </w:rPr>
            </w:pPr>
            <w:r>
              <w:rPr>
                <w:sz w:val="24"/>
                <w:szCs w:val="24"/>
              </w:rPr>
              <w:t>(3)地表水环境质量</w:t>
            </w:r>
          </w:p>
          <w:p>
            <w:pPr>
              <w:pStyle w:val="20"/>
              <w:keepNext w:val="0"/>
              <w:keepLines w:val="0"/>
              <w:widowControl w:val="0"/>
              <w:suppressLineNumbers w:val="0"/>
              <w:spacing w:before="0" w:beforeAutospacing="0" w:after="0" w:afterAutospacing="0" w:line="360" w:lineRule="auto"/>
              <w:ind w:left="0" w:right="0" w:firstLine="472" w:firstLineChars="200"/>
              <w:rPr>
                <w:spacing w:val="-2"/>
                <w:position w:val="2"/>
                <w:sz w:val="24"/>
                <w:szCs w:val="24"/>
              </w:rPr>
            </w:pPr>
            <w:r>
              <w:rPr>
                <w:spacing w:val="-2"/>
                <w:position w:val="2"/>
                <w:sz w:val="24"/>
                <w:szCs w:val="24"/>
              </w:rPr>
              <w:t>武烈河是滦河一级支流，发源于围场县兰旗卡伦乡潘家店村东北的道至沟敖包山西麓，上段称鹦鹉河。流经围场县、隆化县、承德县、双桥区、高新区，于高新区大石庙镇雹神庙村汇入漆河。河流全长118.63公里，流域面积2606平方公里，共布设地表水常规监测断面2个。202</w:t>
            </w:r>
            <w:r>
              <w:rPr>
                <w:rFonts w:hint="eastAsia"/>
                <w:spacing w:val="-2"/>
                <w:position w:val="2"/>
                <w:sz w:val="24"/>
                <w:szCs w:val="24"/>
              </w:rPr>
              <w:t>3</w:t>
            </w:r>
            <w:r>
              <w:rPr>
                <w:spacing w:val="-2"/>
                <w:position w:val="2"/>
                <w:sz w:val="24"/>
                <w:szCs w:val="24"/>
              </w:rPr>
              <w:t>年，上二道河子断面水质类别为Ⅰ类，磷矿上游水质类别为Ⅱ类武烈河流域总体水质状况为优，与202</w:t>
            </w:r>
            <w:r>
              <w:rPr>
                <w:rFonts w:hint="eastAsia"/>
                <w:spacing w:val="-2"/>
                <w:position w:val="2"/>
                <w:sz w:val="24"/>
                <w:szCs w:val="24"/>
              </w:rPr>
              <w:t>2</w:t>
            </w:r>
            <w:r>
              <w:rPr>
                <w:spacing w:val="-2"/>
                <w:position w:val="2"/>
                <w:sz w:val="24"/>
                <w:szCs w:val="24"/>
              </w:rPr>
              <w:t>年相比继续保持优的水质。</w:t>
            </w:r>
          </w:p>
          <w:p>
            <w:pPr>
              <w:pStyle w:val="20"/>
              <w:keepNext w:val="0"/>
              <w:keepLines w:val="0"/>
              <w:widowControl/>
              <w:suppressLineNumbers w:val="0"/>
              <w:spacing w:before="0" w:beforeAutospacing="0" w:after="0" w:afterAutospacing="0" w:line="360" w:lineRule="auto"/>
              <w:ind w:left="0" w:right="0" w:firstLine="480" w:firstLineChars="200"/>
              <w:jc w:val="both"/>
              <w:rPr>
                <w:sz w:val="24"/>
                <w:szCs w:val="24"/>
              </w:rPr>
            </w:pPr>
            <w:r>
              <w:rPr>
                <w:sz w:val="24"/>
                <w:szCs w:val="24"/>
              </w:rPr>
              <w:t>(4)生态环境质量</w:t>
            </w:r>
          </w:p>
          <w:p>
            <w:pPr>
              <w:pStyle w:val="20"/>
              <w:keepNext w:val="0"/>
              <w:keepLines w:val="0"/>
              <w:widowControl w:val="0"/>
              <w:suppressLineNumbers w:val="0"/>
              <w:spacing w:before="0" w:beforeAutospacing="0" w:after="0" w:afterAutospacing="0" w:line="360" w:lineRule="auto"/>
              <w:ind w:left="0" w:firstLine="492" w:firstLineChars="200"/>
              <w:jc w:val="both"/>
              <w:rPr>
                <w:spacing w:val="3"/>
                <w:sz w:val="24"/>
                <w:szCs w:val="24"/>
              </w:rPr>
            </w:pPr>
            <w:r>
              <w:rPr>
                <w:spacing w:val="3"/>
                <w:sz w:val="24"/>
                <w:szCs w:val="24"/>
              </w:rPr>
              <w:t>承德县地处内蒙古高原和冀北山地的过渡带，属于内蒙古背斜区，境内山峦起伏、沟壑纵横，海拔高度约为750m-2067m，相对高差为1200m，全境多为中低山及丘陵区，东北高，西南低，由东北向西南倾斜。全县地貌可划分为剥蚀构造地形、构造剥蚀地形、剥蚀堆积地形和河谷阶地地形四个大类。</w:t>
            </w:r>
          </w:p>
          <w:p>
            <w:pPr>
              <w:pStyle w:val="20"/>
              <w:keepNext w:val="0"/>
              <w:keepLines w:val="0"/>
              <w:widowControl w:val="0"/>
              <w:suppressLineNumbers w:val="0"/>
              <w:spacing w:before="0" w:beforeAutospacing="0" w:after="0" w:afterAutospacing="0" w:line="360" w:lineRule="auto"/>
              <w:ind w:left="0" w:firstLine="492" w:firstLineChars="200"/>
              <w:jc w:val="both"/>
              <w:rPr>
                <w:spacing w:val="3"/>
                <w:sz w:val="24"/>
                <w:szCs w:val="24"/>
              </w:rPr>
            </w:pPr>
            <w:r>
              <w:rPr>
                <w:spacing w:val="3"/>
                <w:sz w:val="24"/>
                <w:szCs w:val="24"/>
              </w:rPr>
              <w:t>将承德县境内植被大致分为三类：褐土植被、棕壤植被、草甸土(潮湿)植被。</w:t>
            </w:r>
          </w:p>
          <w:p>
            <w:pPr>
              <w:keepNext w:val="0"/>
              <w:keepLines w:val="0"/>
              <w:widowControl/>
              <w:suppressLineNumbers w:val="0"/>
              <w:snapToGrid w:val="0"/>
              <w:spacing w:before="0" w:beforeAutospacing="0" w:after="0" w:afterAutospacing="0" w:line="360" w:lineRule="auto"/>
              <w:ind w:left="0" w:right="0" w:firstLine="482" w:firstLineChars="201"/>
              <w:rPr>
                <w:rFonts w:ascii="Times New Roman"/>
                <w:sz w:val="24"/>
                <w:szCs w:val="24"/>
              </w:rPr>
            </w:pPr>
            <w:r>
              <w:rPr>
                <w:rFonts w:ascii="Times New Roman"/>
                <w:sz w:val="24"/>
                <w:szCs w:val="24"/>
              </w:rPr>
              <w:t>(5)电磁环境</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根据现状监测结果分析，站址处各监测点符合电场强度4kV/m、工频磁感应强度100μT公众</w:t>
            </w:r>
            <w:r>
              <w:rPr>
                <w:rFonts w:hint="eastAsia" w:ascii="Times New Roman"/>
                <w:sz w:val="24"/>
                <w:szCs w:val="24"/>
              </w:rPr>
              <w:t>暴露</w:t>
            </w:r>
            <w:r>
              <w:rPr>
                <w:rFonts w:ascii="Times New Roman"/>
                <w:sz w:val="24"/>
                <w:szCs w:val="24"/>
              </w:rPr>
              <w:t>控制限值标准要求。</w:t>
            </w:r>
          </w:p>
          <w:p>
            <w:pPr>
              <w:keepNext w:val="0"/>
              <w:keepLines w:val="0"/>
              <w:widowControl/>
              <w:suppressLineNumbers w:val="0"/>
              <w:snapToGri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szCs w:val="24"/>
              </w:rPr>
              <w:t>3、主要环境影响</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(1)施工期：工程施工期的主要环境影响因素有：噪声、废气、废水、固体废物、生态影响等。</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(2)运行期：升压站运行过程中产生的工频电场、工频磁场影响；升压站主变压器、SVG等电气设备产生的噪声影响；升压站产生的废旧</w:t>
            </w:r>
            <w:r>
              <w:rPr>
                <w:rFonts w:hint="eastAsia" w:ascii="Times New Roman"/>
                <w:sz w:val="24"/>
                <w:szCs w:val="24"/>
              </w:rPr>
              <w:t>铅酸</w:t>
            </w:r>
            <w:r>
              <w:rPr>
                <w:rFonts w:ascii="Times New Roman"/>
                <w:sz w:val="24"/>
                <w:szCs w:val="24"/>
              </w:rPr>
              <w:t>蓄电池(HW31 900-052-31)，</w:t>
            </w:r>
            <w:r>
              <w:rPr>
                <w:rFonts w:hint="eastAsia" w:ascii="Times New Roman"/>
                <w:sz w:val="24"/>
                <w:szCs w:val="24"/>
              </w:rPr>
              <w:t>废</w:t>
            </w:r>
            <w:r>
              <w:rPr>
                <w:rFonts w:ascii="Times New Roman"/>
                <w:sz w:val="24"/>
                <w:szCs w:val="24"/>
              </w:rPr>
              <w:t>变压器油</w:t>
            </w:r>
            <w:r>
              <w:rPr>
                <w:rFonts w:hint="eastAsia" w:ascii="Times New Roman"/>
                <w:sz w:val="24"/>
                <w:szCs w:val="24"/>
              </w:rPr>
              <w:t>（检修废油、事故油）</w:t>
            </w:r>
            <w:r>
              <w:rPr>
                <w:rFonts w:ascii="Times New Roman"/>
                <w:sz w:val="24"/>
                <w:szCs w:val="24"/>
              </w:rPr>
              <w:t>(HW08 900-220-08)</w:t>
            </w:r>
            <w:r>
              <w:rPr>
                <w:rFonts w:hint="eastAsia" w:ascii="Times New Roman"/>
                <w:sz w:val="24"/>
                <w:szCs w:val="24"/>
              </w:rPr>
              <w:t>等危险废物</w:t>
            </w:r>
            <w:r>
              <w:rPr>
                <w:rFonts w:ascii="Times New Roman"/>
                <w:sz w:val="24"/>
                <w:szCs w:val="24"/>
              </w:rPr>
              <w:t>处置不当造成影响；电站值守人员产生的生活垃圾及生活污水对环境的影响。</w:t>
            </w:r>
          </w:p>
          <w:p>
            <w:pPr>
              <w:keepNext w:val="0"/>
              <w:keepLines w:val="0"/>
              <w:widowControl/>
              <w:suppressLineNumbers w:val="0"/>
              <w:snapToGri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szCs w:val="24"/>
              </w:rPr>
              <w:t>4、环境保护措施</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(1)施工期</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1)扬尘</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设置扬尘防治公示牌与围挡，施工车辆冲洗。施工材料采用防尘布苫盖等措施，采用商混和水泥预制件，采用密闭车斗，选用尾气达标的车辆进行施工，作业面采取洒水、喷雾等防尘措施，建筑垃圾设置垃圾存放点，集中堆放并严密覆盖，及时清运。生活垃圾应用封闭式容器存放，日产日清，严禁随意丢弃、焚烧。</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2)施工噪声</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采取围挡、隔声装置，采用低噪音的施工设施，合理布置施工现场，合理安排施工时间。</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3)施工废水</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施工生产废水主要是车辆冲洗和水泥构件养护废水，经简单沉淀处理后用于场地抑尘。</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4)施工期固体废物</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施工期的固体废物主要为建筑垃圾、废弃金具、废弃包装物及施工人员产生的生活垃圾。建筑垃圾、废弃金具、废弃包装物运至指定的场所处理。生活垃圾经集中收集后，定期清运。</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(2)运行期</w:t>
            </w:r>
          </w:p>
          <w:p>
            <w:pPr>
              <w:keepNext w:val="0"/>
              <w:keepLines w:val="0"/>
              <w:widowControl w:val="0"/>
              <w:suppressLineNumbers w:val="0"/>
              <w:snapToGrid w:val="0"/>
              <w:spacing w:before="0" w:beforeAutospacing="0" w:after="0" w:afterAutospacing="0" w:line="360" w:lineRule="auto"/>
              <w:ind w:left="0" w:right="0" w:firstLine="480" w:firstLineChars="200"/>
              <w:rPr>
                <w:rFonts w:ascii="Times New Roman"/>
                <w:sz w:val="24"/>
                <w:szCs w:val="24"/>
                <w:lang w:val="zh-CN"/>
              </w:rPr>
            </w:pPr>
            <w:r>
              <w:rPr>
                <w:rFonts w:ascii="Times New Roman"/>
                <w:sz w:val="24"/>
                <w:szCs w:val="24"/>
              </w:rPr>
              <w:t>1)电磁环境：经类比分析，本项目升压站主变投入运行后工频电场强度和磁感应强度符合</w:t>
            </w:r>
            <w:r>
              <w:rPr>
                <w:rFonts w:ascii="Times New Roman"/>
                <w:sz w:val="24"/>
                <w:szCs w:val="24"/>
                <w:lang w:val="zh-CN"/>
              </w:rPr>
              <w:t>《电磁环境控制限值》(GB 8702-2014)中规定的工频电场强度4kV/m、工频磁感应强度100μT的公众</w:t>
            </w:r>
            <w:r>
              <w:rPr>
                <w:rFonts w:hint="eastAsia" w:ascii="Times New Roman"/>
                <w:sz w:val="24"/>
                <w:szCs w:val="24"/>
                <w:lang w:val="zh-CN"/>
              </w:rPr>
              <w:t>暴露</w:t>
            </w:r>
            <w:r>
              <w:rPr>
                <w:rFonts w:ascii="Times New Roman"/>
                <w:sz w:val="24"/>
                <w:szCs w:val="24"/>
                <w:lang w:val="zh-CN"/>
              </w:rPr>
              <w:t>控制限值要求。</w:t>
            </w:r>
          </w:p>
          <w:p>
            <w:pPr>
              <w:keepNext w:val="0"/>
              <w:keepLines w:val="0"/>
              <w:widowControl w:val="0"/>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2)声环境：经模式预测，本项目运行后，站界处噪声贡献值均满足《工业企业厂界环境噪声排放标准》(GB 12348-2008)1类标准限值要求。</w:t>
            </w:r>
          </w:p>
          <w:p>
            <w:pPr>
              <w:keepNext w:val="0"/>
              <w:keepLines w:val="0"/>
              <w:widowControl w:val="0"/>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3)固体废物：本项目产生的固体废物全部妥善处置，不会对周边环境产生影响。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4)水环境：升压站内生活污水通过</w:t>
            </w:r>
            <w:r>
              <w:rPr>
                <w:rFonts w:hint="eastAsia" w:ascii="Times New Roman"/>
                <w:sz w:val="24"/>
                <w:szCs w:val="24"/>
              </w:rPr>
              <w:t>一体化处理设备后用于站区绿化</w:t>
            </w:r>
            <w:r>
              <w:rPr>
                <w:rFonts w:ascii="Times New Roman"/>
                <w:sz w:val="24"/>
                <w:szCs w:val="24"/>
              </w:rPr>
              <w:t>。</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5)生态环境：经分析可知本项目的建设不会对区域地表植被及动物生境产生明显影响。</w:t>
            </w:r>
          </w:p>
          <w:p>
            <w:pPr>
              <w:keepNext w:val="0"/>
              <w:keepLines w:val="0"/>
              <w:widowControl/>
              <w:suppressLineNumbers w:val="0"/>
              <w:snapToGri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szCs w:val="24"/>
              </w:rPr>
              <w:t>5、环境管理</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建设单位设置环境管理体制、管理机构和人员。加强施工期环境管理，及时组织竣工环境保护验收并加强运行期环境管理。开展环境保护培训。</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严格环境保护法规、政策的执行，编制环境管理计划并落实环境保护措施的实施。</w:t>
            </w:r>
          </w:p>
          <w:p>
            <w:pPr>
              <w:keepNext w:val="0"/>
              <w:keepLines w:val="0"/>
              <w:widowControl/>
              <w:suppressLineNumbers w:val="0"/>
              <w:snapToGri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szCs w:val="24"/>
              </w:rPr>
              <w:t>6、监测计划</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为建立本工程对环境影响情况的档案，对升压站周围环境进行监测或调查。落实监测计划内容并及时组织环境保护验收。</w:t>
            </w:r>
          </w:p>
          <w:p>
            <w:pPr>
              <w:keepNext w:val="0"/>
              <w:keepLines w:val="0"/>
              <w:widowControl/>
              <w:suppressLineNumbers w:val="0"/>
              <w:snapToGrid w:val="0"/>
              <w:spacing w:before="0" w:beforeAutospacing="0" w:after="0" w:afterAutospacing="0" w:line="360" w:lineRule="auto"/>
              <w:ind w:left="0" w:right="0" w:firstLine="482" w:firstLineChars="200"/>
              <w:rPr>
                <w:rFonts w:ascii="Times New Roman"/>
                <w:b/>
                <w:bCs/>
                <w:sz w:val="24"/>
                <w:szCs w:val="24"/>
              </w:rPr>
            </w:pPr>
            <w:r>
              <w:rPr>
                <w:rFonts w:ascii="Times New Roman"/>
                <w:b/>
                <w:bCs/>
                <w:sz w:val="24"/>
                <w:szCs w:val="24"/>
              </w:rPr>
              <w:t>7、结论</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综上所述，承德县源网荷储一体化和多能互补示范项目(220kV升压站工程)采取了较完善的环保治理措施，在严格执行本报告表要求并认真落实“环境保护措施监督检查清单”的基础上，本项目对该区域环境产生的影响较小，工程实施后对周边环境影响均符合国家相关标准要求。</w:t>
            </w:r>
          </w:p>
          <w:p>
            <w:pPr>
              <w:keepNext w:val="0"/>
              <w:keepLines w:val="0"/>
              <w:widowControl/>
              <w:suppressLineNumbers w:val="0"/>
              <w:snapToGrid w:val="0"/>
              <w:spacing w:before="0" w:beforeAutospacing="0" w:after="0" w:afterAutospacing="0" w:line="360" w:lineRule="auto"/>
              <w:ind w:left="0" w:right="0" w:firstLine="480" w:firstLineChars="200"/>
              <w:rPr>
                <w:rFonts w:ascii="Times New Roman"/>
                <w:sz w:val="24"/>
                <w:szCs w:val="24"/>
              </w:rPr>
            </w:pPr>
            <w:r>
              <w:rPr>
                <w:rFonts w:ascii="Times New Roman"/>
                <w:sz w:val="24"/>
                <w:szCs w:val="24"/>
              </w:rPr>
              <w:t>因此，本评价从环保角度认为，项目的建设是可行的。</w:t>
            </w:r>
          </w:p>
          <w:p>
            <w:pPr>
              <w:pStyle w:val="27"/>
              <w:keepNext w:val="0"/>
              <w:keepLines w:val="0"/>
              <w:widowControl/>
              <w:suppressLineNumbers w:val="0"/>
              <w:spacing w:before="0" w:beforeAutospacing="0" w:after="0" w:afterAutospacing="0"/>
              <w:ind w:right="0"/>
              <w:rPr>
                <w:rFonts w:ascii="Times New Roman"/>
              </w:rPr>
            </w:pPr>
          </w:p>
          <w:p>
            <w:pPr>
              <w:keepNext w:val="0"/>
              <w:keepLines w:val="0"/>
              <w:widowControl/>
              <w:suppressLineNumbers w:val="0"/>
              <w:spacing w:before="0" w:beforeAutospacing="0" w:after="0" w:afterAutospacing="0"/>
              <w:ind w:left="0"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pStyle w:val="27"/>
              <w:keepNext w:val="0"/>
              <w:keepLines w:val="0"/>
              <w:widowControl/>
              <w:suppressLineNumbers w:val="0"/>
              <w:spacing w:before="0" w:beforeAutospacing="0" w:after="0" w:afterAutospacing="0"/>
              <w:ind w:right="0"/>
              <w:rPr>
                <w:rFonts w:ascii="Times New Roman"/>
              </w:rPr>
            </w:pPr>
          </w:p>
          <w:p>
            <w:pPr>
              <w:keepNext w:val="0"/>
              <w:keepLines w:val="0"/>
              <w:widowControl/>
              <w:suppressLineNumbers w:val="0"/>
              <w:spacing w:before="0" w:beforeAutospacing="0" w:after="0" w:afterAutospacing="0"/>
              <w:ind w:left="0" w:right="0"/>
            </w:pPr>
          </w:p>
        </w:tc>
      </w:tr>
    </w:tbl>
    <w:p>
      <w:pPr>
        <w:spacing w:line="360" w:lineRule="auto"/>
        <w:rPr>
          <w:rFonts w:ascii="Times New Roman"/>
        </w:rPr>
      </w:pPr>
    </w:p>
    <w:p>
      <w:pPr>
        <w:spacing w:line="360" w:lineRule="auto"/>
        <w:rPr>
          <w:rFonts w:ascii="Times New Roman"/>
        </w:rPr>
        <w:sectPr>
          <w:headerReference r:id="rId8" w:type="default"/>
          <w:footerReference r:id="rId10" w:type="default"/>
          <w:headerReference r:id="rId9" w:type="even"/>
          <w:footerReference r:id="rId11" w:type="even"/>
          <w:pgSz w:w="11906" w:h="16838"/>
          <w:pgMar w:top="993" w:right="1531" w:bottom="1418" w:left="1531" w:header="851" w:footer="1077" w:gutter="0"/>
          <w:pgNumType w:start="1"/>
          <w:cols w:space="720" w:num="1"/>
          <w:docGrid w:linePitch="312" w:charSpace="0"/>
        </w:sectPr>
      </w:pPr>
    </w:p>
    <w:p>
      <w:pPr>
        <w:pStyle w:val="48"/>
        <w:adjustRightInd w:val="0"/>
        <w:snapToGrid w:val="0"/>
        <w:spacing w:before="0" w:beforeAutospacing="0" w:after="0" w:afterAutospacing="0" w:line="360" w:lineRule="auto"/>
        <w:rPr>
          <w:rFonts w:ascii="Times New Roman" w:hAnsi="Times New Roman"/>
          <w:snapToGrid w:val="0"/>
          <w:sz w:val="32"/>
          <w:szCs w:val="32"/>
        </w:rPr>
      </w:pPr>
      <w:r>
        <w:rPr>
          <w:rFonts w:ascii="Times New Roman" w:hAnsi="Times New Roman"/>
          <w:snapToGrid w:val="0"/>
          <w:sz w:val="32"/>
          <w:szCs w:val="32"/>
        </w:rPr>
        <w:t>附表</w:t>
      </w:r>
    </w:p>
    <w:p>
      <w:pPr>
        <w:pStyle w:val="48"/>
        <w:adjustRightInd w:val="0"/>
        <w:snapToGrid w:val="0"/>
        <w:spacing w:before="0" w:beforeAutospacing="0" w:after="0" w:afterAutospacing="0" w:line="360" w:lineRule="auto"/>
        <w:jc w:val="center"/>
        <w:outlineLvl w:val="0"/>
        <w:rPr>
          <w:rFonts w:ascii="Times New Roman" w:hAnsi="Times New Roman"/>
          <w:snapToGrid w:val="0"/>
          <w:sz w:val="38"/>
          <w:szCs w:val="38"/>
        </w:rPr>
      </w:pPr>
      <w:bookmarkStart w:id="34" w:name="_Toc157070565"/>
      <w:r>
        <w:rPr>
          <w:rFonts w:ascii="Times New Roman" w:hAnsi="Times New Roman"/>
          <w:snapToGrid w:val="0"/>
          <w:sz w:val="38"/>
          <w:szCs w:val="38"/>
        </w:rPr>
        <w:t>建设项目污染物排放量汇总表</w:t>
      </w:r>
      <w:bookmarkEnd w:id="34"/>
    </w:p>
    <w:tbl>
      <w:tblPr>
        <w:tblStyle w:val="54"/>
        <w:tblW w:w="140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058"/>
        <w:gridCol w:w="1416"/>
        <w:gridCol w:w="1700"/>
        <w:gridCol w:w="1275"/>
        <w:gridCol w:w="1700"/>
        <w:gridCol w:w="1558"/>
        <w:gridCol w:w="1760"/>
        <w:gridCol w:w="1958"/>
        <w:gridCol w:w="1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1587" w:type="dxa"/>
            <w:gridSpan w:val="2"/>
            <w:tcBorders>
              <w:tl2br w:val="single" w:color="auto" w:sz="4" w:space="0"/>
            </w:tcBorders>
            <w:tcMar>
              <w:left w:w="28" w:type="dxa"/>
              <w:right w:w="28" w:type="dxa"/>
            </w:tcMar>
            <w:vAlign w:val="center"/>
          </w:tcPr>
          <w:p>
            <w:pPr>
              <w:pStyle w:val="81"/>
              <w:keepNext w:val="0"/>
              <w:keepLines w:val="0"/>
              <w:widowControl/>
              <w:suppressLineNumbers w:val="0"/>
              <w:spacing w:before="0" w:beforeLines="0" w:beforeAutospacing="0" w:after="0" w:afterLines="0" w:afterAutospacing="0" w:line="360" w:lineRule="auto"/>
              <w:ind w:left="0" w:right="0"/>
              <w:jc w:val="right"/>
              <w:rPr>
                <w:rFonts w:ascii="Times New Roman"/>
                <w:snapToGrid w:val="0"/>
                <w:spacing w:val="-6"/>
                <w:kern w:val="21"/>
                <w:szCs w:val="21"/>
              </w:rPr>
            </w:pPr>
            <w:r>
              <w:rPr>
                <w:rFonts w:ascii="Times New Roman"/>
                <w:snapToGrid w:val="0"/>
                <w:spacing w:val="-6"/>
                <w:kern w:val="21"/>
                <w:szCs w:val="21"/>
              </w:rPr>
              <w:t>项目</w:t>
            </w:r>
          </w:p>
          <w:p>
            <w:pPr>
              <w:pStyle w:val="81"/>
              <w:keepNext w:val="0"/>
              <w:keepLines w:val="0"/>
              <w:widowControl/>
              <w:suppressLineNumbers w:val="0"/>
              <w:spacing w:before="0" w:beforeLines="0" w:beforeAutospacing="0" w:after="0" w:afterLines="0" w:afterAutospacing="0" w:line="360" w:lineRule="auto"/>
              <w:ind w:left="0" w:right="0"/>
              <w:jc w:val="left"/>
              <w:rPr>
                <w:rFonts w:ascii="Times New Roman"/>
                <w:snapToGrid w:val="0"/>
                <w:spacing w:val="-6"/>
                <w:kern w:val="21"/>
                <w:szCs w:val="21"/>
              </w:rPr>
            </w:pPr>
            <w:r>
              <w:rPr>
                <w:rFonts w:ascii="Times New Roman"/>
                <w:snapToGrid w:val="0"/>
                <w:spacing w:val="-6"/>
                <w:kern w:val="21"/>
                <w:szCs w:val="21"/>
              </w:rPr>
              <w:t>分类</w:t>
            </w:r>
          </w:p>
        </w:tc>
        <w:tc>
          <w:tcPr>
            <w:tcW w:w="1416" w:type="dxa"/>
            <w:tcMar>
              <w:left w:w="28" w:type="dxa"/>
              <w:right w:w="28" w:type="dxa"/>
            </w:tcMar>
            <w:vAlign w:val="center"/>
          </w:tcPr>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t>污染物名称</w:t>
            </w:r>
          </w:p>
        </w:tc>
        <w:tc>
          <w:tcPr>
            <w:tcW w:w="1700" w:type="dxa"/>
            <w:tcMar>
              <w:left w:w="28" w:type="dxa"/>
              <w:right w:w="28" w:type="dxa"/>
            </w:tcMar>
            <w:vAlign w:val="center"/>
          </w:tcPr>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t>现有工程</w:t>
            </w:r>
          </w:p>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kern w:val="2"/>
                <w:szCs w:val="21"/>
              </w:rPr>
              <w:t>①</w:t>
            </w:r>
            <w:r>
              <w:rPr>
                <w:rFonts w:ascii="Times New Roman"/>
                <w:snapToGrid w:val="0"/>
                <w:spacing w:val="-6"/>
                <w:kern w:val="21"/>
                <w:szCs w:val="21"/>
              </w:rPr>
              <w:fldChar w:fldCharType="end"/>
            </w:r>
          </w:p>
        </w:tc>
        <w:tc>
          <w:tcPr>
            <w:tcW w:w="1275" w:type="dxa"/>
            <w:tcMar>
              <w:left w:w="28" w:type="dxa"/>
              <w:right w:w="28" w:type="dxa"/>
            </w:tcMar>
            <w:vAlign w:val="center"/>
          </w:tcPr>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t>现有工程</w:t>
            </w:r>
          </w:p>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t>许可排放量</w:t>
            </w:r>
          </w:p>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int="eastAsia" w:hAnsi="宋体" w:cs="宋体"/>
                <w:snapToGrid w:val="0"/>
                <w:spacing w:val="-6"/>
                <w:kern w:val="21"/>
                <w:szCs w:val="21"/>
              </w:rPr>
              <w:t>②</w:t>
            </w:r>
            <w:r>
              <w:rPr>
                <w:rFonts w:ascii="Times New Roman"/>
                <w:snapToGrid w:val="0"/>
                <w:spacing w:val="-6"/>
                <w:kern w:val="21"/>
                <w:szCs w:val="21"/>
              </w:rPr>
              <w:fldChar w:fldCharType="end"/>
            </w:r>
          </w:p>
        </w:tc>
        <w:tc>
          <w:tcPr>
            <w:tcW w:w="1700" w:type="dxa"/>
            <w:tcMar>
              <w:left w:w="28" w:type="dxa"/>
              <w:right w:w="28" w:type="dxa"/>
            </w:tcMar>
            <w:vAlign w:val="center"/>
          </w:tcPr>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t>在建工程</w:t>
            </w:r>
          </w:p>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kern w:val="2"/>
                <w:szCs w:val="21"/>
              </w:rPr>
              <w:t>③</w:t>
            </w:r>
            <w:r>
              <w:rPr>
                <w:rFonts w:ascii="Times New Roman"/>
                <w:snapToGrid w:val="0"/>
                <w:spacing w:val="-6"/>
                <w:kern w:val="21"/>
                <w:szCs w:val="21"/>
              </w:rPr>
              <w:fldChar w:fldCharType="end"/>
            </w:r>
          </w:p>
        </w:tc>
        <w:tc>
          <w:tcPr>
            <w:tcW w:w="1558" w:type="dxa"/>
            <w:tcMar>
              <w:left w:w="28" w:type="dxa"/>
              <w:right w:w="28" w:type="dxa"/>
            </w:tcMar>
            <w:vAlign w:val="center"/>
          </w:tcPr>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t>本项目</w:t>
            </w:r>
          </w:p>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kern w:val="2"/>
                <w:szCs w:val="21"/>
              </w:rPr>
              <w:t>④</w:t>
            </w:r>
            <w:r>
              <w:rPr>
                <w:rFonts w:ascii="Times New Roman"/>
                <w:snapToGrid w:val="0"/>
                <w:spacing w:val="-6"/>
                <w:kern w:val="21"/>
                <w:szCs w:val="21"/>
              </w:rPr>
              <w:fldChar w:fldCharType="end"/>
            </w:r>
          </w:p>
        </w:tc>
        <w:tc>
          <w:tcPr>
            <w:tcW w:w="1760" w:type="dxa"/>
            <w:tcMar>
              <w:left w:w="28" w:type="dxa"/>
              <w:right w:w="28" w:type="dxa"/>
            </w:tcMar>
            <w:vAlign w:val="center"/>
          </w:tcPr>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16"/>
                <w:kern w:val="21"/>
                <w:szCs w:val="21"/>
              </w:rPr>
            </w:pPr>
            <w:r>
              <w:rPr>
                <w:rFonts w:ascii="Times New Roman"/>
                <w:snapToGrid w:val="0"/>
                <w:spacing w:val="-16"/>
                <w:kern w:val="21"/>
                <w:szCs w:val="21"/>
              </w:rPr>
              <w:t>以新带老削减量</w:t>
            </w:r>
          </w:p>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kern w:val="2"/>
                <w:szCs w:val="21"/>
              </w:rPr>
              <w:t>⑤</w:t>
            </w:r>
            <w:r>
              <w:rPr>
                <w:rFonts w:ascii="Times New Roman"/>
                <w:snapToGrid w:val="0"/>
                <w:spacing w:val="-16"/>
                <w:kern w:val="21"/>
                <w:szCs w:val="21"/>
              </w:rPr>
              <w:fldChar w:fldCharType="end"/>
            </w:r>
          </w:p>
        </w:tc>
        <w:tc>
          <w:tcPr>
            <w:tcW w:w="1958" w:type="dxa"/>
            <w:tcMar>
              <w:left w:w="28" w:type="dxa"/>
              <w:right w:w="28" w:type="dxa"/>
            </w:tcMar>
            <w:vAlign w:val="center"/>
          </w:tcPr>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16"/>
                <w:kern w:val="21"/>
                <w:szCs w:val="21"/>
              </w:rPr>
            </w:pPr>
            <w:r>
              <w:rPr>
                <w:rFonts w:ascii="Times New Roman"/>
                <w:snapToGrid w:val="0"/>
                <w:spacing w:val="-16"/>
                <w:kern w:val="21"/>
                <w:szCs w:val="21"/>
              </w:rPr>
              <w:t>本项目建成后</w:t>
            </w:r>
          </w:p>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kern w:val="2"/>
                <w:szCs w:val="21"/>
              </w:rPr>
              <w:t>⑥</w:t>
            </w:r>
            <w:r>
              <w:rPr>
                <w:rFonts w:ascii="Times New Roman"/>
                <w:snapToGrid w:val="0"/>
                <w:spacing w:val="-16"/>
                <w:kern w:val="21"/>
                <w:szCs w:val="21"/>
              </w:rPr>
              <w:fldChar w:fldCharType="end"/>
            </w:r>
          </w:p>
        </w:tc>
        <w:tc>
          <w:tcPr>
            <w:tcW w:w="1070" w:type="dxa"/>
            <w:tcMar>
              <w:left w:w="28" w:type="dxa"/>
              <w:right w:w="28" w:type="dxa"/>
            </w:tcMar>
            <w:vAlign w:val="center"/>
          </w:tcPr>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t>变化量</w:t>
            </w:r>
          </w:p>
          <w:p>
            <w:pPr>
              <w:pStyle w:val="81"/>
              <w:keepNext w:val="0"/>
              <w:keepLines w:val="0"/>
              <w:widowControl/>
              <w:suppressLineNumbers w:val="0"/>
              <w:spacing w:before="0" w:beforeLines="0" w:beforeAutospacing="0" w:after="0" w:afterLines="0" w:afterAutospacing="0" w:line="360" w:lineRule="auto"/>
              <w:ind w:left="0" w:right="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87" w:type="dxa"/>
            <w:gridSpan w:val="2"/>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废气</w:t>
            </w:r>
          </w:p>
        </w:tc>
        <w:tc>
          <w:tcPr>
            <w:tcW w:w="1416"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napToGrid w:val="0"/>
                <w:kern w:val="21"/>
                <w:szCs w:val="21"/>
              </w:rPr>
              <w:t>食堂油烟</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275"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5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zCs w:val="21"/>
              </w:rPr>
              <w:t>1.002kg/a</w:t>
            </w:r>
          </w:p>
        </w:tc>
        <w:tc>
          <w:tcPr>
            <w:tcW w:w="176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9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zCs w:val="21"/>
              </w:rPr>
              <w:t>1.002kg/a</w:t>
            </w:r>
          </w:p>
        </w:tc>
        <w:tc>
          <w:tcPr>
            <w:tcW w:w="107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zCs w:val="21"/>
              </w:rPr>
              <w:t>1.002kg/a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87" w:type="dxa"/>
            <w:gridSpan w:val="2"/>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废水</w:t>
            </w:r>
          </w:p>
        </w:tc>
        <w:tc>
          <w:tcPr>
            <w:tcW w:w="1416"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275"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5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76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9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07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529" w:type="dxa"/>
            <w:vMerge w:val="restart"/>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napToGrid w:val="0"/>
                <w:kern w:val="21"/>
                <w:szCs w:val="21"/>
              </w:rPr>
              <w:t>固体废物</w:t>
            </w:r>
          </w:p>
        </w:tc>
        <w:tc>
          <w:tcPr>
            <w:tcW w:w="2474" w:type="dxa"/>
            <w:gridSpan w:val="2"/>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napToGrid w:val="0"/>
                <w:kern w:val="21"/>
                <w:szCs w:val="21"/>
              </w:rPr>
              <w:t>生活垃圾</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275"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5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napToGrid w:val="0"/>
                <w:kern w:val="21"/>
                <w:szCs w:val="21"/>
              </w:rPr>
              <w:t>7.3t/a</w:t>
            </w:r>
          </w:p>
        </w:tc>
        <w:tc>
          <w:tcPr>
            <w:tcW w:w="176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9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napToGrid w:val="0"/>
                <w:kern w:val="21"/>
                <w:szCs w:val="21"/>
              </w:rPr>
              <w:t>7.3t/a</w:t>
            </w:r>
          </w:p>
        </w:tc>
        <w:tc>
          <w:tcPr>
            <w:tcW w:w="107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napToGrid w:val="0"/>
                <w:kern w:val="21"/>
                <w:szCs w:val="21"/>
              </w:rPr>
              <w:t>7.3t/a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529" w:type="dxa"/>
            <w:vMerge w:val="continue"/>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p>
        </w:tc>
        <w:tc>
          <w:tcPr>
            <w:tcW w:w="10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一般工业</w:t>
            </w:r>
          </w:p>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固体废物</w:t>
            </w:r>
          </w:p>
        </w:tc>
        <w:tc>
          <w:tcPr>
            <w:tcW w:w="1416"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napToGrid w:val="0"/>
                <w:kern w:val="21"/>
                <w:szCs w:val="21"/>
              </w:rPr>
              <w:t>废旧磷酸铁锂电池</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275"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5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napToGrid w:val="0"/>
                <w:kern w:val="21"/>
                <w:szCs w:val="21"/>
              </w:rPr>
              <w:t>0.5/t/10a</w:t>
            </w:r>
          </w:p>
        </w:tc>
        <w:tc>
          <w:tcPr>
            <w:tcW w:w="176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958" w:type="dxa"/>
            <w:vAlign w:val="center"/>
          </w:tcPr>
          <w:p>
            <w:pPr>
              <w:keepNext w:val="0"/>
              <w:keepLines w:val="0"/>
              <w:widowControl/>
              <w:suppressLineNumbers w:val="0"/>
              <w:spacing w:before="0" w:beforeAutospacing="0" w:after="0" w:afterAutospacing="0"/>
              <w:ind w:left="0" w:right="0"/>
              <w:jc w:val="center"/>
              <w:rPr>
                <w:rFonts w:ascii="Times New Roman"/>
                <w:snapToGrid w:val="0"/>
                <w:kern w:val="21"/>
              </w:rPr>
            </w:pPr>
            <w:r>
              <w:rPr>
                <w:rFonts w:hint="eastAsia" w:ascii="Times New Roman"/>
                <w:snapToGrid w:val="0"/>
                <w:kern w:val="21"/>
              </w:rPr>
              <w:t>0.5/t/10a</w:t>
            </w:r>
          </w:p>
        </w:tc>
        <w:tc>
          <w:tcPr>
            <w:tcW w:w="1070" w:type="dxa"/>
            <w:vAlign w:val="center"/>
          </w:tcPr>
          <w:p>
            <w:pPr>
              <w:keepNext w:val="0"/>
              <w:keepLines w:val="0"/>
              <w:widowControl/>
              <w:suppressLineNumbers w:val="0"/>
              <w:spacing w:before="0" w:beforeAutospacing="0" w:after="0" w:afterAutospacing="0"/>
              <w:ind w:left="0" w:right="0"/>
              <w:jc w:val="center"/>
              <w:rPr>
                <w:rFonts w:ascii="Times New Roman"/>
                <w:snapToGrid w:val="0"/>
                <w:kern w:val="21"/>
              </w:rPr>
            </w:pPr>
            <w:r>
              <w:rPr>
                <w:rFonts w:hint="eastAsia" w:ascii="Times New Roman"/>
                <w:snapToGrid w:val="0"/>
                <w:kern w:val="21"/>
              </w:rPr>
              <w:t>0.5/t/10a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29" w:type="dxa"/>
            <w:vMerge w:val="continue"/>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p>
        </w:tc>
        <w:tc>
          <w:tcPr>
            <w:tcW w:w="1058" w:type="dxa"/>
            <w:vMerge w:val="restart"/>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snapToGrid w:val="0"/>
                <w:kern w:val="21"/>
                <w:szCs w:val="21"/>
              </w:rPr>
              <w:t>危险废物</w:t>
            </w:r>
          </w:p>
        </w:tc>
        <w:tc>
          <w:tcPr>
            <w:tcW w:w="1416" w:type="dxa"/>
            <w:vAlign w:val="center"/>
          </w:tcPr>
          <w:p>
            <w:pPr>
              <w:pStyle w:val="81"/>
              <w:keepNext w:val="0"/>
              <w:keepLines w:val="0"/>
              <w:widowControl/>
              <w:suppressLineNumbers w:val="0"/>
              <w:spacing w:before="0" w:beforeLines="0" w:beforeAutospacing="0" w:after="0" w:afterLines="0" w:afterAutospacing="0" w:line="240" w:lineRule="auto"/>
              <w:ind w:left="0" w:right="0"/>
              <w:rPr>
                <w:spacing w:val="-4"/>
              </w:rPr>
            </w:pPr>
            <w:r>
              <w:rPr>
                <w:spacing w:val="-4"/>
              </w:rPr>
              <w:t>废铅酸</w:t>
            </w:r>
          </w:p>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spacing w:val="-4"/>
              </w:rPr>
              <w:t>蓄</w:t>
            </w:r>
            <w:r>
              <w:rPr>
                <w:spacing w:val="-6"/>
              </w:rPr>
              <w:t>电池</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275"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5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rPr>
              <w:t>6.24t</w:t>
            </w:r>
            <w:r>
              <w:rPr>
                <w:rFonts w:ascii="Times New Roman" w:eastAsia="Times New Roman"/>
                <w:spacing w:val="-5"/>
              </w:rPr>
              <w:t>/a</w:t>
            </w:r>
          </w:p>
        </w:tc>
        <w:tc>
          <w:tcPr>
            <w:tcW w:w="176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9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rPr>
              <w:t>6.24</w:t>
            </w:r>
            <w:r>
              <w:rPr>
                <w:rFonts w:ascii="Times New Roman" w:eastAsia="Times New Roman"/>
                <w:spacing w:val="-5"/>
              </w:rPr>
              <w:t>/a</w:t>
            </w:r>
          </w:p>
        </w:tc>
        <w:tc>
          <w:tcPr>
            <w:tcW w:w="107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hint="eastAsia" w:ascii="Times New Roman"/>
              </w:rPr>
              <w:t>6.24</w:t>
            </w:r>
            <w:r>
              <w:rPr>
                <w:rFonts w:ascii="Times New Roman" w:eastAsia="Times New Roman"/>
                <w:spacing w:val="-5"/>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29" w:type="dxa"/>
            <w:vMerge w:val="continue"/>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p>
        </w:tc>
        <w:tc>
          <w:tcPr>
            <w:tcW w:w="1058" w:type="dxa"/>
            <w:vMerge w:val="continue"/>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p>
        </w:tc>
        <w:tc>
          <w:tcPr>
            <w:tcW w:w="1416" w:type="dxa"/>
            <w:vAlign w:val="center"/>
          </w:tcPr>
          <w:p>
            <w:pPr>
              <w:pStyle w:val="81"/>
              <w:keepNext w:val="0"/>
              <w:keepLines w:val="0"/>
              <w:widowControl/>
              <w:suppressLineNumbers w:val="0"/>
              <w:spacing w:before="0" w:beforeLines="0" w:beforeAutospacing="0" w:after="0" w:afterLines="0" w:afterAutospacing="0" w:line="240" w:lineRule="auto"/>
              <w:ind w:left="0" w:right="0"/>
              <w:rPr>
                <w:spacing w:val="-4"/>
              </w:rPr>
            </w:pPr>
            <w:r>
              <w:rPr>
                <w:rFonts w:hint="eastAsia"/>
                <w:spacing w:val="-4"/>
              </w:rPr>
              <w:t>废变压器油</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275"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5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rPr>
            </w:pPr>
            <w:r>
              <w:rPr>
                <w:rFonts w:hint="eastAsia" w:ascii="Times New Roman"/>
              </w:rPr>
              <w:t>60.15t/a</w:t>
            </w:r>
          </w:p>
        </w:tc>
        <w:tc>
          <w:tcPr>
            <w:tcW w:w="176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9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eastAsia="Times New Roman"/>
              </w:rPr>
            </w:pPr>
            <w:r>
              <w:rPr>
                <w:rFonts w:hint="eastAsia" w:ascii="Times New Roman"/>
              </w:rPr>
              <w:t>60.15t/a</w:t>
            </w:r>
          </w:p>
        </w:tc>
        <w:tc>
          <w:tcPr>
            <w:tcW w:w="107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eastAsia="Times New Roman"/>
              </w:rPr>
            </w:pPr>
            <w:r>
              <w:rPr>
                <w:rFonts w:hint="eastAsia" w:ascii="Times New Roman"/>
              </w:rPr>
              <w:t>60.15t/a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29" w:type="dxa"/>
            <w:vMerge w:val="continue"/>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p>
        </w:tc>
        <w:tc>
          <w:tcPr>
            <w:tcW w:w="1058" w:type="dxa"/>
            <w:vMerge w:val="continue"/>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p>
        </w:tc>
        <w:tc>
          <w:tcPr>
            <w:tcW w:w="1416" w:type="dxa"/>
            <w:vAlign w:val="center"/>
          </w:tcPr>
          <w:p>
            <w:pPr>
              <w:pStyle w:val="81"/>
              <w:keepNext w:val="0"/>
              <w:keepLines w:val="0"/>
              <w:widowControl/>
              <w:suppressLineNumbers w:val="0"/>
              <w:spacing w:before="0" w:beforeLines="0" w:beforeAutospacing="0" w:after="0" w:afterLines="0" w:afterAutospacing="0" w:line="240" w:lineRule="auto"/>
              <w:ind w:left="0" w:right="0"/>
              <w:rPr>
                <w:spacing w:val="-4"/>
              </w:rPr>
            </w:pPr>
            <w:r>
              <w:rPr>
                <w:rFonts w:hint="eastAsia"/>
                <w:spacing w:val="-4"/>
              </w:rPr>
              <w:t>沾油抹布</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275"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70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5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eastAsia="Times New Roman"/>
              </w:rPr>
            </w:pPr>
            <w:r>
              <w:rPr>
                <w:rFonts w:ascii="Times New Roman"/>
                <w:snapToGrid w:val="0"/>
                <w:kern w:val="21"/>
                <w:szCs w:val="21"/>
              </w:rPr>
              <w:t>/</w:t>
            </w:r>
          </w:p>
        </w:tc>
        <w:tc>
          <w:tcPr>
            <w:tcW w:w="176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snapToGrid w:val="0"/>
                <w:kern w:val="21"/>
                <w:szCs w:val="21"/>
              </w:rPr>
            </w:pPr>
            <w:r>
              <w:rPr>
                <w:rFonts w:ascii="Times New Roman"/>
                <w:snapToGrid w:val="0"/>
                <w:kern w:val="21"/>
                <w:szCs w:val="21"/>
              </w:rPr>
              <w:t>/</w:t>
            </w:r>
          </w:p>
        </w:tc>
        <w:tc>
          <w:tcPr>
            <w:tcW w:w="1958"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eastAsia="Times New Roman"/>
              </w:rPr>
            </w:pPr>
            <w:r>
              <w:rPr>
                <w:rFonts w:ascii="Times New Roman"/>
                <w:snapToGrid w:val="0"/>
                <w:kern w:val="21"/>
                <w:szCs w:val="21"/>
              </w:rPr>
              <w:t>/</w:t>
            </w:r>
          </w:p>
        </w:tc>
        <w:tc>
          <w:tcPr>
            <w:tcW w:w="1070" w:type="dxa"/>
            <w:vAlign w:val="center"/>
          </w:tcPr>
          <w:p>
            <w:pPr>
              <w:pStyle w:val="81"/>
              <w:keepNext w:val="0"/>
              <w:keepLines w:val="0"/>
              <w:widowControl/>
              <w:suppressLineNumbers w:val="0"/>
              <w:spacing w:before="0" w:beforeLines="0" w:beforeAutospacing="0" w:after="0" w:afterLines="0" w:afterAutospacing="0" w:line="240" w:lineRule="auto"/>
              <w:ind w:left="0" w:right="0"/>
              <w:rPr>
                <w:rFonts w:ascii="Times New Roman" w:eastAsia="Times New Roman"/>
              </w:rPr>
            </w:pPr>
            <w:r>
              <w:rPr>
                <w:rFonts w:ascii="Times New Roman"/>
                <w:snapToGrid w:val="0"/>
                <w:kern w:val="21"/>
                <w:szCs w:val="21"/>
              </w:rPr>
              <w:t>/</w:t>
            </w:r>
          </w:p>
        </w:tc>
      </w:tr>
    </w:tbl>
    <w:p>
      <w:pPr>
        <w:pStyle w:val="81"/>
        <w:spacing w:beforeLines="0" w:afterLines="0" w:line="240" w:lineRule="auto"/>
        <w:jc w:val="both"/>
        <w:rPr>
          <w:rFonts w:ascii="Times New Roman"/>
          <w:snapToGrid w:val="0"/>
          <w:kern w:val="21"/>
          <w:szCs w:val="21"/>
        </w:rPr>
      </w:pPr>
    </w:p>
    <w:p>
      <w:pPr>
        <w:pStyle w:val="81"/>
        <w:spacing w:beforeLines="0" w:afterLines="0" w:line="240" w:lineRule="auto"/>
        <w:jc w:val="both"/>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pPr>
        <w:rPr>
          <w:rFonts w:ascii="Times New Roman"/>
          <w:snapToGrid w:val="0"/>
          <w:spacing w:val="-6"/>
          <w:kern w:val="21"/>
          <w:szCs w:val="21"/>
        </w:rPr>
        <w:sectPr>
          <w:footerReference r:id="rId13" w:type="default"/>
          <w:headerReference r:id="rId12" w:type="even"/>
          <w:footerReference r:id="rId14" w:type="even"/>
          <w:pgSz w:w="16838" w:h="11906" w:orient="landscape"/>
          <w:pgMar w:top="1531" w:right="1701" w:bottom="1531" w:left="1701" w:header="851" w:footer="851" w:gutter="0"/>
          <w:cols w:space="720" w:num="1"/>
          <w:docGrid w:linePitch="312" w:charSpace="0"/>
        </w:sectPr>
      </w:pPr>
    </w:p>
    <w:p>
      <w:pPr>
        <w:spacing w:line="900" w:lineRule="exact"/>
        <w:jc w:val="center"/>
        <w:rPr>
          <w:b/>
          <w:bCs/>
          <w:kern w:val="24"/>
          <w:sz w:val="44"/>
          <w:szCs w:val="44"/>
        </w:rPr>
      </w:pPr>
      <w:r>
        <w:rPr>
          <w:rFonts w:hint="eastAsia"/>
          <w:b/>
          <w:bCs/>
          <w:kern w:val="24"/>
          <w:sz w:val="44"/>
          <w:szCs w:val="44"/>
        </w:rPr>
        <w:t>承德卓云信息科技有限公司</w:t>
      </w:r>
    </w:p>
    <w:p>
      <w:pPr>
        <w:spacing w:line="900" w:lineRule="exact"/>
        <w:ind w:left="17" w:leftChars="-59" w:right="-172" w:rightChars="-82" w:hanging="141" w:hangingChars="32"/>
        <w:jc w:val="center"/>
        <w:rPr>
          <w:b/>
          <w:bCs/>
          <w:kern w:val="24"/>
          <w:sz w:val="44"/>
          <w:szCs w:val="44"/>
        </w:rPr>
      </w:pPr>
      <w:r>
        <w:rPr>
          <w:rFonts w:hint="eastAsia"/>
          <w:b/>
          <w:bCs/>
          <w:kern w:val="24"/>
          <w:sz w:val="44"/>
          <w:szCs w:val="44"/>
        </w:rPr>
        <w:t>承德县源网荷储一体化和多能互补示范项目</w:t>
      </w:r>
    </w:p>
    <w:p>
      <w:pPr>
        <w:spacing w:line="900" w:lineRule="exact"/>
        <w:jc w:val="center"/>
        <w:rPr>
          <w:rFonts w:hint="eastAsia" w:eastAsia="宋体"/>
          <w:b/>
          <w:bCs/>
          <w:kern w:val="24"/>
          <w:sz w:val="44"/>
          <w:szCs w:val="44"/>
          <w:lang w:val="en-US" w:eastAsia="zh-CN"/>
        </w:rPr>
      </w:pPr>
      <w:r>
        <w:rPr>
          <w:rFonts w:hint="eastAsia"/>
          <w:b/>
          <w:bCs/>
          <w:kern w:val="24"/>
          <w:sz w:val="44"/>
          <w:szCs w:val="44"/>
        </w:rPr>
        <w:t>(220kV升压站工程)</w:t>
      </w:r>
      <w:r>
        <w:rPr>
          <w:rFonts w:hint="eastAsia"/>
          <w:b/>
          <w:bCs/>
          <w:kern w:val="24"/>
          <w:sz w:val="44"/>
          <w:szCs w:val="44"/>
          <w:lang w:val="en-US" w:eastAsia="zh-CN"/>
        </w:rPr>
        <w:t>变更</w:t>
      </w:r>
    </w:p>
    <w:p>
      <w:pPr>
        <w:spacing w:line="900" w:lineRule="exact"/>
        <w:jc w:val="center"/>
        <w:rPr>
          <w:b/>
          <w:bCs/>
          <w:kern w:val="24"/>
          <w:sz w:val="44"/>
          <w:szCs w:val="44"/>
        </w:rPr>
      </w:pPr>
      <w:r>
        <w:rPr>
          <w:b/>
          <w:bCs/>
          <w:kern w:val="24"/>
          <w:sz w:val="44"/>
          <w:szCs w:val="44"/>
        </w:rPr>
        <w:t>电磁环境影响专题评价</w:t>
      </w: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adjustRightInd w:val="0"/>
        <w:snapToGrid w:val="0"/>
        <w:spacing w:line="288" w:lineRule="auto"/>
        <w:ind w:left="1663" w:leftChars="68" w:hanging="1520" w:hangingChars="475"/>
        <w:rPr>
          <w:sz w:val="32"/>
          <w:szCs w:val="36"/>
        </w:rPr>
      </w:pPr>
      <w:r>
        <w:rPr>
          <w:sz w:val="32"/>
          <w:szCs w:val="36"/>
        </w:rPr>
        <w:t>项目名称：</w:t>
      </w:r>
      <w:r>
        <w:rPr>
          <w:rFonts w:hint="eastAsia"/>
          <w:sz w:val="32"/>
          <w:szCs w:val="36"/>
        </w:rPr>
        <w:t>承德县源网荷储一体化和多能互补示范项目(220kV升压站工程)</w:t>
      </w:r>
      <w:r>
        <w:rPr>
          <w:rFonts w:hint="eastAsia"/>
          <w:sz w:val="32"/>
          <w:szCs w:val="36"/>
          <w:lang w:val="en-US" w:eastAsia="zh-CN"/>
        </w:rPr>
        <w:t>变更</w:t>
      </w:r>
    </w:p>
    <w:p>
      <w:pPr>
        <w:adjustRightInd w:val="0"/>
        <w:snapToGrid w:val="0"/>
        <w:spacing w:before="240" w:line="288" w:lineRule="auto"/>
        <w:ind w:left="1023" w:leftChars="68" w:hanging="880" w:hangingChars="275"/>
        <w:rPr>
          <w:sz w:val="32"/>
          <w:szCs w:val="36"/>
        </w:rPr>
      </w:pPr>
      <w:r>
        <w:rPr>
          <w:sz w:val="32"/>
          <w:szCs w:val="36"/>
        </w:rPr>
        <w:t>建设单位(盖章)：承德卓云信息科技有限公司</w:t>
      </w:r>
      <w:r>
        <w:rPr>
          <w:rFonts w:hint="eastAsia"/>
          <w:sz w:val="32"/>
          <w:szCs w:val="36"/>
        </w:rPr>
        <w:t xml:space="preserve">   </w:t>
      </w:r>
    </w:p>
    <w:p>
      <w:pPr>
        <w:adjustRightInd w:val="0"/>
        <w:snapToGrid w:val="0"/>
        <w:spacing w:before="240" w:line="288" w:lineRule="auto"/>
        <w:ind w:left="1023" w:leftChars="68" w:hanging="880" w:hangingChars="275"/>
        <w:rPr>
          <w:sz w:val="32"/>
          <w:szCs w:val="36"/>
          <w:u w:val="single"/>
        </w:rPr>
      </w:pPr>
      <w:r>
        <w:rPr>
          <w:sz w:val="32"/>
          <w:szCs w:val="36"/>
        </w:rPr>
        <w:t>编制日期：二〇二</w:t>
      </w:r>
      <w:r>
        <w:rPr>
          <w:rFonts w:hint="eastAsia"/>
          <w:sz w:val="32"/>
          <w:szCs w:val="36"/>
        </w:rPr>
        <w:t>四</w:t>
      </w:r>
      <w:r>
        <w:rPr>
          <w:sz w:val="32"/>
          <w:szCs w:val="36"/>
        </w:rPr>
        <w:t>年</w:t>
      </w:r>
      <w:r>
        <w:rPr>
          <w:rFonts w:hint="eastAsia"/>
          <w:sz w:val="32"/>
          <w:szCs w:val="36"/>
          <w:lang w:val="en-US" w:eastAsia="zh-CN"/>
        </w:rPr>
        <w:t>十一</w:t>
      </w:r>
      <w:r>
        <w:rPr>
          <w:sz w:val="32"/>
          <w:szCs w:val="36"/>
        </w:rPr>
        <w:t>月</w:t>
      </w: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sectPr>
          <w:footerReference r:id="rId15" w:type="default"/>
          <w:pgSz w:w="11906" w:h="16838"/>
          <w:pgMar w:top="1440" w:right="1800" w:bottom="1440" w:left="1800" w:header="851" w:footer="992" w:gutter="0"/>
          <w:pgNumType w:start="1"/>
          <w:cols w:space="720" w:num="1"/>
          <w:docGrid w:type="lines" w:linePitch="312" w:charSpace="0"/>
        </w:sectPr>
      </w:pPr>
    </w:p>
    <w:p>
      <w:pPr>
        <w:jc w:val="center"/>
        <w:rPr>
          <w:b/>
          <w:bCs/>
          <w:sz w:val="44"/>
          <w:szCs w:val="44"/>
        </w:rPr>
      </w:pPr>
      <w:r>
        <w:rPr>
          <w:b/>
          <w:bCs/>
          <w:sz w:val="44"/>
          <w:szCs w:val="44"/>
        </w:rPr>
        <w:t>目  录</w:t>
      </w:r>
    </w:p>
    <w:p>
      <w:pPr>
        <w:pStyle w:val="34"/>
        <w:tabs>
          <w:tab w:val="right" w:leader="dot" w:pos="8296"/>
        </w:tabs>
        <w:spacing w:line="360" w:lineRule="auto"/>
        <w:rPr>
          <w:rFonts w:eastAsia="宋体"/>
          <w:b w:val="0"/>
          <w:bCs w:val="0"/>
          <w:caps w:val="0"/>
          <w:kern w:val="2"/>
          <w:sz w:val="32"/>
          <w:szCs w:val="36"/>
        </w:rPr>
      </w:pPr>
      <w:r>
        <w:rPr>
          <w:rFonts w:eastAsia="宋体"/>
          <w:b w:val="0"/>
          <w:bCs w:val="0"/>
          <w:sz w:val="24"/>
          <w:szCs w:val="24"/>
        </w:rPr>
        <w:fldChar w:fldCharType="begin"/>
      </w:r>
      <w:r>
        <w:rPr>
          <w:rFonts w:eastAsia="宋体"/>
          <w:b w:val="0"/>
          <w:bCs w:val="0"/>
          <w:sz w:val="24"/>
          <w:szCs w:val="24"/>
        </w:rPr>
        <w:instrText xml:space="preserve"> TOC \o "1-1" \h \z \u </w:instrText>
      </w:r>
      <w:r>
        <w:rPr>
          <w:rFonts w:eastAsia="宋体"/>
          <w:b w:val="0"/>
          <w:bCs w:val="0"/>
          <w:sz w:val="24"/>
          <w:szCs w:val="24"/>
        </w:rPr>
        <w:fldChar w:fldCharType="separate"/>
      </w:r>
      <w:r>
        <w:fldChar w:fldCharType="begin"/>
      </w:r>
      <w:r>
        <w:instrText xml:space="preserve"> HYPERLINK \l "_Toc103288997" </w:instrText>
      </w:r>
      <w:r>
        <w:fldChar w:fldCharType="separate"/>
      </w:r>
      <w:r>
        <w:rPr>
          <w:rStyle w:val="61"/>
          <w:rFonts w:eastAsia="宋体"/>
          <w:color w:val="auto"/>
          <w:sz w:val="28"/>
          <w:szCs w:val="28"/>
        </w:rPr>
        <w:t>1、总论</w:t>
      </w:r>
      <w:r>
        <w:rPr>
          <w:rFonts w:eastAsia="宋体"/>
          <w:sz w:val="28"/>
          <w:szCs w:val="28"/>
        </w:rPr>
        <w:tab/>
      </w:r>
      <w:r>
        <w:rPr>
          <w:rFonts w:eastAsia="宋体"/>
          <w:sz w:val="28"/>
          <w:szCs w:val="28"/>
        </w:rPr>
        <w:fldChar w:fldCharType="begin"/>
      </w:r>
      <w:r>
        <w:rPr>
          <w:rFonts w:eastAsia="宋体"/>
          <w:sz w:val="28"/>
          <w:szCs w:val="28"/>
        </w:rPr>
        <w:instrText xml:space="preserve"> PAGEREF _Toc103288997 \h </w:instrText>
      </w:r>
      <w:r>
        <w:rPr>
          <w:rFonts w:eastAsia="宋体"/>
          <w:sz w:val="28"/>
          <w:szCs w:val="28"/>
        </w:rPr>
        <w:fldChar w:fldCharType="separate"/>
      </w:r>
      <w:r>
        <w:rPr>
          <w:rFonts w:eastAsia="宋体"/>
          <w:sz w:val="28"/>
          <w:szCs w:val="28"/>
        </w:rPr>
        <w:t>1</w:t>
      </w:r>
      <w:r>
        <w:rPr>
          <w:rFonts w:eastAsia="宋体"/>
          <w:sz w:val="28"/>
          <w:szCs w:val="28"/>
        </w:rPr>
        <w:fldChar w:fldCharType="end"/>
      </w:r>
      <w:r>
        <w:rPr>
          <w:rFonts w:eastAsia="宋体"/>
          <w:sz w:val="28"/>
          <w:szCs w:val="28"/>
        </w:rPr>
        <w:fldChar w:fldCharType="end"/>
      </w:r>
    </w:p>
    <w:p>
      <w:pPr>
        <w:pStyle w:val="34"/>
        <w:tabs>
          <w:tab w:val="right" w:leader="dot" w:pos="8296"/>
        </w:tabs>
        <w:spacing w:line="360" w:lineRule="auto"/>
        <w:rPr>
          <w:rFonts w:eastAsia="宋体"/>
          <w:b w:val="0"/>
          <w:bCs w:val="0"/>
          <w:caps w:val="0"/>
          <w:kern w:val="2"/>
          <w:sz w:val="32"/>
          <w:szCs w:val="36"/>
        </w:rPr>
      </w:pPr>
      <w:r>
        <w:fldChar w:fldCharType="begin"/>
      </w:r>
      <w:r>
        <w:instrText xml:space="preserve"> HYPERLINK \l "_Toc103288998" </w:instrText>
      </w:r>
      <w:r>
        <w:fldChar w:fldCharType="separate"/>
      </w:r>
      <w:r>
        <w:rPr>
          <w:rStyle w:val="61"/>
          <w:rFonts w:eastAsia="宋体"/>
          <w:color w:val="auto"/>
          <w:sz w:val="28"/>
          <w:szCs w:val="28"/>
        </w:rPr>
        <w:t>2、项目概况</w:t>
      </w:r>
      <w:r>
        <w:rPr>
          <w:rFonts w:eastAsia="宋体"/>
          <w:sz w:val="28"/>
          <w:szCs w:val="28"/>
        </w:rPr>
        <w:tab/>
      </w:r>
      <w:r>
        <w:rPr>
          <w:rFonts w:hint="eastAsia" w:eastAsia="宋体"/>
          <w:sz w:val="28"/>
          <w:szCs w:val="28"/>
        </w:rPr>
        <w:t>5</w:t>
      </w:r>
      <w:r>
        <w:rPr>
          <w:rFonts w:hint="eastAsia" w:eastAsia="宋体"/>
          <w:sz w:val="28"/>
          <w:szCs w:val="28"/>
        </w:rPr>
        <w:fldChar w:fldCharType="end"/>
      </w:r>
    </w:p>
    <w:p>
      <w:pPr>
        <w:pStyle w:val="34"/>
        <w:tabs>
          <w:tab w:val="right" w:leader="dot" w:pos="8296"/>
        </w:tabs>
        <w:spacing w:line="360" w:lineRule="auto"/>
        <w:rPr>
          <w:rFonts w:eastAsia="宋体"/>
          <w:b w:val="0"/>
          <w:bCs w:val="0"/>
          <w:caps w:val="0"/>
          <w:kern w:val="2"/>
          <w:sz w:val="32"/>
          <w:szCs w:val="36"/>
        </w:rPr>
      </w:pPr>
      <w:r>
        <w:fldChar w:fldCharType="begin"/>
      </w:r>
      <w:r>
        <w:instrText xml:space="preserve"> HYPERLINK \l "_Toc103288999" </w:instrText>
      </w:r>
      <w:r>
        <w:fldChar w:fldCharType="separate"/>
      </w:r>
      <w:r>
        <w:rPr>
          <w:rStyle w:val="61"/>
          <w:rFonts w:eastAsia="宋体"/>
          <w:color w:val="auto"/>
          <w:sz w:val="28"/>
          <w:szCs w:val="28"/>
        </w:rPr>
        <w:t>3、电磁环境现状</w:t>
      </w:r>
      <w:r>
        <w:rPr>
          <w:rFonts w:eastAsia="宋体"/>
          <w:sz w:val="28"/>
          <w:szCs w:val="28"/>
        </w:rPr>
        <w:tab/>
      </w:r>
      <w:r>
        <w:rPr>
          <w:rFonts w:hint="eastAsia" w:eastAsia="宋体"/>
          <w:sz w:val="28"/>
          <w:szCs w:val="28"/>
        </w:rPr>
        <w:t>6</w:t>
      </w:r>
      <w:r>
        <w:rPr>
          <w:rFonts w:hint="eastAsia" w:eastAsia="宋体"/>
          <w:sz w:val="28"/>
          <w:szCs w:val="28"/>
        </w:rPr>
        <w:fldChar w:fldCharType="end"/>
      </w:r>
    </w:p>
    <w:p>
      <w:pPr>
        <w:pStyle w:val="34"/>
        <w:tabs>
          <w:tab w:val="right" w:leader="dot" w:pos="8296"/>
        </w:tabs>
        <w:spacing w:line="360" w:lineRule="auto"/>
        <w:rPr>
          <w:rFonts w:eastAsia="宋体"/>
          <w:b w:val="0"/>
          <w:bCs w:val="0"/>
          <w:caps w:val="0"/>
          <w:kern w:val="2"/>
          <w:sz w:val="32"/>
          <w:szCs w:val="36"/>
        </w:rPr>
      </w:pPr>
      <w:r>
        <w:fldChar w:fldCharType="begin"/>
      </w:r>
      <w:r>
        <w:instrText xml:space="preserve"> HYPERLINK \l "_Toc103289000" </w:instrText>
      </w:r>
      <w:r>
        <w:fldChar w:fldCharType="separate"/>
      </w:r>
      <w:r>
        <w:rPr>
          <w:rStyle w:val="61"/>
          <w:rFonts w:eastAsia="宋体"/>
          <w:color w:val="auto"/>
          <w:sz w:val="28"/>
          <w:szCs w:val="28"/>
        </w:rPr>
        <w:t>4、电磁环境影响评价</w:t>
      </w:r>
      <w:r>
        <w:rPr>
          <w:rFonts w:eastAsia="宋体"/>
          <w:sz w:val="28"/>
          <w:szCs w:val="28"/>
        </w:rPr>
        <w:tab/>
      </w:r>
      <w:r>
        <w:rPr>
          <w:rFonts w:hint="eastAsia" w:eastAsia="宋体"/>
          <w:sz w:val="28"/>
          <w:szCs w:val="28"/>
        </w:rPr>
        <w:t>7</w:t>
      </w:r>
      <w:r>
        <w:rPr>
          <w:rFonts w:hint="eastAsia" w:eastAsia="宋体"/>
          <w:sz w:val="28"/>
          <w:szCs w:val="28"/>
        </w:rPr>
        <w:fldChar w:fldCharType="end"/>
      </w:r>
    </w:p>
    <w:p>
      <w:pPr>
        <w:pStyle w:val="34"/>
        <w:tabs>
          <w:tab w:val="right" w:leader="dot" w:pos="8296"/>
        </w:tabs>
        <w:spacing w:line="360" w:lineRule="auto"/>
        <w:rPr>
          <w:rFonts w:eastAsia="宋体"/>
          <w:b w:val="0"/>
          <w:bCs w:val="0"/>
          <w:caps w:val="0"/>
          <w:kern w:val="2"/>
          <w:sz w:val="32"/>
          <w:szCs w:val="36"/>
        </w:rPr>
      </w:pPr>
      <w:r>
        <w:fldChar w:fldCharType="begin"/>
      </w:r>
      <w:r>
        <w:instrText xml:space="preserve"> HYPERLINK \l "_Toc103289001" </w:instrText>
      </w:r>
      <w:r>
        <w:fldChar w:fldCharType="separate"/>
      </w:r>
      <w:r>
        <w:rPr>
          <w:rStyle w:val="61"/>
          <w:rFonts w:eastAsia="宋体"/>
          <w:color w:val="auto"/>
          <w:sz w:val="28"/>
          <w:szCs w:val="28"/>
          <w:lang w:val="zh-CN"/>
        </w:rPr>
        <w:t>5、电磁防护措施</w:t>
      </w:r>
      <w:r>
        <w:rPr>
          <w:rFonts w:eastAsia="宋体"/>
          <w:sz w:val="28"/>
          <w:szCs w:val="28"/>
        </w:rPr>
        <w:tab/>
      </w:r>
      <w:r>
        <w:rPr>
          <w:rFonts w:hint="eastAsia" w:eastAsia="宋体"/>
          <w:sz w:val="28"/>
          <w:szCs w:val="28"/>
        </w:rPr>
        <w:t>1</w:t>
      </w:r>
      <w:r>
        <w:rPr>
          <w:rFonts w:hint="eastAsia" w:eastAsia="宋体"/>
          <w:sz w:val="28"/>
          <w:szCs w:val="28"/>
        </w:rPr>
        <w:fldChar w:fldCharType="end"/>
      </w:r>
      <w:r>
        <w:rPr>
          <w:rFonts w:hint="eastAsia" w:eastAsia="宋体"/>
          <w:sz w:val="28"/>
          <w:szCs w:val="28"/>
        </w:rPr>
        <w:t>0</w:t>
      </w:r>
    </w:p>
    <w:p>
      <w:pPr>
        <w:pStyle w:val="34"/>
        <w:tabs>
          <w:tab w:val="right" w:leader="dot" w:pos="8296"/>
        </w:tabs>
        <w:spacing w:line="360" w:lineRule="auto"/>
        <w:rPr>
          <w:rFonts w:eastAsia="宋体"/>
          <w:b w:val="0"/>
          <w:bCs w:val="0"/>
          <w:caps w:val="0"/>
          <w:kern w:val="2"/>
          <w:sz w:val="32"/>
          <w:szCs w:val="36"/>
        </w:rPr>
      </w:pPr>
      <w:r>
        <w:fldChar w:fldCharType="begin"/>
      </w:r>
      <w:r>
        <w:instrText xml:space="preserve"> HYPERLINK \l "_Toc103289002" </w:instrText>
      </w:r>
      <w:r>
        <w:fldChar w:fldCharType="separate"/>
      </w:r>
      <w:r>
        <w:rPr>
          <w:rStyle w:val="61"/>
          <w:rFonts w:eastAsia="宋体"/>
          <w:color w:val="auto"/>
          <w:sz w:val="28"/>
          <w:szCs w:val="28"/>
        </w:rPr>
        <w:t>6、电磁环境管理及监测计划</w:t>
      </w:r>
      <w:r>
        <w:rPr>
          <w:rFonts w:eastAsia="宋体"/>
          <w:sz w:val="28"/>
          <w:szCs w:val="28"/>
        </w:rPr>
        <w:tab/>
      </w:r>
      <w:r>
        <w:rPr>
          <w:rFonts w:hint="eastAsia" w:eastAsia="宋体"/>
          <w:sz w:val="28"/>
          <w:szCs w:val="28"/>
        </w:rPr>
        <w:t>1</w:t>
      </w:r>
      <w:r>
        <w:rPr>
          <w:rFonts w:hint="eastAsia" w:eastAsia="宋体"/>
          <w:sz w:val="28"/>
          <w:szCs w:val="28"/>
        </w:rPr>
        <w:fldChar w:fldCharType="end"/>
      </w:r>
      <w:r>
        <w:rPr>
          <w:rFonts w:hint="eastAsia" w:eastAsia="宋体"/>
          <w:sz w:val="28"/>
          <w:szCs w:val="28"/>
        </w:rPr>
        <w:t>1</w:t>
      </w:r>
    </w:p>
    <w:p>
      <w:pPr>
        <w:pStyle w:val="34"/>
        <w:tabs>
          <w:tab w:val="right" w:leader="dot" w:pos="8296"/>
        </w:tabs>
        <w:spacing w:line="360" w:lineRule="auto"/>
        <w:rPr>
          <w:rFonts w:eastAsia="宋体"/>
          <w:b w:val="0"/>
          <w:bCs w:val="0"/>
          <w:caps w:val="0"/>
          <w:kern w:val="2"/>
          <w:sz w:val="21"/>
          <w:szCs w:val="22"/>
        </w:rPr>
      </w:pPr>
      <w:r>
        <w:fldChar w:fldCharType="begin"/>
      </w:r>
      <w:r>
        <w:instrText xml:space="preserve"> HYPERLINK \l "_Toc103289003" </w:instrText>
      </w:r>
      <w:r>
        <w:fldChar w:fldCharType="separate"/>
      </w:r>
      <w:r>
        <w:rPr>
          <w:rStyle w:val="61"/>
          <w:rFonts w:eastAsia="宋体"/>
          <w:color w:val="auto"/>
          <w:sz w:val="28"/>
          <w:szCs w:val="28"/>
        </w:rPr>
        <w:t>7、电磁环境影响评价结论与建议</w:t>
      </w:r>
      <w:r>
        <w:rPr>
          <w:rFonts w:eastAsia="宋体"/>
          <w:sz w:val="28"/>
          <w:szCs w:val="28"/>
        </w:rPr>
        <w:tab/>
      </w:r>
      <w:r>
        <w:rPr>
          <w:rFonts w:hint="eastAsia" w:eastAsia="宋体"/>
          <w:sz w:val="28"/>
          <w:szCs w:val="28"/>
        </w:rPr>
        <w:t>1</w:t>
      </w:r>
      <w:r>
        <w:rPr>
          <w:rFonts w:hint="eastAsia" w:eastAsia="宋体"/>
          <w:sz w:val="28"/>
          <w:szCs w:val="28"/>
        </w:rPr>
        <w:fldChar w:fldCharType="end"/>
      </w:r>
      <w:r>
        <w:rPr>
          <w:rFonts w:hint="eastAsia" w:eastAsia="宋体"/>
          <w:sz w:val="28"/>
          <w:szCs w:val="28"/>
        </w:rPr>
        <w:t>3</w:t>
      </w:r>
    </w:p>
    <w:p>
      <w:pPr>
        <w:spacing w:line="480" w:lineRule="exact"/>
      </w:pPr>
      <w:r>
        <w:fldChar w:fldCharType="end"/>
      </w: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pPr>
    </w:p>
    <w:p>
      <w:pPr>
        <w:spacing w:line="480" w:lineRule="atLeast"/>
        <w:ind w:firstLine="600" w:firstLineChars="200"/>
        <w:rPr>
          <w:sz w:val="30"/>
          <w:szCs w:val="30"/>
        </w:rPr>
      </w:pPr>
    </w:p>
    <w:p>
      <w:pPr>
        <w:spacing w:line="480" w:lineRule="atLeast"/>
        <w:ind w:firstLine="600" w:firstLineChars="200"/>
        <w:jc w:val="center"/>
        <w:rPr>
          <w:sz w:val="30"/>
          <w:szCs w:val="30"/>
        </w:rPr>
      </w:pPr>
    </w:p>
    <w:p>
      <w:pPr>
        <w:spacing w:line="480" w:lineRule="atLeast"/>
        <w:ind w:firstLine="600" w:firstLineChars="200"/>
        <w:jc w:val="center"/>
        <w:rPr>
          <w:sz w:val="30"/>
          <w:szCs w:val="30"/>
        </w:rPr>
        <w:sectPr>
          <w:footerReference r:id="rId16" w:type="default"/>
          <w:pgSz w:w="11906" w:h="16838"/>
          <w:pgMar w:top="1440" w:right="1800" w:bottom="1440" w:left="1800" w:header="851" w:footer="992" w:gutter="0"/>
          <w:pgNumType w:start="1"/>
          <w:cols w:space="720" w:num="1"/>
          <w:docGrid w:type="lines" w:linePitch="312" w:charSpace="0"/>
        </w:sectPr>
      </w:pPr>
    </w:p>
    <w:p>
      <w:pPr>
        <w:pStyle w:val="2"/>
        <w:tabs>
          <w:tab w:val="left" w:pos="206"/>
          <w:tab w:val="center" w:pos="4422"/>
        </w:tabs>
        <w:jc w:val="left"/>
        <w:rPr>
          <w:rFonts w:ascii="Times New Roman" w:hAnsi="Times New Roman"/>
        </w:rPr>
      </w:pPr>
      <w:bookmarkStart w:id="35" w:name="_Toc103288997"/>
      <w:r>
        <w:rPr>
          <w:rFonts w:ascii="Times New Roman" w:hAnsi="Times New Roman"/>
        </w:rPr>
        <w:t>1、总论</w:t>
      </w:r>
      <w:bookmarkEnd w:id="35"/>
    </w:p>
    <w:p>
      <w:pPr>
        <w:pStyle w:val="3"/>
        <w:spacing w:line="360" w:lineRule="auto"/>
        <w:ind w:firstLine="602" w:firstLineChars="200"/>
        <w:rPr>
          <w:rFonts w:ascii="Times New Roman" w:hAnsi="Times New Roman"/>
        </w:rPr>
      </w:pPr>
      <w:r>
        <w:rPr>
          <w:rFonts w:ascii="Times New Roman" w:hAnsi="Times New Roman"/>
        </w:rPr>
        <w:t>1.1项目建设的必要性</w:t>
      </w:r>
    </w:p>
    <w:p>
      <w:pPr>
        <w:pStyle w:val="18"/>
        <w:widowControl w:val="0"/>
        <w:snapToGrid w:val="0"/>
        <w:spacing w:line="360" w:lineRule="auto"/>
        <w:ind w:firstLine="480" w:firstLineChars="200"/>
        <w:rPr>
          <w:bCs/>
        </w:rPr>
      </w:pPr>
      <w:r>
        <w:rPr>
          <w:rFonts w:hint="eastAsia"/>
          <w:bCs/>
        </w:rPr>
        <w:t>承德县隶属河北省承德市，地处河北省东北部，距省会石家庄538公里，县境东、南、北三面环抱承德市区，距市区40公里，西南邻京津唐秦，东北接辽宁、内蒙古，县域面积3633平方公里。</w:t>
      </w:r>
    </w:p>
    <w:p>
      <w:pPr>
        <w:pStyle w:val="18"/>
        <w:widowControl w:val="0"/>
        <w:snapToGrid w:val="0"/>
        <w:spacing w:line="360" w:lineRule="auto"/>
        <w:ind w:firstLine="480" w:firstLineChars="200"/>
        <w:rPr>
          <w:bCs/>
        </w:rPr>
      </w:pPr>
      <w:r>
        <w:rPr>
          <w:rFonts w:hint="eastAsia"/>
          <w:bCs/>
        </w:rPr>
        <w:t>承德县属于温带半湿润间半干旱大陆性季风型燕山山地气候，具有光照充足，四季分明，雨热同期和局部气候差异明显的特点。春季风多干旱，夏季高温多雨，秋季天高气爽，冬季雪少寒冷，昼夜温差较大。</w:t>
      </w:r>
    </w:p>
    <w:p>
      <w:pPr>
        <w:pStyle w:val="18"/>
        <w:widowControl w:val="0"/>
        <w:snapToGrid w:val="0"/>
        <w:spacing w:line="360" w:lineRule="auto"/>
        <w:ind w:firstLine="480" w:firstLineChars="200"/>
        <w:rPr>
          <w:bCs/>
        </w:rPr>
      </w:pPr>
      <w:r>
        <w:rPr>
          <w:rFonts w:hint="eastAsia"/>
          <w:bCs/>
        </w:rPr>
        <w:t>本项目位于河北省承德市承德县，地处我国的华北地区，与其他省份相比，其太阳辐射年总量比内蒙古、新疆、青海、西藏等省少800MJ/㎡左右，和辽宁、吉林、山东、山西等省份相近。从河北省太阳总辐射的空间分布图上可以看出，河北省年太阳总辐射量为4828~5891MJ/㎡，大部分地区太阳能资源属于B类，即“很丰富带”，太阳能资源开发利用潜力巨大。</w:t>
      </w:r>
    </w:p>
    <w:p>
      <w:pPr>
        <w:pStyle w:val="18"/>
        <w:widowControl w:val="0"/>
        <w:snapToGrid w:val="0"/>
        <w:spacing w:line="360" w:lineRule="auto"/>
        <w:ind w:firstLine="480" w:firstLineChars="200"/>
        <w:rPr>
          <w:bCs/>
        </w:rPr>
      </w:pPr>
      <w:r>
        <w:rPr>
          <w:rFonts w:hint="eastAsia"/>
          <w:bCs/>
        </w:rPr>
        <w:t>本项目利用Meteonorm软件获取项目所在地太阳辐射数据，项目场址处工程地表年总辐射量为5497.2MJ/㎡，根据《太阳能资源评估方法》(GB/T37526-2019)中太阳能资源丰富程度的分级评估方法，该区域的太阳能资源丰富程度属B类区，即“资源很丰富”(5040～6300MJ/㎡·a)，具有很好的开发潜力，具备规模化发展太阳能光伏发电的资源条件。</w:t>
      </w:r>
    </w:p>
    <w:p>
      <w:pPr>
        <w:pStyle w:val="18"/>
        <w:widowControl w:val="0"/>
        <w:snapToGrid w:val="0"/>
        <w:spacing w:line="360" w:lineRule="auto"/>
        <w:ind w:firstLine="480" w:firstLineChars="200"/>
        <w:rPr>
          <w:bCs/>
        </w:rPr>
      </w:pPr>
      <w:r>
        <w:rPr>
          <w:rFonts w:hint="eastAsia"/>
          <w:bCs/>
        </w:rPr>
        <w:t>依据河北省发展和改革委员会下发《河北省2021年度电力源网荷储一体化和多能互补试点项目公示》(2021年12月20日)承德县网源荷储一体化和多能互补示范项目已列入2021年度电力源网荷储一体化和多能互补试点项目。承德卓云信息科技有限公司具体实施工作。</w:t>
      </w:r>
    </w:p>
    <w:p>
      <w:pPr>
        <w:pStyle w:val="18"/>
        <w:widowControl w:val="0"/>
        <w:snapToGrid w:val="0"/>
        <w:spacing w:line="360" w:lineRule="auto"/>
        <w:ind w:firstLine="480" w:firstLineChars="200"/>
        <w:rPr>
          <w:bCs/>
        </w:rPr>
      </w:pPr>
      <w:r>
        <w:rPr>
          <w:rFonts w:hint="eastAsia"/>
          <w:bCs/>
        </w:rPr>
        <w:t>承德县源网荷储一体化和多能互补示范项目，拟在承德县利用新杖子镇胖和尚沟村、涝洼村、小营村、四方营村、苇子峪村、大东营村、两益城村等12000亩地建设400MW光伏电站+84MW/168MWh储能项目。光伏区交流侧布置容量为400MW，直流侧布置容量为512MW，容配比为1:1.28。本项目为400MW光伏部分，拟采用775758块660Wp的光伏组件。逆变器选型为320kW，每8台逆变器汇集到1台2.56MVA箱变。逆变器数量为1250台，箱变数量为157台，光伏场区采用21回35kV架空线路汇集，选用LGJ钢芯铝绞线，其中单回路35kV架空集电线路长度为28km，双回35kV架空集电线路长度为23km，统一汇集后接至场内拟建的升压站35kV侧。</w:t>
      </w:r>
    </w:p>
    <w:p>
      <w:pPr>
        <w:pStyle w:val="18"/>
        <w:widowControl w:val="0"/>
        <w:snapToGrid w:val="0"/>
        <w:spacing w:line="360" w:lineRule="auto"/>
        <w:ind w:firstLine="480" w:firstLineChars="200"/>
        <w:rPr>
          <w:rFonts w:hint="eastAsia" w:ascii="Times New Roman" w:hAnsi="Times New Roman" w:eastAsia="宋体" w:cs="Times New Roman"/>
          <w:bCs/>
        </w:rPr>
      </w:pPr>
      <w:r>
        <w:rPr>
          <w:rFonts w:hint="eastAsia" w:ascii="Times New Roman" w:hAnsi="Times New Roman" w:eastAsia="宋体" w:cs="Times New Roman"/>
          <w:bCs/>
        </w:rPr>
        <w:t>本项目按20%装机容量配套建设84MW/168MWh储能系统。</w:t>
      </w:r>
      <w:r>
        <w:rPr>
          <w:rFonts w:hint="default" w:ascii="Times New Roman" w:hAnsi="Times New Roman" w:eastAsia="宋体" w:cs="Times New Roman"/>
          <w:bCs/>
        </w:rPr>
        <w:t>共配置17套储能子系统，其中16套采用5MW/10.031MWh，1套采用4MW/8.359MWh储能系统，直流侧标称配置容量为168.855MWh。</w:t>
      </w:r>
      <w:r>
        <w:rPr>
          <w:rFonts w:hint="eastAsia" w:ascii="Times New Roman" w:hAnsi="Times New Roman" w:eastAsia="宋体" w:cs="Times New Roman"/>
          <w:bCs/>
        </w:rPr>
        <w:t>储能采用4回35kV电缆线路汇集，选用ZC-YJY23-26/35kV3×300，长度700米。本项目内拟建设1座220kV升压站，电压等级为220/35kV。站内主变规划建设规模2×210MVA，本期建成。</w:t>
      </w:r>
    </w:p>
    <w:p>
      <w:pPr>
        <w:pStyle w:val="18"/>
        <w:widowControl w:val="0"/>
        <w:snapToGrid w:val="0"/>
        <w:spacing w:line="360" w:lineRule="auto"/>
        <w:ind w:firstLine="480" w:firstLineChars="200"/>
      </w:pPr>
      <w:r>
        <w:t>根据《中华人民共和国环境保护法》、《中华人民共和国环境影响评价法》和《建设项目环境保护管理条例》的有关规定，本项目应进行环境影响评价工作，按照《建设项目环境影响评价分类管理名录》(2021年版)的有关规定，本项目为电力供应行业(D4420)，项目类别属于“五十五、核与辐射”中“161 输变电工程”，本项目属于100kV以上330kV以下，需编制环境影响报告表。为此建设单位于202</w:t>
      </w:r>
      <w:r>
        <w:rPr>
          <w:rFonts w:hint="eastAsia"/>
          <w:lang w:val="en-US" w:eastAsia="zh-CN"/>
        </w:rPr>
        <w:t>4</w:t>
      </w:r>
      <w:r>
        <w:t>年</w:t>
      </w:r>
      <w:r>
        <w:rPr>
          <w:rFonts w:hint="eastAsia"/>
          <w:lang w:val="en-US" w:eastAsia="zh-CN"/>
        </w:rPr>
        <w:t>9</w:t>
      </w:r>
      <w:r>
        <w:t>月委托我公司开展本项目环评编制工作，接受委托后，我公司根据环境影响评价工作程序的要求，组织有关工程技术人员对评价项目所在地周围环境进行实地踏勘，收集了有关的资料，在研究相关法律法规和进行初步工程分析的基础上，筛选评价因子和确定评价工作等级，结合评价项目所在区域的环境特征，制定了本项目现状监测方案</w:t>
      </w:r>
      <w:r>
        <w:rPr>
          <w:color w:val="auto"/>
        </w:rPr>
        <w:t>，</w:t>
      </w:r>
      <w:r>
        <w:rPr>
          <w:rFonts w:hint="eastAsia"/>
          <w:color w:val="auto"/>
        </w:rPr>
        <w:t>2</w:t>
      </w:r>
      <w:r>
        <w:rPr>
          <w:color w:val="auto"/>
        </w:rPr>
        <w:t>02</w:t>
      </w:r>
      <w:r>
        <w:rPr>
          <w:rFonts w:hint="eastAsia"/>
          <w:color w:val="auto"/>
          <w:lang w:val="en-US" w:eastAsia="zh-CN"/>
        </w:rPr>
        <w:t>4</w:t>
      </w:r>
      <w:r>
        <w:rPr>
          <w:rFonts w:hint="eastAsia"/>
          <w:color w:val="auto"/>
        </w:rPr>
        <w:t>年</w:t>
      </w:r>
      <w:r>
        <w:rPr>
          <w:rFonts w:hint="eastAsia"/>
          <w:color w:val="auto"/>
          <w:lang w:val="en-US" w:eastAsia="zh-CN"/>
        </w:rPr>
        <w:t>10</w:t>
      </w:r>
      <w:r>
        <w:rPr>
          <w:rFonts w:hint="eastAsia"/>
          <w:color w:val="auto"/>
        </w:rPr>
        <w:t>月</w:t>
      </w:r>
      <w:r>
        <w:rPr>
          <w:color w:val="auto"/>
        </w:rPr>
        <w:t>委托</w:t>
      </w:r>
      <w:r>
        <w:rPr>
          <w:rFonts w:hint="eastAsia"/>
          <w:color w:val="auto"/>
          <w:lang w:val="en-US" w:eastAsia="zh-CN"/>
        </w:rPr>
        <w:t>河北华川检验检测技术服务有限公司</w:t>
      </w:r>
      <w:r>
        <w:rPr>
          <w:color w:val="auto"/>
        </w:rPr>
        <w:t>开</w:t>
      </w:r>
      <w:r>
        <w:t>展了监测。我公司参考现状监测数据，对该项目进行工程分析、施工期和营运期环境影响分析、环境风险分析、环保措施分析等，按《环境影响评价技术导则 输变电》(HJ 24-2020)等要求开展了相关环境评价工作，编制了电磁辐射影响报告表及本电磁环境影响专题评价。</w:t>
      </w:r>
    </w:p>
    <w:p>
      <w:pPr>
        <w:pStyle w:val="3"/>
        <w:spacing w:line="480" w:lineRule="exact"/>
        <w:ind w:firstLine="602" w:firstLineChars="200"/>
        <w:rPr>
          <w:rFonts w:ascii="Times New Roman" w:hAnsi="Times New Roman"/>
        </w:rPr>
      </w:pPr>
      <w:r>
        <w:rPr>
          <w:rFonts w:ascii="Times New Roman" w:hAnsi="Times New Roman"/>
        </w:rPr>
        <w:t>1.2评价目的</w:t>
      </w:r>
    </w:p>
    <w:p>
      <w:pPr>
        <w:pStyle w:val="20"/>
        <w:widowControl w:val="0"/>
        <w:spacing w:line="480" w:lineRule="exact"/>
        <w:ind w:firstLine="480" w:firstLineChars="200"/>
        <w:jc w:val="both"/>
        <w:rPr>
          <w:rFonts w:ascii="Times New Roman" w:hAnsi="Times New Roman"/>
          <w:sz w:val="24"/>
        </w:rPr>
      </w:pPr>
      <w:r>
        <w:rPr>
          <w:rFonts w:ascii="Times New Roman" w:hAnsi="Times New Roman"/>
          <w:sz w:val="24"/>
        </w:rPr>
        <w:t>(1)对建设区域工频电磁场现状进行调查监测，掌握该处工频电磁环境现状。</w:t>
      </w:r>
    </w:p>
    <w:p>
      <w:pPr>
        <w:pStyle w:val="20"/>
        <w:widowControl w:val="0"/>
        <w:spacing w:line="480" w:lineRule="exact"/>
        <w:ind w:firstLine="480" w:firstLineChars="200"/>
        <w:jc w:val="both"/>
        <w:rPr>
          <w:rFonts w:ascii="Times New Roman" w:hAnsi="Times New Roman"/>
          <w:sz w:val="24"/>
        </w:rPr>
      </w:pPr>
      <w:r>
        <w:rPr>
          <w:rFonts w:ascii="Times New Roman" w:hAnsi="Times New Roman"/>
          <w:sz w:val="24"/>
        </w:rPr>
        <w:t>(2)严格按照国家有关电磁环境影响评价的要求，对本项目运行期间造成的电磁环境影响进行预测分析，结合监测结果，得出评价结论，提出环境保护措施，为环境保护行政主管部门提供决策依据。</w:t>
      </w:r>
    </w:p>
    <w:p>
      <w:pPr>
        <w:pStyle w:val="3"/>
        <w:spacing w:line="480" w:lineRule="exact"/>
        <w:ind w:firstLine="602" w:firstLineChars="200"/>
        <w:rPr>
          <w:rFonts w:ascii="Times New Roman" w:hAnsi="Times New Roman"/>
        </w:rPr>
      </w:pPr>
      <w:r>
        <w:rPr>
          <w:rFonts w:ascii="Times New Roman" w:hAnsi="Times New Roman"/>
        </w:rPr>
        <w:t>1.3 编制依据</w:t>
      </w:r>
    </w:p>
    <w:p>
      <w:pPr>
        <w:pStyle w:val="4"/>
        <w:spacing w:line="360" w:lineRule="auto"/>
        <w:ind w:firstLine="643" w:firstLineChars="200"/>
        <w:rPr>
          <w:rFonts w:ascii="Times New Roman" w:hAnsi="Times New Roman"/>
        </w:rPr>
      </w:pPr>
      <w:r>
        <w:rPr>
          <w:rFonts w:ascii="Times New Roman" w:hAnsi="Times New Roman"/>
        </w:rPr>
        <w:t>1.3.1环境保护法律法规和技术</w:t>
      </w:r>
    </w:p>
    <w:p>
      <w:pPr>
        <w:spacing w:line="360" w:lineRule="auto"/>
        <w:ind w:firstLine="420" w:firstLineChars="200"/>
      </w:pPr>
      <w:r>
        <w:t>(1)《中华人民共和国环境保护法》(2014年4月24日发布，2015年1月1日实施)；</w:t>
      </w:r>
    </w:p>
    <w:p>
      <w:pPr>
        <w:pStyle w:val="20"/>
        <w:spacing w:line="360" w:lineRule="auto"/>
        <w:ind w:left="-10" w:leftChars="-5" w:firstLine="480" w:firstLineChars="200"/>
        <w:rPr>
          <w:rFonts w:ascii="Times New Roman" w:hAnsi="Times New Roman"/>
          <w:sz w:val="24"/>
        </w:rPr>
      </w:pPr>
      <w:r>
        <w:rPr>
          <w:rFonts w:ascii="Times New Roman" w:hAnsi="Times New Roman"/>
          <w:sz w:val="24"/>
        </w:rPr>
        <w:t>(2)</w:t>
      </w:r>
      <w:r>
        <w:rPr>
          <w:rFonts w:ascii="Times New Roman" w:hAnsi="Times New Roman"/>
          <w:sz w:val="24"/>
          <w:szCs w:val="22"/>
        </w:rPr>
        <w:t>《中华人民共和国环境影响评价法》(2018年12月29日修订</w:t>
      </w:r>
      <w:r>
        <w:rPr>
          <w:rFonts w:hint="eastAsia" w:ascii="Times New Roman" w:hAnsi="Times New Roman"/>
          <w:sz w:val="24"/>
          <w:szCs w:val="22"/>
        </w:rPr>
        <w:t>实施</w:t>
      </w:r>
      <w:r>
        <w:rPr>
          <w:rFonts w:ascii="Times New Roman" w:hAnsi="Times New Roman"/>
          <w:sz w:val="24"/>
          <w:szCs w:val="22"/>
        </w:rPr>
        <w:t>)；</w:t>
      </w:r>
    </w:p>
    <w:p>
      <w:pPr>
        <w:pStyle w:val="20"/>
        <w:spacing w:line="360" w:lineRule="auto"/>
        <w:ind w:firstLine="480" w:firstLineChars="200"/>
        <w:rPr>
          <w:rFonts w:ascii="Times New Roman" w:hAnsi="Times New Roman"/>
          <w:sz w:val="24"/>
        </w:rPr>
      </w:pPr>
      <w:r>
        <w:rPr>
          <w:rFonts w:ascii="Times New Roman" w:hAnsi="Times New Roman"/>
          <w:sz w:val="24"/>
        </w:rPr>
        <w:t>(3)《中华人民共和国电力法》(2018年12月29日修订并实施)；</w:t>
      </w:r>
    </w:p>
    <w:p>
      <w:pPr>
        <w:pStyle w:val="20"/>
        <w:spacing w:line="360" w:lineRule="auto"/>
        <w:ind w:firstLine="480" w:firstLineChars="200"/>
        <w:rPr>
          <w:rFonts w:ascii="Times New Roman" w:hAnsi="Times New Roman"/>
          <w:sz w:val="24"/>
        </w:rPr>
      </w:pPr>
      <w:r>
        <w:rPr>
          <w:rFonts w:ascii="Times New Roman" w:hAnsi="Times New Roman"/>
          <w:sz w:val="24"/>
        </w:rPr>
        <w:t>(4)《建设项目环境保护管理条例》(国务院令第682号，2017年7月16日公布，2017年10月1日实施)；</w:t>
      </w:r>
    </w:p>
    <w:p>
      <w:pPr>
        <w:pStyle w:val="20"/>
        <w:spacing w:line="360" w:lineRule="auto"/>
        <w:ind w:firstLine="480" w:firstLineChars="200"/>
        <w:rPr>
          <w:rFonts w:ascii="Times New Roman" w:hAnsi="Times New Roman"/>
          <w:sz w:val="24"/>
        </w:rPr>
      </w:pPr>
      <w:r>
        <w:rPr>
          <w:rFonts w:ascii="Times New Roman" w:hAnsi="Times New Roman"/>
          <w:sz w:val="24"/>
        </w:rPr>
        <w:t>(5)《关于进一步加强输变电类建设项目环境保护监管工作的通知》(环办[2012]131号)；</w:t>
      </w:r>
    </w:p>
    <w:p>
      <w:pPr>
        <w:pStyle w:val="20"/>
        <w:spacing w:line="360" w:lineRule="auto"/>
        <w:ind w:firstLine="480" w:firstLineChars="200"/>
        <w:rPr>
          <w:rFonts w:ascii="Times New Roman" w:hAnsi="Times New Roman"/>
          <w:sz w:val="24"/>
        </w:rPr>
      </w:pPr>
      <w:r>
        <w:rPr>
          <w:rFonts w:ascii="Times New Roman" w:hAnsi="Times New Roman"/>
          <w:sz w:val="24"/>
        </w:rPr>
        <w:t>(6)《电力设施保护条例》(2011年1月8日修订并实施)；</w:t>
      </w:r>
    </w:p>
    <w:p>
      <w:pPr>
        <w:pStyle w:val="20"/>
        <w:spacing w:line="360" w:lineRule="auto"/>
        <w:ind w:firstLine="480" w:firstLineChars="200"/>
        <w:rPr>
          <w:rFonts w:ascii="Times New Roman" w:hAnsi="Times New Roman"/>
          <w:sz w:val="24"/>
        </w:rPr>
      </w:pPr>
      <w:r>
        <w:rPr>
          <w:rFonts w:ascii="Times New Roman" w:hAnsi="Times New Roman"/>
          <w:sz w:val="24"/>
        </w:rPr>
        <w:t>(7)《电力设施保护条例实施细则》(2011年6月30日修订并实施)；</w:t>
      </w:r>
    </w:p>
    <w:p>
      <w:pPr>
        <w:pStyle w:val="20"/>
        <w:spacing w:line="360" w:lineRule="auto"/>
        <w:ind w:firstLine="480" w:firstLineChars="200"/>
        <w:rPr>
          <w:rFonts w:ascii="Times New Roman" w:hAnsi="Times New Roman"/>
          <w:sz w:val="24"/>
        </w:rPr>
      </w:pPr>
      <w:r>
        <w:rPr>
          <w:rFonts w:ascii="Times New Roman" w:hAnsi="Times New Roman"/>
          <w:sz w:val="24"/>
        </w:rPr>
        <w:t>(8)《河北省电力条例》(河北省第十二届人民代表大会常务委员会2014年5月30日发布，2014年8月1日实施)；</w:t>
      </w:r>
    </w:p>
    <w:p>
      <w:pPr>
        <w:pStyle w:val="20"/>
        <w:spacing w:line="360" w:lineRule="auto"/>
        <w:ind w:firstLine="480" w:firstLineChars="200"/>
        <w:rPr>
          <w:rFonts w:ascii="Times New Roman" w:hAnsi="Times New Roman"/>
          <w:sz w:val="24"/>
        </w:rPr>
      </w:pPr>
      <w:r>
        <w:rPr>
          <w:rFonts w:ascii="Times New Roman" w:hAnsi="Times New Roman"/>
          <w:sz w:val="24"/>
        </w:rPr>
        <w:t>(9)《河北省辐射污染防治条例》(2020年7月30日修订并实施)。</w:t>
      </w:r>
    </w:p>
    <w:p>
      <w:pPr>
        <w:pStyle w:val="4"/>
        <w:ind w:firstLine="643" w:firstLineChars="200"/>
        <w:rPr>
          <w:rFonts w:ascii="Times New Roman" w:hAnsi="Times New Roman"/>
        </w:rPr>
      </w:pPr>
      <w:r>
        <w:rPr>
          <w:rFonts w:ascii="Times New Roman" w:hAnsi="Times New Roman"/>
        </w:rPr>
        <w:t>1.3.2相关的标准和技术导则</w:t>
      </w:r>
    </w:p>
    <w:p>
      <w:pPr>
        <w:pStyle w:val="20"/>
        <w:widowControl w:val="0"/>
        <w:spacing w:line="480" w:lineRule="exact"/>
        <w:ind w:firstLine="424" w:firstLineChars="177"/>
        <w:jc w:val="both"/>
        <w:rPr>
          <w:rFonts w:ascii="Times New Roman" w:hAnsi="Times New Roman"/>
          <w:sz w:val="24"/>
        </w:rPr>
      </w:pPr>
      <w:r>
        <w:rPr>
          <w:rFonts w:ascii="Times New Roman" w:hAnsi="Times New Roman"/>
          <w:sz w:val="24"/>
        </w:rPr>
        <w:t>(1)《建设项目环境影响评价技术导则 总纲》(HJ 2.1-2016)；</w:t>
      </w:r>
    </w:p>
    <w:p>
      <w:pPr>
        <w:pStyle w:val="20"/>
        <w:widowControl w:val="0"/>
        <w:spacing w:line="480" w:lineRule="exact"/>
        <w:ind w:firstLine="424" w:firstLineChars="177"/>
        <w:jc w:val="both"/>
        <w:rPr>
          <w:rFonts w:ascii="Times New Roman" w:hAnsi="Times New Roman"/>
          <w:sz w:val="24"/>
        </w:rPr>
      </w:pPr>
      <w:r>
        <w:rPr>
          <w:rFonts w:ascii="Times New Roman" w:hAnsi="Times New Roman"/>
          <w:sz w:val="24"/>
        </w:rPr>
        <w:t>(2)《环境影响评价技术导则 输变电》(HJ 24-2020)；</w:t>
      </w:r>
    </w:p>
    <w:p>
      <w:pPr>
        <w:pStyle w:val="20"/>
        <w:widowControl w:val="0"/>
        <w:spacing w:line="480" w:lineRule="exact"/>
        <w:ind w:firstLine="424" w:firstLineChars="177"/>
        <w:jc w:val="both"/>
        <w:rPr>
          <w:rFonts w:ascii="Times New Roman" w:hAnsi="Times New Roman"/>
          <w:sz w:val="24"/>
        </w:rPr>
      </w:pPr>
      <w:r>
        <w:rPr>
          <w:rFonts w:ascii="Times New Roman" w:hAnsi="Times New Roman"/>
          <w:sz w:val="24"/>
        </w:rPr>
        <w:t>(3)《电磁环境控制限值》(GB 8702-2014)；</w:t>
      </w:r>
    </w:p>
    <w:p>
      <w:pPr>
        <w:pStyle w:val="20"/>
        <w:widowControl w:val="0"/>
        <w:spacing w:line="480" w:lineRule="exact"/>
        <w:ind w:firstLine="424" w:firstLineChars="177"/>
        <w:jc w:val="both"/>
        <w:rPr>
          <w:rFonts w:ascii="Times New Roman" w:hAnsi="Times New Roman"/>
          <w:sz w:val="24"/>
        </w:rPr>
      </w:pPr>
      <w:r>
        <w:rPr>
          <w:rFonts w:ascii="Times New Roman" w:hAnsi="Times New Roman"/>
          <w:sz w:val="24"/>
        </w:rPr>
        <w:t>(4)《输变电建设项目环境保护技术要求》(HJ 1113-2020)；</w:t>
      </w:r>
    </w:p>
    <w:p>
      <w:pPr>
        <w:pStyle w:val="20"/>
        <w:widowControl w:val="0"/>
        <w:spacing w:line="480" w:lineRule="exact"/>
        <w:ind w:firstLine="424" w:firstLineChars="177"/>
        <w:jc w:val="both"/>
        <w:rPr>
          <w:rFonts w:ascii="Times New Roman" w:hAnsi="Times New Roman"/>
          <w:sz w:val="24"/>
        </w:rPr>
      </w:pPr>
      <w:r>
        <w:rPr>
          <w:rFonts w:ascii="Times New Roman" w:hAnsi="Times New Roman"/>
          <w:sz w:val="24"/>
        </w:rPr>
        <w:t>(5)《交流输变电工程电磁环境监测方法(试行)》(HJ 681-2013)</w:t>
      </w:r>
      <w:r>
        <w:rPr>
          <w:rFonts w:hint="eastAsia" w:ascii="Times New Roman" w:hAnsi="Times New Roman"/>
          <w:sz w:val="24"/>
        </w:rPr>
        <w:t>。</w:t>
      </w:r>
    </w:p>
    <w:p>
      <w:pPr>
        <w:pStyle w:val="4"/>
        <w:ind w:firstLine="643" w:firstLineChars="200"/>
        <w:rPr>
          <w:rFonts w:ascii="Times New Roman" w:hAnsi="Times New Roman"/>
        </w:rPr>
      </w:pPr>
      <w:r>
        <w:rPr>
          <w:rFonts w:ascii="Times New Roman" w:hAnsi="Times New Roman"/>
        </w:rPr>
        <w:t>1.3.3其他</w:t>
      </w:r>
    </w:p>
    <w:p>
      <w:pPr>
        <w:pStyle w:val="20"/>
        <w:widowControl w:val="0"/>
        <w:spacing w:line="480" w:lineRule="exact"/>
        <w:ind w:firstLine="424" w:firstLineChars="177"/>
        <w:jc w:val="both"/>
        <w:rPr>
          <w:rFonts w:ascii="Times New Roman" w:hAnsi="Times New Roman"/>
          <w:sz w:val="24"/>
          <w:highlight w:val="none"/>
        </w:rPr>
      </w:pPr>
      <w:r>
        <w:rPr>
          <w:rFonts w:ascii="Times New Roman" w:hAnsi="Times New Roman"/>
          <w:sz w:val="24"/>
          <w:highlight w:val="none"/>
        </w:rPr>
        <w:t>(1)</w:t>
      </w:r>
      <w:r>
        <w:rPr>
          <w:rFonts w:hint="eastAsia" w:ascii="Times New Roman" w:hAnsi="Times New Roman"/>
          <w:sz w:val="24"/>
          <w:highlight w:val="none"/>
        </w:rPr>
        <w:t>企业投资项目备案信息</w:t>
      </w:r>
      <w:r>
        <w:rPr>
          <w:rFonts w:ascii="Times New Roman" w:hAnsi="Times New Roman"/>
          <w:sz w:val="24"/>
          <w:highlight w:val="none"/>
        </w:rPr>
        <w:t>(附件1)；</w:t>
      </w:r>
      <w:r>
        <w:rPr>
          <w:rFonts w:hint="eastAsia" w:ascii="Times New Roman" w:hAnsi="Times New Roman"/>
          <w:sz w:val="24"/>
          <w:highlight w:val="none"/>
        </w:rPr>
        <w:t xml:space="preserve"> </w:t>
      </w:r>
    </w:p>
    <w:p>
      <w:pPr>
        <w:pStyle w:val="20"/>
        <w:widowControl w:val="0"/>
        <w:spacing w:line="480" w:lineRule="exact"/>
        <w:ind w:firstLine="424" w:firstLineChars="177"/>
        <w:jc w:val="both"/>
        <w:rPr>
          <w:rFonts w:ascii="Times New Roman" w:hAnsi="Times New Roman"/>
          <w:sz w:val="24"/>
          <w:highlight w:val="none"/>
        </w:rPr>
      </w:pPr>
      <w:r>
        <w:rPr>
          <w:rFonts w:ascii="Times New Roman" w:hAnsi="Times New Roman"/>
          <w:sz w:val="24"/>
          <w:highlight w:val="none"/>
        </w:rPr>
        <w:t>(2)</w:t>
      </w:r>
      <w:r>
        <w:rPr>
          <w:rFonts w:hint="eastAsia" w:ascii="Times New Roman" w:hAnsi="Times New Roman"/>
          <w:sz w:val="24"/>
          <w:highlight w:val="none"/>
        </w:rPr>
        <w:t>承德县自然资源和规划局《关于承德县源网荷储一体化和多能互补示范项目国土空间规划意见复函》</w:t>
      </w:r>
      <w:r>
        <w:rPr>
          <w:rFonts w:ascii="Times New Roman" w:hAnsi="Times New Roman"/>
          <w:sz w:val="24"/>
          <w:highlight w:val="none"/>
        </w:rPr>
        <w:t>(附件2)；</w:t>
      </w:r>
    </w:p>
    <w:p>
      <w:pPr>
        <w:pStyle w:val="20"/>
        <w:widowControl w:val="0"/>
        <w:spacing w:line="480" w:lineRule="exact"/>
        <w:ind w:firstLine="424" w:firstLineChars="177"/>
        <w:jc w:val="both"/>
        <w:rPr>
          <w:rFonts w:ascii="Times New Roman" w:hAnsi="Times New Roman"/>
          <w:sz w:val="24"/>
          <w:highlight w:val="none"/>
        </w:rPr>
      </w:pPr>
      <w:r>
        <w:rPr>
          <w:rFonts w:ascii="Times New Roman" w:hAnsi="Times New Roman"/>
          <w:sz w:val="24"/>
          <w:highlight w:val="none"/>
        </w:rPr>
        <w:t>(3)</w:t>
      </w:r>
      <w:r>
        <w:rPr>
          <w:rFonts w:hint="eastAsia" w:ascii="Times New Roman" w:hAnsi="Times New Roman"/>
          <w:sz w:val="24"/>
          <w:highlight w:val="none"/>
        </w:rPr>
        <w:t>河北省发展和改革委员会《2021年度电力源网荷储一体化和多能互补试点项目公示表》</w:t>
      </w:r>
      <w:r>
        <w:rPr>
          <w:rFonts w:ascii="Times New Roman" w:hAnsi="Times New Roman"/>
          <w:sz w:val="24"/>
          <w:highlight w:val="none"/>
        </w:rPr>
        <w:t>(附件3)；</w:t>
      </w:r>
    </w:p>
    <w:p>
      <w:pPr>
        <w:pStyle w:val="20"/>
        <w:widowControl w:val="0"/>
        <w:spacing w:line="480" w:lineRule="exact"/>
        <w:ind w:firstLine="424" w:firstLineChars="177"/>
        <w:jc w:val="both"/>
        <w:rPr>
          <w:rFonts w:ascii="Times New Roman" w:hAnsi="Times New Roman"/>
          <w:sz w:val="24"/>
          <w:highlight w:val="none"/>
        </w:rPr>
      </w:pPr>
      <w:r>
        <w:rPr>
          <w:rFonts w:ascii="Times New Roman" w:hAnsi="Times New Roman"/>
          <w:sz w:val="24"/>
          <w:highlight w:val="none"/>
        </w:rPr>
        <w:t>(4)</w:t>
      </w:r>
      <w:r>
        <w:rPr>
          <w:rFonts w:hint="eastAsia" w:ascii="Times New Roman" w:hAnsi="Times New Roman"/>
          <w:sz w:val="24"/>
          <w:highlight w:val="none"/>
          <w:lang w:val="en-US" w:eastAsia="zh-CN"/>
        </w:rPr>
        <w:t>承德县土地储备中心</w:t>
      </w:r>
      <w:r>
        <w:rPr>
          <w:rFonts w:hint="eastAsia" w:ascii="Times New Roman" w:hAnsi="Times New Roman"/>
          <w:sz w:val="24"/>
          <w:highlight w:val="none"/>
        </w:rPr>
        <w:t>《关于</w:t>
      </w:r>
      <w:r>
        <w:rPr>
          <w:rFonts w:hint="eastAsia" w:ascii="Times New Roman" w:hAnsi="Times New Roman"/>
          <w:sz w:val="24"/>
          <w:highlight w:val="none"/>
          <w:lang w:val="en-US" w:eastAsia="zh-CN"/>
        </w:rPr>
        <w:t>承德卓云信息科技有限公司</w:t>
      </w:r>
      <w:r>
        <w:rPr>
          <w:rFonts w:hint="eastAsia" w:ascii="Times New Roman" w:hAnsi="Times New Roman"/>
          <w:sz w:val="24"/>
          <w:highlight w:val="none"/>
        </w:rPr>
        <w:t>承德县源荷储一体化和多能互补示范项目用地核实</w:t>
      </w:r>
      <w:r>
        <w:rPr>
          <w:rFonts w:hint="eastAsia" w:ascii="Times New Roman" w:hAnsi="Times New Roman"/>
          <w:sz w:val="24"/>
          <w:highlight w:val="none"/>
          <w:lang w:val="en-US" w:eastAsia="zh-CN"/>
        </w:rPr>
        <w:t>说明</w:t>
      </w:r>
      <w:r>
        <w:rPr>
          <w:rFonts w:hint="eastAsia" w:ascii="Times New Roman" w:hAnsi="Times New Roman"/>
          <w:sz w:val="24"/>
          <w:highlight w:val="none"/>
        </w:rPr>
        <w:t>》</w:t>
      </w:r>
      <w:r>
        <w:rPr>
          <w:rFonts w:ascii="Times New Roman" w:hAnsi="Times New Roman"/>
          <w:sz w:val="24"/>
          <w:highlight w:val="none"/>
        </w:rPr>
        <w:t>(附件4)；</w:t>
      </w:r>
    </w:p>
    <w:p>
      <w:pPr>
        <w:pStyle w:val="20"/>
        <w:widowControl w:val="0"/>
        <w:spacing w:line="480" w:lineRule="exact"/>
        <w:ind w:firstLine="424" w:firstLineChars="177"/>
        <w:jc w:val="both"/>
        <w:rPr>
          <w:rFonts w:ascii="Times New Roman" w:hAnsi="Times New Roman" w:eastAsia="宋体" w:cs="Times New Roman"/>
          <w:sz w:val="24"/>
          <w:highlight w:val="none"/>
        </w:rPr>
      </w:pPr>
      <w:r>
        <w:rPr>
          <w:rFonts w:ascii="Times New Roman" w:hAnsi="Times New Roman" w:eastAsia="宋体" w:cs="Times New Roman"/>
          <w:sz w:val="24"/>
          <w:highlight w:val="none"/>
        </w:rPr>
        <w:t>(5)</w:t>
      </w:r>
      <w:r>
        <w:rPr>
          <w:rFonts w:hint="eastAsia" w:ascii="Times New Roman" w:hAnsi="Times New Roman" w:eastAsia="宋体" w:cs="Times New Roman"/>
          <w:sz w:val="24"/>
          <w:highlight w:val="none"/>
        </w:rPr>
        <w:t>承德市生态环境局承德县分局关于《</w:t>
      </w:r>
      <w:r>
        <w:rPr>
          <w:rFonts w:ascii="Times New Roman" w:hAnsi="Times New Roman" w:eastAsia="宋体" w:cs="Times New Roman"/>
          <w:sz w:val="24"/>
          <w:highlight w:val="none"/>
        </w:rPr>
        <w:t>承德县源网荷储一体化和多能互补示范项目环境影响报告表</w:t>
      </w:r>
      <w:r>
        <w:rPr>
          <w:rFonts w:hint="eastAsia" w:ascii="Times New Roman" w:hAnsi="Times New Roman" w:eastAsia="宋体" w:cs="Times New Roman"/>
          <w:sz w:val="24"/>
          <w:highlight w:val="none"/>
        </w:rPr>
        <w:t>》</w:t>
      </w:r>
      <w:r>
        <w:rPr>
          <w:rFonts w:ascii="Times New Roman" w:hAnsi="Times New Roman" w:eastAsia="宋体" w:cs="Times New Roman"/>
          <w:sz w:val="24"/>
          <w:highlight w:val="none"/>
        </w:rPr>
        <w:t>的批复</w:t>
      </w:r>
      <w:r>
        <w:rPr>
          <w:rFonts w:hint="eastAsia" w:ascii="Times New Roman" w:hAnsi="Times New Roman" w:eastAsia="宋体" w:cs="Times New Roman"/>
          <w:sz w:val="24"/>
          <w:highlight w:val="none"/>
        </w:rPr>
        <w:t>(承县环评审[2024]03号)（附件5）</w:t>
      </w:r>
    </w:p>
    <w:p>
      <w:pPr>
        <w:pStyle w:val="20"/>
        <w:widowControl w:val="0"/>
        <w:spacing w:line="480" w:lineRule="exact"/>
        <w:ind w:firstLine="424" w:firstLineChars="177"/>
        <w:jc w:val="both"/>
        <w:rPr>
          <w:rFonts w:ascii="Times New Roman" w:hAnsi="Times New Roman" w:eastAsia="宋体" w:cs="Times New Roman"/>
          <w:sz w:val="24"/>
          <w:highlight w:val="none"/>
          <w:lang w:val="en-US" w:eastAsia="zh-CN"/>
        </w:rPr>
      </w:pPr>
      <w:r>
        <w:rPr>
          <w:rFonts w:ascii="Times New Roman" w:hAnsi="Times New Roman" w:eastAsia="宋体" w:cs="Times New Roman"/>
          <w:sz w:val="24"/>
          <w:highlight w:val="none"/>
        </w:rPr>
        <w:t>(</w:t>
      </w:r>
      <w:r>
        <w:rPr>
          <w:rFonts w:hint="eastAsia" w:ascii="Times New Roman" w:hAnsi="Times New Roman" w:eastAsia="宋体" w:cs="Times New Roman"/>
          <w:sz w:val="24"/>
          <w:highlight w:val="none"/>
        </w:rPr>
        <w:t>6</w:t>
      </w:r>
      <w:r>
        <w:rPr>
          <w:rFonts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河北省华川检验检测技术服务有限公司现状监测报告</w:t>
      </w:r>
      <w:r>
        <w:rPr>
          <w:rFonts w:ascii="Times New Roman" w:hAnsi="Times New Roman" w:eastAsia="宋体" w:cs="Times New Roman"/>
          <w:sz w:val="24"/>
          <w:highlight w:val="none"/>
          <w:lang w:val="en-US" w:eastAsia="zh-CN"/>
        </w:rPr>
        <w:t>(</w:t>
      </w:r>
      <w:r>
        <w:rPr>
          <w:rFonts w:hint="eastAsia" w:ascii="Times New Roman" w:hAnsi="Times New Roman" w:eastAsia="宋体" w:cs="Times New Roman"/>
          <w:sz w:val="24"/>
          <w:highlight w:val="none"/>
          <w:lang w:val="en-US" w:eastAsia="zh-CN"/>
        </w:rPr>
        <w:t>附件</w:t>
      </w:r>
      <w:r>
        <w:rPr>
          <w:rFonts w:ascii="Times New Roman" w:hAnsi="Times New Roman" w:eastAsia="宋体" w:cs="Times New Roman"/>
          <w:sz w:val="24"/>
          <w:highlight w:val="none"/>
          <w:lang w:val="en-US" w:eastAsia="zh-CN"/>
        </w:rPr>
        <w:t>6)；</w:t>
      </w:r>
    </w:p>
    <w:p>
      <w:pPr>
        <w:pStyle w:val="3"/>
        <w:numPr>
          <w:ilvl w:val="1"/>
          <w:numId w:val="4"/>
        </w:numPr>
        <w:spacing w:line="480" w:lineRule="exact"/>
        <w:rPr>
          <w:rFonts w:ascii="Times New Roman" w:hAnsi="Times New Roman"/>
        </w:rPr>
      </w:pPr>
      <w:r>
        <w:rPr>
          <w:rFonts w:ascii="Times New Roman" w:hAnsi="Times New Roman"/>
        </w:rPr>
        <w:t>评价工作等级、评价范围和评价因子</w:t>
      </w:r>
    </w:p>
    <w:p>
      <w:pPr>
        <w:pStyle w:val="4"/>
        <w:ind w:firstLine="643" w:firstLineChars="200"/>
        <w:rPr>
          <w:rFonts w:ascii="Times New Roman" w:hAnsi="Times New Roman"/>
        </w:rPr>
      </w:pPr>
      <w:r>
        <w:rPr>
          <w:rFonts w:ascii="Times New Roman" w:hAnsi="Times New Roman"/>
        </w:rPr>
        <w:t>1.4.1评价因子</w:t>
      </w:r>
    </w:p>
    <w:p>
      <w:pPr>
        <w:pStyle w:val="20"/>
        <w:widowControl w:val="0"/>
        <w:spacing w:line="360" w:lineRule="auto"/>
        <w:jc w:val="center"/>
        <w:rPr>
          <w:rFonts w:ascii="Times New Roman" w:hAnsi="Times New Roman"/>
          <w:b/>
          <w:bCs/>
          <w:sz w:val="24"/>
        </w:rPr>
      </w:pPr>
      <w:r>
        <w:rPr>
          <w:rFonts w:ascii="Times New Roman" w:hAnsi="Times New Roman"/>
          <w:b/>
          <w:bCs/>
          <w:sz w:val="24"/>
        </w:rPr>
        <w:t>表1-1  本专题主要环境影响评价因子汇总表</w:t>
      </w:r>
    </w:p>
    <w:tbl>
      <w:tblPr>
        <w:tblStyle w:val="54"/>
        <w:tblW w:w="465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74"/>
        <w:gridCol w:w="1352"/>
        <w:gridCol w:w="2095"/>
        <w:gridCol w:w="1004"/>
        <w:gridCol w:w="2116"/>
        <w:gridCol w:w="10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7"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b/>
                <w:bCs/>
                <w:sz w:val="21"/>
                <w:szCs w:val="21"/>
                <w:lang w:eastAsia="en-US"/>
              </w:rPr>
            </w:pPr>
            <w:r>
              <w:rPr>
                <w:b/>
                <w:bCs/>
                <w:sz w:val="21"/>
                <w:szCs w:val="21"/>
                <w:lang w:eastAsia="en-US"/>
              </w:rPr>
              <w:t>评价阶段</w:t>
            </w:r>
          </w:p>
        </w:tc>
        <w:tc>
          <w:tcPr>
            <w:tcW w:w="777"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b/>
                <w:bCs/>
                <w:sz w:val="21"/>
                <w:szCs w:val="21"/>
                <w:lang w:eastAsia="en-US"/>
              </w:rPr>
            </w:pPr>
            <w:r>
              <w:rPr>
                <w:b/>
                <w:bCs/>
                <w:sz w:val="21"/>
                <w:szCs w:val="21"/>
                <w:lang w:eastAsia="en-US"/>
              </w:rPr>
              <w:t>评价项目</w:t>
            </w:r>
          </w:p>
        </w:tc>
        <w:tc>
          <w:tcPr>
            <w:tcW w:w="1204"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b/>
                <w:bCs/>
                <w:sz w:val="21"/>
                <w:szCs w:val="21"/>
                <w:lang w:eastAsia="en-US"/>
              </w:rPr>
            </w:pPr>
            <w:r>
              <w:rPr>
                <w:b/>
                <w:bCs/>
                <w:sz w:val="21"/>
                <w:szCs w:val="21"/>
                <w:lang w:eastAsia="en-US"/>
              </w:rPr>
              <w:t>现状评价因子</w:t>
            </w:r>
          </w:p>
        </w:tc>
        <w:tc>
          <w:tcPr>
            <w:tcW w:w="577"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b/>
                <w:bCs/>
                <w:sz w:val="21"/>
                <w:szCs w:val="21"/>
                <w:lang w:eastAsia="en-US"/>
              </w:rPr>
            </w:pPr>
            <w:r>
              <w:rPr>
                <w:b/>
                <w:bCs/>
                <w:sz w:val="21"/>
                <w:szCs w:val="21"/>
                <w:lang w:eastAsia="en-US"/>
              </w:rPr>
              <w:t>单位</w:t>
            </w:r>
          </w:p>
        </w:tc>
        <w:tc>
          <w:tcPr>
            <w:tcW w:w="1216"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b/>
                <w:bCs/>
                <w:sz w:val="21"/>
                <w:szCs w:val="21"/>
                <w:lang w:eastAsia="en-US"/>
              </w:rPr>
            </w:pPr>
            <w:r>
              <w:rPr>
                <w:b/>
                <w:bCs/>
                <w:sz w:val="21"/>
                <w:szCs w:val="21"/>
                <w:lang w:eastAsia="en-US"/>
              </w:rPr>
              <w:t>预测评价因子</w:t>
            </w:r>
          </w:p>
        </w:tc>
        <w:tc>
          <w:tcPr>
            <w:tcW w:w="609"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b/>
                <w:bCs/>
                <w:sz w:val="21"/>
                <w:szCs w:val="21"/>
                <w:lang w:eastAsia="en-US"/>
              </w:rPr>
            </w:pPr>
            <w:r>
              <w:rPr>
                <w:b/>
                <w:bCs/>
                <w:sz w:val="21"/>
                <w:szCs w:val="21"/>
                <w:lang w:eastAsia="en-US"/>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7" w:type="pct"/>
            <w:vMerge w:val="restar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运行期</w:t>
            </w:r>
          </w:p>
        </w:tc>
        <w:tc>
          <w:tcPr>
            <w:tcW w:w="777" w:type="pct"/>
            <w:vMerge w:val="restar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电磁环境</w:t>
            </w:r>
          </w:p>
        </w:tc>
        <w:tc>
          <w:tcPr>
            <w:tcW w:w="1204"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工频电场</w:t>
            </w:r>
          </w:p>
        </w:tc>
        <w:tc>
          <w:tcPr>
            <w:tcW w:w="577"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kV/m</w:t>
            </w:r>
          </w:p>
        </w:tc>
        <w:tc>
          <w:tcPr>
            <w:tcW w:w="1216"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工频电场</w:t>
            </w:r>
          </w:p>
        </w:tc>
        <w:tc>
          <w:tcPr>
            <w:tcW w:w="609"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kV/m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7" w:type="pct"/>
            <w:vMerge w:val="continue"/>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p>
        </w:tc>
        <w:tc>
          <w:tcPr>
            <w:tcW w:w="777" w:type="pct"/>
            <w:vMerge w:val="continue"/>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p>
        </w:tc>
        <w:tc>
          <w:tcPr>
            <w:tcW w:w="1204"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工频磁场</w:t>
            </w:r>
          </w:p>
        </w:tc>
        <w:tc>
          <w:tcPr>
            <w:tcW w:w="577"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μT</w:t>
            </w:r>
          </w:p>
        </w:tc>
        <w:tc>
          <w:tcPr>
            <w:tcW w:w="1216"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工频磁场</w:t>
            </w:r>
          </w:p>
        </w:tc>
        <w:tc>
          <w:tcPr>
            <w:tcW w:w="609" w:type="pc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μT</w:t>
            </w:r>
          </w:p>
        </w:tc>
      </w:tr>
    </w:tbl>
    <w:p>
      <w:pPr>
        <w:pStyle w:val="4"/>
        <w:ind w:firstLine="643" w:firstLineChars="200"/>
        <w:rPr>
          <w:rFonts w:ascii="Times New Roman" w:hAnsi="Times New Roman"/>
        </w:rPr>
      </w:pPr>
      <w:r>
        <w:rPr>
          <w:rFonts w:hint="eastAsia" w:ascii="Times New Roman" w:hAnsi="Times New Roman"/>
        </w:rPr>
        <w:t>1</w:t>
      </w:r>
      <w:r>
        <w:rPr>
          <w:rFonts w:ascii="Times New Roman" w:hAnsi="Times New Roman"/>
        </w:rPr>
        <w:t>.4.2评价标准</w:t>
      </w:r>
    </w:p>
    <w:p>
      <w:pPr>
        <w:pStyle w:val="20"/>
        <w:widowControl w:val="0"/>
        <w:spacing w:line="480" w:lineRule="exact"/>
        <w:ind w:firstLine="480" w:firstLineChars="200"/>
        <w:jc w:val="both"/>
        <w:rPr>
          <w:rFonts w:ascii="Times New Roman" w:hAnsi="Times New Roman"/>
          <w:sz w:val="24"/>
        </w:rPr>
      </w:pPr>
      <w:r>
        <w:rPr>
          <w:rFonts w:ascii="Times New Roman" w:hAnsi="Times New Roman"/>
          <w:sz w:val="24"/>
        </w:rPr>
        <w:t>工频电磁场执行《电磁环境控制限值》(GB 8702-2014)表1标准，根据该标准规定，0.025kHz～1.2kHz频率范围，电场强度公众</w:t>
      </w:r>
      <w:r>
        <w:rPr>
          <w:rFonts w:hint="eastAsia" w:ascii="Times New Roman" w:hAnsi="Times New Roman"/>
          <w:sz w:val="24"/>
        </w:rPr>
        <w:t>暴</w:t>
      </w:r>
      <w:r>
        <w:rPr>
          <w:rFonts w:ascii="Times New Roman" w:hAnsi="Times New Roman"/>
          <w:sz w:val="24"/>
        </w:rPr>
        <w:t>露控制限值为(200/f)V/m，根据计算得出频率50Hz的电场强度控制限值为4kV/m，因此本评价以4kV/m作为电场强度评价标准；磁感应强度公众</w:t>
      </w:r>
      <w:r>
        <w:rPr>
          <w:rFonts w:hint="eastAsia" w:ascii="Times New Roman" w:hAnsi="Times New Roman"/>
          <w:sz w:val="24"/>
        </w:rPr>
        <w:t>暴露</w:t>
      </w:r>
      <w:r>
        <w:rPr>
          <w:rFonts w:ascii="Times New Roman" w:hAnsi="Times New Roman"/>
          <w:sz w:val="24"/>
        </w:rPr>
        <w:t>控制限值为(5/f)µT，根据计算得出频率50Hz的磁感应强度控制限值为100µT，因此本评价以100µT作为磁感应强度的评价标准。具体如表1-2。</w:t>
      </w:r>
    </w:p>
    <w:p>
      <w:pPr>
        <w:spacing w:line="460" w:lineRule="exact"/>
        <w:ind w:firstLine="422" w:firstLineChars="200"/>
        <w:jc w:val="center"/>
        <w:rPr>
          <w:b/>
        </w:rPr>
      </w:pPr>
      <w:r>
        <w:rPr>
          <w:b/>
        </w:rPr>
        <w:t>表1-2  采用的评价标准一览表</w:t>
      </w:r>
    </w:p>
    <w:tbl>
      <w:tblPr>
        <w:tblStyle w:val="54"/>
        <w:tblW w:w="48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235"/>
        <w:gridCol w:w="2370"/>
        <w:gridCol w:w="3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8" w:type="pct"/>
            <w:vAlign w:val="center"/>
          </w:tcPr>
          <w:p>
            <w:pPr>
              <w:keepNext w:val="0"/>
              <w:keepLines w:val="0"/>
              <w:widowControl/>
              <w:suppressLineNumbers w:val="0"/>
              <w:spacing w:before="0" w:beforeAutospacing="0" w:after="0" w:afterAutospacing="0" w:line="0" w:lineRule="atLeast"/>
              <w:ind w:left="0" w:right="0"/>
              <w:jc w:val="center"/>
              <w:rPr>
                <w:b/>
                <w:sz w:val="21"/>
                <w:szCs w:val="21"/>
              </w:rPr>
            </w:pPr>
            <w:r>
              <w:rPr>
                <w:b/>
                <w:sz w:val="21"/>
                <w:szCs w:val="21"/>
              </w:rPr>
              <w:t>标准名称</w:t>
            </w:r>
          </w:p>
        </w:tc>
        <w:tc>
          <w:tcPr>
            <w:tcW w:w="1288" w:type="pct"/>
            <w:vAlign w:val="center"/>
          </w:tcPr>
          <w:p>
            <w:pPr>
              <w:keepNext w:val="0"/>
              <w:keepLines w:val="0"/>
              <w:widowControl/>
              <w:suppressLineNumbers w:val="0"/>
              <w:spacing w:before="0" w:beforeAutospacing="0" w:after="0" w:afterAutospacing="0" w:line="0" w:lineRule="atLeast"/>
              <w:ind w:left="0" w:right="0"/>
              <w:jc w:val="center"/>
              <w:rPr>
                <w:b/>
                <w:sz w:val="21"/>
                <w:szCs w:val="21"/>
              </w:rPr>
            </w:pPr>
            <w:r>
              <w:rPr>
                <w:b/>
                <w:sz w:val="21"/>
                <w:szCs w:val="21"/>
              </w:rPr>
              <w:t>污染物名称</w:t>
            </w:r>
          </w:p>
        </w:tc>
        <w:tc>
          <w:tcPr>
            <w:tcW w:w="1954" w:type="pct"/>
            <w:vAlign w:val="center"/>
          </w:tcPr>
          <w:p>
            <w:pPr>
              <w:keepNext w:val="0"/>
              <w:keepLines w:val="0"/>
              <w:widowControl/>
              <w:suppressLineNumbers w:val="0"/>
              <w:spacing w:before="0" w:beforeAutospacing="0" w:after="0" w:afterAutospacing="0" w:line="0" w:lineRule="atLeast"/>
              <w:ind w:left="0" w:right="0"/>
              <w:jc w:val="center"/>
              <w:rPr>
                <w:b/>
                <w:sz w:val="21"/>
                <w:szCs w:val="21"/>
              </w:rPr>
            </w:pPr>
            <w:r>
              <w:rPr>
                <w:b/>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8" w:type="pct"/>
            <w:vMerge w:val="restart"/>
            <w:vAlign w:val="center"/>
          </w:tcPr>
          <w:p>
            <w:pPr>
              <w:keepNext w:val="0"/>
              <w:keepLines w:val="0"/>
              <w:widowControl/>
              <w:suppressLineNumbers w:val="0"/>
              <w:spacing w:before="0" w:beforeAutospacing="0" w:after="0" w:afterAutospacing="0" w:line="0" w:lineRule="atLeast"/>
              <w:ind w:left="0" w:right="0"/>
              <w:jc w:val="center"/>
              <w:rPr>
                <w:sz w:val="21"/>
                <w:szCs w:val="21"/>
              </w:rPr>
            </w:pPr>
            <w:r>
              <w:rPr>
                <w:sz w:val="21"/>
                <w:szCs w:val="21"/>
              </w:rPr>
              <w:t>《电磁环境控制限值》</w:t>
            </w:r>
          </w:p>
          <w:p>
            <w:pPr>
              <w:keepNext w:val="0"/>
              <w:keepLines w:val="0"/>
              <w:widowControl/>
              <w:suppressLineNumbers w:val="0"/>
              <w:spacing w:before="0" w:beforeAutospacing="0" w:after="0" w:afterAutospacing="0" w:line="0" w:lineRule="atLeast"/>
              <w:ind w:left="0" w:right="0"/>
              <w:jc w:val="center"/>
              <w:rPr>
                <w:sz w:val="21"/>
                <w:szCs w:val="21"/>
              </w:rPr>
            </w:pPr>
            <w:r>
              <w:rPr>
                <w:sz w:val="21"/>
                <w:szCs w:val="21"/>
              </w:rPr>
              <w:t>GB 8702-2014</w:t>
            </w:r>
          </w:p>
        </w:tc>
        <w:tc>
          <w:tcPr>
            <w:tcW w:w="1288" w:type="pct"/>
            <w:vAlign w:val="center"/>
          </w:tcPr>
          <w:p>
            <w:pPr>
              <w:keepNext w:val="0"/>
              <w:keepLines w:val="0"/>
              <w:widowControl/>
              <w:suppressLineNumbers w:val="0"/>
              <w:spacing w:before="0" w:beforeAutospacing="0" w:after="0" w:afterAutospacing="0" w:line="0" w:lineRule="atLeast"/>
              <w:ind w:left="0" w:right="0"/>
              <w:jc w:val="center"/>
              <w:rPr>
                <w:sz w:val="21"/>
                <w:szCs w:val="21"/>
              </w:rPr>
            </w:pPr>
            <w:r>
              <w:rPr>
                <w:sz w:val="21"/>
                <w:szCs w:val="21"/>
              </w:rPr>
              <w:t>工频电场强度</w:t>
            </w:r>
          </w:p>
        </w:tc>
        <w:tc>
          <w:tcPr>
            <w:tcW w:w="1954" w:type="pct"/>
            <w:vAlign w:val="center"/>
          </w:tcPr>
          <w:p>
            <w:pPr>
              <w:keepNext w:val="0"/>
              <w:keepLines w:val="0"/>
              <w:widowControl/>
              <w:suppressLineNumbers w:val="0"/>
              <w:spacing w:before="0" w:beforeAutospacing="0" w:after="0" w:afterAutospacing="0" w:line="0" w:lineRule="atLeast"/>
              <w:ind w:left="0" w:right="0"/>
              <w:jc w:val="center"/>
              <w:rPr>
                <w:sz w:val="21"/>
                <w:szCs w:val="21"/>
              </w:rPr>
            </w:pPr>
            <w:r>
              <w:rPr>
                <w:sz w:val="21"/>
                <w:szCs w:val="21"/>
              </w:rPr>
              <w:t>4kV/m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1758" w:type="pct"/>
            <w:vMerge w:val="continue"/>
            <w:vAlign w:val="center"/>
          </w:tcPr>
          <w:p>
            <w:pPr>
              <w:keepNext w:val="0"/>
              <w:keepLines w:val="0"/>
              <w:widowControl/>
              <w:suppressLineNumbers w:val="0"/>
              <w:spacing w:before="0" w:beforeAutospacing="0" w:after="0" w:afterAutospacing="0" w:line="0" w:lineRule="atLeast"/>
              <w:ind w:left="0" w:right="0"/>
              <w:jc w:val="center"/>
              <w:rPr>
                <w:sz w:val="21"/>
                <w:szCs w:val="21"/>
              </w:rPr>
            </w:pPr>
          </w:p>
        </w:tc>
        <w:tc>
          <w:tcPr>
            <w:tcW w:w="1288" w:type="pct"/>
            <w:vAlign w:val="center"/>
          </w:tcPr>
          <w:p>
            <w:pPr>
              <w:keepNext w:val="0"/>
              <w:keepLines w:val="0"/>
              <w:widowControl/>
              <w:suppressLineNumbers w:val="0"/>
              <w:spacing w:before="0" w:beforeAutospacing="0" w:after="0" w:afterAutospacing="0" w:line="0" w:lineRule="atLeast"/>
              <w:ind w:left="0" w:right="0"/>
              <w:jc w:val="center"/>
              <w:rPr>
                <w:sz w:val="21"/>
                <w:szCs w:val="21"/>
              </w:rPr>
            </w:pPr>
            <w:r>
              <w:rPr>
                <w:sz w:val="21"/>
                <w:szCs w:val="21"/>
              </w:rPr>
              <w:t>工频磁感应强度</w:t>
            </w:r>
          </w:p>
        </w:tc>
        <w:tc>
          <w:tcPr>
            <w:tcW w:w="1954" w:type="pct"/>
            <w:vAlign w:val="center"/>
          </w:tcPr>
          <w:p>
            <w:pPr>
              <w:keepNext w:val="0"/>
              <w:keepLines w:val="0"/>
              <w:widowControl/>
              <w:suppressLineNumbers w:val="0"/>
              <w:spacing w:before="0" w:beforeAutospacing="0" w:after="0" w:afterAutospacing="0" w:line="0" w:lineRule="atLeast"/>
              <w:ind w:left="0" w:right="0"/>
              <w:jc w:val="center"/>
              <w:rPr>
                <w:sz w:val="21"/>
                <w:szCs w:val="21"/>
              </w:rPr>
            </w:pPr>
            <w:r>
              <w:rPr>
                <w:sz w:val="21"/>
                <w:szCs w:val="21"/>
              </w:rPr>
              <w:t>100µT</w:t>
            </w:r>
          </w:p>
        </w:tc>
      </w:tr>
    </w:tbl>
    <w:p>
      <w:pPr>
        <w:pStyle w:val="4"/>
        <w:ind w:firstLine="643" w:firstLineChars="200"/>
        <w:rPr>
          <w:rFonts w:ascii="Times New Roman" w:hAnsi="Times New Roman"/>
        </w:rPr>
      </w:pPr>
      <w:r>
        <w:rPr>
          <w:rFonts w:hint="eastAsia" w:ascii="Times New Roman" w:hAnsi="Times New Roman"/>
        </w:rPr>
        <w:t>1</w:t>
      </w:r>
      <w:r>
        <w:rPr>
          <w:rFonts w:ascii="Times New Roman" w:hAnsi="Times New Roman"/>
        </w:rPr>
        <w:t>.4.3电磁环境影响评价工作等级</w:t>
      </w:r>
    </w:p>
    <w:p>
      <w:pPr>
        <w:pStyle w:val="20"/>
        <w:tabs>
          <w:tab w:val="left" w:pos="3082"/>
        </w:tabs>
        <w:spacing w:line="360" w:lineRule="auto"/>
        <w:ind w:left="645"/>
        <w:jc w:val="center"/>
        <w:rPr>
          <w:rFonts w:ascii="Times New Roman" w:hAnsi="Times New Roman"/>
          <w:b/>
          <w:bCs/>
          <w:sz w:val="24"/>
          <w:szCs w:val="22"/>
        </w:rPr>
      </w:pPr>
      <w:r>
        <w:rPr>
          <w:rFonts w:ascii="Times New Roman" w:hAnsi="Times New Roman"/>
          <w:b/>
          <w:bCs/>
          <w:sz w:val="24"/>
          <w:szCs w:val="22"/>
        </w:rPr>
        <w:t>表1-3  输</w:t>
      </w:r>
      <w:r>
        <w:rPr>
          <w:rFonts w:ascii="Times New Roman" w:hAnsi="Times New Roman"/>
          <w:b/>
          <w:bCs/>
          <w:spacing w:val="-3"/>
          <w:sz w:val="24"/>
          <w:szCs w:val="22"/>
        </w:rPr>
        <w:t>变</w:t>
      </w:r>
      <w:r>
        <w:rPr>
          <w:rFonts w:ascii="Times New Roman" w:hAnsi="Times New Roman"/>
          <w:b/>
          <w:bCs/>
          <w:sz w:val="24"/>
          <w:szCs w:val="22"/>
        </w:rPr>
        <w:t>电</w:t>
      </w:r>
      <w:r>
        <w:rPr>
          <w:rFonts w:ascii="Times New Roman" w:hAnsi="Times New Roman"/>
          <w:b/>
          <w:bCs/>
          <w:spacing w:val="-3"/>
          <w:sz w:val="24"/>
          <w:szCs w:val="22"/>
        </w:rPr>
        <w:t>建</w:t>
      </w:r>
      <w:r>
        <w:rPr>
          <w:rFonts w:ascii="Times New Roman" w:hAnsi="Times New Roman"/>
          <w:b/>
          <w:bCs/>
          <w:sz w:val="24"/>
          <w:szCs w:val="22"/>
        </w:rPr>
        <w:t>设</w:t>
      </w:r>
      <w:r>
        <w:rPr>
          <w:rFonts w:ascii="Times New Roman" w:hAnsi="Times New Roman"/>
          <w:b/>
          <w:bCs/>
          <w:spacing w:val="-3"/>
          <w:sz w:val="24"/>
          <w:szCs w:val="22"/>
        </w:rPr>
        <w:t>项</w:t>
      </w:r>
      <w:r>
        <w:rPr>
          <w:rFonts w:ascii="Times New Roman" w:hAnsi="Times New Roman"/>
          <w:b/>
          <w:bCs/>
          <w:sz w:val="24"/>
          <w:szCs w:val="22"/>
        </w:rPr>
        <w:t>目</w:t>
      </w:r>
      <w:r>
        <w:rPr>
          <w:rFonts w:ascii="Times New Roman" w:hAnsi="Times New Roman"/>
          <w:b/>
          <w:bCs/>
          <w:spacing w:val="-3"/>
          <w:sz w:val="24"/>
          <w:szCs w:val="22"/>
        </w:rPr>
        <w:t>电</w:t>
      </w:r>
      <w:r>
        <w:rPr>
          <w:rFonts w:ascii="Times New Roman" w:hAnsi="Times New Roman"/>
          <w:b/>
          <w:bCs/>
          <w:sz w:val="24"/>
          <w:szCs w:val="22"/>
        </w:rPr>
        <w:t>磁环</w:t>
      </w:r>
      <w:r>
        <w:rPr>
          <w:rFonts w:ascii="Times New Roman" w:hAnsi="Times New Roman"/>
          <w:b/>
          <w:bCs/>
          <w:spacing w:val="-3"/>
          <w:sz w:val="24"/>
          <w:szCs w:val="22"/>
        </w:rPr>
        <w:t>境</w:t>
      </w:r>
      <w:r>
        <w:rPr>
          <w:rFonts w:ascii="Times New Roman" w:hAnsi="Times New Roman"/>
          <w:b/>
          <w:bCs/>
          <w:sz w:val="24"/>
          <w:szCs w:val="22"/>
        </w:rPr>
        <w:t>影</w:t>
      </w:r>
      <w:r>
        <w:rPr>
          <w:rFonts w:ascii="Times New Roman" w:hAnsi="Times New Roman"/>
          <w:b/>
          <w:bCs/>
          <w:spacing w:val="-3"/>
          <w:sz w:val="24"/>
          <w:szCs w:val="22"/>
        </w:rPr>
        <w:t>响</w:t>
      </w:r>
      <w:r>
        <w:rPr>
          <w:rFonts w:ascii="Times New Roman" w:hAnsi="Times New Roman"/>
          <w:b/>
          <w:bCs/>
          <w:sz w:val="24"/>
          <w:szCs w:val="22"/>
        </w:rPr>
        <w:t>评</w:t>
      </w:r>
      <w:r>
        <w:rPr>
          <w:rFonts w:ascii="Times New Roman" w:hAnsi="Times New Roman"/>
          <w:b/>
          <w:bCs/>
          <w:spacing w:val="-3"/>
          <w:sz w:val="24"/>
          <w:szCs w:val="22"/>
        </w:rPr>
        <w:t>价</w:t>
      </w:r>
      <w:r>
        <w:rPr>
          <w:rFonts w:ascii="Times New Roman" w:hAnsi="Times New Roman"/>
          <w:b/>
          <w:bCs/>
          <w:sz w:val="24"/>
          <w:szCs w:val="22"/>
        </w:rPr>
        <w:t>工</w:t>
      </w:r>
      <w:r>
        <w:rPr>
          <w:rFonts w:ascii="Times New Roman" w:hAnsi="Times New Roman"/>
          <w:b/>
          <w:bCs/>
          <w:spacing w:val="-3"/>
          <w:sz w:val="24"/>
          <w:szCs w:val="22"/>
        </w:rPr>
        <w:t>作</w:t>
      </w:r>
      <w:r>
        <w:rPr>
          <w:rFonts w:ascii="Times New Roman" w:hAnsi="Times New Roman"/>
          <w:b/>
          <w:bCs/>
          <w:sz w:val="24"/>
          <w:szCs w:val="22"/>
        </w:rPr>
        <w:t>等级</w:t>
      </w:r>
    </w:p>
    <w:tbl>
      <w:tblPr>
        <w:tblStyle w:val="54"/>
        <w:tblW w:w="79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3"/>
        <w:gridCol w:w="1419"/>
        <w:gridCol w:w="1417"/>
        <w:gridCol w:w="2526"/>
        <w:gridCol w:w="15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93"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lang w:eastAsia="en-US"/>
              </w:rPr>
            </w:pPr>
            <w:r>
              <w:rPr>
                <w:b/>
                <w:sz w:val="21"/>
                <w:szCs w:val="21"/>
                <w:lang w:eastAsia="en-US"/>
              </w:rPr>
              <w:t>分类</w:t>
            </w:r>
          </w:p>
        </w:tc>
        <w:tc>
          <w:tcPr>
            <w:tcW w:w="1419"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lang w:eastAsia="en-US"/>
              </w:rPr>
            </w:pPr>
            <w:r>
              <w:rPr>
                <w:b/>
                <w:sz w:val="21"/>
                <w:szCs w:val="21"/>
                <w:lang w:eastAsia="en-US"/>
              </w:rPr>
              <w:t>电压等级</w:t>
            </w:r>
          </w:p>
        </w:tc>
        <w:tc>
          <w:tcPr>
            <w:tcW w:w="1417"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lang w:eastAsia="en-US"/>
              </w:rPr>
            </w:pPr>
            <w:r>
              <w:rPr>
                <w:b/>
                <w:sz w:val="21"/>
                <w:szCs w:val="21"/>
                <w:lang w:eastAsia="en-US"/>
              </w:rPr>
              <w:t>工程</w:t>
            </w:r>
          </w:p>
        </w:tc>
        <w:tc>
          <w:tcPr>
            <w:tcW w:w="2526"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lang w:eastAsia="en-US"/>
              </w:rPr>
            </w:pPr>
            <w:r>
              <w:rPr>
                <w:b/>
                <w:sz w:val="21"/>
                <w:szCs w:val="21"/>
                <w:lang w:eastAsia="en-US"/>
              </w:rPr>
              <w:t>条件</w:t>
            </w:r>
          </w:p>
        </w:tc>
        <w:tc>
          <w:tcPr>
            <w:tcW w:w="1577"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lang w:eastAsia="en-US"/>
              </w:rPr>
            </w:pPr>
            <w:r>
              <w:rPr>
                <w:b/>
                <w:sz w:val="21"/>
                <w:szCs w:val="21"/>
                <w:lang w:eastAsia="en-US"/>
              </w:rPr>
              <w:t>评价工作等级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93" w:type="dxa"/>
            <w:vMerge w:val="restar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交流</w:t>
            </w:r>
          </w:p>
        </w:tc>
        <w:tc>
          <w:tcPr>
            <w:tcW w:w="1419" w:type="dxa"/>
            <w:vMerge w:val="restar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220kV</w:t>
            </w:r>
          </w:p>
        </w:tc>
        <w:tc>
          <w:tcPr>
            <w:tcW w:w="1417" w:type="dxa"/>
            <w:vMerge w:val="restart"/>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变电站</w:t>
            </w:r>
          </w:p>
        </w:tc>
        <w:tc>
          <w:tcPr>
            <w:tcW w:w="2526"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户内式、地下式</w:t>
            </w:r>
          </w:p>
        </w:tc>
        <w:tc>
          <w:tcPr>
            <w:tcW w:w="1577"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93" w:type="dxa"/>
            <w:vMerge w:val="continue"/>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p>
        </w:tc>
        <w:tc>
          <w:tcPr>
            <w:tcW w:w="1419" w:type="dxa"/>
            <w:vMerge w:val="continue"/>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p>
        </w:tc>
        <w:tc>
          <w:tcPr>
            <w:tcW w:w="1417" w:type="dxa"/>
            <w:vMerge w:val="continue"/>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p>
        </w:tc>
        <w:tc>
          <w:tcPr>
            <w:tcW w:w="2526"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户外式</w:t>
            </w:r>
          </w:p>
        </w:tc>
        <w:tc>
          <w:tcPr>
            <w:tcW w:w="1577"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二级</w:t>
            </w:r>
          </w:p>
        </w:tc>
      </w:tr>
    </w:tbl>
    <w:p>
      <w:pPr>
        <w:pStyle w:val="20"/>
        <w:widowControl w:val="0"/>
        <w:spacing w:line="480" w:lineRule="exact"/>
        <w:ind w:firstLine="480" w:firstLineChars="200"/>
        <w:jc w:val="both"/>
        <w:rPr>
          <w:rFonts w:ascii="Times New Roman" w:hAnsi="Times New Roman"/>
          <w:sz w:val="24"/>
        </w:rPr>
      </w:pPr>
      <w:r>
        <w:rPr>
          <w:rFonts w:hint="eastAsia" w:ascii="Times New Roman" w:hAnsi="Times New Roman"/>
          <w:sz w:val="24"/>
        </w:rPr>
        <w:t>本项目2</w:t>
      </w:r>
      <w:r>
        <w:rPr>
          <w:rFonts w:ascii="Times New Roman" w:hAnsi="Times New Roman"/>
          <w:sz w:val="24"/>
        </w:rPr>
        <w:t>20kV升压站为户外式变电站，按照《环境影响评价技术导则 输变电》(HJ 24-2020)中关于电磁环境影响评价工作等级划分的规定，确定本项目电磁环境影响评价等级为二级。</w:t>
      </w:r>
    </w:p>
    <w:p>
      <w:pPr>
        <w:pStyle w:val="4"/>
        <w:ind w:firstLine="643" w:firstLineChars="200"/>
        <w:rPr>
          <w:rFonts w:ascii="Times New Roman" w:hAnsi="Times New Roman"/>
        </w:rPr>
      </w:pPr>
      <w:r>
        <w:rPr>
          <w:rFonts w:hint="eastAsia" w:ascii="Times New Roman" w:hAnsi="Times New Roman"/>
        </w:rPr>
        <w:t>1</w:t>
      </w:r>
      <w:r>
        <w:rPr>
          <w:rFonts w:ascii="Times New Roman" w:hAnsi="Times New Roman"/>
        </w:rPr>
        <w:t>.4.4工频电场、工频磁场评价范围</w:t>
      </w:r>
    </w:p>
    <w:p>
      <w:pPr>
        <w:pStyle w:val="20"/>
        <w:widowControl w:val="0"/>
        <w:spacing w:line="480" w:lineRule="exact"/>
        <w:ind w:firstLine="480" w:firstLineChars="200"/>
        <w:jc w:val="both"/>
        <w:rPr>
          <w:rFonts w:ascii="Times New Roman" w:hAnsi="Times New Roman"/>
          <w:sz w:val="24"/>
        </w:rPr>
      </w:pPr>
      <w:r>
        <w:rPr>
          <w:rFonts w:ascii="Times New Roman" w:hAnsi="Times New Roman"/>
          <w:sz w:val="24"/>
        </w:rPr>
        <w:t>《环境影响评价技术导则 输变电》(HJ 24-2020)中关于输变电工程电磁环境影响评价范围的规定详见表1-4。</w:t>
      </w:r>
    </w:p>
    <w:p>
      <w:pPr>
        <w:pStyle w:val="20"/>
        <w:widowControl w:val="0"/>
        <w:spacing w:line="360" w:lineRule="auto"/>
        <w:jc w:val="center"/>
        <w:rPr>
          <w:rFonts w:ascii="Times New Roman" w:hAnsi="Times New Roman"/>
          <w:b/>
          <w:bCs/>
          <w:sz w:val="24"/>
        </w:rPr>
      </w:pPr>
      <w:r>
        <w:rPr>
          <w:rFonts w:ascii="Times New Roman" w:hAnsi="Times New Roman"/>
          <w:b/>
          <w:bCs/>
          <w:sz w:val="24"/>
        </w:rPr>
        <w:t>表1-4  输变电建设项目电磁环境影响评价范围</w:t>
      </w:r>
    </w:p>
    <w:tbl>
      <w:tblPr>
        <w:tblStyle w:val="54"/>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6"/>
        <w:gridCol w:w="1241"/>
        <w:gridCol w:w="60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dxa"/>
            <w:vMerge w:val="restart"/>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lang w:eastAsia="en-US"/>
              </w:rPr>
            </w:pPr>
            <w:r>
              <w:rPr>
                <w:b/>
                <w:sz w:val="21"/>
                <w:szCs w:val="21"/>
                <w:lang w:eastAsia="en-US"/>
              </w:rPr>
              <w:t>分类</w:t>
            </w:r>
          </w:p>
        </w:tc>
        <w:tc>
          <w:tcPr>
            <w:tcW w:w="1241" w:type="dxa"/>
            <w:vMerge w:val="restart"/>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lang w:eastAsia="en-US"/>
              </w:rPr>
            </w:pPr>
            <w:r>
              <w:rPr>
                <w:b/>
                <w:sz w:val="21"/>
                <w:szCs w:val="21"/>
                <w:lang w:eastAsia="en-US"/>
              </w:rPr>
              <w:t>电压等级</w:t>
            </w:r>
          </w:p>
        </w:tc>
        <w:tc>
          <w:tcPr>
            <w:tcW w:w="6095"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lang w:eastAsia="en-US"/>
              </w:rPr>
            </w:pPr>
            <w:r>
              <w:rPr>
                <w:b/>
                <w:sz w:val="21"/>
                <w:szCs w:val="21"/>
                <w:lang w:eastAsia="en-US"/>
              </w:rPr>
              <w:t>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dxa"/>
            <w:vMerge w:val="continue"/>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lang w:eastAsia="en-US"/>
              </w:rPr>
            </w:pPr>
          </w:p>
        </w:tc>
        <w:tc>
          <w:tcPr>
            <w:tcW w:w="1241" w:type="dxa"/>
            <w:vMerge w:val="continue"/>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lang w:eastAsia="en-US"/>
              </w:rPr>
            </w:pPr>
          </w:p>
        </w:tc>
        <w:tc>
          <w:tcPr>
            <w:tcW w:w="6095"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b/>
                <w:sz w:val="21"/>
                <w:szCs w:val="21"/>
              </w:rPr>
            </w:pPr>
            <w:r>
              <w:rPr>
                <w:b/>
                <w:sz w:val="21"/>
                <w:szCs w:val="21"/>
              </w:rPr>
              <w:t>变电站、换流站、开关站、串补站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交流</w:t>
            </w:r>
          </w:p>
        </w:tc>
        <w:tc>
          <w:tcPr>
            <w:tcW w:w="1241"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lang w:eastAsia="en-US"/>
              </w:rPr>
            </w:pPr>
            <w:r>
              <w:rPr>
                <w:sz w:val="21"/>
                <w:szCs w:val="21"/>
                <w:lang w:eastAsia="en-US"/>
              </w:rPr>
              <w:t>220kV</w:t>
            </w:r>
          </w:p>
        </w:tc>
        <w:tc>
          <w:tcPr>
            <w:tcW w:w="6095" w:type="dxa"/>
            <w:vAlign w:val="center"/>
          </w:tcPr>
          <w:p>
            <w:pPr>
              <w:keepNext w:val="0"/>
              <w:keepLines w:val="0"/>
              <w:widowControl w:val="0"/>
              <w:suppressLineNumbers w:val="0"/>
              <w:autoSpaceDE w:val="0"/>
              <w:autoSpaceDN w:val="0"/>
              <w:snapToGrid w:val="0"/>
              <w:spacing w:before="0" w:beforeAutospacing="0" w:after="0" w:afterAutospacing="0"/>
              <w:ind w:left="0" w:right="0"/>
              <w:jc w:val="center"/>
              <w:rPr>
                <w:sz w:val="21"/>
                <w:szCs w:val="21"/>
              </w:rPr>
            </w:pPr>
            <w:r>
              <w:rPr>
                <w:sz w:val="21"/>
                <w:szCs w:val="21"/>
                <w:lang w:eastAsia="en-US"/>
              </w:rPr>
              <w:t>站界外40m</w:t>
            </w:r>
          </w:p>
        </w:tc>
      </w:tr>
    </w:tbl>
    <w:p>
      <w:pPr>
        <w:pStyle w:val="20"/>
        <w:widowControl w:val="0"/>
        <w:spacing w:line="480" w:lineRule="exact"/>
        <w:ind w:firstLine="480" w:firstLineChars="200"/>
        <w:jc w:val="both"/>
        <w:rPr>
          <w:rFonts w:ascii="Times New Roman" w:hAnsi="Times New Roman"/>
          <w:sz w:val="24"/>
        </w:rPr>
      </w:pPr>
      <w:r>
        <w:rPr>
          <w:rFonts w:ascii="Times New Roman" w:hAnsi="Times New Roman"/>
          <w:sz w:val="24"/>
        </w:rPr>
        <w:t>根据《环境影响评价技术导则 输变电》(HJ 24-2020)中关于输变电工程电磁环境影响评价范围的规定，本评价将</w:t>
      </w:r>
      <w:r>
        <w:rPr>
          <w:rFonts w:hint="eastAsia" w:ascii="Times New Roman" w:hAnsi="Times New Roman"/>
          <w:sz w:val="24"/>
        </w:rPr>
        <w:t>本项目</w:t>
      </w:r>
      <w:r>
        <w:rPr>
          <w:rFonts w:ascii="Times New Roman" w:hAnsi="Times New Roman"/>
          <w:sz w:val="24"/>
        </w:rPr>
        <w:t>升压站站界外40m内区域作为本项目工频电场、工频磁场的评价范围。</w:t>
      </w:r>
    </w:p>
    <w:p>
      <w:pPr>
        <w:pStyle w:val="4"/>
        <w:ind w:firstLine="643" w:firstLineChars="200"/>
        <w:rPr>
          <w:rFonts w:ascii="Times New Roman" w:hAnsi="Times New Roman"/>
        </w:rPr>
      </w:pPr>
      <w:r>
        <w:rPr>
          <w:rFonts w:hint="eastAsia" w:ascii="Times New Roman" w:hAnsi="Times New Roman"/>
        </w:rPr>
        <w:t>1</w:t>
      </w:r>
      <w:r>
        <w:rPr>
          <w:rFonts w:ascii="Times New Roman" w:hAnsi="Times New Roman"/>
        </w:rPr>
        <w:t>.4.5评价方法</w:t>
      </w:r>
    </w:p>
    <w:p>
      <w:pPr>
        <w:pStyle w:val="20"/>
        <w:widowControl w:val="0"/>
        <w:spacing w:line="480" w:lineRule="exact"/>
        <w:ind w:firstLine="480" w:firstLineChars="200"/>
        <w:jc w:val="both"/>
        <w:rPr>
          <w:rFonts w:ascii="Times New Roman" w:hAnsi="Times New Roman"/>
          <w:sz w:val="24"/>
        </w:rPr>
      </w:pPr>
      <w:r>
        <w:rPr>
          <w:rFonts w:ascii="Times New Roman" w:hAnsi="Times New Roman"/>
          <w:sz w:val="24"/>
        </w:rPr>
        <w:t>本次评价对升压站电磁环境影响评价采用类比</w:t>
      </w:r>
      <w:r>
        <w:rPr>
          <w:rFonts w:hint="eastAsia" w:ascii="Times New Roman" w:hAnsi="Times New Roman"/>
          <w:sz w:val="24"/>
        </w:rPr>
        <w:t>分析</w:t>
      </w:r>
      <w:r>
        <w:rPr>
          <w:rFonts w:ascii="Times New Roman" w:hAnsi="Times New Roman"/>
          <w:sz w:val="24"/>
        </w:rPr>
        <w:t>的方式进行预测评价，评价因子为工频电场、工频磁场，类比对象选择与本项目工程规模类似、电压等级相同的</w:t>
      </w:r>
      <w:r>
        <w:rPr>
          <w:rFonts w:hint="eastAsia" w:ascii="Times New Roman" w:hAnsi="Times New Roman"/>
          <w:sz w:val="24"/>
        </w:rPr>
        <w:t>升压</w:t>
      </w:r>
      <w:r>
        <w:rPr>
          <w:rFonts w:ascii="Times New Roman" w:hAnsi="Times New Roman"/>
          <w:sz w:val="24"/>
        </w:rPr>
        <w:t>站。</w:t>
      </w:r>
    </w:p>
    <w:p>
      <w:pPr>
        <w:pStyle w:val="4"/>
        <w:ind w:firstLine="643" w:firstLineChars="200"/>
        <w:rPr>
          <w:rFonts w:ascii="Times New Roman" w:hAnsi="Times New Roman"/>
        </w:rPr>
      </w:pPr>
      <w:r>
        <w:rPr>
          <w:rFonts w:hint="eastAsia" w:ascii="Times New Roman" w:hAnsi="Times New Roman"/>
        </w:rPr>
        <w:t>1</w:t>
      </w:r>
      <w:r>
        <w:rPr>
          <w:rFonts w:ascii="Times New Roman" w:hAnsi="Times New Roman"/>
        </w:rPr>
        <w:t>.4.6电磁环境保护目标</w:t>
      </w:r>
    </w:p>
    <w:p>
      <w:pPr>
        <w:pStyle w:val="20"/>
        <w:widowControl w:val="0"/>
        <w:spacing w:line="480" w:lineRule="exact"/>
        <w:ind w:firstLine="480" w:firstLineChars="200"/>
        <w:jc w:val="both"/>
        <w:rPr>
          <w:rFonts w:ascii="Times New Roman" w:hAnsi="Times New Roman"/>
          <w:sz w:val="22"/>
          <w:szCs w:val="22"/>
        </w:rPr>
      </w:pPr>
      <w:r>
        <w:rPr>
          <w:rFonts w:hint="eastAsia" w:ascii="Times New Roman" w:hAnsi="Times New Roman"/>
          <w:sz w:val="24"/>
        </w:rPr>
        <w:t>本项目电磁环境评价范围为站界外</w:t>
      </w:r>
      <w:r>
        <w:rPr>
          <w:rFonts w:ascii="Times New Roman" w:hAnsi="Times New Roman"/>
          <w:sz w:val="24"/>
        </w:rPr>
        <w:t>40</w:t>
      </w:r>
      <w:r>
        <w:rPr>
          <w:rFonts w:hint="eastAsia" w:ascii="Times New Roman" w:hAnsi="Times New Roman"/>
          <w:sz w:val="24"/>
        </w:rPr>
        <w:t>m，</w:t>
      </w:r>
      <w:r>
        <w:rPr>
          <w:rFonts w:ascii="Times New Roman" w:hAnsi="Times New Roman"/>
          <w:sz w:val="24"/>
        </w:rPr>
        <w:t>通过现场踏勘，本项目升压站评价范围内不存在电磁环境保护目标。</w:t>
      </w:r>
    </w:p>
    <w:p>
      <w:bookmarkStart w:id="36" w:name="_Toc103288998"/>
    </w:p>
    <w:p/>
    <w:p/>
    <w:p/>
    <w:p/>
    <w:p/>
    <w:p/>
    <w:p/>
    <w:p/>
    <w:p/>
    <w:p/>
    <w:p>
      <w:pPr>
        <w:pStyle w:val="2"/>
        <w:tabs>
          <w:tab w:val="left" w:pos="206"/>
          <w:tab w:val="center" w:pos="4422"/>
        </w:tabs>
        <w:jc w:val="left"/>
        <w:rPr>
          <w:rFonts w:ascii="Times New Roman" w:hAnsi="Times New Roman"/>
        </w:rPr>
      </w:pPr>
      <w:r>
        <w:rPr>
          <w:rFonts w:ascii="Times New Roman" w:hAnsi="Times New Roman"/>
        </w:rPr>
        <w:t>2、项目概况</w:t>
      </w:r>
      <w:bookmarkEnd w:id="36"/>
    </w:p>
    <w:p>
      <w:pPr>
        <w:widowControl w:val="0"/>
        <w:snapToGrid w:val="0"/>
        <w:spacing w:line="360" w:lineRule="auto"/>
        <w:ind w:firstLine="420" w:firstLineChars="200"/>
        <w:rPr>
          <w:kern w:val="2"/>
        </w:rPr>
      </w:pPr>
      <w:r>
        <w:rPr>
          <w:kern w:val="2"/>
        </w:rPr>
        <w:t>本项目新建</w:t>
      </w:r>
      <w:r>
        <w:rPr>
          <w:rFonts w:hint="eastAsia"/>
          <w:kern w:val="2"/>
        </w:rPr>
        <w:t>2</w:t>
      </w:r>
      <w:r>
        <w:rPr>
          <w:kern w:val="2"/>
        </w:rPr>
        <w:t>20kV升压站。</w:t>
      </w:r>
    </w:p>
    <w:p>
      <w:pPr>
        <w:widowControl w:val="0"/>
        <w:adjustRightInd w:val="0"/>
        <w:snapToGrid w:val="0"/>
        <w:spacing w:line="360" w:lineRule="auto"/>
        <w:ind w:firstLine="420" w:firstLineChars="200"/>
      </w:pPr>
      <w:r>
        <w:t>(1)项目选址</w:t>
      </w:r>
    </w:p>
    <w:p>
      <w:pPr>
        <w:widowControl w:val="0"/>
        <w:adjustRightInd w:val="0"/>
        <w:snapToGrid w:val="0"/>
        <w:spacing w:line="360" w:lineRule="auto"/>
        <w:ind w:firstLine="420" w:firstLineChars="200"/>
        <w:rPr>
          <w:bCs/>
          <w:color w:val="000000" w:themeColor="text1"/>
          <w:highlight w:val="none"/>
        </w:rPr>
      </w:pPr>
      <w:r>
        <w:t>拟建220kV升压站</w:t>
      </w:r>
      <w:r>
        <w:rPr>
          <w:rFonts w:hint="eastAsia"/>
          <w:bCs/>
        </w:rPr>
        <w:t>项目</w:t>
      </w:r>
      <w:r>
        <w:t>位于河北省承德市承德县新杖子</w:t>
      </w:r>
      <w:r>
        <w:rPr>
          <w:rFonts w:hint="eastAsia"/>
        </w:rPr>
        <w:t>镇</w:t>
      </w:r>
      <w:r>
        <w:rPr>
          <w:rFonts w:hint="eastAsia"/>
          <w:lang w:val="en-US" w:eastAsia="zh-CN"/>
        </w:rPr>
        <w:t>鹰手营子</w:t>
      </w:r>
      <w:r>
        <w:rPr>
          <w:rFonts w:hint="eastAsia"/>
        </w:rPr>
        <w:t>村</w:t>
      </w:r>
      <w:r>
        <w:t>，</w:t>
      </w:r>
      <w:r>
        <w:rPr>
          <w:rFonts w:ascii="Times New Roman"/>
          <w:bCs/>
          <w:color w:val="auto"/>
          <w:sz w:val="24"/>
          <w:szCs w:val="24"/>
        </w:rPr>
        <w:t>占地为矩形，</w:t>
      </w:r>
      <w:r>
        <w:rPr>
          <w:rFonts w:hint="eastAsia" w:ascii="Times New Roman"/>
          <w:bCs/>
          <w:color w:val="auto"/>
          <w:sz w:val="24"/>
          <w:szCs w:val="24"/>
        </w:rPr>
        <w:t>占地</w:t>
      </w:r>
      <w:r>
        <w:rPr>
          <w:rFonts w:hint="eastAsia" w:ascii="Times New Roman"/>
          <w:bCs/>
          <w:color w:val="000000" w:themeColor="text1"/>
          <w:sz w:val="24"/>
          <w:szCs w:val="24"/>
          <w:highlight w:val="none"/>
        </w:rPr>
        <w:t>面积</w:t>
      </w:r>
      <w:r>
        <w:rPr>
          <w:rFonts w:hint="eastAsia" w:eastAsia="宋体"/>
          <w:color w:val="000000" w:themeColor="text1"/>
          <w:sz w:val="24"/>
          <w:szCs w:val="24"/>
          <w:highlight w:val="none"/>
          <w:lang w:val="en-US" w:eastAsia="zh-CN"/>
        </w:rPr>
        <w:t>39331.03m²</w:t>
      </w:r>
      <w:r>
        <w:rPr>
          <w:rFonts w:hint="eastAsia" w:ascii="Times New Roman"/>
          <w:bCs/>
          <w:color w:val="000000" w:themeColor="text1"/>
          <w:sz w:val="24"/>
          <w:szCs w:val="24"/>
          <w:highlight w:val="none"/>
        </w:rPr>
        <w:t>，(其中升压站场</w:t>
      </w:r>
      <w:r>
        <w:rPr>
          <w:rFonts w:hint="eastAsia" w:ascii="Times New Roman"/>
          <w:bCs/>
          <w:color w:val="000000" w:themeColor="text1"/>
          <w:sz w:val="24"/>
          <w:szCs w:val="24"/>
          <w:highlight w:val="none"/>
          <w:lang w:val="en-US" w:eastAsia="zh-CN"/>
        </w:rPr>
        <w:t>26631.03</w:t>
      </w:r>
      <w:r>
        <w:rPr>
          <w:rFonts w:hint="eastAsia" w:ascii="Times New Roman"/>
          <w:bCs/>
          <w:color w:val="000000" w:themeColor="text1"/>
          <w:sz w:val="24"/>
          <w:szCs w:val="24"/>
          <w:highlight w:val="none"/>
        </w:rPr>
        <w:t>m</w:t>
      </w:r>
      <w:r>
        <w:rPr>
          <w:rFonts w:hint="eastAsia" w:ascii="Times New Roman"/>
          <w:bCs/>
          <w:color w:val="000000" w:themeColor="text1"/>
          <w:sz w:val="24"/>
          <w:szCs w:val="24"/>
          <w:highlight w:val="none"/>
          <w:vertAlign w:val="superscript"/>
        </w:rPr>
        <w:t>2</w:t>
      </w:r>
      <w:r>
        <w:rPr>
          <w:rFonts w:hint="eastAsia" w:ascii="Times New Roman"/>
          <w:bCs/>
          <w:color w:val="000000" w:themeColor="text1"/>
          <w:sz w:val="24"/>
          <w:szCs w:val="24"/>
          <w:highlight w:val="none"/>
        </w:rPr>
        <w:t>、护坡</w:t>
      </w:r>
      <w:r>
        <w:rPr>
          <w:rFonts w:hint="eastAsia" w:ascii="Times New Roman"/>
          <w:bCs/>
          <w:color w:val="000000" w:themeColor="text1"/>
          <w:sz w:val="24"/>
          <w:szCs w:val="24"/>
          <w:highlight w:val="none"/>
          <w:lang w:val="en-US" w:eastAsia="zh-CN"/>
        </w:rPr>
        <w:t>12700</w:t>
      </w:r>
      <w:r>
        <w:rPr>
          <w:rFonts w:hint="eastAsia" w:ascii="Times New Roman"/>
          <w:bCs/>
          <w:color w:val="000000" w:themeColor="text1"/>
          <w:sz w:val="24"/>
          <w:szCs w:val="24"/>
          <w:highlight w:val="none"/>
        </w:rPr>
        <w:t>m</w:t>
      </w:r>
      <w:r>
        <w:rPr>
          <w:rFonts w:hint="eastAsia" w:ascii="Times New Roman"/>
          <w:bCs/>
          <w:color w:val="000000" w:themeColor="text1"/>
          <w:sz w:val="24"/>
          <w:szCs w:val="24"/>
          <w:highlight w:val="none"/>
          <w:vertAlign w:val="superscript"/>
        </w:rPr>
        <w:t>2</w:t>
      </w:r>
      <w:r>
        <w:rPr>
          <w:rFonts w:hint="eastAsia" w:ascii="Times New Roman"/>
          <w:bCs/>
          <w:color w:val="000000" w:themeColor="text1"/>
          <w:sz w:val="24"/>
          <w:szCs w:val="24"/>
          <w:highlight w:val="none"/>
        </w:rPr>
        <w:t>)，升压站场南北向长约</w:t>
      </w:r>
      <w:r>
        <w:rPr>
          <w:rFonts w:hint="eastAsia" w:ascii="Times New Roman"/>
          <w:bCs/>
          <w:color w:val="000000" w:themeColor="text1"/>
          <w:sz w:val="24"/>
          <w:szCs w:val="24"/>
          <w:highlight w:val="none"/>
          <w:lang w:val="en-US" w:eastAsia="zh-CN"/>
        </w:rPr>
        <w:t>158</w:t>
      </w:r>
      <w:r>
        <w:rPr>
          <w:rFonts w:hint="eastAsia" w:ascii="Times New Roman"/>
          <w:bCs/>
          <w:color w:val="000000" w:themeColor="text1"/>
          <w:sz w:val="24"/>
          <w:szCs w:val="24"/>
          <w:highlight w:val="none"/>
        </w:rPr>
        <w:t>m，东西向长约</w:t>
      </w:r>
      <w:r>
        <w:rPr>
          <w:rFonts w:hint="eastAsia" w:ascii="Times New Roman"/>
          <w:bCs/>
          <w:color w:val="000000" w:themeColor="text1"/>
          <w:sz w:val="24"/>
          <w:szCs w:val="24"/>
          <w:highlight w:val="none"/>
          <w:lang w:val="en-US" w:eastAsia="zh-CN"/>
        </w:rPr>
        <w:t>118</w:t>
      </w:r>
      <w:r>
        <w:rPr>
          <w:rFonts w:hint="eastAsia" w:ascii="Times New Roman"/>
          <w:bCs/>
          <w:color w:val="000000" w:themeColor="text1"/>
          <w:sz w:val="24"/>
          <w:szCs w:val="24"/>
          <w:highlight w:val="none"/>
        </w:rPr>
        <w:t>m</w:t>
      </w:r>
      <w:r>
        <w:rPr>
          <w:rFonts w:hint="eastAsia"/>
          <w:bCs/>
          <w:color w:val="000000" w:themeColor="text1"/>
          <w:highlight w:val="none"/>
        </w:rPr>
        <w:t>，由生活区、生产区和储能区三个部分组成</w:t>
      </w:r>
      <w:r>
        <w:rPr>
          <w:bCs/>
          <w:color w:val="000000" w:themeColor="text1"/>
          <w:highlight w:val="none"/>
        </w:rPr>
        <w:t>。</w:t>
      </w:r>
    </w:p>
    <w:p>
      <w:pPr>
        <w:widowControl w:val="0"/>
        <w:adjustRightInd w:val="0"/>
        <w:snapToGrid w:val="0"/>
        <w:spacing w:line="360" w:lineRule="auto"/>
        <w:ind w:firstLine="420" w:firstLineChars="200"/>
        <w:rPr>
          <w:color w:val="000000" w:themeColor="text1"/>
          <w:highlight w:val="none"/>
        </w:rPr>
      </w:pPr>
      <w:r>
        <w:rPr>
          <w:color w:val="000000" w:themeColor="text1"/>
          <w:highlight w:val="none"/>
        </w:rPr>
        <w:t>(2)建设规模</w:t>
      </w:r>
    </w:p>
    <w:p>
      <w:pPr>
        <w:widowControl w:val="0"/>
        <w:adjustRightInd w:val="0"/>
        <w:snapToGrid w:val="0"/>
        <w:spacing w:line="360" w:lineRule="auto"/>
        <w:ind w:firstLine="420" w:firstLineChars="200"/>
        <w:rPr>
          <w:color w:val="000000" w:themeColor="text1"/>
          <w:highlight w:val="none"/>
        </w:rPr>
      </w:pPr>
      <w:r>
        <w:rPr>
          <w:color w:val="000000" w:themeColor="text1"/>
          <w:highlight w:val="none"/>
        </w:rPr>
        <w:t>终期建设规模：2×210MVA主变压器，220kV配电装置主接线为单母线接线。</w:t>
      </w:r>
    </w:p>
    <w:p>
      <w:pPr>
        <w:widowControl w:val="0"/>
        <w:adjustRightInd w:val="0"/>
        <w:snapToGrid w:val="0"/>
        <w:spacing w:line="360" w:lineRule="auto"/>
        <w:ind w:firstLine="420" w:firstLineChars="200"/>
        <w:rPr>
          <w:color w:val="000000" w:themeColor="text1"/>
          <w:highlight w:val="none"/>
        </w:rPr>
      </w:pPr>
      <w:r>
        <w:rPr>
          <w:color w:val="000000" w:themeColor="text1"/>
          <w:highlight w:val="none"/>
        </w:rPr>
        <w:t>本期建设规模：安装2台210MVA主变压器，电压等级为220/35kV。</w:t>
      </w:r>
      <w:r>
        <w:rPr>
          <w:rFonts w:hint="eastAsia"/>
          <w:color w:val="000000" w:themeColor="text1"/>
          <w:highlight w:val="none"/>
        </w:rPr>
        <w:t>220kV采用GIS布置型式，规划采用单母线接线型式，本期建成单母线接线形式；35kV侧可采用多段单母线接线</w:t>
      </w:r>
      <w:r>
        <w:rPr>
          <w:color w:val="000000" w:themeColor="text1"/>
          <w:highlight w:val="none"/>
        </w:rPr>
        <w:t>。</w:t>
      </w:r>
      <w:r>
        <w:rPr>
          <w:rFonts w:hint="eastAsia"/>
          <w:color w:val="000000" w:themeColor="text1"/>
          <w:highlight w:val="none"/>
        </w:rPr>
        <w:t>本工程光伏以及储能装置通过2</w:t>
      </w:r>
      <w:r>
        <w:rPr>
          <w:rFonts w:hint="eastAsia"/>
          <w:color w:val="000000" w:themeColor="text1"/>
          <w:highlight w:val="none"/>
          <w:lang w:val="en-US" w:eastAsia="zh-CN"/>
        </w:rPr>
        <w:t>0</w:t>
      </w:r>
      <w:r>
        <w:rPr>
          <w:rFonts w:hint="eastAsia"/>
          <w:color w:val="000000" w:themeColor="text1"/>
          <w:highlight w:val="none"/>
        </w:rPr>
        <w:t>回（光伏区</w:t>
      </w:r>
      <w:r>
        <w:rPr>
          <w:rFonts w:hint="eastAsia"/>
          <w:color w:val="000000" w:themeColor="text1"/>
          <w:highlight w:val="none"/>
          <w:lang w:val="en-US" w:eastAsia="zh-CN"/>
        </w:rPr>
        <w:t>16</w:t>
      </w:r>
      <w:r>
        <w:rPr>
          <w:rFonts w:hint="eastAsia"/>
          <w:color w:val="000000" w:themeColor="text1"/>
          <w:highlight w:val="none"/>
        </w:rPr>
        <w:t>回、储能区4回）35kV集电线路接入220kV升压站的35kV母线，35kV采用高压开关柜布置型式。</w:t>
      </w:r>
    </w:p>
    <w:p>
      <w:pPr>
        <w:widowControl w:val="0"/>
        <w:adjustRightInd w:val="0"/>
        <w:snapToGrid w:val="0"/>
        <w:spacing w:line="360" w:lineRule="auto"/>
        <w:ind w:firstLine="420" w:firstLineChars="200"/>
        <w:rPr>
          <w:color w:val="000000" w:themeColor="text1"/>
          <w:highlight w:val="none"/>
        </w:rPr>
      </w:pPr>
      <w:r>
        <w:rPr>
          <w:color w:val="000000" w:themeColor="text1"/>
          <w:highlight w:val="none"/>
        </w:rPr>
        <w:t>(3)升压站平面布置</w:t>
      </w:r>
    </w:p>
    <w:p>
      <w:pPr>
        <w:widowControl w:val="0"/>
        <w:tabs>
          <w:tab w:val="left" w:pos="2852"/>
        </w:tabs>
        <w:adjustRightInd w:val="0"/>
        <w:snapToGrid w:val="0"/>
        <w:spacing w:line="360" w:lineRule="auto"/>
        <w:ind w:firstLine="480" w:firstLineChars="200"/>
        <w:rPr>
          <w:rFonts w:ascii="Times New Roman"/>
          <w:color w:val="auto"/>
          <w:sz w:val="24"/>
          <w:szCs w:val="24"/>
        </w:rPr>
      </w:pPr>
      <w:r>
        <w:rPr>
          <w:rFonts w:ascii="Times New Roman"/>
          <w:color w:val="000000" w:themeColor="text1"/>
          <w:sz w:val="24"/>
          <w:szCs w:val="24"/>
          <w:highlight w:val="none"/>
        </w:rPr>
        <w:t>升压站内主要建(构)筑物包括：</w:t>
      </w:r>
      <w:r>
        <w:rPr>
          <w:rFonts w:hint="eastAsia" w:ascii="Times New Roman"/>
          <w:color w:val="000000" w:themeColor="text1"/>
          <w:sz w:val="24"/>
          <w:szCs w:val="24"/>
          <w:highlight w:val="none"/>
        </w:rPr>
        <w:t>综合楼、</w:t>
      </w:r>
      <w:r>
        <w:rPr>
          <w:rFonts w:hint="eastAsia" w:ascii="Times New Roman"/>
          <w:color w:val="000000" w:themeColor="text1"/>
          <w:sz w:val="24"/>
          <w:szCs w:val="24"/>
          <w:highlight w:val="none"/>
          <w:lang w:val="en-US" w:eastAsia="zh-CN"/>
        </w:rPr>
        <w:t>继电器室</w:t>
      </w:r>
      <w:r>
        <w:rPr>
          <w:rFonts w:hint="eastAsia" w:ascii="Times New Roman"/>
          <w:color w:val="000000" w:themeColor="text1"/>
          <w:sz w:val="24"/>
          <w:szCs w:val="24"/>
          <w:highlight w:val="none"/>
        </w:rPr>
        <w:t>、危废暂存间等建筑物和事故油池、消防水池</w:t>
      </w:r>
      <w:r>
        <w:rPr>
          <w:rFonts w:ascii="Times New Roman"/>
          <w:color w:val="000000" w:themeColor="text1"/>
          <w:sz w:val="24"/>
          <w:szCs w:val="24"/>
          <w:highlight w:val="none"/>
        </w:rPr>
        <w:t>等构筑物。整个站区分为生活区、生产区及储能区三</w:t>
      </w:r>
      <w:r>
        <w:rPr>
          <w:rFonts w:ascii="Times New Roman"/>
          <w:color w:val="auto"/>
          <w:sz w:val="24"/>
          <w:szCs w:val="24"/>
        </w:rPr>
        <w:t>部分。生活区位于升压站</w:t>
      </w:r>
      <w:r>
        <w:rPr>
          <w:rFonts w:hint="eastAsia" w:ascii="Times New Roman"/>
          <w:color w:val="auto"/>
          <w:sz w:val="24"/>
          <w:szCs w:val="24"/>
          <w:lang w:val="en-US" w:eastAsia="zh-CN"/>
        </w:rPr>
        <w:t>东北</w:t>
      </w:r>
      <w:r>
        <w:rPr>
          <w:rFonts w:hint="eastAsia" w:ascii="Times New Roman"/>
          <w:color w:val="auto"/>
          <w:sz w:val="24"/>
          <w:szCs w:val="24"/>
        </w:rPr>
        <w:t>部</w:t>
      </w:r>
      <w:r>
        <w:rPr>
          <w:rFonts w:ascii="Times New Roman"/>
          <w:color w:val="auto"/>
          <w:sz w:val="24"/>
          <w:szCs w:val="24"/>
        </w:rPr>
        <w:t>，生产区位于升压站</w:t>
      </w:r>
      <w:r>
        <w:rPr>
          <w:rFonts w:hint="eastAsia" w:ascii="Times New Roman"/>
          <w:color w:val="auto"/>
          <w:sz w:val="24"/>
          <w:szCs w:val="24"/>
          <w:lang w:val="en-US" w:eastAsia="zh-CN"/>
        </w:rPr>
        <w:t>南</w:t>
      </w:r>
      <w:r>
        <w:rPr>
          <w:rFonts w:ascii="Times New Roman"/>
          <w:color w:val="auto"/>
          <w:sz w:val="24"/>
          <w:szCs w:val="24"/>
        </w:rPr>
        <w:t>部，储能区域位于升压站</w:t>
      </w:r>
      <w:r>
        <w:rPr>
          <w:rFonts w:hint="eastAsia" w:ascii="Times New Roman"/>
          <w:color w:val="auto"/>
          <w:sz w:val="24"/>
          <w:szCs w:val="24"/>
        </w:rPr>
        <w:t>北部</w:t>
      </w:r>
      <w:r>
        <w:rPr>
          <w:rFonts w:ascii="Times New Roman"/>
          <w:color w:val="auto"/>
          <w:sz w:val="24"/>
          <w:szCs w:val="24"/>
        </w:rPr>
        <w:t>。</w:t>
      </w:r>
    </w:p>
    <w:p>
      <w:pPr>
        <w:widowControl w:val="0"/>
        <w:tabs>
          <w:tab w:val="left" w:pos="2852"/>
        </w:tabs>
        <w:adjustRightInd w:val="0"/>
        <w:snapToGrid w:val="0"/>
        <w:spacing w:line="360" w:lineRule="auto"/>
        <w:ind w:firstLine="480" w:firstLineChars="200"/>
        <w:rPr>
          <w:rFonts w:ascii="Times New Roman"/>
          <w:color w:val="auto"/>
          <w:sz w:val="24"/>
          <w:szCs w:val="24"/>
        </w:rPr>
      </w:pPr>
      <w:r>
        <w:rPr>
          <w:rFonts w:hint="eastAsia" w:ascii="Times New Roman"/>
          <w:color w:val="auto"/>
          <w:sz w:val="24"/>
          <w:szCs w:val="24"/>
        </w:rPr>
        <w:t>生活区：综合楼布置在生活区中心，危废暂存间位于生活区东侧、消防水池位于生活区</w:t>
      </w:r>
      <w:r>
        <w:rPr>
          <w:rFonts w:hint="eastAsia" w:ascii="Times New Roman"/>
          <w:color w:val="auto"/>
          <w:sz w:val="24"/>
          <w:szCs w:val="24"/>
          <w:lang w:val="en-US" w:eastAsia="zh-CN"/>
        </w:rPr>
        <w:t>南</w:t>
      </w:r>
      <w:r>
        <w:rPr>
          <w:rFonts w:hint="eastAsia" w:ascii="Times New Roman"/>
          <w:color w:val="auto"/>
          <w:sz w:val="24"/>
          <w:szCs w:val="24"/>
        </w:rPr>
        <w:t>侧；配电生产区布置在升压站中部，与生活区用围栏隔开，事故油池位于配电生产区</w:t>
      </w:r>
      <w:r>
        <w:rPr>
          <w:rFonts w:hint="eastAsia" w:ascii="Times New Roman"/>
          <w:color w:val="auto"/>
          <w:sz w:val="24"/>
          <w:szCs w:val="24"/>
          <w:lang w:val="en-US" w:eastAsia="zh-CN"/>
        </w:rPr>
        <w:t>西</w:t>
      </w:r>
      <w:r>
        <w:rPr>
          <w:rFonts w:hint="eastAsia" w:ascii="Times New Roman"/>
          <w:color w:val="auto"/>
          <w:sz w:val="24"/>
          <w:szCs w:val="24"/>
        </w:rPr>
        <w:t>南角。</w:t>
      </w:r>
    </w:p>
    <w:p>
      <w:pPr>
        <w:widowControl w:val="0"/>
        <w:tabs>
          <w:tab w:val="left" w:pos="2852"/>
        </w:tabs>
        <w:adjustRightInd w:val="0"/>
        <w:snapToGrid w:val="0"/>
        <w:spacing w:line="360" w:lineRule="auto"/>
        <w:ind w:firstLine="480" w:firstLineChars="200"/>
        <w:rPr>
          <w:rFonts w:ascii="Times New Roman"/>
          <w:color w:val="auto"/>
          <w:sz w:val="24"/>
          <w:szCs w:val="24"/>
        </w:rPr>
      </w:pPr>
      <w:r>
        <w:rPr>
          <w:rFonts w:hint="eastAsia" w:ascii="Times New Roman"/>
          <w:color w:val="auto"/>
          <w:sz w:val="24"/>
          <w:szCs w:val="24"/>
        </w:rPr>
        <w:t>生产区：35k</w:t>
      </w:r>
      <w:r>
        <w:rPr>
          <w:rFonts w:ascii="Times New Roman"/>
          <w:color w:val="auto"/>
          <w:sz w:val="24"/>
          <w:szCs w:val="24"/>
        </w:rPr>
        <w:t>V</w:t>
      </w:r>
      <w:r>
        <w:rPr>
          <w:rFonts w:hint="eastAsia" w:ascii="Times New Roman"/>
          <w:color w:val="auto"/>
          <w:sz w:val="24"/>
          <w:szCs w:val="24"/>
        </w:rPr>
        <w:t>配电装置、主变压器、站用变压器、SVG等布置于配电生产区内，配电装置区和储能装置区均设有环形道路。</w:t>
      </w:r>
    </w:p>
    <w:p>
      <w:pPr>
        <w:widowControl w:val="0"/>
        <w:tabs>
          <w:tab w:val="left" w:pos="2852"/>
        </w:tabs>
        <w:adjustRightInd w:val="0"/>
        <w:snapToGrid w:val="0"/>
        <w:spacing w:line="360" w:lineRule="auto"/>
        <w:ind w:firstLine="480" w:firstLineChars="200"/>
        <w:rPr>
          <w:rFonts w:ascii="Times New Roman"/>
          <w:color w:val="auto"/>
          <w:sz w:val="24"/>
          <w:szCs w:val="24"/>
        </w:rPr>
      </w:pPr>
      <w:r>
        <w:rPr>
          <w:rFonts w:hint="eastAsia" w:ascii="Times New Roman"/>
          <w:color w:val="auto"/>
          <w:sz w:val="24"/>
          <w:szCs w:val="24"/>
        </w:rPr>
        <w:t>储能区：储能容量84MW/168MWh，</w:t>
      </w:r>
      <w:r>
        <w:rPr>
          <w:rFonts w:hint="default" w:ascii="Times New Roman" w:hAnsi="Times New Roman" w:eastAsia="宋体" w:cs="Times New Roman"/>
          <w:color w:val="auto"/>
          <w:sz w:val="24"/>
          <w:szCs w:val="24"/>
        </w:rPr>
        <w:t>其中16套采用5MW/10.031MWh，1套采用4MW/8.359MWh储能系统</w:t>
      </w:r>
      <w:r>
        <w:rPr>
          <w:rFonts w:hint="eastAsia" w:ascii="Times New Roman" w:hAnsi="Times New Roman" w:eastAsia="宋体" w:cs="Times New Roman"/>
          <w:color w:val="auto"/>
          <w:sz w:val="24"/>
          <w:szCs w:val="24"/>
        </w:rPr>
        <w:t>，共</w:t>
      </w:r>
      <w:r>
        <w:rPr>
          <w:rFonts w:hint="eastAsia" w:ascii="Times New Roman" w:hAnsi="Times New Roman" w:eastAsia="宋体" w:cs="Times New Roman"/>
          <w:color w:val="auto"/>
          <w:sz w:val="24"/>
          <w:szCs w:val="24"/>
          <w:lang w:val="en-US" w:eastAsia="zh-CN"/>
        </w:rPr>
        <w:t>17</w:t>
      </w:r>
      <w:r>
        <w:rPr>
          <w:rFonts w:hint="eastAsia" w:ascii="Times New Roman" w:hAnsi="Times New Roman" w:eastAsia="宋体" w:cs="Times New Roman"/>
          <w:color w:val="auto"/>
          <w:sz w:val="24"/>
          <w:szCs w:val="24"/>
        </w:rPr>
        <w:t>个单元，通</w:t>
      </w:r>
      <w:r>
        <w:rPr>
          <w:rFonts w:hint="eastAsia" w:ascii="Times New Roman"/>
          <w:color w:val="auto"/>
          <w:sz w:val="24"/>
          <w:szCs w:val="24"/>
        </w:rPr>
        <w:t>过4回35kV并网线路分别接入升压站35kV母线，每个储能单元由升压户外柜机和储能一体化户外柜组成。储能一体化户外柜内集成磷酸铁锂电池组，储能变流器，液冷系统等。</w:t>
      </w:r>
    </w:p>
    <w:p>
      <w:pPr>
        <w:widowControl w:val="0"/>
        <w:tabs>
          <w:tab w:val="left" w:pos="2852"/>
        </w:tabs>
        <w:adjustRightInd w:val="0"/>
        <w:snapToGrid w:val="0"/>
        <w:spacing w:line="360" w:lineRule="auto"/>
        <w:ind w:firstLine="420" w:firstLineChars="200"/>
      </w:pPr>
    </w:p>
    <w:p>
      <w:pPr>
        <w:widowControl w:val="0"/>
        <w:tabs>
          <w:tab w:val="left" w:pos="2852"/>
        </w:tabs>
        <w:adjustRightInd w:val="0"/>
        <w:snapToGrid w:val="0"/>
        <w:spacing w:line="360" w:lineRule="auto"/>
        <w:ind w:firstLine="420" w:firstLineChars="200"/>
      </w:pPr>
    </w:p>
    <w:p>
      <w:pPr>
        <w:widowControl w:val="0"/>
        <w:tabs>
          <w:tab w:val="left" w:pos="2852"/>
        </w:tabs>
        <w:adjustRightInd w:val="0"/>
        <w:snapToGrid w:val="0"/>
        <w:spacing w:line="360" w:lineRule="auto"/>
        <w:ind w:firstLine="420" w:firstLineChars="200"/>
      </w:pPr>
    </w:p>
    <w:p>
      <w:pPr>
        <w:widowControl w:val="0"/>
        <w:tabs>
          <w:tab w:val="left" w:pos="2852"/>
        </w:tabs>
        <w:adjustRightInd w:val="0"/>
        <w:snapToGrid w:val="0"/>
        <w:spacing w:line="360" w:lineRule="auto"/>
        <w:ind w:firstLine="420" w:firstLineChars="200"/>
      </w:pPr>
    </w:p>
    <w:p>
      <w:pPr>
        <w:widowControl w:val="0"/>
        <w:tabs>
          <w:tab w:val="left" w:pos="2852"/>
        </w:tabs>
        <w:adjustRightInd w:val="0"/>
        <w:snapToGrid w:val="0"/>
        <w:spacing w:line="360" w:lineRule="auto"/>
        <w:ind w:firstLine="420" w:firstLineChars="200"/>
      </w:pPr>
    </w:p>
    <w:p>
      <w:pPr>
        <w:widowControl w:val="0"/>
        <w:tabs>
          <w:tab w:val="left" w:pos="2852"/>
        </w:tabs>
        <w:adjustRightInd w:val="0"/>
        <w:snapToGrid w:val="0"/>
        <w:spacing w:line="360" w:lineRule="auto"/>
        <w:ind w:firstLine="420" w:firstLineChars="200"/>
      </w:pPr>
    </w:p>
    <w:p/>
    <w:p>
      <w:pPr>
        <w:pStyle w:val="2"/>
        <w:tabs>
          <w:tab w:val="left" w:pos="206"/>
          <w:tab w:val="center" w:pos="4422"/>
        </w:tabs>
        <w:jc w:val="left"/>
        <w:rPr>
          <w:rFonts w:ascii="Times New Roman" w:hAnsi="Times New Roman"/>
        </w:rPr>
      </w:pPr>
      <w:bookmarkStart w:id="37" w:name="_Toc103288999"/>
      <w:r>
        <w:rPr>
          <w:rFonts w:ascii="Times New Roman" w:hAnsi="Times New Roman"/>
        </w:rPr>
        <w:t>3、电磁环境现状</w:t>
      </w:r>
      <w:bookmarkEnd w:id="37"/>
    </w:p>
    <w:p>
      <w:pPr>
        <w:pStyle w:val="3"/>
        <w:spacing w:line="480" w:lineRule="exact"/>
        <w:ind w:firstLine="602" w:firstLineChars="200"/>
        <w:rPr>
          <w:rFonts w:ascii="Times New Roman" w:hAnsi="Times New Roman"/>
        </w:rPr>
      </w:pPr>
      <w:r>
        <w:rPr>
          <w:rFonts w:ascii="Times New Roman" w:hAnsi="Times New Roman"/>
        </w:rPr>
        <w:t>3.1监测单位和时间</w:t>
      </w:r>
    </w:p>
    <w:p>
      <w:pPr>
        <w:pStyle w:val="20"/>
        <w:spacing w:line="360" w:lineRule="auto"/>
        <w:ind w:firstLine="360" w:firstLineChars="200"/>
        <w:rPr>
          <w:rFonts w:ascii="Times New Roman" w:hAnsi="Times New Roman"/>
          <w:sz w:val="24"/>
          <w:highlight w:val="none"/>
        </w:rPr>
      </w:pPr>
      <w:r>
        <w:rPr>
          <w:rFonts w:hint="eastAsia"/>
          <w:color w:val="auto"/>
          <w:lang w:val="en-US" w:eastAsia="zh-CN"/>
        </w:rPr>
        <w:t>河北华川检验检测技术服务有限公司</w:t>
      </w:r>
      <w:r>
        <w:rPr>
          <w:rFonts w:ascii="Times New Roman" w:hAnsi="Times New Roman"/>
          <w:sz w:val="24"/>
        </w:rPr>
        <w:t>于202</w:t>
      </w:r>
      <w:r>
        <w:rPr>
          <w:rFonts w:hint="eastAsia" w:ascii="Times New Roman" w:hAnsi="Times New Roman"/>
          <w:sz w:val="24"/>
          <w:lang w:val="en-US" w:eastAsia="zh-CN"/>
        </w:rPr>
        <w:t>4</w:t>
      </w:r>
      <w:r>
        <w:rPr>
          <w:rFonts w:ascii="Times New Roman" w:hAnsi="Times New Roman"/>
          <w:sz w:val="24"/>
        </w:rPr>
        <w:t>年1</w:t>
      </w:r>
      <w:r>
        <w:rPr>
          <w:rFonts w:hint="eastAsia" w:ascii="Times New Roman" w:hAnsi="Times New Roman"/>
          <w:sz w:val="24"/>
          <w:lang w:val="en-US" w:eastAsia="zh-CN"/>
        </w:rPr>
        <w:t>0</w:t>
      </w:r>
      <w:r>
        <w:rPr>
          <w:rFonts w:ascii="Times New Roman" w:hAnsi="Times New Roman"/>
          <w:sz w:val="24"/>
        </w:rPr>
        <w:t>月</w:t>
      </w:r>
      <w:r>
        <w:rPr>
          <w:rFonts w:hint="eastAsia" w:ascii="Times New Roman" w:hAnsi="Times New Roman"/>
          <w:sz w:val="24"/>
          <w:lang w:val="en-US" w:eastAsia="zh-CN"/>
        </w:rPr>
        <w:t>14</w:t>
      </w:r>
      <w:r>
        <w:rPr>
          <w:rFonts w:ascii="Times New Roman" w:hAnsi="Times New Roman"/>
          <w:sz w:val="24"/>
        </w:rPr>
        <w:t>日进行了现场监测。报告编号：</w:t>
      </w:r>
      <w:r>
        <w:rPr>
          <w:rFonts w:hint="eastAsia" w:ascii="Times New Roman" w:hAnsi="Times New Roman"/>
          <w:sz w:val="24"/>
          <w:lang w:val="en-US" w:eastAsia="zh-CN"/>
        </w:rPr>
        <w:t>HBHC检</w:t>
      </w:r>
      <w:r>
        <w:rPr>
          <w:rFonts w:ascii="Times New Roman" w:hAnsi="Times New Roman"/>
          <w:sz w:val="24"/>
        </w:rPr>
        <w:t>字(202</w:t>
      </w:r>
      <w:r>
        <w:rPr>
          <w:rFonts w:hint="eastAsia" w:ascii="Times New Roman" w:hAnsi="Times New Roman"/>
          <w:sz w:val="24"/>
          <w:lang w:val="en-US" w:eastAsia="zh-CN"/>
        </w:rPr>
        <w:t>4</w:t>
      </w:r>
      <w:r>
        <w:rPr>
          <w:rFonts w:ascii="Times New Roman" w:hAnsi="Times New Roman"/>
          <w:sz w:val="24"/>
        </w:rPr>
        <w:t>)第</w:t>
      </w:r>
      <w:r>
        <w:rPr>
          <w:rFonts w:hint="eastAsia" w:ascii="Times New Roman" w:hAnsi="Times New Roman"/>
          <w:sz w:val="24"/>
          <w:lang w:val="en-US" w:eastAsia="zh-CN"/>
        </w:rPr>
        <w:t>399</w:t>
      </w:r>
      <w:r>
        <w:rPr>
          <w:rFonts w:ascii="Times New Roman" w:hAnsi="Times New Roman"/>
          <w:sz w:val="24"/>
        </w:rPr>
        <w:t>号</w:t>
      </w:r>
      <w:r>
        <w:rPr>
          <w:rFonts w:ascii="Times New Roman" w:hAnsi="Times New Roman"/>
          <w:sz w:val="24"/>
          <w:highlight w:val="none"/>
        </w:rPr>
        <w:t>，详见附件6。</w:t>
      </w:r>
    </w:p>
    <w:p>
      <w:pPr>
        <w:pStyle w:val="3"/>
        <w:spacing w:line="480" w:lineRule="exact"/>
        <w:ind w:firstLine="602" w:firstLineChars="200"/>
        <w:rPr>
          <w:rFonts w:ascii="Times New Roman" w:hAnsi="Times New Roman"/>
        </w:rPr>
      </w:pPr>
      <w:r>
        <w:rPr>
          <w:rFonts w:ascii="Times New Roman" w:hAnsi="Times New Roman"/>
        </w:rPr>
        <w:t>3.2监测期间环境条件</w:t>
      </w:r>
    </w:p>
    <w:p>
      <w:pPr>
        <w:widowControl w:val="0"/>
        <w:spacing w:line="360" w:lineRule="auto"/>
        <w:ind w:firstLine="480" w:firstLineChars="200"/>
        <w:rPr>
          <w:rFonts w:ascii="Times New Roman"/>
          <w:color w:val="auto"/>
          <w:sz w:val="24"/>
          <w:szCs w:val="24"/>
        </w:rPr>
      </w:pPr>
      <w:r>
        <w:rPr>
          <w:rFonts w:ascii="Times New Roman"/>
          <w:color w:val="auto"/>
          <w:sz w:val="24"/>
          <w:szCs w:val="24"/>
        </w:rPr>
        <w:t>无雨无雪，昼</w:t>
      </w:r>
      <w:r>
        <w:rPr>
          <w:rFonts w:hint="eastAsia" w:ascii="Times New Roman"/>
          <w:color w:val="auto"/>
          <w:sz w:val="24"/>
          <w:szCs w:val="24"/>
          <w:lang w:eastAsia="zh-CN"/>
        </w:rPr>
        <w:t>、</w:t>
      </w:r>
      <w:r>
        <w:rPr>
          <w:rFonts w:hint="eastAsia" w:ascii="Times New Roman"/>
          <w:color w:val="auto"/>
          <w:sz w:val="24"/>
          <w:szCs w:val="24"/>
          <w:lang w:val="en-US" w:eastAsia="zh-CN"/>
        </w:rPr>
        <w:t>夜</w:t>
      </w:r>
      <w:r>
        <w:rPr>
          <w:rFonts w:ascii="Times New Roman"/>
          <w:color w:val="auto"/>
          <w:sz w:val="24"/>
          <w:szCs w:val="24"/>
        </w:rPr>
        <w:t>间：环境温度</w:t>
      </w:r>
      <w:r>
        <w:rPr>
          <w:rFonts w:hint="eastAsia" w:ascii="Times New Roman"/>
          <w:color w:val="auto"/>
          <w:sz w:val="24"/>
          <w:szCs w:val="24"/>
        </w:rPr>
        <w:t>(</w:t>
      </w:r>
      <w:r>
        <w:rPr>
          <w:rFonts w:hint="eastAsia" w:ascii="Times New Roman"/>
          <w:color w:val="auto"/>
          <w:sz w:val="24"/>
          <w:szCs w:val="24"/>
          <w:lang w:val="en-US" w:eastAsia="zh-CN"/>
        </w:rPr>
        <w:t>16.6</w:t>
      </w:r>
      <w:r>
        <w:rPr>
          <w:rFonts w:ascii="Times New Roman"/>
          <w:color w:val="auto"/>
          <w:sz w:val="24"/>
          <w:szCs w:val="24"/>
        </w:rPr>
        <w:t>～</w:t>
      </w:r>
      <w:r>
        <w:rPr>
          <w:rFonts w:hint="eastAsia" w:ascii="Times New Roman"/>
          <w:color w:val="auto"/>
          <w:sz w:val="24"/>
          <w:szCs w:val="24"/>
          <w:lang w:val="en-US" w:eastAsia="zh-CN"/>
        </w:rPr>
        <w:t>22.1</w:t>
      </w:r>
      <w:r>
        <w:rPr>
          <w:rFonts w:ascii="Times New Roman"/>
          <w:color w:val="auto"/>
          <w:sz w:val="24"/>
          <w:szCs w:val="24"/>
        </w:rPr>
        <w:t>)℃；相对湿度：(</w:t>
      </w:r>
      <w:r>
        <w:rPr>
          <w:rFonts w:hint="eastAsia" w:ascii="Times New Roman"/>
          <w:color w:val="auto"/>
          <w:sz w:val="24"/>
          <w:szCs w:val="24"/>
          <w:lang w:val="en-US" w:eastAsia="zh-CN"/>
        </w:rPr>
        <w:t>53</w:t>
      </w:r>
      <w:r>
        <w:rPr>
          <w:rFonts w:ascii="Times New Roman"/>
          <w:color w:val="auto"/>
          <w:sz w:val="24"/>
          <w:szCs w:val="24"/>
        </w:rPr>
        <w:t>~</w:t>
      </w:r>
      <w:r>
        <w:rPr>
          <w:rFonts w:hint="eastAsia" w:ascii="Times New Roman"/>
          <w:color w:val="auto"/>
          <w:sz w:val="24"/>
          <w:szCs w:val="24"/>
          <w:lang w:val="en-US" w:eastAsia="zh-CN"/>
        </w:rPr>
        <w:t>55</w:t>
      </w:r>
      <w:r>
        <w:rPr>
          <w:rFonts w:ascii="Times New Roman"/>
          <w:color w:val="auto"/>
          <w:sz w:val="24"/>
          <w:szCs w:val="24"/>
        </w:rPr>
        <w:t>)%；风速为(</w:t>
      </w:r>
      <w:r>
        <w:rPr>
          <w:rFonts w:hint="eastAsia" w:ascii="Times New Roman"/>
          <w:color w:val="auto"/>
          <w:sz w:val="24"/>
          <w:szCs w:val="24"/>
          <w:lang w:val="en-US" w:eastAsia="zh-CN"/>
        </w:rPr>
        <w:t>0.66</w:t>
      </w:r>
      <w:r>
        <w:rPr>
          <w:rFonts w:ascii="Times New Roman"/>
          <w:color w:val="auto"/>
          <w:sz w:val="24"/>
          <w:szCs w:val="24"/>
        </w:rPr>
        <w:t>~1.</w:t>
      </w:r>
      <w:r>
        <w:rPr>
          <w:rFonts w:hint="eastAsia" w:ascii="Times New Roman"/>
          <w:color w:val="auto"/>
          <w:sz w:val="24"/>
          <w:szCs w:val="24"/>
          <w:lang w:val="en-US" w:eastAsia="zh-CN"/>
        </w:rPr>
        <w:t>89</w:t>
      </w:r>
      <w:r>
        <w:rPr>
          <w:rFonts w:ascii="Times New Roman"/>
          <w:color w:val="auto"/>
          <w:sz w:val="24"/>
          <w:szCs w:val="24"/>
        </w:rPr>
        <w:t>)m/s；</w:t>
      </w:r>
    </w:p>
    <w:p>
      <w:pPr>
        <w:pStyle w:val="3"/>
        <w:spacing w:line="480" w:lineRule="exact"/>
        <w:ind w:firstLine="602" w:firstLineChars="200"/>
        <w:rPr>
          <w:rFonts w:ascii="Times New Roman" w:hAnsi="Times New Roman"/>
        </w:rPr>
      </w:pPr>
      <w:r>
        <w:rPr>
          <w:rFonts w:ascii="Times New Roman" w:hAnsi="Times New Roman"/>
        </w:rPr>
        <w:t>3.3监测因子及监测仪器</w:t>
      </w:r>
    </w:p>
    <w:p>
      <w:pPr>
        <w:pStyle w:val="20"/>
        <w:spacing w:line="480" w:lineRule="exact"/>
        <w:ind w:firstLine="480" w:firstLineChars="200"/>
        <w:rPr>
          <w:rFonts w:ascii="Times New Roman" w:hAnsi="Times New Roman"/>
          <w:sz w:val="24"/>
        </w:rPr>
      </w:pPr>
      <w:r>
        <w:rPr>
          <w:rFonts w:ascii="Times New Roman" w:hAnsi="Times New Roman"/>
          <w:sz w:val="24"/>
        </w:rPr>
        <w:t>监测因子：工频电场、工频磁场</w:t>
      </w:r>
    </w:p>
    <w:p>
      <w:pPr>
        <w:pStyle w:val="20"/>
        <w:spacing w:line="480" w:lineRule="exact"/>
        <w:ind w:firstLine="480" w:firstLineChars="200"/>
        <w:rPr>
          <w:rFonts w:ascii="Times New Roman" w:hAnsi="Times New Roman"/>
          <w:sz w:val="24"/>
        </w:rPr>
      </w:pPr>
      <w:r>
        <w:rPr>
          <w:rFonts w:ascii="Times New Roman" w:hAnsi="Times New Roman"/>
          <w:sz w:val="24"/>
        </w:rPr>
        <w:t>监测仪器：详见表3-1。</w:t>
      </w:r>
    </w:p>
    <w:p>
      <w:pPr>
        <w:pStyle w:val="238"/>
      </w:pPr>
      <w:r>
        <w:t>表3-1  主要监测仪器及参数</w:t>
      </w:r>
    </w:p>
    <w:tbl>
      <w:tblPr>
        <w:tblStyle w:val="54"/>
        <w:tblpPr w:leftFromText="180" w:rightFromText="180" w:vertAnchor="text" w:horzAnchor="page" w:tblpX="1554" w:tblpY="434"/>
        <w:tblOverlap w:val="never"/>
        <w:tblW w:w="47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6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7" w:type="pct"/>
            <w:vAlign w:val="center"/>
          </w:tcPr>
          <w:p>
            <w:pPr>
              <w:keepNext w:val="0"/>
              <w:keepLines w:val="0"/>
              <w:widowControl/>
              <w:suppressLineNumbers w:val="0"/>
              <w:tabs>
                <w:tab w:val="left" w:pos="6300"/>
              </w:tabs>
              <w:spacing w:before="0" w:beforeAutospacing="0" w:after="0" w:afterAutospacing="0" w:line="360" w:lineRule="exact"/>
              <w:ind w:left="1541" w:right="0" w:hanging="1541"/>
              <w:jc w:val="center"/>
              <w:rPr>
                <w:b/>
                <w:bCs/>
                <w:sz w:val="21"/>
                <w:szCs w:val="21"/>
              </w:rPr>
            </w:pPr>
            <w:r>
              <w:rPr>
                <w:b/>
                <w:bCs/>
                <w:sz w:val="21"/>
                <w:szCs w:val="21"/>
              </w:rPr>
              <w:t>检测仪器</w:t>
            </w:r>
          </w:p>
        </w:tc>
        <w:tc>
          <w:tcPr>
            <w:tcW w:w="3742" w:type="pct"/>
            <w:vAlign w:val="center"/>
          </w:tcPr>
          <w:p>
            <w:pPr>
              <w:keepNext w:val="0"/>
              <w:keepLines w:val="0"/>
              <w:widowControl/>
              <w:suppressLineNumbers w:val="0"/>
              <w:tabs>
                <w:tab w:val="left" w:pos="6300"/>
              </w:tabs>
              <w:spacing w:before="0" w:beforeAutospacing="0" w:after="0" w:afterAutospacing="0" w:line="360" w:lineRule="exact"/>
              <w:ind w:left="0" w:right="0"/>
              <w:jc w:val="center"/>
              <w:rPr>
                <w:b/>
                <w:sz w:val="21"/>
                <w:szCs w:val="21"/>
              </w:rPr>
            </w:pPr>
            <w:r>
              <w:rPr>
                <w:sz w:val="21"/>
                <w:szCs w:val="21"/>
              </w:rPr>
              <w:t>LF-01/SEM-600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7" w:type="pct"/>
            <w:vAlign w:val="center"/>
          </w:tcPr>
          <w:p>
            <w:pPr>
              <w:keepNext w:val="0"/>
              <w:keepLines w:val="0"/>
              <w:widowControl/>
              <w:suppressLineNumbers w:val="0"/>
              <w:tabs>
                <w:tab w:val="left" w:pos="6300"/>
              </w:tabs>
              <w:spacing w:before="0" w:beforeAutospacing="0" w:after="0" w:afterAutospacing="0" w:line="360" w:lineRule="exact"/>
              <w:ind w:left="1541" w:right="0" w:hanging="1541"/>
              <w:jc w:val="center"/>
              <w:rPr>
                <w:b/>
                <w:bCs/>
                <w:sz w:val="21"/>
                <w:szCs w:val="21"/>
              </w:rPr>
            </w:pPr>
            <w:r>
              <w:rPr>
                <w:b/>
                <w:bCs/>
                <w:sz w:val="21"/>
                <w:szCs w:val="21"/>
              </w:rPr>
              <w:t>仪器编号</w:t>
            </w:r>
          </w:p>
        </w:tc>
        <w:tc>
          <w:tcPr>
            <w:tcW w:w="3742" w:type="pct"/>
            <w:vAlign w:val="center"/>
          </w:tcPr>
          <w:p>
            <w:pPr>
              <w:keepNext w:val="0"/>
              <w:keepLines w:val="0"/>
              <w:widowControl/>
              <w:suppressLineNumbers w:val="0"/>
              <w:tabs>
                <w:tab w:val="left" w:pos="6300"/>
              </w:tabs>
              <w:spacing w:before="0" w:beforeAutospacing="0" w:after="0" w:afterAutospacing="0" w:line="360" w:lineRule="exact"/>
              <w:ind w:left="0" w:right="0"/>
              <w:jc w:val="center"/>
              <w:rPr>
                <w:sz w:val="21"/>
                <w:szCs w:val="21"/>
              </w:rPr>
            </w:pPr>
            <w:r>
              <w:rPr>
                <w:sz w:val="21"/>
                <w:szCs w:val="21"/>
              </w:rPr>
              <w:t>DLYQ-09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7" w:type="pct"/>
            <w:vAlign w:val="center"/>
          </w:tcPr>
          <w:p>
            <w:pPr>
              <w:keepNext w:val="0"/>
              <w:keepLines w:val="0"/>
              <w:widowControl/>
              <w:suppressLineNumbers w:val="0"/>
              <w:tabs>
                <w:tab w:val="left" w:pos="6300"/>
              </w:tabs>
              <w:spacing w:before="0" w:beforeAutospacing="0" w:after="0" w:afterAutospacing="0" w:line="360" w:lineRule="exact"/>
              <w:ind w:left="1541" w:right="0" w:hanging="1541"/>
              <w:jc w:val="center"/>
              <w:rPr>
                <w:b/>
                <w:bCs/>
                <w:sz w:val="21"/>
                <w:szCs w:val="21"/>
              </w:rPr>
            </w:pPr>
            <w:r>
              <w:rPr>
                <w:b/>
                <w:bCs/>
                <w:sz w:val="21"/>
                <w:szCs w:val="21"/>
              </w:rPr>
              <w:t>测量范围</w:t>
            </w:r>
          </w:p>
        </w:tc>
        <w:tc>
          <w:tcPr>
            <w:tcW w:w="3742" w:type="pct"/>
            <w:vAlign w:val="center"/>
          </w:tcPr>
          <w:p>
            <w:pPr>
              <w:keepNext w:val="0"/>
              <w:keepLines w:val="0"/>
              <w:widowControl/>
              <w:suppressLineNumbers w:val="0"/>
              <w:tabs>
                <w:tab w:val="left" w:pos="6300"/>
              </w:tabs>
              <w:spacing w:before="0" w:beforeAutospacing="0" w:after="0" w:afterAutospacing="0"/>
              <w:ind w:left="0" w:right="0"/>
              <w:jc w:val="center"/>
              <w:rPr>
                <w:sz w:val="21"/>
                <w:szCs w:val="21"/>
              </w:rPr>
            </w:pPr>
            <w:r>
              <w:rPr>
                <w:sz w:val="21"/>
                <w:szCs w:val="21"/>
              </w:rPr>
              <w:t>电场强度：</w:t>
            </w:r>
            <w:r>
              <w:rPr>
                <w:rFonts w:hint="eastAsia"/>
                <w:sz w:val="21"/>
                <w:szCs w:val="21"/>
              </w:rPr>
              <w:t>0</w:t>
            </w:r>
            <w:r>
              <w:rPr>
                <w:sz w:val="21"/>
                <w:szCs w:val="21"/>
              </w:rPr>
              <w:t>.5V/m～100kV/m；磁感应强度：10nT～3mT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7" w:type="pct"/>
            <w:vAlign w:val="center"/>
          </w:tcPr>
          <w:p>
            <w:pPr>
              <w:keepNext w:val="0"/>
              <w:keepLines w:val="0"/>
              <w:widowControl/>
              <w:suppressLineNumbers w:val="0"/>
              <w:tabs>
                <w:tab w:val="left" w:pos="6300"/>
              </w:tabs>
              <w:spacing w:before="0" w:beforeAutospacing="0" w:after="0" w:afterAutospacing="0" w:line="360" w:lineRule="exact"/>
              <w:ind w:left="1541" w:right="0" w:hanging="1541"/>
              <w:jc w:val="center"/>
              <w:rPr>
                <w:rFonts w:hint="eastAsia" w:eastAsia="宋体"/>
                <w:b/>
                <w:bCs/>
                <w:sz w:val="21"/>
                <w:szCs w:val="21"/>
                <w:lang w:val="en-US" w:eastAsia="zh-CN"/>
              </w:rPr>
            </w:pPr>
            <w:r>
              <w:rPr>
                <w:b/>
                <w:bCs/>
                <w:sz w:val="21"/>
                <w:szCs w:val="21"/>
              </w:rPr>
              <w:t>校准</w:t>
            </w:r>
            <w:r>
              <w:rPr>
                <w:rFonts w:hint="eastAsia"/>
                <w:b/>
                <w:bCs/>
                <w:sz w:val="21"/>
                <w:szCs w:val="21"/>
                <w:lang w:val="en-US" w:eastAsia="zh-CN"/>
              </w:rPr>
              <w:t>有效</w:t>
            </w:r>
            <w:r>
              <w:rPr>
                <w:b/>
                <w:bCs/>
                <w:sz w:val="21"/>
                <w:szCs w:val="21"/>
              </w:rPr>
              <w:t>日期</w:t>
            </w:r>
            <w:r>
              <w:rPr>
                <w:rFonts w:hint="eastAsia"/>
                <w:b/>
                <w:bCs/>
                <w:sz w:val="21"/>
                <w:szCs w:val="21"/>
                <w:lang w:val="en-US" w:eastAsia="zh-CN"/>
              </w:rPr>
              <w:t>至</w:t>
            </w:r>
          </w:p>
        </w:tc>
        <w:tc>
          <w:tcPr>
            <w:tcW w:w="3742" w:type="pct"/>
            <w:vAlign w:val="center"/>
          </w:tcPr>
          <w:p>
            <w:pPr>
              <w:keepNext w:val="0"/>
              <w:keepLines w:val="0"/>
              <w:widowControl/>
              <w:suppressLineNumbers w:val="0"/>
              <w:tabs>
                <w:tab w:val="left" w:pos="6300"/>
              </w:tabs>
              <w:spacing w:before="0" w:beforeAutospacing="0" w:after="0" w:afterAutospacing="0" w:line="360" w:lineRule="exact"/>
              <w:ind w:left="1541" w:right="0" w:hanging="1541"/>
              <w:jc w:val="center"/>
              <w:rPr>
                <w:sz w:val="21"/>
                <w:szCs w:val="21"/>
              </w:rPr>
            </w:pPr>
            <w:r>
              <w:rPr>
                <w:sz w:val="21"/>
                <w:szCs w:val="21"/>
              </w:rPr>
              <w:t>202</w:t>
            </w:r>
            <w:r>
              <w:rPr>
                <w:rFonts w:hint="eastAsia"/>
                <w:sz w:val="21"/>
                <w:szCs w:val="21"/>
                <w:lang w:val="en-US" w:eastAsia="zh-CN"/>
              </w:rPr>
              <w:t>5</w:t>
            </w:r>
            <w:r>
              <w:rPr>
                <w:sz w:val="21"/>
                <w:szCs w:val="21"/>
              </w:rPr>
              <w:t>年1月</w:t>
            </w:r>
            <w:r>
              <w:rPr>
                <w:rFonts w:hint="eastAsia"/>
                <w:sz w:val="21"/>
                <w:szCs w:val="21"/>
                <w:lang w:val="en-US" w:eastAsia="zh-CN"/>
              </w:rPr>
              <w:t>17</w:t>
            </w:r>
            <w:r>
              <w:rPr>
                <w:sz w:val="21"/>
                <w:szCs w:val="21"/>
              </w:rPr>
              <w:t>日</w:t>
            </w:r>
          </w:p>
        </w:tc>
      </w:tr>
    </w:tbl>
    <w:p>
      <w:pPr>
        <w:pStyle w:val="238"/>
      </w:pPr>
    </w:p>
    <w:p>
      <w:pPr>
        <w:pStyle w:val="3"/>
        <w:spacing w:line="480" w:lineRule="exact"/>
        <w:ind w:firstLine="602" w:firstLineChars="200"/>
        <w:rPr>
          <w:rFonts w:ascii="Times New Roman" w:hAnsi="Times New Roman"/>
        </w:rPr>
      </w:pPr>
      <w:r>
        <w:rPr>
          <w:rFonts w:ascii="Times New Roman" w:hAnsi="Times New Roman"/>
        </w:rPr>
        <w:t>3.4监测方法</w:t>
      </w:r>
    </w:p>
    <w:p>
      <w:pPr>
        <w:pStyle w:val="20"/>
        <w:spacing w:line="480" w:lineRule="exact"/>
        <w:ind w:firstLine="480" w:firstLineChars="200"/>
        <w:rPr>
          <w:rFonts w:ascii="Times New Roman" w:hAnsi="Times New Roman"/>
          <w:sz w:val="24"/>
        </w:rPr>
      </w:pPr>
      <w:r>
        <w:rPr>
          <w:rFonts w:ascii="Times New Roman" w:hAnsi="Times New Roman"/>
          <w:sz w:val="24"/>
        </w:rPr>
        <w:t>工频电场、工频磁感应强度按照《交流输变电工程电磁环境监测方法(试行)》(HJ 681-2013)进行。</w:t>
      </w:r>
    </w:p>
    <w:p>
      <w:pPr>
        <w:pStyle w:val="3"/>
        <w:spacing w:line="480" w:lineRule="exact"/>
        <w:ind w:firstLine="602" w:firstLineChars="200"/>
        <w:rPr>
          <w:rFonts w:ascii="Times New Roman" w:hAnsi="Times New Roman"/>
        </w:rPr>
      </w:pPr>
      <w:r>
        <w:rPr>
          <w:rFonts w:ascii="Times New Roman" w:hAnsi="Times New Roman"/>
        </w:rPr>
        <w:t>3.5监测点位</w:t>
      </w:r>
    </w:p>
    <w:p>
      <w:pPr>
        <w:pStyle w:val="20"/>
        <w:spacing w:line="480" w:lineRule="exact"/>
        <w:ind w:firstLine="480" w:firstLineChars="200"/>
        <w:rPr>
          <w:rFonts w:ascii="Times New Roman" w:hAnsi="Times New Roman"/>
          <w:sz w:val="24"/>
        </w:rPr>
      </w:pPr>
      <w:r>
        <w:rPr>
          <w:rFonts w:ascii="Times New Roman" w:hAnsi="Times New Roman"/>
          <w:sz w:val="24"/>
        </w:rPr>
        <w:t>工频电磁场监测点在</w:t>
      </w:r>
      <w:r>
        <w:rPr>
          <w:rFonts w:hint="eastAsia" w:ascii="Times New Roman" w:hAnsi="Times New Roman"/>
          <w:sz w:val="24"/>
        </w:rPr>
        <w:t>本项目拟建升压站站址</w:t>
      </w:r>
      <w:r>
        <w:rPr>
          <w:rFonts w:ascii="Times New Roman" w:hAnsi="Times New Roman"/>
          <w:sz w:val="24"/>
        </w:rPr>
        <w:t>四周各设置1个监测点位。测量距地面1.5m高处的工频电场强度和工频磁感应强度。</w:t>
      </w:r>
    </w:p>
    <w:p>
      <w:pPr>
        <w:pStyle w:val="3"/>
        <w:spacing w:line="480" w:lineRule="exact"/>
        <w:ind w:firstLine="602" w:firstLineChars="200"/>
        <w:rPr>
          <w:rFonts w:ascii="Times New Roman" w:hAnsi="Times New Roman"/>
        </w:rPr>
      </w:pPr>
      <w:r>
        <w:rPr>
          <w:rFonts w:ascii="Times New Roman" w:hAnsi="Times New Roman"/>
        </w:rPr>
        <w:t>3.6监测结果</w:t>
      </w:r>
    </w:p>
    <w:p>
      <w:pPr>
        <w:pStyle w:val="20"/>
        <w:spacing w:line="360" w:lineRule="auto"/>
        <w:ind w:firstLine="480" w:firstLineChars="200"/>
        <w:rPr>
          <w:rFonts w:ascii="Times New Roman" w:hAnsi="Times New Roman"/>
          <w:sz w:val="24"/>
        </w:rPr>
      </w:pPr>
      <w:r>
        <w:rPr>
          <w:rFonts w:ascii="Times New Roman" w:hAnsi="Times New Roman"/>
          <w:sz w:val="24"/>
        </w:rPr>
        <w:t>监测结果见表3-2。</w:t>
      </w:r>
    </w:p>
    <w:p>
      <w:pPr>
        <w:pStyle w:val="21"/>
        <w:rPr>
          <w:rFonts w:ascii="Times New Roman" w:hAnsi="Times New Roman"/>
          <w:sz w:val="24"/>
        </w:rPr>
      </w:pPr>
    </w:p>
    <w:p>
      <w:pPr>
        <w:pStyle w:val="22"/>
      </w:pPr>
    </w:p>
    <w:p>
      <w:pPr>
        <w:pStyle w:val="238"/>
      </w:pPr>
      <w:r>
        <w:t>表3-2  电磁环境现状值监测结果</w:t>
      </w:r>
    </w:p>
    <w:tbl>
      <w:tblPr>
        <w:tblStyle w:val="54"/>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974"/>
        <w:gridCol w:w="2126"/>
        <w:gridCol w:w="2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widowControl/>
              <w:suppressLineNumbers w:val="0"/>
              <w:snapToGrid w:val="0"/>
              <w:spacing w:before="0" w:beforeAutospacing="0" w:after="0" w:afterAutospacing="0"/>
              <w:ind w:left="0" w:right="0"/>
              <w:jc w:val="center"/>
              <w:rPr>
                <w:b/>
                <w:sz w:val="21"/>
                <w:szCs w:val="21"/>
              </w:rPr>
            </w:pPr>
            <w:r>
              <w:rPr>
                <w:b/>
                <w:sz w:val="21"/>
                <w:szCs w:val="21"/>
              </w:rPr>
              <w:t>序号</w:t>
            </w:r>
          </w:p>
        </w:tc>
        <w:tc>
          <w:tcPr>
            <w:tcW w:w="2974" w:type="dxa"/>
            <w:vAlign w:val="center"/>
          </w:tcPr>
          <w:p>
            <w:pPr>
              <w:keepNext w:val="0"/>
              <w:keepLines w:val="0"/>
              <w:widowControl/>
              <w:suppressLineNumbers w:val="0"/>
              <w:snapToGrid w:val="0"/>
              <w:spacing w:before="0" w:beforeAutospacing="0" w:after="0" w:afterAutospacing="0"/>
              <w:ind w:left="0" w:right="0"/>
              <w:jc w:val="center"/>
              <w:rPr>
                <w:b/>
                <w:bCs/>
                <w:sz w:val="21"/>
                <w:szCs w:val="21"/>
              </w:rPr>
            </w:pPr>
            <w:r>
              <w:rPr>
                <w:rFonts w:hint="eastAsia"/>
                <w:b/>
                <w:bCs/>
                <w:sz w:val="21"/>
                <w:szCs w:val="21"/>
              </w:rPr>
              <w:t>方位</w:t>
            </w:r>
          </w:p>
        </w:tc>
        <w:tc>
          <w:tcPr>
            <w:tcW w:w="2126" w:type="dxa"/>
            <w:vAlign w:val="center"/>
          </w:tcPr>
          <w:p>
            <w:pPr>
              <w:keepNext w:val="0"/>
              <w:keepLines w:val="0"/>
              <w:widowControl/>
              <w:suppressLineNumbers w:val="0"/>
              <w:snapToGrid w:val="0"/>
              <w:spacing w:before="0" w:beforeAutospacing="0" w:after="0" w:afterAutospacing="0"/>
              <w:ind w:left="0" w:right="0"/>
              <w:jc w:val="center"/>
              <w:rPr>
                <w:b/>
                <w:sz w:val="21"/>
                <w:szCs w:val="21"/>
              </w:rPr>
            </w:pPr>
            <w:r>
              <w:rPr>
                <w:b/>
                <w:sz w:val="21"/>
                <w:szCs w:val="21"/>
              </w:rPr>
              <w:t>工频电场强度(V/m)</w:t>
            </w:r>
          </w:p>
        </w:tc>
        <w:tc>
          <w:tcPr>
            <w:tcW w:w="2126" w:type="dxa"/>
            <w:vAlign w:val="center"/>
          </w:tcPr>
          <w:p>
            <w:pPr>
              <w:keepNext w:val="0"/>
              <w:keepLines w:val="0"/>
              <w:widowControl/>
              <w:suppressLineNumbers w:val="0"/>
              <w:snapToGrid w:val="0"/>
              <w:spacing w:before="0" w:beforeAutospacing="0" w:after="0" w:afterAutospacing="0"/>
              <w:ind w:left="0" w:right="0"/>
              <w:jc w:val="center"/>
              <w:rPr>
                <w:b/>
                <w:sz w:val="21"/>
                <w:szCs w:val="21"/>
              </w:rPr>
            </w:pPr>
            <w:r>
              <w:rPr>
                <w:b/>
                <w:sz w:val="21"/>
                <w:szCs w:val="21"/>
              </w:rPr>
              <w:t>工频磁感应强度(μT)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widowControl/>
              <w:suppressLineNumbers w:val="0"/>
              <w:snapToGrid w:val="0"/>
              <w:spacing w:before="0" w:beforeAutospacing="0" w:after="0" w:afterAutospacing="0"/>
              <w:ind w:left="0" w:right="0"/>
              <w:jc w:val="center"/>
              <w:rPr>
                <w:sz w:val="21"/>
                <w:szCs w:val="21"/>
              </w:rPr>
            </w:pPr>
            <w:r>
              <w:rPr>
                <w:sz w:val="21"/>
                <w:szCs w:val="21"/>
              </w:rPr>
              <w:t>1</w:t>
            </w:r>
          </w:p>
        </w:tc>
        <w:tc>
          <w:tcPr>
            <w:tcW w:w="2974" w:type="dxa"/>
            <w:vAlign w:val="center"/>
          </w:tcPr>
          <w:p>
            <w:pPr>
              <w:keepNext w:val="0"/>
              <w:keepLines w:val="0"/>
              <w:widowControl w:val="0"/>
              <w:suppressLineNumbers w:val="0"/>
              <w:snapToGrid w:val="0"/>
              <w:spacing w:before="0" w:beforeAutospacing="0" w:after="0" w:afterAutospacing="0"/>
              <w:ind w:left="0" w:right="0"/>
              <w:jc w:val="center"/>
              <w:rPr>
                <w:sz w:val="21"/>
                <w:szCs w:val="21"/>
              </w:rPr>
            </w:pPr>
            <w:r>
              <w:rPr>
                <w:rFonts w:ascii="Times New Roman"/>
                <w:color w:val="auto"/>
                <w:sz w:val="21"/>
                <w:szCs w:val="21"/>
                <w:highlight w:val="none"/>
              </w:rPr>
              <w:t>拟建升压站站址</w:t>
            </w:r>
            <w:r>
              <w:rPr>
                <w:rFonts w:hint="eastAsia" w:ascii="Times New Roman"/>
                <w:color w:val="auto"/>
                <w:sz w:val="21"/>
                <w:szCs w:val="21"/>
                <w:highlight w:val="none"/>
                <w:lang w:val="en-US" w:eastAsia="zh-CN"/>
              </w:rPr>
              <w:t>东</w:t>
            </w:r>
            <w:r>
              <w:rPr>
                <w:rFonts w:ascii="Times New Roman"/>
                <w:color w:val="auto"/>
                <w:sz w:val="21"/>
                <w:szCs w:val="21"/>
                <w:highlight w:val="none"/>
              </w:rPr>
              <w:t>侧</w:t>
            </w:r>
          </w:p>
        </w:tc>
        <w:tc>
          <w:tcPr>
            <w:tcW w:w="2126" w:type="dxa"/>
            <w:vAlign w:val="center"/>
          </w:tcPr>
          <w:p>
            <w:pPr>
              <w:keepNext w:val="0"/>
              <w:keepLines w:val="0"/>
              <w:widowControl/>
              <w:suppressLineNumbers w:val="0"/>
              <w:spacing w:before="0" w:beforeAutospacing="0" w:after="0" w:afterAutospacing="0" w:line="360" w:lineRule="auto"/>
              <w:ind w:left="0" w:right="0"/>
              <w:jc w:val="center"/>
              <w:rPr>
                <w:sz w:val="21"/>
                <w:szCs w:val="21"/>
              </w:rPr>
            </w:pPr>
            <w:r>
              <w:rPr>
                <w:rFonts w:hint="eastAsia" w:ascii="宋体" w:hAnsi="宋体" w:eastAsia="宋体" w:cs="宋体"/>
                <w:bCs/>
                <w:sz w:val="21"/>
                <w:szCs w:val="21"/>
                <w:highlight w:val="none"/>
                <w:lang w:val="en-US" w:eastAsia="zh-CN"/>
              </w:rPr>
              <w:t>4.513</w:t>
            </w:r>
          </w:p>
        </w:tc>
        <w:tc>
          <w:tcPr>
            <w:tcW w:w="2126" w:type="dxa"/>
            <w:vAlign w:val="center"/>
          </w:tcPr>
          <w:p>
            <w:pPr>
              <w:keepNext w:val="0"/>
              <w:keepLines w:val="0"/>
              <w:widowControl/>
              <w:suppressLineNumbers w:val="0"/>
              <w:spacing w:before="0" w:beforeAutospacing="0" w:after="0" w:afterAutospacing="0" w:line="360" w:lineRule="auto"/>
              <w:ind w:left="0" w:right="0"/>
              <w:jc w:val="center"/>
              <w:rPr>
                <w:sz w:val="21"/>
                <w:szCs w:val="21"/>
              </w:rPr>
            </w:pPr>
            <w:r>
              <w:rPr>
                <w:rFonts w:hint="eastAsia" w:ascii="宋体" w:hAnsi="宋体" w:eastAsia="宋体" w:cs="宋体"/>
                <w:bCs/>
                <w:sz w:val="21"/>
                <w:szCs w:val="21"/>
                <w:highlight w:val="none"/>
                <w:lang w:val="en-US" w:eastAsia="zh-CN"/>
              </w:rPr>
              <w:t>0.0130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widowControl/>
              <w:suppressLineNumbers w:val="0"/>
              <w:snapToGrid w:val="0"/>
              <w:spacing w:before="0" w:beforeAutospacing="0" w:after="0" w:afterAutospacing="0"/>
              <w:ind w:left="0" w:right="0"/>
              <w:jc w:val="center"/>
              <w:rPr>
                <w:sz w:val="21"/>
                <w:szCs w:val="21"/>
              </w:rPr>
            </w:pPr>
            <w:r>
              <w:rPr>
                <w:sz w:val="21"/>
                <w:szCs w:val="21"/>
              </w:rPr>
              <w:t>2</w:t>
            </w:r>
          </w:p>
        </w:tc>
        <w:tc>
          <w:tcPr>
            <w:tcW w:w="2974" w:type="dxa"/>
            <w:vAlign w:val="center"/>
          </w:tcPr>
          <w:p>
            <w:pPr>
              <w:keepNext w:val="0"/>
              <w:keepLines w:val="0"/>
              <w:widowControl w:val="0"/>
              <w:suppressLineNumbers w:val="0"/>
              <w:snapToGrid w:val="0"/>
              <w:spacing w:before="0" w:beforeAutospacing="0" w:after="0" w:afterAutospacing="0"/>
              <w:ind w:left="0" w:right="0"/>
              <w:jc w:val="center"/>
              <w:rPr>
                <w:sz w:val="21"/>
                <w:szCs w:val="21"/>
              </w:rPr>
            </w:pPr>
            <w:r>
              <w:rPr>
                <w:rFonts w:ascii="Times New Roman"/>
                <w:color w:val="auto"/>
                <w:sz w:val="21"/>
                <w:szCs w:val="21"/>
                <w:highlight w:val="none"/>
              </w:rPr>
              <w:t>拟建升压站站址南侧</w:t>
            </w:r>
          </w:p>
        </w:tc>
        <w:tc>
          <w:tcPr>
            <w:tcW w:w="2126" w:type="dxa"/>
            <w:vAlign w:val="center"/>
          </w:tcPr>
          <w:p>
            <w:pPr>
              <w:keepNext w:val="0"/>
              <w:keepLines w:val="0"/>
              <w:widowControl/>
              <w:suppressLineNumbers w:val="0"/>
              <w:spacing w:before="0" w:beforeAutospacing="0" w:after="0" w:afterAutospacing="0" w:line="360" w:lineRule="auto"/>
              <w:ind w:left="0" w:right="0"/>
              <w:jc w:val="center"/>
              <w:rPr>
                <w:sz w:val="21"/>
                <w:szCs w:val="21"/>
              </w:rPr>
            </w:pPr>
            <w:r>
              <w:rPr>
                <w:rFonts w:hint="eastAsia" w:ascii="宋体" w:hAnsi="宋体" w:eastAsia="宋体" w:cs="宋体"/>
                <w:bCs/>
                <w:sz w:val="21"/>
                <w:szCs w:val="21"/>
                <w:highlight w:val="none"/>
                <w:lang w:val="en-US" w:eastAsia="zh-CN"/>
              </w:rPr>
              <w:t>5.276</w:t>
            </w:r>
          </w:p>
        </w:tc>
        <w:tc>
          <w:tcPr>
            <w:tcW w:w="2126" w:type="dxa"/>
            <w:vAlign w:val="center"/>
          </w:tcPr>
          <w:p>
            <w:pPr>
              <w:keepNext w:val="0"/>
              <w:keepLines w:val="0"/>
              <w:widowControl/>
              <w:suppressLineNumbers w:val="0"/>
              <w:spacing w:before="0" w:beforeAutospacing="0" w:after="0" w:afterAutospacing="0" w:line="360" w:lineRule="auto"/>
              <w:ind w:left="0" w:right="0"/>
              <w:jc w:val="center"/>
              <w:rPr>
                <w:sz w:val="21"/>
                <w:szCs w:val="21"/>
              </w:rPr>
            </w:pPr>
            <w:r>
              <w:rPr>
                <w:rFonts w:hint="eastAsia" w:ascii="宋体" w:hAnsi="宋体" w:eastAsia="宋体" w:cs="宋体"/>
                <w:bCs/>
                <w:sz w:val="21"/>
                <w:szCs w:val="21"/>
                <w:highlight w:val="none"/>
                <w:lang w:val="en-US" w:eastAsia="zh-CN"/>
              </w:rPr>
              <w:t>0.0137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widowControl/>
              <w:suppressLineNumbers w:val="0"/>
              <w:snapToGrid w:val="0"/>
              <w:spacing w:before="0" w:beforeAutospacing="0" w:after="0" w:afterAutospacing="0"/>
              <w:ind w:left="0" w:right="0"/>
              <w:jc w:val="center"/>
              <w:rPr>
                <w:sz w:val="21"/>
                <w:szCs w:val="21"/>
              </w:rPr>
            </w:pPr>
            <w:r>
              <w:rPr>
                <w:sz w:val="21"/>
                <w:szCs w:val="21"/>
              </w:rPr>
              <w:t>3</w:t>
            </w:r>
          </w:p>
        </w:tc>
        <w:tc>
          <w:tcPr>
            <w:tcW w:w="2974" w:type="dxa"/>
            <w:vAlign w:val="center"/>
          </w:tcPr>
          <w:p>
            <w:pPr>
              <w:keepNext w:val="0"/>
              <w:keepLines w:val="0"/>
              <w:widowControl w:val="0"/>
              <w:suppressLineNumbers w:val="0"/>
              <w:snapToGrid w:val="0"/>
              <w:spacing w:before="0" w:beforeAutospacing="0" w:after="0" w:afterAutospacing="0"/>
              <w:ind w:left="0" w:right="0"/>
              <w:jc w:val="center"/>
              <w:rPr>
                <w:sz w:val="21"/>
                <w:szCs w:val="21"/>
              </w:rPr>
            </w:pPr>
            <w:r>
              <w:rPr>
                <w:rFonts w:ascii="Times New Roman"/>
                <w:color w:val="auto"/>
                <w:sz w:val="21"/>
                <w:szCs w:val="21"/>
                <w:highlight w:val="none"/>
              </w:rPr>
              <w:t>拟建升压站站址</w:t>
            </w:r>
            <w:r>
              <w:rPr>
                <w:rFonts w:hint="eastAsia" w:ascii="Times New Roman"/>
                <w:color w:val="auto"/>
                <w:sz w:val="21"/>
                <w:szCs w:val="21"/>
                <w:highlight w:val="none"/>
                <w:lang w:val="en-US" w:eastAsia="zh-CN"/>
              </w:rPr>
              <w:t>西</w:t>
            </w:r>
            <w:r>
              <w:rPr>
                <w:rFonts w:ascii="Times New Roman"/>
                <w:color w:val="auto"/>
                <w:sz w:val="21"/>
                <w:szCs w:val="21"/>
                <w:highlight w:val="none"/>
              </w:rPr>
              <w:t>侧</w:t>
            </w:r>
          </w:p>
        </w:tc>
        <w:tc>
          <w:tcPr>
            <w:tcW w:w="2126" w:type="dxa"/>
            <w:vAlign w:val="center"/>
          </w:tcPr>
          <w:p>
            <w:pPr>
              <w:keepNext w:val="0"/>
              <w:keepLines w:val="0"/>
              <w:widowControl/>
              <w:suppressLineNumbers w:val="0"/>
              <w:spacing w:before="0" w:beforeAutospacing="0" w:after="0" w:afterAutospacing="0" w:line="360" w:lineRule="auto"/>
              <w:ind w:left="0" w:right="0"/>
              <w:jc w:val="center"/>
              <w:rPr>
                <w:sz w:val="21"/>
                <w:szCs w:val="21"/>
              </w:rPr>
            </w:pPr>
            <w:r>
              <w:rPr>
                <w:rFonts w:hint="eastAsia" w:ascii="宋体" w:hAnsi="宋体" w:eastAsia="宋体" w:cs="宋体"/>
                <w:bCs/>
                <w:sz w:val="21"/>
                <w:szCs w:val="21"/>
                <w:highlight w:val="none"/>
                <w:lang w:val="en-US" w:eastAsia="zh-CN"/>
              </w:rPr>
              <w:t>4.360</w:t>
            </w:r>
          </w:p>
        </w:tc>
        <w:tc>
          <w:tcPr>
            <w:tcW w:w="2126" w:type="dxa"/>
            <w:vAlign w:val="center"/>
          </w:tcPr>
          <w:p>
            <w:pPr>
              <w:keepNext w:val="0"/>
              <w:keepLines w:val="0"/>
              <w:widowControl/>
              <w:suppressLineNumbers w:val="0"/>
              <w:spacing w:before="0" w:beforeAutospacing="0" w:after="0" w:afterAutospacing="0" w:line="360" w:lineRule="auto"/>
              <w:ind w:left="0" w:right="0"/>
              <w:jc w:val="center"/>
              <w:rPr>
                <w:sz w:val="21"/>
                <w:szCs w:val="21"/>
              </w:rPr>
            </w:pPr>
            <w:r>
              <w:rPr>
                <w:rFonts w:hint="eastAsia" w:ascii="宋体" w:hAnsi="宋体" w:eastAsia="宋体" w:cs="宋体"/>
                <w:bCs/>
                <w:sz w:val="21"/>
                <w:szCs w:val="21"/>
                <w:highlight w:val="none"/>
                <w:lang w:val="en-US" w:eastAsia="zh-CN"/>
              </w:rPr>
              <w:t>0.0137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Align w:val="center"/>
          </w:tcPr>
          <w:p>
            <w:pPr>
              <w:keepNext w:val="0"/>
              <w:keepLines w:val="0"/>
              <w:widowControl/>
              <w:suppressLineNumbers w:val="0"/>
              <w:snapToGrid w:val="0"/>
              <w:spacing w:before="0" w:beforeAutospacing="0" w:after="0" w:afterAutospacing="0"/>
              <w:ind w:left="0" w:right="0"/>
              <w:jc w:val="center"/>
              <w:rPr>
                <w:sz w:val="21"/>
                <w:szCs w:val="21"/>
              </w:rPr>
            </w:pPr>
            <w:r>
              <w:rPr>
                <w:sz w:val="21"/>
                <w:szCs w:val="21"/>
              </w:rPr>
              <w:t>4</w:t>
            </w:r>
          </w:p>
        </w:tc>
        <w:tc>
          <w:tcPr>
            <w:tcW w:w="2974" w:type="dxa"/>
            <w:vAlign w:val="center"/>
          </w:tcPr>
          <w:p>
            <w:pPr>
              <w:keepNext w:val="0"/>
              <w:keepLines w:val="0"/>
              <w:widowControl w:val="0"/>
              <w:suppressLineNumbers w:val="0"/>
              <w:snapToGrid w:val="0"/>
              <w:spacing w:before="0" w:beforeAutospacing="0" w:after="0" w:afterAutospacing="0"/>
              <w:ind w:left="0" w:right="0"/>
              <w:jc w:val="center"/>
              <w:rPr>
                <w:sz w:val="21"/>
                <w:szCs w:val="21"/>
              </w:rPr>
            </w:pPr>
            <w:r>
              <w:rPr>
                <w:rFonts w:ascii="Times New Roman"/>
                <w:color w:val="auto"/>
                <w:sz w:val="21"/>
                <w:szCs w:val="21"/>
                <w:highlight w:val="none"/>
              </w:rPr>
              <w:t>拟建升压站站址北侧</w:t>
            </w:r>
          </w:p>
        </w:tc>
        <w:tc>
          <w:tcPr>
            <w:tcW w:w="2126" w:type="dxa"/>
            <w:vAlign w:val="center"/>
          </w:tcPr>
          <w:p>
            <w:pPr>
              <w:keepNext w:val="0"/>
              <w:keepLines w:val="0"/>
              <w:widowControl/>
              <w:suppressLineNumbers w:val="0"/>
              <w:spacing w:before="0" w:beforeAutospacing="0" w:after="0" w:afterAutospacing="0" w:line="360" w:lineRule="auto"/>
              <w:ind w:left="0" w:right="0"/>
              <w:jc w:val="center"/>
              <w:rPr>
                <w:sz w:val="21"/>
                <w:szCs w:val="21"/>
              </w:rPr>
            </w:pPr>
            <w:r>
              <w:rPr>
                <w:rFonts w:hint="eastAsia" w:ascii="宋体" w:hAnsi="宋体" w:eastAsia="宋体" w:cs="宋体"/>
                <w:bCs/>
                <w:sz w:val="21"/>
                <w:szCs w:val="21"/>
                <w:highlight w:val="none"/>
                <w:lang w:val="en-US" w:eastAsia="zh-CN"/>
              </w:rPr>
              <w:t>3.380</w:t>
            </w:r>
          </w:p>
        </w:tc>
        <w:tc>
          <w:tcPr>
            <w:tcW w:w="2126" w:type="dxa"/>
            <w:vAlign w:val="center"/>
          </w:tcPr>
          <w:p>
            <w:pPr>
              <w:keepNext w:val="0"/>
              <w:keepLines w:val="0"/>
              <w:widowControl/>
              <w:suppressLineNumbers w:val="0"/>
              <w:spacing w:before="0" w:beforeAutospacing="0" w:after="0" w:afterAutospacing="0" w:line="360" w:lineRule="auto"/>
              <w:ind w:left="0" w:right="0"/>
              <w:jc w:val="center"/>
              <w:rPr>
                <w:sz w:val="21"/>
                <w:szCs w:val="21"/>
              </w:rPr>
            </w:pPr>
            <w:r>
              <w:rPr>
                <w:rFonts w:hint="eastAsia" w:ascii="宋体" w:hAnsi="宋体" w:eastAsia="宋体" w:cs="宋体"/>
                <w:bCs/>
                <w:sz w:val="21"/>
                <w:szCs w:val="21"/>
                <w:highlight w:val="none"/>
                <w:lang w:val="en-US" w:eastAsia="zh-CN"/>
              </w:rPr>
              <w:t>0.0141</w:t>
            </w:r>
          </w:p>
        </w:tc>
      </w:tr>
    </w:tbl>
    <w:p>
      <w:pPr>
        <w:pStyle w:val="20"/>
        <w:widowControl w:val="0"/>
        <w:spacing w:line="360" w:lineRule="auto"/>
        <w:ind w:firstLine="480" w:firstLineChars="200"/>
        <w:jc w:val="both"/>
        <w:rPr>
          <w:rFonts w:ascii="Times New Roman" w:hAnsi="Times New Roman"/>
          <w:sz w:val="24"/>
        </w:rPr>
      </w:pPr>
      <w:r>
        <w:rPr>
          <w:rFonts w:ascii="Times New Roman" w:hAnsi="Times New Roman"/>
          <w:sz w:val="24"/>
        </w:rPr>
        <w:t>根据表3-2</w:t>
      </w:r>
      <w:r>
        <w:rPr>
          <w:rFonts w:hint="eastAsia" w:ascii="Times New Roman" w:hAnsi="Times New Roman"/>
          <w:sz w:val="24"/>
        </w:rPr>
        <w:t>可知</w:t>
      </w:r>
      <w:r>
        <w:rPr>
          <w:rFonts w:ascii="Times New Roman" w:hAnsi="Times New Roman"/>
          <w:sz w:val="24"/>
        </w:rPr>
        <w:t>，</w:t>
      </w:r>
      <w:bookmarkStart w:id="38" w:name="_Hlk65154979"/>
      <w:r>
        <w:rPr>
          <w:rFonts w:ascii="Times New Roman"/>
          <w:color w:val="auto"/>
          <w:sz w:val="24"/>
          <w:szCs w:val="24"/>
          <w:highlight w:val="none"/>
        </w:rPr>
        <w:t>拟建站址处工频</w:t>
      </w:r>
      <w:r>
        <w:rPr>
          <w:rFonts w:ascii="Times New Roman"/>
          <w:bCs/>
          <w:color w:val="auto"/>
          <w:sz w:val="24"/>
          <w:szCs w:val="24"/>
          <w:highlight w:val="none"/>
        </w:rPr>
        <w:t>电场强度为(</w:t>
      </w:r>
      <w:r>
        <w:rPr>
          <w:rFonts w:hint="eastAsia" w:ascii="Times New Roman"/>
          <w:bCs/>
          <w:color w:val="auto"/>
          <w:sz w:val="24"/>
          <w:szCs w:val="24"/>
          <w:highlight w:val="none"/>
          <w:lang w:val="en-US" w:eastAsia="zh-CN"/>
        </w:rPr>
        <w:t>3.380</w:t>
      </w:r>
      <w:r>
        <w:rPr>
          <w:rFonts w:ascii="Times New Roman"/>
          <w:bCs/>
          <w:color w:val="auto"/>
          <w:sz w:val="24"/>
          <w:szCs w:val="24"/>
          <w:highlight w:val="none"/>
        </w:rPr>
        <w:t>~</w:t>
      </w:r>
      <w:r>
        <w:rPr>
          <w:rFonts w:hint="eastAsia" w:ascii="Times New Roman"/>
          <w:bCs/>
          <w:color w:val="auto"/>
          <w:sz w:val="24"/>
          <w:szCs w:val="24"/>
          <w:highlight w:val="none"/>
          <w:lang w:val="en-US" w:eastAsia="zh-CN"/>
        </w:rPr>
        <w:t>5.276</w:t>
      </w:r>
      <w:r>
        <w:rPr>
          <w:rFonts w:ascii="Times New Roman"/>
          <w:bCs/>
          <w:color w:val="auto"/>
          <w:sz w:val="24"/>
          <w:szCs w:val="24"/>
          <w:highlight w:val="none"/>
        </w:rPr>
        <w:t>)V/m，符合《电磁环境控制限值》(GB 8702-2014)规定的工频电场强度4kV/m公众</w:t>
      </w:r>
      <w:r>
        <w:rPr>
          <w:rFonts w:hint="eastAsia" w:ascii="Times New Roman"/>
          <w:bCs/>
          <w:color w:val="auto"/>
          <w:sz w:val="24"/>
          <w:szCs w:val="24"/>
          <w:highlight w:val="none"/>
        </w:rPr>
        <w:t>暴露</w:t>
      </w:r>
      <w:r>
        <w:rPr>
          <w:rFonts w:ascii="Times New Roman"/>
          <w:bCs/>
          <w:color w:val="auto"/>
          <w:sz w:val="24"/>
          <w:szCs w:val="24"/>
          <w:highlight w:val="none"/>
        </w:rPr>
        <w:t>控制限值要求；工频磁感应强度为(0.013~0.01</w:t>
      </w:r>
      <w:r>
        <w:rPr>
          <w:rFonts w:hint="eastAsia" w:ascii="Times New Roman"/>
          <w:bCs/>
          <w:color w:val="auto"/>
          <w:sz w:val="24"/>
          <w:szCs w:val="24"/>
          <w:highlight w:val="none"/>
          <w:lang w:val="en-US" w:eastAsia="zh-CN"/>
        </w:rPr>
        <w:t>41）</w:t>
      </w:r>
      <w:r>
        <w:rPr>
          <w:rFonts w:ascii="Times New Roman"/>
          <w:bCs/>
          <w:color w:val="auto"/>
          <w:sz w:val="24"/>
          <w:szCs w:val="24"/>
          <w:highlight w:val="none"/>
        </w:rPr>
        <w:t>μT，符合《电磁环境控制限值》(GB 8702-2014)工频磁感应强度100μT公众</w:t>
      </w:r>
      <w:r>
        <w:rPr>
          <w:rFonts w:hint="eastAsia" w:ascii="Times New Roman"/>
          <w:bCs/>
          <w:color w:val="auto"/>
          <w:sz w:val="24"/>
          <w:szCs w:val="24"/>
          <w:highlight w:val="none"/>
        </w:rPr>
        <w:t>暴露</w:t>
      </w:r>
      <w:r>
        <w:rPr>
          <w:rFonts w:ascii="Times New Roman"/>
          <w:bCs/>
          <w:color w:val="auto"/>
          <w:sz w:val="24"/>
          <w:szCs w:val="24"/>
          <w:highlight w:val="none"/>
        </w:rPr>
        <w:t>控制限值要求</w:t>
      </w:r>
      <w:r>
        <w:rPr>
          <w:rFonts w:ascii="Times New Roman" w:hAnsi="Times New Roman"/>
          <w:sz w:val="24"/>
        </w:rPr>
        <w:t>。</w:t>
      </w:r>
      <w:bookmarkEnd w:id="38"/>
    </w:p>
    <w:p>
      <w:pPr>
        <w:pStyle w:val="2"/>
        <w:tabs>
          <w:tab w:val="left" w:pos="206"/>
          <w:tab w:val="center" w:pos="4422"/>
        </w:tabs>
        <w:jc w:val="left"/>
        <w:rPr>
          <w:rFonts w:ascii="Times New Roman" w:hAnsi="Times New Roman"/>
        </w:rPr>
      </w:pPr>
      <w:bookmarkStart w:id="39" w:name="_Toc103289000"/>
      <w:r>
        <w:rPr>
          <w:rFonts w:ascii="Times New Roman" w:hAnsi="Times New Roman"/>
        </w:rPr>
        <w:t>4、电磁环境影响评价</w:t>
      </w:r>
      <w:bookmarkEnd w:id="39"/>
    </w:p>
    <w:p>
      <w:pPr>
        <w:pStyle w:val="20"/>
        <w:spacing w:line="480" w:lineRule="atLeast"/>
        <w:ind w:firstLine="480" w:firstLineChars="200"/>
        <w:jc w:val="both"/>
        <w:rPr>
          <w:rFonts w:ascii="Times New Roman" w:hAnsi="Times New Roman"/>
          <w:sz w:val="24"/>
        </w:rPr>
      </w:pPr>
      <w:r>
        <w:rPr>
          <w:rFonts w:hint="eastAsia" w:ascii="Times New Roman" w:hAnsi="Times New Roman"/>
          <w:sz w:val="24"/>
        </w:rPr>
        <w:t>本项目拟建</w:t>
      </w:r>
      <w:r>
        <w:rPr>
          <w:rFonts w:ascii="Times New Roman" w:hAnsi="Times New Roman"/>
          <w:sz w:val="24"/>
        </w:rPr>
        <w:t>升压站为户外式，按照《环境影响评价技术导则 输变电》(HJ 24-2020)中关于电磁环境影响评价工作等级划分的规定，确定本项目电磁环境影响评价等级为二级。</w:t>
      </w:r>
    </w:p>
    <w:p>
      <w:pPr>
        <w:pStyle w:val="20"/>
        <w:spacing w:line="480" w:lineRule="atLeast"/>
        <w:ind w:firstLine="480" w:firstLineChars="200"/>
        <w:jc w:val="both"/>
        <w:rPr>
          <w:rFonts w:ascii="Times New Roman" w:hAnsi="Times New Roman"/>
          <w:sz w:val="24"/>
        </w:rPr>
      </w:pPr>
      <w:r>
        <w:rPr>
          <w:rFonts w:ascii="Times New Roman" w:hAnsi="Times New Roman"/>
          <w:sz w:val="24"/>
        </w:rPr>
        <w:t>为预测升压站</w:t>
      </w:r>
      <w:r>
        <w:rPr>
          <w:rFonts w:hint="eastAsia" w:ascii="Times New Roman" w:hAnsi="Times New Roman"/>
          <w:sz w:val="24"/>
        </w:rPr>
        <w:t>运行后</w:t>
      </w:r>
      <w:r>
        <w:rPr>
          <w:rFonts w:ascii="Times New Roman" w:hAnsi="Times New Roman"/>
          <w:sz w:val="24"/>
        </w:rPr>
        <w:t>工频电场、工频磁场对站址周围环境的影响，</w:t>
      </w:r>
      <w:r>
        <w:rPr>
          <w:rFonts w:hint="eastAsia" w:ascii="Times New Roman" w:hAnsi="Times New Roman"/>
          <w:sz w:val="24"/>
        </w:rPr>
        <w:t>故</w:t>
      </w:r>
      <w:r>
        <w:rPr>
          <w:rFonts w:ascii="Times New Roman" w:hAnsi="Times New Roman"/>
          <w:sz w:val="24"/>
        </w:rPr>
        <w:t>选取与本项目</w:t>
      </w:r>
      <w:r>
        <w:rPr>
          <w:rFonts w:hint="eastAsia" w:ascii="Times New Roman" w:hAnsi="Times New Roman"/>
          <w:sz w:val="24"/>
        </w:rPr>
        <w:t>升压</w:t>
      </w:r>
      <w:r>
        <w:rPr>
          <w:rFonts w:ascii="Times New Roman" w:hAnsi="Times New Roman"/>
          <w:sz w:val="24"/>
        </w:rPr>
        <w:t>站条件相似的</w:t>
      </w:r>
      <w:r>
        <w:rPr>
          <w:rFonts w:hint="eastAsia" w:ascii="Times New Roman" w:hAnsi="Times New Roman"/>
          <w:sz w:val="24"/>
        </w:rPr>
        <w:t>涞源泉峪220kV变电站</w:t>
      </w:r>
      <w:r>
        <w:rPr>
          <w:rFonts w:ascii="Times New Roman" w:hAnsi="Times New Roman"/>
          <w:sz w:val="24"/>
        </w:rPr>
        <w:t>进行类比。</w:t>
      </w:r>
    </w:p>
    <w:p>
      <w:pPr>
        <w:pStyle w:val="20"/>
        <w:spacing w:line="480" w:lineRule="atLeast"/>
        <w:ind w:firstLine="480" w:firstLineChars="200"/>
        <w:jc w:val="both"/>
        <w:rPr>
          <w:rFonts w:ascii="Times New Roman" w:hAnsi="Times New Roman"/>
          <w:sz w:val="24"/>
        </w:rPr>
      </w:pPr>
      <w:r>
        <w:rPr>
          <w:rFonts w:ascii="Times New Roman" w:hAnsi="Times New Roman"/>
          <w:sz w:val="24"/>
        </w:rPr>
        <w:t>本项目拟建升压站及类比</w:t>
      </w:r>
      <w:r>
        <w:rPr>
          <w:rFonts w:hint="eastAsia" w:ascii="Times New Roman" w:hAnsi="Times New Roman"/>
          <w:sz w:val="24"/>
        </w:rPr>
        <w:t>变电</w:t>
      </w:r>
      <w:r>
        <w:rPr>
          <w:rFonts w:ascii="Times New Roman" w:hAnsi="Times New Roman"/>
          <w:sz w:val="24"/>
        </w:rPr>
        <w:t>站基本情况见表4-1。</w:t>
      </w:r>
    </w:p>
    <w:p>
      <w:pPr>
        <w:pStyle w:val="20"/>
        <w:spacing w:line="360" w:lineRule="auto"/>
        <w:jc w:val="center"/>
        <w:rPr>
          <w:rFonts w:ascii="Times New Roman" w:hAnsi="Times New Roman"/>
          <w:b/>
          <w:bCs/>
          <w:sz w:val="24"/>
        </w:rPr>
      </w:pPr>
      <w:r>
        <w:rPr>
          <w:rFonts w:ascii="Times New Roman" w:hAnsi="Times New Roman"/>
          <w:b/>
          <w:bCs/>
          <w:sz w:val="24"/>
        </w:rPr>
        <w:t>表4-1</w:t>
      </w:r>
      <w:r>
        <w:rPr>
          <w:rFonts w:hint="eastAsia" w:ascii="Times New Roman" w:hAnsi="Times New Roman"/>
          <w:b/>
          <w:bCs/>
          <w:sz w:val="24"/>
        </w:rPr>
        <w:t xml:space="preserve"> </w:t>
      </w:r>
      <w:r>
        <w:rPr>
          <w:rFonts w:ascii="Times New Roman" w:hAnsi="Times New Roman"/>
          <w:b/>
          <w:bCs/>
          <w:sz w:val="24"/>
        </w:rPr>
        <w:t xml:space="preserve"> 基本情况</w:t>
      </w:r>
    </w:p>
    <w:tbl>
      <w:tblPr>
        <w:tblStyle w:val="54"/>
        <w:tblW w:w="9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2673"/>
        <w:gridCol w:w="3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rPr>
            </w:pPr>
            <w:r>
              <w:rPr>
                <w:rFonts w:hint="eastAsia" w:ascii="Times New Roman" w:hAnsi="Times New Roman"/>
                <w:b/>
                <w:bCs/>
                <w:sz w:val="21"/>
                <w:szCs w:val="21"/>
              </w:rPr>
              <w:t>升压</w:t>
            </w:r>
            <w:r>
              <w:rPr>
                <w:rFonts w:ascii="Times New Roman" w:hAnsi="Times New Roman"/>
                <w:b/>
                <w:bCs/>
                <w:sz w:val="21"/>
                <w:szCs w:val="21"/>
              </w:rPr>
              <w:t>站</w:t>
            </w:r>
          </w:p>
        </w:tc>
        <w:tc>
          <w:tcPr>
            <w:tcW w:w="2673" w:type="dxa"/>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hint="eastAsia" w:ascii="Times New Roman" w:hAnsi="Times New Roman"/>
                <w:sz w:val="21"/>
                <w:szCs w:val="21"/>
              </w:rPr>
              <w:t>本项目</w:t>
            </w:r>
            <w:r>
              <w:rPr>
                <w:rFonts w:ascii="Times New Roman" w:hAnsi="Times New Roman"/>
                <w:sz w:val="21"/>
                <w:szCs w:val="21"/>
              </w:rPr>
              <w:t>升压站</w:t>
            </w:r>
          </w:p>
        </w:tc>
        <w:tc>
          <w:tcPr>
            <w:tcW w:w="3924" w:type="dxa"/>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hint="eastAsia" w:ascii="Times New Roman" w:hAnsi="Times New Roman"/>
                <w:sz w:val="21"/>
                <w:szCs w:val="21"/>
              </w:rPr>
              <w:t>涞源泉峪220kV变电站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tcBorders>
              <w:top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rPr>
            </w:pPr>
            <w:r>
              <w:rPr>
                <w:rFonts w:ascii="Times New Roman" w:hAnsi="Times New Roman"/>
                <w:b/>
                <w:bCs/>
                <w:sz w:val="21"/>
                <w:szCs w:val="21"/>
              </w:rPr>
              <w:t>电压等级</w:t>
            </w:r>
          </w:p>
        </w:tc>
        <w:tc>
          <w:tcPr>
            <w:tcW w:w="2673" w:type="dxa"/>
            <w:tcBorders>
              <w:top w:val="single" w:color="auto" w:sz="4" w:space="0"/>
              <w:left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220/35kV</w:t>
            </w:r>
          </w:p>
        </w:tc>
        <w:tc>
          <w:tcPr>
            <w:tcW w:w="3924" w:type="dxa"/>
            <w:tcBorders>
              <w:top w:val="single" w:color="auto" w:sz="4" w:space="0"/>
              <w:left w:val="single" w:color="auto" w:sz="4" w:space="0"/>
              <w:bottom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220/110/35kV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tcBorders>
              <w:top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rPr>
            </w:pPr>
            <w:r>
              <w:rPr>
                <w:rFonts w:ascii="Times New Roman" w:hAnsi="Times New Roman"/>
                <w:b/>
                <w:bCs/>
                <w:sz w:val="21"/>
                <w:szCs w:val="21"/>
              </w:rPr>
              <w:t>主变压器台数及容量</w:t>
            </w:r>
          </w:p>
        </w:tc>
        <w:tc>
          <w:tcPr>
            <w:tcW w:w="2673" w:type="dxa"/>
            <w:tcBorders>
              <w:top w:val="single" w:color="auto" w:sz="4" w:space="0"/>
              <w:left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2×210MVA</w:t>
            </w:r>
          </w:p>
        </w:tc>
        <w:tc>
          <w:tcPr>
            <w:tcW w:w="3924" w:type="dxa"/>
            <w:tcBorders>
              <w:top w:val="single" w:color="auto" w:sz="4" w:space="0"/>
              <w:left w:val="single" w:color="auto" w:sz="4" w:space="0"/>
              <w:bottom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2×240MVA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tcBorders>
              <w:top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rPr>
            </w:pPr>
            <w:r>
              <w:rPr>
                <w:rFonts w:ascii="Times New Roman" w:hAnsi="Times New Roman"/>
                <w:b/>
                <w:bCs/>
                <w:sz w:val="21"/>
                <w:szCs w:val="21"/>
              </w:rPr>
              <w:t>主变布置方式</w:t>
            </w:r>
          </w:p>
        </w:tc>
        <w:tc>
          <w:tcPr>
            <w:tcW w:w="2673" w:type="dxa"/>
            <w:tcBorders>
              <w:top w:val="single" w:color="auto" w:sz="4" w:space="0"/>
              <w:left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户外布置</w:t>
            </w:r>
          </w:p>
        </w:tc>
        <w:tc>
          <w:tcPr>
            <w:tcW w:w="3924" w:type="dxa"/>
            <w:tcBorders>
              <w:top w:val="single" w:color="auto" w:sz="4" w:space="0"/>
              <w:left w:val="single" w:color="auto" w:sz="4" w:space="0"/>
              <w:bottom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户外布置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tcBorders>
              <w:top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rPr>
            </w:pPr>
            <w:r>
              <w:rPr>
                <w:rFonts w:ascii="Times New Roman" w:hAnsi="Times New Roman"/>
                <w:b/>
                <w:bCs/>
                <w:sz w:val="21"/>
                <w:szCs w:val="21"/>
              </w:rPr>
              <w:t>220kV侧接线方式</w:t>
            </w:r>
          </w:p>
        </w:tc>
        <w:tc>
          <w:tcPr>
            <w:tcW w:w="2673" w:type="dxa"/>
            <w:tcBorders>
              <w:top w:val="single" w:color="auto" w:sz="4" w:space="0"/>
              <w:left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单母线接线</w:t>
            </w:r>
          </w:p>
        </w:tc>
        <w:tc>
          <w:tcPr>
            <w:tcW w:w="3924" w:type="dxa"/>
            <w:tcBorders>
              <w:top w:val="single" w:color="auto" w:sz="4" w:space="0"/>
              <w:left w:val="single" w:color="auto" w:sz="4" w:space="0"/>
              <w:bottom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单母线接线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tcBorders>
              <w:top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highlight w:val="yellow"/>
              </w:rPr>
            </w:pPr>
            <w:r>
              <w:rPr>
                <w:rFonts w:ascii="Times New Roman" w:hAnsi="Times New Roman"/>
                <w:b/>
                <w:bCs/>
                <w:sz w:val="21"/>
                <w:szCs w:val="21"/>
              </w:rPr>
              <w:t>220kV出线</w:t>
            </w:r>
          </w:p>
        </w:tc>
        <w:tc>
          <w:tcPr>
            <w:tcW w:w="2673" w:type="dxa"/>
            <w:tcBorders>
              <w:top w:val="single" w:color="auto" w:sz="4" w:space="0"/>
              <w:left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1</w:t>
            </w:r>
            <w:r>
              <w:rPr>
                <w:rFonts w:hint="eastAsia" w:ascii="Times New Roman" w:hAnsi="Times New Roman"/>
                <w:sz w:val="21"/>
                <w:szCs w:val="21"/>
              </w:rPr>
              <w:t>回</w:t>
            </w:r>
          </w:p>
          <w:p>
            <w:pPr>
              <w:pStyle w:val="20"/>
              <w:keepNext w:val="0"/>
              <w:keepLines w:val="0"/>
              <w:widowControl/>
              <w:suppressLineNumbers w:val="0"/>
              <w:spacing w:beforeAutospacing="0" w:afterAutospacing="0"/>
              <w:ind w:left="0"/>
              <w:jc w:val="center"/>
              <w:rPr>
                <w:rFonts w:ascii="Times New Roman" w:hAnsi="Times New Roman"/>
                <w:sz w:val="21"/>
                <w:szCs w:val="21"/>
                <w:highlight w:val="yellow"/>
              </w:rPr>
            </w:pPr>
            <w:r>
              <w:rPr>
                <w:rFonts w:hint="eastAsia" w:ascii="Times New Roman" w:hAnsi="Times New Roman"/>
                <w:sz w:val="21"/>
                <w:szCs w:val="21"/>
              </w:rPr>
              <w:t>（不在本项目评价范围内）</w:t>
            </w:r>
          </w:p>
        </w:tc>
        <w:tc>
          <w:tcPr>
            <w:tcW w:w="3924" w:type="dxa"/>
            <w:tcBorders>
              <w:top w:val="single" w:color="auto" w:sz="4" w:space="0"/>
              <w:left w:val="single" w:color="auto" w:sz="4" w:space="0"/>
              <w:bottom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3回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tcBorders>
              <w:top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rPr>
            </w:pPr>
            <w:r>
              <w:rPr>
                <w:rFonts w:ascii="Times New Roman" w:hAnsi="Times New Roman"/>
                <w:b/>
                <w:bCs/>
                <w:sz w:val="21"/>
                <w:szCs w:val="21"/>
              </w:rPr>
              <w:t>35kV侧接线方式</w:t>
            </w:r>
          </w:p>
        </w:tc>
        <w:tc>
          <w:tcPr>
            <w:tcW w:w="2673" w:type="dxa"/>
            <w:tcBorders>
              <w:top w:val="single" w:color="auto" w:sz="4" w:space="0"/>
              <w:left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单母线接线</w:t>
            </w:r>
          </w:p>
        </w:tc>
        <w:tc>
          <w:tcPr>
            <w:tcW w:w="3924" w:type="dxa"/>
            <w:tcBorders>
              <w:top w:val="single" w:color="auto" w:sz="4" w:space="0"/>
              <w:left w:val="single" w:color="auto" w:sz="4" w:space="0"/>
              <w:bottom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rPr>
            </w:pPr>
            <w:r>
              <w:rPr>
                <w:rFonts w:ascii="Times New Roman" w:hAnsi="Times New Roman"/>
                <w:sz w:val="21"/>
                <w:szCs w:val="21"/>
              </w:rPr>
              <w:t>单母线接线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tcBorders>
              <w:top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rPr>
            </w:pPr>
            <w:r>
              <w:rPr>
                <w:rFonts w:ascii="Times New Roman" w:hAnsi="Times New Roman"/>
                <w:b/>
                <w:bCs/>
                <w:sz w:val="21"/>
                <w:szCs w:val="21"/>
              </w:rPr>
              <w:t>35kV进线</w:t>
            </w:r>
          </w:p>
        </w:tc>
        <w:tc>
          <w:tcPr>
            <w:tcW w:w="2673" w:type="dxa"/>
            <w:tcBorders>
              <w:top w:val="single" w:color="auto" w:sz="4" w:space="0"/>
              <w:left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highlight w:val="none"/>
              </w:rPr>
            </w:pPr>
            <w:r>
              <w:rPr>
                <w:rFonts w:ascii="Times New Roman" w:hAnsi="Times New Roman"/>
                <w:sz w:val="21"/>
                <w:szCs w:val="21"/>
                <w:highlight w:val="none"/>
              </w:rPr>
              <w:t>2</w:t>
            </w:r>
            <w:r>
              <w:rPr>
                <w:rFonts w:hint="eastAsia" w:ascii="Times New Roman" w:hAnsi="Times New Roman"/>
                <w:sz w:val="21"/>
                <w:szCs w:val="21"/>
                <w:highlight w:val="none"/>
                <w:lang w:val="en-US" w:eastAsia="zh-CN"/>
              </w:rPr>
              <w:t>0</w:t>
            </w:r>
            <w:r>
              <w:rPr>
                <w:rFonts w:hint="eastAsia" w:ascii="Times New Roman" w:hAnsi="Times New Roman"/>
                <w:sz w:val="21"/>
                <w:szCs w:val="21"/>
                <w:highlight w:val="none"/>
              </w:rPr>
              <w:t>回</w:t>
            </w:r>
          </w:p>
        </w:tc>
        <w:tc>
          <w:tcPr>
            <w:tcW w:w="3924" w:type="dxa"/>
            <w:tcBorders>
              <w:top w:val="single" w:color="auto" w:sz="4" w:space="0"/>
              <w:left w:val="single" w:color="auto" w:sz="4" w:space="0"/>
              <w:bottom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highlight w:val="none"/>
              </w:rPr>
            </w:pPr>
            <w:r>
              <w:rPr>
                <w:rFonts w:ascii="Times New Roman" w:hAnsi="Times New Roman"/>
                <w:sz w:val="21"/>
                <w:szCs w:val="21"/>
                <w:highlight w:val="none"/>
              </w:rPr>
              <w:t>6回</w:t>
            </w:r>
            <w:r>
              <w:rPr>
                <w:rFonts w:hint="eastAsia" w:ascii="Times New Roman" w:hAnsi="Times New Roman"/>
                <w:sz w:val="21"/>
                <w:szCs w:val="21"/>
                <w:highlight w:val="none"/>
              </w:rPr>
              <w:t>出线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tcBorders>
              <w:top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rPr>
            </w:pPr>
            <w:r>
              <w:rPr>
                <w:rFonts w:hint="eastAsia" w:ascii="Times New Roman" w:hAnsi="Times New Roman"/>
                <w:b/>
                <w:bCs/>
                <w:sz w:val="21"/>
                <w:szCs w:val="21"/>
              </w:rPr>
              <w:t>升压</w:t>
            </w:r>
            <w:r>
              <w:rPr>
                <w:rFonts w:ascii="Times New Roman" w:hAnsi="Times New Roman"/>
                <w:b/>
                <w:bCs/>
                <w:sz w:val="21"/>
                <w:szCs w:val="21"/>
              </w:rPr>
              <w:t>站围墙尺寸</w:t>
            </w:r>
          </w:p>
        </w:tc>
        <w:tc>
          <w:tcPr>
            <w:tcW w:w="2673" w:type="dxa"/>
            <w:tcBorders>
              <w:top w:val="single" w:color="auto" w:sz="4" w:space="0"/>
              <w:left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highlight w:val="none"/>
              </w:rPr>
            </w:pPr>
            <w:r>
              <w:rPr>
                <w:rFonts w:hint="eastAsia" w:ascii="Times New Roman" w:hAnsi="Times New Roman"/>
                <w:sz w:val="21"/>
                <w:szCs w:val="21"/>
                <w:highlight w:val="none"/>
                <w:lang w:val="en-US" w:eastAsia="zh-CN"/>
              </w:rPr>
              <w:t>158</w:t>
            </w:r>
            <w:r>
              <w:rPr>
                <w:rFonts w:ascii="Times New Roman" w:hAnsi="Times New Roman"/>
                <w:sz w:val="21"/>
                <w:szCs w:val="21"/>
                <w:highlight w:val="none"/>
              </w:rPr>
              <w:t>m×</w:t>
            </w:r>
            <w:r>
              <w:rPr>
                <w:rFonts w:hint="eastAsia" w:ascii="Times New Roman" w:hAnsi="Times New Roman"/>
                <w:sz w:val="21"/>
                <w:szCs w:val="21"/>
                <w:highlight w:val="none"/>
                <w:lang w:val="en-US" w:eastAsia="zh-CN"/>
              </w:rPr>
              <w:t>118</w:t>
            </w:r>
            <w:r>
              <w:rPr>
                <w:rFonts w:ascii="Times New Roman" w:hAnsi="Times New Roman"/>
                <w:sz w:val="21"/>
                <w:szCs w:val="21"/>
                <w:highlight w:val="none"/>
              </w:rPr>
              <w:t>m</w:t>
            </w:r>
          </w:p>
        </w:tc>
        <w:tc>
          <w:tcPr>
            <w:tcW w:w="3924" w:type="dxa"/>
            <w:tcBorders>
              <w:top w:val="single" w:color="auto" w:sz="4" w:space="0"/>
              <w:left w:val="single" w:color="auto" w:sz="4" w:space="0"/>
              <w:bottom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highlight w:val="none"/>
              </w:rPr>
            </w:pPr>
            <w:r>
              <w:rPr>
                <w:rFonts w:ascii="Times New Roman" w:hAnsi="Times New Roman"/>
                <w:sz w:val="21"/>
                <w:szCs w:val="21"/>
                <w:highlight w:val="none"/>
              </w:rPr>
              <w:t>108m×85m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tcBorders>
              <w:top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rPr>
            </w:pPr>
            <w:r>
              <w:rPr>
                <w:rFonts w:ascii="Times New Roman" w:hAnsi="Times New Roman"/>
                <w:b/>
                <w:bCs/>
                <w:sz w:val="21"/>
                <w:szCs w:val="21"/>
              </w:rPr>
              <w:t>围墙内占地面积</w:t>
            </w:r>
          </w:p>
        </w:tc>
        <w:tc>
          <w:tcPr>
            <w:tcW w:w="2673" w:type="dxa"/>
            <w:tcBorders>
              <w:top w:val="single" w:color="auto" w:sz="4" w:space="0"/>
              <w:left w:val="single" w:color="auto" w:sz="4" w:space="0"/>
              <w:bottom w:val="single" w:color="auto" w:sz="4"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highlight w:val="none"/>
              </w:rPr>
            </w:pPr>
            <w:r>
              <w:rPr>
                <w:rFonts w:hint="eastAsia" w:ascii="Times New Roman" w:hAnsi="Times New Roman"/>
                <w:sz w:val="21"/>
                <w:szCs w:val="21"/>
                <w:highlight w:val="none"/>
                <w:lang w:val="en-US" w:eastAsia="zh-CN"/>
              </w:rPr>
              <w:t>39331.0</w:t>
            </w:r>
            <w:r>
              <w:rPr>
                <w:rFonts w:ascii="Times New Roman" w:hAnsi="Times New Roman"/>
                <w:sz w:val="21"/>
                <w:szCs w:val="21"/>
                <w:highlight w:val="none"/>
              </w:rPr>
              <w:t>m</w:t>
            </w:r>
            <w:r>
              <w:rPr>
                <w:rFonts w:ascii="Times New Roman" w:hAnsi="Times New Roman"/>
                <w:sz w:val="21"/>
                <w:szCs w:val="21"/>
                <w:highlight w:val="none"/>
                <w:vertAlign w:val="superscript"/>
              </w:rPr>
              <w:t>2</w:t>
            </w:r>
          </w:p>
        </w:tc>
        <w:tc>
          <w:tcPr>
            <w:tcW w:w="3924" w:type="dxa"/>
            <w:tcBorders>
              <w:top w:val="single" w:color="auto" w:sz="4" w:space="0"/>
              <w:left w:val="single" w:color="auto" w:sz="4" w:space="0"/>
              <w:bottom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highlight w:val="none"/>
              </w:rPr>
            </w:pPr>
            <w:r>
              <w:rPr>
                <w:rFonts w:ascii="Times New Roman" w:hAnsi="Times New Roman"/>
                <w:sz w:val="21"/>
                <w:szCs w:val="21"/>
                <w:highlight w:val="none"/>
              </w:rPr>
              <w:t>9180m</w:t>
            </w:r>
            <w:r>
              <w:rPr>
                <w:rFonts w:ascii="Times New Roman" w:hAnsi="Times New Roman"/>
                <w:sz w:val="21"/>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88" w:type="dxa"/>
            <w:tcBorders>
              <w:top w:val="single" w:color="auto" w:sz="4" w:space="0"/>
              <w:bottom w:val="single" w:color="auto" w:sz="12"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b/>
                <w:bCs/>
                <w:sz w:val="21"/>
                <w:szCs w:val="21"/>
              </w:rPr>
            </w:pPr>
            <w:r>
              <w:rPr>
                <w:rFonts w:hint="eastAsia" w:ascii="Times New Roman" w:hAnsi="Times New Roman"/>
                <w:b/>
                <w:bCs/>
                <w:sz w:val="21"/>
                <w:szCs w:val="21"/>
              </w:rPr>
              <w:t>主变压器与最近围墙的距离</w:t>
            </w:r>
          </w:p>
        </w:tc>
        <w:tc>
          <w:tcPr>
            <w:tcW w:w="2673" w:type="dxa"/>
            <w:tcBorders>
              <w:top w:val="single" w:color="auto" w:sz="4" w:space="0"/>
              <w:left w:val="single" w:color="auto" w:sz="4" w:space="0"/>
              <w:bottom w:val="single" w:color="auto" w:sz="12" w:space="0"/>
              <w:right w:val="single" w:color="auto" w:sz="4"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highlight w:val="none"/>
              </w:rPr>
            </w:pPr>
            <w:r>
              <w:rPr>
                <w:rFonts w:hint="eastAsia" w:ascii="Times New Roman" w:hAnsi="Times New Roman"/>
                <w:sz w:val="21"/>
                <w:szCs w:val="21"/>
                <w:highlight w:val="none"/>
                <w:lang w:val="en-US" w:eastAsia="zh-CN"/>
              </w:rPr>
              <w:t>27.59</w:t>
            </w:r>
            <w:r>
              <w:rPr>
                <w:rFonts w:ascii="Times New Roman" w:hAnsi="Times New Roman"/>
                <w:sz w:val="21"/>
                <w:szCs w:val="21"/>
                <w:highlight w:val="none"/>
              </w:rPr>
              <w:t>m</w:t>
            </w:r>
            <w:r>
              <w:rPr>
                <w:rFonts w:hint="eastAsia" w:ascii="Times New Roman" w:hAnsi="Times New Roman"/>
                <w:sz w:val="21"/>
                <w:szCs w:val="21"/>
                <w:highlight w:val="none"/>
              </w:rPr>
              <w:t>(距离</w:t>
            </w:r>
            <w:r>
              <w:rPr>
                <w:rFonts w:hint="eastAsia" w:ascii="Times New Roman" w:hAnsi="Times New Roman"/>
                <w:sz w:val="21"/>
                <w:szCs w:val="21"/>
                <w:highlight w:val="none"/>
                <w:lang w:val="en-US" w:eastAsia="zh-CN"/>
              </w:rPr>
              <w:t>西南</w:t>
            </w:r>
            <w:r>
              <w:rPr>
                <w:rFonts w:hint="eastAsia" w:ascii="Times New Roman" w:hAnsi="Times New Roman"/>
                <w:sz w:val="21"/>
                <w:szCs w:val="21"/>
                <w:highlight w:val="none"/>
              </w:rPr>
              <w:t>侧围墙</w:t>
            </w:r>
            <w:r>
              <w:rPr>
                <w:rFonts w:ascii="Times New Roman" w:hAnsi="Times New Roman"/>
                <w:sz w:val="21"/>
                <w:szCs w:val="21"/>
                <w:highlight w:val="none"/>
              </w:rPr>
              <w:t>)</w:t>
            </w:r>
          </w:p>
        </w:tc>
        <w:tc>
          <w:tcPr>
            <w:tcW w:w="3924" w:type="dxa"/>
            <w:tcBorders>
              <w:top w:val="single" w:color="auto" w:sz="4" w:space="0"/>
              <w:left w:val="single" w:color="auto" w:sz="4" w:space="0"/>
              <w:bottom w:val="single" w:color="auto" w:sz="12" w:space="0"/>
            </w:tcBorders>
            <w:vAlign w:val="center"/>
          </w:tcPr>
          <w:p>
            <w:pPr>
              <w:pStyle w:val="20"/>
              <w:keepNext w:val="0"/>
              <w:keepLines w:val="0"/>
              <w:widowControl/>
              <w:suppressLineNumbers w:val="0"/>
              <w:spacing w:beforeAutospacing="0" w:afterAutospacing="0"/>
              <w:ind w:left="0"/>
              <w:jc w:val="center"/>
              <w:rPr>
                <w:rFonts w:ascii="Times New Roman" w:hAnsi="Times New Roman"/>
                <w:sz w:val="21"/>
                <w:szCs w:val="21"/>
                <w:highlight w:val="none"/>
              </w:rPr>
            </w:pPr>
            <w:r>
              <w:rPr>
                <w:rFonts w:ascii="Times New Roman" w:hAnsi="Times New Roman"/>
                <w:sz w:val="21"/>
                <w:szCs w:val="21"/>
                <w:highlight w:val="none"/>
              </w:rPr>
              <w:t>27</w:t>
            </w:r>
            <w:r>
              <w:rPr>
                <w:rFonts w:hint="eastAsia" w:ascii="Times New Roman" w:hAnsi="Times New Roman"/>
                <w:sz w:val="21"/>
                <w:szCs w:val="21"/>
                <w:highlight w:val="none"/>
              </w:rPr>
              <w:t>m(距离东南侧围墙</w:t>
            </w:r>
            <w:r>
              <w:rPr>
                <w:rFonts w:ascii="Times New Roman" w:hAnsi="Times New Roman"/>
                <w:sz w:val="21"/>
                <w:szCs w:val="21"/>
                <w:highlight w:val="none"/>
              </w:rPr>
              <w:t>)</w:t>
            </w:r>
          </w:p>
        </w:tc>
      </w:tr>
    </w:tbl>
    <w:p>
      <w:pPr>
        <w:pStyle w:val="20"/>
        <w:spacing w:line="480" w:lineRule="atLeast"/>
        <w:ind w:firstLine="480" w:firstLineChars="200"/>
        <w:jc w:val="both"/>
        <w:rPr>
          <w:rFonts w:ascii="Times New Roman" w:hAnsi="Times New Roman"/>
          <w:sz w:val="24"/>
        </w:rPr>
      </w:pPr>
      <w:r>
        <w:rPr>
          <w:rFonts w:ascii="Times New Roman" w:hAnsi="Times New Roman"/>
          <w:sz w:val="24"/>
        </w:rPr>
        <w:t>由表4-1可</w:t>
      </w:r>
      <w:r>
        <w:rPr>
          <w:rFonts w:hint="eastAsia" w:ascii="Times New Roman" w:hAnsi="Times New Roman"/>
          <w:sz w:val="24"/>
        </w:rPr>
        <w:t>知：</w:t>
      </w:r>
    </w:p>
    <w:p>
      <w:pPr>
        <w:pStyle w:val="20"/>
        <w:spacing w:line="480" w:lineRule="atLeast"/>
        <w:ind w:firstLine="480" w:firstLineChars="200"/>
        <w:jc w:val="both"/>
        <w:rPr>
          <w:rFonts w:ascii="Times New Roman" w:hAnsi="Times New Roman"/>
          <w:sz w:val="24"/>
        </w:rPr>
      </w:pPr>
      <w:r>
        <w:rPr>
          <w:rFonts w:hint="eastAsia" w:ascii="Times New Roman" w:hAnsi="Times New Roman"/>
          <w:sz w:val="24"/>
        </w:rPr>
        <w:t>①拟建升压站占地面积大于类比的变电站；</w:t>
      </w:r>
    </w:p>
    <w:p>
      <w:pPr>
        <w:pStyle w:val="20"/>
        <w:spacing w:line="480" w:lineRule="atLeast"/>
        <w:ind w:firstLine="480" w:firstLineChars="200"/>
        <w:jc w:val="both"/>
        <w:rPr>
          <w:rFonts w:ascii="Times New Roman" w:hAnsi="Times New Roman"/>
          <w:sz w:val="24"/>
        </w:rPr>
      </w:pPr>
      <w:r>
        <w:rPr>
          <w:rFonts w:hint="eastAsia" w:ascii="Times New Roman" w:hAnsi="Times New Roman"/>
          <w:sz w:val="24"/>
        </w:rPr>
        <w:t>②拟建升压站本期建设出线间隔1个，拟出线1回，输出线路不在本项目评价范围内。</w:t>
      </w:r>
    </w:p>
    <w:p>
      <w:pPr>
        <w:pStyle w:val="20"/>
        <w:spacing w:line="480" w:lineRule="atLeast"/>
        <w:ind w:firstLine="480" w:firstLineChars="200"/>
        <w:jc w:val="both"/>
        <w:rPr>
          <w:rFonts w:ascii="Times New Roman" w:hAnsi="Times New Roman"/>
          <w:sz w:val="24"/>
        </w:rPr>
      </w:pPr>
      <w:r>
        <w:rPr>
          <w:rFonts w:hint="eastAsia" w:ascii="Times New Roman" w:hAnsi="Times New Roman"/>
          <w:sz w:val="24"/>
        </w:rPr>
        <w:t>③拟建升压站的电气布置为户外预制舱GIS布置，预制舱能够有效减少电磁辐射影响；</w:t>
      </w:r>
    </w:p>
    <w:p>
      <w:pPr>
        <w:pStyle w:val="20"/>
        <w:spacing w:line="480" w:lineRule="atLeast"/>
        <w:ind w:firstLine="480" w:firstLineChars="200"/>
        <w:jc w:val="both"/>
        <w:rPr>
          <w:rFonts w:ascii="Times New Roman" w:hAnsi="Times New Roman"/>
          <w:sz w:val="24"/>
        </w:rPr>
      </w:pPr>
      <w:r>
        <w:rPr>
          <w:rFonts w:hint="eastAsia" w:ascii="Times New Roman" w:hAnsi="Times New Roman"/>
          <w:sz w:val="24"/>
        </w:rPr>
        <w:t>④</w:t>
      </w:r>
      <w:r>
        <w:rPr>
          <w:rFonts w:ascii="Times New Roman" w:hAnsi="Times New Roman"/>
          <w:sz w:val="24"/>
        </w:rPr>
        <w:t>本项目拟建升压站与</w:t>
      </w:r>
      <w:r>
        <w:rPr>
          <w:rFonts w:hint="eastAsia" w:ascii="Times New Roman" w:hAnsi="Times New Roman"/>
          <w:sz w:val="24"/>
        </w:rPr>
        <w:t>涞源泉峪220kV输变电工程</w:t>
      </w:r>
      <w:r>
        <w:rPr>
          <w:rFonts w:ascii="Times New Roman" w:hAnsi="Times New Roman"/>
          <w:sz w:val="24"/>
        </w:rPr>
        <w:t>主变压器布置方式</w:t>
      </w:r>
      <w:r>
        <w:rPr>
          <w:rFonts w:hint="eastAsia" w:ascii="Times New Roman" w:hAnsi="Times New Roman"/>
          <w:sz w:val="24"/>
        </w:rPr>
        <w:t>、主变台数</w:t>
      </w:r>
      <w:r>
        <w:rPr>
          <w:rFonts w:ascii="Times New Roman" w:hAnsi="Times New Roman"/>
          <w:sz w:val="24"/>
        </w:rPr>
        <w:t>均相同</w:t>
      </w:r>
      <w:r>
        <w:rPr>
          <w:rFonts w:hint="eastAsia" w:ascii="Times New Roman" w:hAnsi="Times New Roman"/>
          <w:sz w:val="24"/>
        </w:rPr>
        <w:t>，电压等级比类比变电站低，且主变容量比类比变电站小，因此本项目拟建升压站电磁环境影响比类比变电站影响要小。</w:t>
      </w:r>
    </w:p>
    <w:p>
      <w:pPr>
        <w:pStyle w:val="20"/>
        <w:spacing w:line="480" w:lineRule="atLeast"/>
        <w:ind w:firstLine="480" w:firstLineChars="200"/>
        <w:jc w:val="both"/>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5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⑤</w:t>
      </w:r>
      <w:r>
        <w:rPr>
          <w:rFonts w:ascii="Times New Roman" w:hAnsi="Times New Roman"/>
          <w:sz w:val="24"/>
        </w:rPr>
        <w:fldChar w:fldCharType="end"/>
      </w:r>
      <w:r>
        <w:rPr>
          <w:rFonts w:hint="eastAsia" w:ascii="Times New Roman" w:hAnsi="Times New Roman"/>
          <w:sz w:val="24"/>
        </w:rPr>
        <w:t>拟建升压站主变压器与最近围墙的距离为</w:t>
      </w:r>
      <w:r>
        <w:rPr>
          <w:rFonts w:hint="eastAsia" w:ascii="Times New Roman" w:hAnsi="Times New Roman"/>
          <w:sz w:val="24"/>
          <w:lang w:val="en-US" w:eastAsia="zh-CN"/>
        </w:rPr>
        <w:t>27.59</w:t>
      </w:r>
      <w:r>
        <w:rPr>
          <w:rFonts w:hint="eastAsia" w:ascii="Times New Roman" w:hAnsi="Times New Roman"/>
          <w:sz w:val="24"/>
        </w:rPr>
        <w:t>m相较于类比变电站的</w:t>
      </w:r>
      <w:r>
        <w:rPr>
          <w:rFonts w:ascii="Times New Roman" w:hAnsi="Times New Roman"/>
          <w:sz w:val="24"/>
        </w:rPr>
        <w:t>27</w:t>
      </w:r>
      <w:r>
        <w:rPr>
          <w:rFonts w:hint="eastAsia" w:ascii="Times New Roman" w:hAnsi="Times New Roman"/>
          <w:sz w:val="24"/>
        </w:rPr>
        <w:t>m距离相差</w:t>
      </w:r>
      <w:r>
        <w:rPr>
          <w:rFonts w:hint="eastAsia" w:ascii="Times New Roman" w:hAnsi="Times New Roman"/>
          <w:sz w:val="24"/>
          <w:lang w:val="en-US" w:eastAsia="zh-CN"/>
        </w:rPr>
        <w:t>约</w:t>
      </w:r>
      <w:r>
        <w:rPr>
          <w:rFonts w:ascii="Times New Roman" w:hAnsi="Times New Roman"/>
          <w:sz w:val="24"/>
        </w:rPr>
        <w:t>1</w:t>
      </w:r>
      <w:r>
        <w:rPr>
          <w:rFonts w:hint="eastAsia" w:ascii="Times New Roman" w:hAnsi="Times New Roman"/>
          <w:sz w:val="24"/>
        </w:rPr>
        <w:t>m，主变更靠近站址中心布置，在围墙外相同距离拟建升压站电磁环境影响比类比变电站要低。</w:t>
      </w:r>
    </w:p>
    <w:p>
      <w:pPr>
        <w:pStyle w:val="20"/>
        <w:widowControl w:val="0"/>
        <w:spacing w:line="480" w:lineRule="atLeast"/>
        <w:ind w:firstLine="480" w:firstLineChars="200"/>
        <w:jc w:val="both"/>
        <w:rPr>
          <w:rFonts w:ascii="Times New Roman" w:hAnsi="Times New Roman"/>
          <w:sz w:val="24"/>
        </w:rPr>
      </w:pPr>
      <w:r>
        <w:rPr>
          <w:rFonts w:hint="eastAsia" w:ascii="Times New Roman" w:hAnsi="Times New Roman"/>
          <w:sz w:val="24"/>
        </w:rPr>
        <w:t>通过综合分析，涞源泉峪220kV输变电工程作为类比对象是可行且可信的，基本可反映出本项目拟建升压站建成投运后的电磁环境影响程度。</w:t>
      </w:r>
    </w:p>
    <w:p>
      <w:pPr>
        <w:pStyle w:val="20"/>
        <w:spacing w:line="480" w:lineRule="atLeast"/>
        <w:ind w:firstLine="480" w:firstLineChars="200"/>
        <w:jc w:val="both"/>
        <w:rPr>
          <w:rFonts w:ascii="Times New Roman" w:hAnsi="Times New Roman"/>
          <w:sz w:val="24"/>
        </w:rPr>
      </w:pPr>
      <w:r>
        <w:rPr>
          <w:rFonts w:hint="eastAsia" w:ascii="Times New Roman" w:hAnsi="Times New Roman"/>
          <w:sz w:val="24"/>
        </w:rPr>
        <w:t>涞源泉峪220kV输变电工程</w:t>
      </w:r>
      <w:r>
        <w:rPr>
          <w:rFonts w:ascii="Times New Roman" w:hAnsi="Times New Roman"/>
          <w:sz w:val="24"/>
        </w:rPr>
        <w:t>站区平面布置图见图4-1。</w:t>
      </w:r>
    </w:p>
    <w:p>
      <w:pPr>
        <w:pStyle w:val="20"/>
        <w:spacing w:line="480" w:lineRule="atLeast"/>
        <w:ind w:firstLine="480" w:firstLineChars="200"/>
        <w:jc w:val="both"/>
        <w:rPr>
          <w:rFonts w:ascii="Times New Roman" w:hAnsi="Times New Roman"/>
          <w:sz w:val="24"/>
        </w:rPr>
        <w:sectPr>
          <w:footerReference r:id="rId17" w:type="default"/>
          <w:pgSz w:w="11906" w:h="16838"/>
          <w:pgMar w:top="993" w:right="991" w:bottom="1135" w:left="1560" w:header="851" w:footer="992" w:gutter="0"/>
          <w:pgNumType w:start="1"/>
          <w:cols w:space="720" w:num="1"/>
          <w:docGrid w:type="lines" w:linePitch="312" w:charSpace="0"/>
        </w:sectPr>
      </w:pPr>
    </w:p>
    <w:p>
      <w:pPr>
        <w:pStyle w:val="20"/>
        <w:ind w:left="106" w:leftChars="-354" w:hanging="849" w:hangingChars="423"/>
        <w:jc w:val="center"/>
        <w:rPr>
          <w:rFonts w:ascii="Times New Roman"/>
          <w:b/>
          <w:sz w:val="20"/>
        </w:rPr>
      </w:pPr>
      <w:r>
        <w:rPr>
          <w:rFonts w:ascii="Times New Roman"/>
          <w:b/>
          <w:sz w:val="20"/>
        </w:rPr>
        <w:drawing>
          <wp:inline distT="0" distB="0" distL="0" distR="0">
            <wp:extent cx="7869555" cy="5694045"/>
            <wp:effectExtent l="0" t="0" r="17145" b="1905"/>
            <wp:docPr id="20902425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42576" name="图片 2"/>
                    <pic:cNvPicPr>
                      <a:picLocks noChangeAspect="1"/>
                    </pic:cNvPicPr>
                  </pic:nvPicPr>
                  <pic:blipFill>
                    <a:blip r:embed="rId70">
                      <a:extLst>
                        <a:ext uri="{28A0092B-C50C-407E-A947-70E740481C1C}">
                          <a14:useLocalDpi xmlns:a14="http://schemas.microsoft.com/office/drawing/2010/main" val="0"/>
                        </a:ext>
                      </a:extLst>
                    </a:blip>
                    <a:srcRect l="8330" t="6834" r="7167" b="6836"/>
                    <a:stretch>
                      <a:fillRect/>
                    </a:stretch>
                  </pic:blipFill>
                  <pic:spPr>
                    <a:xfrm>
                      <a:off x="0" y="0"/>
                      <a:ext cx="7869555" cy="5694045"/>
                    </a:xfrm>
                    <a:prstGeom prst="rect">
                      <a:avLst/>
                    </a:prstGeom>
                    <a:ln>
                      <a:noFill/>
                    </a:ln>
                  </pic:spPr>
                </pic:pic>
              </a:graphicData>
            </a:graphic>
          </wp:inline>
        </w:drawing>
      </w:r>
      <w:r>
        <w:rPr>
          <w:rFonts w:ascii="Times New Roman" w:hAnsi="Times New Roman"/>
          <w:sz w:val="24"/>
        </w:rPr>
        <w:pict>
          <v:shape id="_x0000_s1117" o:spid="_x0000_s1117" o:spt="5" type="#_x0000_t5" style="position:absolute;left:0pt;margin-left:180.15pt;margin-top:476.25pt;height:12.25pt;width:14.25pt;z-index:251703296;v-text-anchor:middle;mso-width-relative:page;mso-height-relative:page;" fillcolor="#000000" filled="t" stroked="t" coordsize="21600,21600" o:gfxdata="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8i2TedsAAAAL&#10;AQAADwAAAAAAAAABACAAAAAiAAAAZHJzL2Rvd25yZXYueG1sUEsBAhQAFAAAAAgAh07iQFWKksqL&#10;AgAAJAUAAA4AAAAAAAAAAQAgAAAAKgEAAGRycy9lMm9Eb2MueG1sUEsFBgAAAAAGAAYAWQEAACcG&#10;AAAAAA==&#10;" adj="10800">
            <v:path/>
            <v:fill on="t" focussize="0,0"/>
            <v:stroke weight="1pt" color="#000000" miterlimit="8" joinstyle="miter"/>
            <v:imagedata o:title=""/>
            <o:lock v:ext="edit" aspectratio="f"/>
          </v:shape>
        </w:pict>
      </w:r>
      <w:r>
        <w:rPr>
          <w:rFonts w:ascii="Times New Roman" w:hAnsi="Times New Roman"/>
          <w:sz w:val="24"/>
        </w:rPr>
        <w:pict>
          <v:shape id="椭圆 822691139" o:spid="_x0000_s1119" o:spt="3" type="#_x0000_t3" style="position:absolute;left:0pt;margin-left:196.95pt;margin-top:478.1pt;height:10.5pt;width:10.5pt;z-index:251702272;v-text-anchor:middle;mso-width-relative:page;mso-height-relative:page;" fillcolor="#000000" filled="t" stroked="t" coordsize="21600,21600" o:gfxdata="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z5VnnbAAAACwEAAA8AAAAAAAAAAQAg&#10;AAAAIgAAAGRycy9kb3ducmV2LnhtbFBLAQIUABQAAAAIAIdO4kBU5Q8KfQIAACcFAAAOAAAAAAAA&#10;AAEAIAAAACoBAABkcnMvZTJvRG9jLnhtbFBLBQYAAAAABgAGAFkBAAAZBgAAAAA=&#10;">
            <v:path/>
            <v:fill on="t" focussize="0,0"/>
            <v:stroke weight="1pt" color="#000000" miterlimit="8" joinstyle="miter"/>
            <v:imagedata o:title=""/>
            <o:lock v:ext="edit" aspectratio="f"/>
          </v:shape>
        </w:pict>
      </w:r>
      <w:r>
        <w:rPr>
          <w:rFonts w:ascii="Times New Roman" w:hAnsi="Times New Roman"/>
          <w:sz w:val="24"/>
        </w:rPr>
        <w:pict>
          <v:shape id="_x0000_s1118" o:spid="_x0000_s1118" o:spt="5" type="#_x0000_t5" style="position:absolute;left:0pt;margin-left:50.75pt;margin-top:268.9pt;height:12.25pt;width:14.25pt;z-index:251701248;v-text-anchor:middle;mso-width-relative:page;mso-height-relative:page;" fillcolor="#000000" filled="t" stroked="t" coordsize="21600,21600" o:gfxdata="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Kv1M&#10;gdkAAAALAQAADwAAAAAAAAABACAAAAAiAAAAZHJzL2Rvd25yZXYueG1sUEsBAhQAFAAAAAgAh07i&#10;QMNid5yTAgAAMAUAAA4AAAAAAAAAAQAgAAAAKAEAAGRycy9lMm9Eb2MueG1sUEsFBgAAAAAGAAYA&#10;WQEAAC0GAAAAAA==&#10;" adj="10800">
            <v:path/>
            <v:fill on="t" focussize="0,0"/>
            <v:stroke weight="1pt" color="#000000" miterlimit="8" joinstyle="miter"/>
            <v:imagedata o:title=""/>
            <o:lock v:ext="edit" aspectratio="f"/>
            <v:textbox>
              <w:txbxContent>
                <w:p>
                  <w:pPr>
                    <w:jc w:val="center"/>
                  </w:pPr>
                </w:p>
              </w:txbxContent>
            </v:textbox>
          </v:shape>
        </w:pict>
      </w:r>
      <w:r>
        <w:rPr>
          <w:rFonts w:ascii="Times New Roman" w:hAnsi="Times New Roman"/>
          <w:sz w:val="24"/>
        </w:rPr>
        <w:pict>
          <v:shape id="椭圆 342094979" o:spid="_x0000_s1114" o:spt="3" type="#_x0000_t3" style="position:absolute;left:0pt;margin-left:52.05pt;margin-top:255.8pt;height:10.5pt;width:10.5pt;z-index:251700224;v-text-anchor:middle;mso-width-relative:page;mso-height-relative:page;" fillcolor="#000000" filled="t" stroked="t" coordsize="21600,21600" o:gfxdata="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V7lMI9gAAAALAQAADwAAAAAA&#10;AAABACAAAAAiAAAAZHJzL2Rvd25yZXYueG1sUEsBAhQAFAAAAAgAh07iQHWVYkiFAgAAMgUAAA4A&#10;AAAAAAAAAQAgAAAAJwEAAGRycy9lMm9Eb2MueG1sUEsFBgAAAAAGAAYAWQEAAB4GAAAAAA==&#10;">
            <v:path/>
            <v:fill on="t" focussize="0,0"/>
            <v:stroke weight="1pt" color="#000000" miterlimit="8" joinstyle="miter"/>
            <v:imagedata o:title=""/>
            <o:lock v:ext="edit" aspectratio="f"/>
            <v:textbox>
              <w:txbxContent>
                <w:p>
                  <w:pPr>
                    <w:jc w:val="center"/>
                  </w:pPr>
                </w:p>
              </w:txbxContent>
            </v:textbox>
          </v:shape>
        </w:pict>
      </w:r>
      <w:r>
        <w:rPr>
          <w:rFonts w:ascii="Times New Roman" w:hAnsi="Times New Roman"/>
          <w:sz w:val="24"/>
        </w:rPr>
        <w:pict>
          <v:shape id="椭圆 529066439" o:spid="_x0000_s1116" o:spt="3" type="#_x0000_t3" style="position:absolute;left:0pt;margin-left:345.3pt;margin-top:11.55pt;height:10.5pt;width:10.5pt;z-index:251698176;v-text-anchor:middle;mso-width-relative:page;mso-height-relative:page;" fillcolor="#000000" filled="t" stroked="t" coordsize="21600,21600" o:gfxdata="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6o/cnZAAAACQEAAA8AAAAA&#10;AAAAAQAgAAAAIgAAAGRycy9kb3ducmV2LnhtbFBLAQIUABQAAAAIAIdO4kAxDrwghQIAADIFAAAO&#10;AAAAAAAAAAEAIAAAACgBAABkcnMvZTJvRG9jLnhtbFBLBQYAAAAABgAGAFkBAAAfBgAAAAA=&#10;">
            <v:path/>
            <v:fill on="t" focussize="0,0"/>
            <v:stroke weight="1pt" color="#000000" miterlimit="8" joinstyle="miter"/>
            <v:imagedata o:title=""/>
            <o:lock v:ext="edit" aspectratio="f"/>
            <v:textbox>
              <w:txbxContent>
                <w:p>
                  <w:pPr>
                    <w:jc w:val="center"/>
                  </w:pPr>
                </w:p>
              </w:txbxContent>
            </v:textbox>
          </v:shape>
        </w:pict>
      </w:r>
      <w:r>
        <w:rPr>
          <w:rFonts w:ascii="Times New Roman" w:hAnsi="Times New Roman"/>
          <w:sz w:val="24"/>
        </w:rPr>
        <w:pict>
          <v:shape id="_x0000_s1115" o:spid="_x0000_s1115" o:spt="5" type="#_x0000_t5" style="position:absolute;left:0pt;margin-left:344pt;margin-top:24.65pt;height:12.25pt;width:14.25pt;z-index:251699200;v-text-anchor:middle;mso-width-relative:page;mso-height-relative:page;" fillcolor="#000000" filled="t" stroked="t" coordsize="21600,21600" o:gfxdata="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D59&#10;6//aAAAACQEAAA8AAAAAAAAAAQAgAAAAIgAAAGRycy9kb3ducmV2LnhtbFBLAQIUABQAAAAIAIdO&#10;4kCFqZa1kwIAAC8FAAAOAAAAAAAAAAEAIAAAACkBAABkcnMvZTJvRG9jLnhtbFBLBQYAAAAABgAG&#10;AFkBAAAuBgAAAAA=&#10;" adj="10800">
            <v:path/>
            <v:fill on="t" focussize="0,0"/>
            <v:stroke weight="1pt" color="#000000" miterlimit="8" joinstyle="miter"/>
            <v:imagedata o:title=""/>
            <o:lock v:ext="edit" aspectratio="f"/>
            <v:textbox>
              <w:txbxContent>
                <w:p>
                  <w:pPr>
                    <w:jc w:val="center"/>
                  </w:pPr>
                </w:p>
              </w:txbxContent>
            </v:textbox>
          </v:shape>
        </w:pict>
      </w:r>
      <w:r>
        <w:rPr>
          <w:rFonts w:ascii="Times New Roman" w:hAnsi="Times New Roman"/>
          <w:sz w:val="24"/>
        </w:rPr>
        <w:pict>
          <v:shape id="椭圆 1505036547" o:spid="_x0000_s1113" o:spt="3" type="#_x0000_t3" style="position:absolute;left:0pt;margin-left:601pt;margin-top:241.15pt;height:10.5pt;width:10.5pt;z-index:251696128;v-text-anchor:middle;mso-width-relative:page;mso-height-relative:page;" fillcolor="#000000" filled="t" stroked="t" coordsize="21600,21600" o:gfxdata="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BCJ6X2gAAAA0BAAAPAAAA&#10;AAAAAAEAIAAAACIAAABkcnMvZG93bnJldi54bWxQSwECFAAUAAAACACHTuJAWBE5uoUCAAA0BQAA&#10;DgAAAAAAAAABACAAAAApAQAAZHJzL2Uyb0RvYy54bWxQSwUGAAAAAAYABgBZAQAAIAYAAAAA&#10;">
            <v:path/>
            <v:fill on="t" focussize="0,0"/>
            <v:stroke weight="1pt" color="#000000" miterlimit="8" joinstyle="miter"/>
            <v:imagedata o:title=""/>
            <o:lock v:ext="edit" aspectratio="f"/>
            <v:textbox>
              <w:txbxContent>
                <w:p>
                  <w:pPr>
                    <w:jc w:val="center"/>
                  </w:pPr>
                </w:p>
              </w:txbxContent>
            </v:textbox>
          </v:shape>
        </w:pict>
      </w:r>
      <w:r>
        <w:rPr>
          <w:rFonts w:ascii="Times New Roman" w:hAnsi="Times New Roman"/>
          <w:sz w:val="24"/>
        </w:rPr>
        <w:pict>
          <v:shape id="_x0000_s1112" o:spid="_x0000_s1112" o:spt="5" type="#_x0000_t5" style="position:absolute;left:0pt;margin-left:599.7pt;margin-top:254.25pt;height:12.25pt;width:14.25pt;z-index:251697152;v-text-anchor:middle;mso-width-relative:page;mso-height-relative:page;" fillcolor="#000000" filled="t" stroked="t" coordsize="21600,21600" o:gfxdata="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N&#10;f8L52wAAAA0BAAAPAAAAAAAAAAEAIAAAACIAAABkcnMvZG93bnJldi54bWxQSwECFAAUAAAACACH&#10;TuJAtUXkW5MCAAAwBQAADgAAAAAAAAABACAAAAAqAQAAZHJzL2Uyb0RvYy54bWxQSwUGAAAAAAYA&#10;BgBZAQAALwYAAAAA&#10;" adj="10800">
            <v:path/>
            <v:fill on="t" focussize="0,0"/>
            <v:stroke weight="1pt" color="#000000" miterlimit="8" joinstyle="miter"/>
            <v:imagedata o:title=""/>
            <o:lock v:ext="edit" aspectratio="f"/>
            <v:textbox>
              <w:txbxContent>
                <w:p>
                  <w:pPr>
                    <w:jc w:val="center"/>
                  </w:pPr>
                </w:p>
              </w:txbxContent>
            </v:textbox>
          </v:shape>
        </w:pict>
      </w:r>
      <w:r>
        <w:rPr>
          <w:rFonts w:ascii="Times New Roman" w:hAnsi="Times New Roman"/>
          <w:sz w:val="24"/>
        </w:rPr>
        <w:pict>
          <v:shape id="直接箭头连接符 1" o:spid="_x0000_s1111" o:spt="32" type="#_x0000_t32" style="position:absolute;left:0pt;flip:x y;margin-left:296.5pt;margin-top:308.85pt;height:133.95pt;width:3.6pt;z-index:251694080;mso-width-relative:page;mso-height-relative:page;" filled="f" stroked="t" coordsize="21600,21600" o:gfxdata="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VtNhdkAAAALAQAADwAAAAAAAAABACAAAAAiAAAAZHJzL2Rvd25yZXYueG1sUEsBAhQAFAAA&#10;AAgAh07iQBbdKhknAgAAHgQAAA4AAAAAAAAAAQAgAAAAKAEAAGRycy9lMm9Eb2MueG1sUEsFBgAA&#10;AAAGAAYAWQEAAMEFAAAAAA==&#10;">
            <v:path arrowok="t"/>
            <v:fill on="f" focussize="0,0"/>
            <v:stroke weight="1.5pt" color="#FF0000" miterlimit="8" joinstyle="miter" startarrow="block" endarrow="block"/>
            <v:imagedata o:title=""/>
            <o:lock v:ext="edit" aspectratio="f"/>
          </v:shape>
        </w:pict>
      </w:r>
      <w:r>
        <w:rPr>
          <w:rFonts w:ascii="Times New Roman" w:hAnsi="Times New Roman"/>
          <w:sz w:val="24"/>
        </w:rPr>
        <w:pict>
          <v:rect id="矩形 2" o:spid="_x0000_s1110" o:spt="1" style="position:absolute;left:0pt;margin-left:287.5pt;margin-top:350.05pt;height:21.2pt;width:44.3pt;z-index:251695104;v-text-anchor:middle;mso-width-relative:page;mso-height-relative:page;" filled="f" stroked="f" coordsize="21600,21600" o:gfxdata="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yz3h9kAAAALAQAADwAAAAAAAAABACAAAAAiAAAAZHJzL2Rvd25yZXYueG1sUEsB&#10;AhQAFAAAAAgAh07iQFhIeTxmAgAAtQQAAA4AAAAAAAAAAQAgAAAAKAEAAGRycy9lMm9Eb2MueG1s&#10;UEsFBgAAAAAGAAYAWQEAAAAGAAAAAA==&#10;">
            <v:path/>
            <v:fill on="f" focussize="0,0"/>
            <v:stroke on="f" weight="1pt" miterlimit="8" joinstyle="miter"/>
            <v:imagedata o:title=""/>
            <o:lock v:ext="edit" aspectratio="f"/>
            <v:textbox>
              <w:txbxContent>
                <w:p>
                  <w:pPr>
                    <w:jc w:val="center"/>
                    <w:rPr>
                      <w:color w:val="FF0000"/>
                    </w:rPr>
                  </w:pPr>
                  <w:r>
                    <w:rPr>
                      <w:color w:val="FF0000"/>
                    </w:rPr>
                    <w:t>27m</w:t>
                  </w:r>
                </w:p>
                <w:p>
                  <w:pPr>
                    <w:jc w:val="center"/>
                  </w:pPr>
                </w:p>
              </w:txbxContent>
            </v:textbox>
          </v:rect>
        </w:pict>
      </w:r>
      <w:r>
        <w:rPr>
          <w:rFonts w:ascii="Times New Roman" w:hAnsi="Times New Roman"/>
          <w:sz w:val="24"/>
        </w:rPr>
        <w:pict>
          <v:shape id="三角形 31" o:spid="_x0000_s1109" o:spt="5" type="#_x0000_t5" style="position:absolute;left:0pt;margin-left:617.85pt;margin-top:471.1pt;height:12.25pt;width:14.25pt;z-index:251693056;v-text-anchor:middle;mso-width-relative:page;mso-height-relative:page;" fillcolor="#000000" filled="t" stroked="t" coordsize="21600,21600" o:gfxdata="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uUvmtsAAAAN&#10;AQAADwAAAAAAAAABACAAAAAiAAAAZHJzL2Rvd25yZXYueG1sUEsBAhQAFAAAAAgAh07iQDjx4n+L&#10;AgAAKAUAAA4AAAAAAAAAAQAgAAAAKgEAAGRycy9lMm9Eb2MueG1sUEsFBgAAAAAGAAYAWQEAACcG&#10;AAAAAA==&#10;" adj="10800">
            <v:path/>
            <v:fill on="t" focussize="0,0"/>
            <v:stroke weight="1pt" color="#000000" miterlimit="8" joinstyle="miter"/>
            <v:imagedata o:title=""/>
            <o:lock v:ext="edit" aspectratio="f"/>
            <v:textbox>
              <w:txbxContent>
                <w:p>
                  <w:pPr>
                    <w:jc w:val="center"/>
                  </w:pPr>
                </w:p>
              </w:txbxContent>
            </v:textbox>
          </v:shape>
        </w:pict>
      </w:r>
      <w:r>
        <w:rPr>
          <w:rFonts w:ascii="Times New Roman" w:hAnsi="Times New Roman"/>
          <w:sz w:val="24"/>
        </w:rPr>
        <w:pict>
          <v:shape id="椭圆 23" o:spid="_x0000_s1108" o:spt="3" type="#_x0000_t3" style="position:absolute;left:0pt;margin-left:619.15pt;margin-top:458pt;height:10.5pt;width:10.5pt;z-index:251692032;v-text-anchor:middle;mso-width-relative:page;mso-height-relative:page;" fillcolor="#000000" filled="t" stroked="t" coordsize="21600,21600" o:gfxdata="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QhIC3aAAAADQEAAA8AAAAAAAAAAQAg&#10;AAAAIgAAAGRycy9kb3ducmV2LnhtbFBLAQIUABQAAAAIAIdO4kAQmGBTfgIAACQFAAAOAAAAAAAA&#10;AAEAIAAAACkBAABkcnMvZTJvRG9jLnhtbFBLBQYAAAAABgAGAFkBAAAZBgAAAAA=&#10;">
            <v:path/>
            <v:fill on="t" focussize="0,0"/>
            <v:stroke weight="1pt" color="#000000" miterlimit="8" joinstyle="miter"/>
            <v:imagedata o:title=""/>
            <o:lock v:ext="edit" aspectratio="f"/>
            <v:textbox>
              <w:txbxContent>
                <w:p>
                  <w:pPr>
                    <w:jc w:val="center"/>
                  </w:pPr>
                </w:p>
              </w:txbxContent>
            </v:textbox>
          </v:shape>
        </w:pict>
      </w:r>
      <w:r>
        <w:rPr>
          <w:rFonts w:ascii="Times New Roman" w:hAnsi="Times New Roman"/>
          <w:sz w:val="24"/>
        </w:rPr>
        <w:pict>
          <v:rect id="_x0000_s1107" o:spid="_x0000_s1107" o:spt="1" style="position:absolute;left:0pt;margin-left:592.7pt;margin-top:444.25pt;height:53.25pt;width:172.7pt;z-index:251691008;v-text-anchor:middle;mso-width-relative:page;mso-height-relative:page;" filled="f" stroked="t" coordsize="21600,21600" o:gfxdata="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oHQl3AAAAA0BAAAPAAAAAAAAAAEAIAAAACIAAABkcnMv&#10;ZG93bnJldi54bWxQSwECFAAUAAAACACHTuJA/aCzxnECAADYBAAADgAAAAAAAAABACAAAAArAQAA&#10;ZHJzL2Uyb0RvYy54bWxQSwUGAAAAAAYABgBZAQAADgYAAAAA&#10;">
            <v:path/>
            <v:fill on="f" focussize="0,0"/>
            <v:stroke weight="1pt" color="#FFFFFF" miterlimit="8" joinstyle="miter"/>
            <v:imagedata o:title=""/>
            <o:lock v:ext="edit" aspectratio="f"/>
            <v:textbox>
              <w:txbxContent>
                <w:p>
                  <w:pPr>
                    <w:rPr>
                      <w:rFonts w:ascii="黑体" w:eastAsia="黑体"/>
                      <w:color w:val="231F20"/>
                      <w:sz w:val="22"/>
                      <w:szCs w:val="32"/>
                    </w:rPr>
                  </w:pPr>
                  <w:r>
                    <w:rPr>
                      <w:rFonts w:hint="eastAsia" w:ascii="黑体" w:eastAsia="黑体"/>
                      <w:color w:val="231F20"/>
                      <w:sz w:val="22"/>
                      <w:szCs w:val="32"/>
                    </w:rPr>
                    <w:t xml:space="preserve">注： </w:t>
                  </w:r>
                  <w:r>
                    <w:rPr>
                      <w:rFonts w:ascii="黑体" w:eastAsia="黑体"/>
                      <w:color w:val="231F20"/>
                      <w:sz w:val="22"/>
                      <w:szCs w:val="32"/>
                    </w:rPr>
                    <w:t xml:space="preserve">  </w:t>
                  </w:r>
                  <w:r>
                    <w:rPr>
                      <w:rFonts w:hint="eastAsia" w:ascii="黑体" w:eastAsia="黑体"/>
                      <w:color w:val="231F20"/>
                      <w:sz w:val="22"/>
                      <w:szCs w:val="32"/>
                    </w:rPr>
                    <w:t>为工频电磁场监测点位</w:t>
                  </w:r>
                </w:p>
                <w:p>
                  <w:pPr>
                    <w:rPr>
                      <w:rFonts w:ascii="黑体" w:eastAsia="黑体"/>
                      <w:color w:val="231F20"/>
                      <w:sz w:val="22"/>
                      <w:szCs w:val="32"/>
                    </w:rPr>
                  </w:pPr>
                  <w:r>
                    <w:rPr>
                      <w:rFonts w:hint="eastAsia" w:ascii="黑体" w:eastAsia="黑体"/>
                      <w:color w:val="231F20"/>
                      <w:sz w:val="22"/>
                      <w:szCs w:val="32"/>
                    </w:rPr>
                    <w:t xml:space="preserve"> </w:t>
                  </w:r>
                  <w:r>
                    <w:rPr>
                      <w:rFonts w:ascii="黑体" w:eastAsia="黑体"/>
                      <w:color w:val="231F20"/>
                      <w:sz w:val="22"/>
                      <w:szCs w:val="32"/>
                    </w:rPr>
                    <w:t xml:space="preserve">      </w:t>
                  </w:r>
                  <w:r>
                    <w:rPr>
                      <w:rFonts w:hint="eastAsia" w:ascii="黑体" w:eastAsia="黑体"/>
                      <w:color w:val="231F20"/>
                      <w:sz w:val="22"/>
                      <w:szCs w:val="32"/>
                    </w:rPr>
                    <w:t>为噪声监测点位</w:t>
                  </w:r>
                </w:p>
              </w:txbxContent>
            </v:textbox>
          </v:rect>
        </w:pict>
      </w:r>
    </w:p>
    <w:p>
      <w:pPr>
        <w:pStyle w:val="20"/>
        <w:ind w:left="276" w:leftChars="-354" w:hanging="1019" w:hangingChars="423"/>
        <w:jc w:val="center"/>
        <w:rPr>
          <w:rFonts w:ascii="Times New Roman" w:hAnsi="Times New Roman"/>
          <w:b/>
          <w:bCs/>
          <w:sz w:val="18"/>
          <w:szCs w:val="18"/>
        </w:rPr>
      </w:pPr>
      <w:r>
        <w:rPr>
          <w:rFonts w:ascii="Times New Roman" w:hAnsi="Times New Roman"/>
          <w:b/>
          <w:bCs/>
          <w:sz w:val="24"/>
        </w:rPr>
        <w:pict>
          <v:shape id="_x0000_s1106" o:spid="_x0000_s1106" o:spt="32" type="#_x0000_t32" style="position:absolute;left:0pt;margin-left:201.9pt;margin-top:4.85pt;height:30.05pt;width:0pt;z-index:251704320;mso-width-relative:page;mso-height-relative:page;" filled="f" stroked="t" coordsize="21600,21600" o:gfxdata="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bMSWHVAAAACAEAAA8AAAAAAAAAAQAgAAAAIgAAAGRy&#10;cy9kb3ducmV2LnhtbFBLAQIUABQAAAAIAIdO4kDP6qRbCAIAAOkDAAAOAAAAAAAAAAEAIAAAACQB&#10;AABkcnMvZTJvRG9jLnhtbFBLBQYAAAAABgAGAFkBAACeBQAAAAA=&#10;">
            <v:path arrowok="t"/>
            <v:fill on="f" focussize="0,0"/>
            <v:stroke weight="3pt" color="#000000" miterlimit="8" joinstyle="miter" endarrow="block"/>
            <v:imagedata o:title=""/>
            <o:lock v:ext="edit" aspectratio="f"/>
          </v:shape>
        </w:pict>
      </w:r>
      <w:r>
        <w:rPr>
          <w:rFonts w:ascii="Times New Roman" w:hAnsi="Times New Roman"/>
          <w:b/>
          <w:bCs/>
          <w:sz w:val="24"/>
        </w:rPr>
        <w:t xml:space="preserve">图4-1  </w:t>
      </w:r>
      <w:r>
        <w:rPr>
          <w:rFonts w:hint="eastAsia" w:ascii="Times New Roman" w:hAnsi="Times New Roman"/>
          <w:b/>
          <w:bCs/>
          <w:sz w:val="24"/>
        </w:rPr>
        <w:t>涞源泉峪220kV输变电工程</w:t>
      </w:r>
      <w:r>
        <w:rPr>
          <w:rFonts w:ascii="Times New Roman" w:hAnsi="Times New Roman"/>
          <w:b/>
          <w:bCs/>
          <w:sz w:val="24"/>
        </w:rPr>
        <w:t>站区平面布置图</w:t>
      </w:r>
    </w:p>
    <w:p>
      <w:pPr>
        <w:pStyle w:val="20"/>
        <w:spacing w:line="480" w:lineRule="atLeast"/>
        <w:ind w:firstLine="480" w:firstLineChars="200"/>
        <w:jc w:val="both"/>
        <w:rPr>
          <w:rFonts w:ascii="Times New Roman" w:hAnsi="Times New Roman"/>
          <w:sz w:val="24"/>
        </w:rPr>
        <w:sectPr>
          <w:pgSz w:w="16838" w:h="11906" w:orient="landscape"/>
          <w:pgMar w:top="649" w:right="992" w:bottom="851" w:left="1134" w:header="851" w:footer="992" w:gutter="0"/>
          <w:cols w:space="720" w:num="1"/>
          <w:docGrid w:type="lines" w:linePitch="312" w:charSpace="0"/>
        </w:sectPr>
      </w:pPr>
    </w:p>
    <w:p>
      <w:pPr>
        <w:pStyle w:val="20"/>
        <w:spacing w:line="480" w:lineRule="atLeast"/>
        <w:ind w:firstLine="480" w:firstLineChars="200"/>
        <w:jc w:val="both"/>
        <w:rPr>
          <w:rFonts w:ascii="Times New Roman" w:hAnsi="Times New Roman"/>
          <w:sz w:val="24"/>
        </w:rPr>
      </w:pPr>
      <w:r>
        <w:rPr>
          <w:rFonts w:ascii="Times New Roman" w:hAnsi="Times New Roman"/>
          <w:sz w:val="24"/>
        </w:rPr>
        <w:t>2020年9月16日，</w:t>
      </w:r>
      <w:r>
        <w:rPr>
          <w:rFonts w:hint="eastAsia" w:ascii="Times New Roman" w:hAnsi="Times New Roman"/>
          <w:sz w:val="24"/>
        </w:rPr>
        <w:t>承德市东岭环境监测有限公司</w:t>
      </w:r>
      <w:r>
        <w:rPr>
          <w:rFonts w:ascii="Times New Roman" w:hAnsi="Times New Roman"/>
          <w:sz w:val="24"/>
        </w:rPr>
        <w:t>对</w:t>
      </w:r>
      <w:r>
        <w:rPr>
          <w:rFonts w:hint="eastAsia" w:ascii="Times New Roman" w:hAnsi="Times New Roman"/>
          <w:sz w:val="24"/>
          <w:szCs w:val="22"/>
        </w:rPr>
        <w:t>涞源泉峪220kV输变电工程</w:t>
      </w:r>
      <w:r>
        <w:rPr>
          <w:sz w:val="24"/>
          <w:szCs w:val="22"/>
        </w:rPr>
        <w:t>进行了监测</w:t>
      </w:r>
      <w:r>
        <w:rPr>
          <w:rFonts w:ascii="Times New Roman" w:hAnsi="Times New Roman"/>
          <w:sz w:val="24"/>
        </w:rPr>
        <w:t>，</w:t>
      </w:r>
      <w:r>
        <w:rPr>
          <w:rFonts w:hint="eastAsia" w:ascii="Times New Roman" w:hAnsi="Times New Roman"/>
          <w:sz w:val="24"/>
        </w:rPr>
        <w:t>监测布点：按《交流输变电工程电磁环境监测方法(试行)》(HJ</w:t>
      </w:r>
      <w:r>
        <w:rPr>
          <w:rFonts w:ascii="Times New Roman" w:hAnsi="Times New Roman"/>
          <w:sz w:val="24"/>
        </w:rPr>
        <w:t xml:space="preserve"> </w:t>
      </w:r>
      <w:r>
        <w:rPr>
          <w:rFonts w:hint="eastAsia" w:ascii="Times New Roman" w:hAnsi="Times New Roman"/>
          <w:sz w:val="24"/>
        </w:rPr>
        <w:t>681-2013)中变电站(开关站、串补站)监测布点进行。具体布点为：在变电站站址西北、西南、东北厂界外5m各布置1个监测点，在站址东南侧布置监测断面，站址外垂直围墙5m为起点，5m为间距，顺序测至距离变电站站址50m处。监测时升压站运行工况见表4</w:t>
      </w:r>
      <w:r>
        <w:rPr>
          <w:rFonts w:ascii="Times New Roman" w:hAnsi="Times New Roman"/>
          <w:sz w:val="24"/>
        </w:rPr>
        <w:t>-2</w:t>
      </w:r>
      <w:r>
        <w:rPr>
          <w:rFonts w:hint="eastAsia" w:ascii="Times New Roman" w:hAnsi="Times New Roman"/>
          <w:sz w:val="24"/>
        </w:rPr>
        <w:t>，电磁环境监测结果详见表4-3，监测报告见附件</w:t>
      </w:r>
      <w:r>
        <w:rPr>
          <w:rFonts w:ascii="Times New Roman" w:hAnsi="Times New Roman"/>
          <w:sz w:val="24"/>
        </w:rPr>
        <w:t>7</w:t>
      </w:r>
      <w:r>
        <w:rPr>
          <w:rFonts w:hint="eastAsia" w:ascii="Times New Roman" w:hAnsi="Times New Roman"/>
          <w:sz w:val="24"/>
        </w:rPr>
        <w:t>。</w:t>
      </w:r>
    </w:p>
    <w:p>
      <w:pPr>
        <w:pStyle w:val="20"/>
        <w:spacing w:line="480" w:lineRule="atLeast"/>
        <w:jc w:val="center"/>
        <w:rPr>
          <w:rFonts w:ascii="Times New Roman" w:hAnsi="Times New Roman"/>
          <w:b/>
          <w:bCs/>
          <w:sz w:val="24"/>
        </w:rPr>
      </w:pPr>
      <w:r>
        <w:rPr>
          <w:rFonts w:hint="eastAsia" w:ascii="Times New Roman" w:hAnsi="Times New Roman"/>
          <w:b/>
          <w:bCs/>
          <w:sz w:val="24"/>
        </w:rPr>
        <w:t>表</w:t>
      </w:r>
      <w:r>
        <w:rPr>
          <w:rFonts w:ascii="Times New Roman" w:hAnsi="Times New Roman"/>
          <w:b/>
          <w:bCs/>
          <w:sz w:val="24"/>
        </w:rPr>
        <w:t>4</w:t>
      </w:r>
      <w:r>
        <w:rPr>
          <w:rFonts w:hint="eastAsia" w:ascii="Times New Roman" w:hAnsi="Times New Roman"/>
          <w:b/>
          <w:bCs/>
          <w:sz w:val="24"/>
        </w:rPr>
        <w:t>-</w:t>
      </w:r>
      <w:r>
        <w:rPr>
          <w:rFonts w:ascii="Times New Roman" w:hAnsi="Times New Roman"/>
          <w:b/>
          <w:bCs/>
          <w:sz w:val="24"/>
        </w:rPr>
        <w:t>2</w:t>
      </w:r>
      <w:r>
        <w:rPr>
          <w:rFonts w:hint="eastAsia" w:ascii="Times New Roman" w:hAnsi="Times New Roman"/>
          <w:b/>
          <w:bCs/>
          <w:sz w:val="24"/>
        </w:rPr>
        <w:t xml:space="preserve"> </w:t>
      </w:r>
      <w:r>
        <w:rPr>
          <w:rFonts w:ascii="Times New Roman" w:hAnsi="Times New Roman"/>
          <w:b/>
          <w:bCs/>
          <w:sz w:val="24"/>
        </w:rPr>
        <w:t xml:space="preserve"> </w:t>
      </w:r>
      <w:r>
        <w:rPr>
          <w:rFonts w:hint="eastAsia" w:ascii="Times New Roman" w:hAnsi="Times New Roman"/>
          <w:b/>
          <w:bCs/>
          <w:sz w:val="24"/>
        </w:rPr>
        <w:t>运行工况一览表</w:t>
      </w:r>
    </w:p>
    <w:tbl>
      <w:tblPr>
        <w:tblStyle w:val="90"/>
        <w:tblW w:w="90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34"/>
        <w:gridCol w:w="1134"/>
        <w:gridCol w:w="851"/>
        <w:gridCol w:w="851"/>
        <w:gridCol w:w="851"/>
        <w:gridCol w:w="851"/>
        <w:gridCol w:w="851"/>
        <w:gridCol w:w="851"/>
        <w:gridCol w:w="851"/>
        <w:gridCol w:w="8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134" w:type="dxa"/>
            <w:vMerge w:val="restart"/>
            <w:vAlign w:val="center"/>
          </w:tcPr>
          <w:p>
            <w:pPr>
              <w:widowControl w:val="0"/>
              <w:autoSpaceDE w:val="0"/>
              <w:autoSpaceDN w:val="0"/>
              <w:snapToGrid w:val="0"/>
              <w:jc w:val="center"/>
              <w:rPr>
                <w:b/>
                <w:bCs/>
                <w:sz w:val="21"/>
                <w:szCs w:val="21"/>
                <w:lang w:eastAsia="en-US"/>
              </w:rPr>
            </w:pPr>
            <w:r>
              <w:rPr>
                <w:b/>
                <w:bCs/>
                <w:sz w:val="21"/>
                <w:szCs w:val="21"/>
                <w:lang w:eastAsia="en-US"/>
              </w:rPr>
              <w:t>日期</w:t>
            </w:r>
          </w:p>
        </w:tc>
        <w:tc>
          <w:tcPr>
            <w:tcW w:w="1134" w:type="dxa"/>
            <w:vMerge w:val="restart"/>
            <w:vAlign w:val="center"/>
          </w:tcPr>
          <w:p>
            <w:pPr>
              <w:widowControl w:val="0"/>
              <w:autoSpaceDE w:val="0"/>
              <w:autoSpaceDN w:val="0"/>
              <w:snapToGrid w:val="0"/>
              <w:jc w:val="center"/>
              <w:rPr>
                <w:b/>
                <w:bCs/>
                <w:sz w:val="21"/>
                <w:szCs w:val="21"/>
                <w:lang w:eastAsia="en-US"/>
              </w:rPr>
            </w:pPr>
            <w:r>
              <w:rPr>
                <w:b/>
                <w:bCs/>
                <w:sz w:val="21"/>
                <w:szCs w:val="21"/>
                <w:lang w:eastAsia="en-US"/>
              </w:rPr>
              <w:t>设备名称</w:t>
            </w:r>
          </w:p>
        </w:tc>
        <w:tc>
          <w:tcPr>
            <w:tcW w:w="1702" w:type="dxa"/>
            <w:gridSpan w:val="2"/>
            <w:vAlign w:val="center"/>
          </w:tcPr>
          <w:p>
            <w:pPr>
              <w:widowControl w:val="0"/>
              <w:autoSpaceDE w:val="0"/>
              <w:autoSpaceDN w:val="0"/>
              <w:snapToGrid w:val="0"/>
              <w:jc w:val="center"/>
              <w:rPr>
                <w:b/>
                <w:bCs/>
                <w:sz w:val="21"/>
                <w:szCs w:val="21"/>
                <w:lang w:eastAsia="en-US"/>
              </w:rPr>
            </w:pPr>
            <w:r>
              <w:rPr>
                <w:b/>
                <w:bCs/>
                <w:sz w:val="21"/>
                <w:szCs w:val="21"/>
                <w:lang w:eastAsia="en-US"/>
              </w:rPr>
              <w:t>电压(kV)</w:t>
            </w:r>
          </w:p>
        </w:tc>
        <w:tc>
          <w:tcPr>
            <w:tcW w:w="1702" w:type="dxa"/>
            <w:gridSpan w:val="2"/>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电流</w:t>
            </w:r>
            <w:r>
              <w:rPr>
                <w:b/>
                <w:bCs/>
                <w:sz w:val="21"/>
                <w:szCs w:val="21"/>
                <w:lang w:eastAsia="en-US"/>
              </w:rPr>
              <w:t>(A)</w:t>
            </w:r>
          </w:p>
        </w:tc>
        <w:tc>
          <w:tcPr>
            <w:tcW w:w="1702" w:type="dxa"/>
            <w:gridSpan w:val="2"/>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有功</w:t>
            </w:r>
            <w:r>
              <w:rPr>
                <w:b/>
                <w:bCs/>
                <w:sz w:val="21"/>
                <w:szCs w:val="21"/>
                <w:lang w:eastAsia="en-US"/>
              </w:rPr>
              <w:t>功率(MW)</w:t>
            </w:r>
          </w:p>
        </w:tc>
        <w:tc>
          <w:tcPr>
            <w:tcW w:w="1702" w:type="dxa"/>
            <w:gridSpan w:val="2"/>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无功</w:t>
            </w:r>
            <w:r>
              <w:rPr>
                <w:b/>
                <w:bCs/>
                <w:sz w:val="21"/>
                <w:szCs w:val="21"/>
                <w:lang w:eastAsia="en-US"/>
              </w:rPr>
              <w:t>功率(M</w:t>
            </w:r>
            <w:r>
              <w:rPr>
                <w:rFonts w:hint="eastAsia"/>
                <w:b/>
                <w:bCs/>
                <w:sz w:val="21"/>
                <w:szCs w:val="21"/>
                <w:lang w:eastAsia="en-US"/>
              </w:rPr>
              <w:t>var</w:t>
            </w:r>
            <w:r>
              <w:rPr>
                <w:b/>
                <w:bCs/>
                <w:sz w:val="21"/>
                <w:szCs w:val="21"/>
                <w:lang w:eastAsia="en-US"/>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134" w:type="dxa"/>
            <w:vMerge w:val="continue"/>
            <w:vAlign w:val="center"/>
          </w:tcPr>
          <w:p>
            <w:pPr>
              <w:widowControl w:val="0"/>
              <w:autoSpaceDE w:val="0"/>
              <w:autoSpaceDN w:val="0"/>
              <w:snapToGrid w:val="0"/>
              <w:jc w:val="center"/>
              <w:rPr>
                <w:b/>
                <w:bCs/>
                <w:sz w:val="21"/>
                <w:szCs w:val="21"/>
                <w:lang w:eastAsia="en-US"/>
              </w:rPr>
            </w:pPr>
          </w:p>
        </w:tc>
        <w:tc>
          <w:tcPr>
            <w:tcW w:w="1134" w:type="dxa"/>
            <w:vMerge w:val="continue"/>
            <w:vAlign w:val="center"/>
          </w:tcPr>
          <w:p>
            <w:pPr>
              <w:widowControl w:val="0"/>
              <w:autoSpaceDE w:val="0"/>
              <w:autoSpaceDN w:val="0"/>
              <w:snapToGrid w:val="0"/>
              <w:jc w:val="center"/>
              <w:rPr>
                <w:b/>
                <w:bCs/>
                <w:sz w:val="21"/>
                <w:szCs w:val="21"/>
                <w:lang w:eastAsia="en-US"/>
              </w:rPr>
            </w:pPr>
          </w:p>
        </w:tc>
        <w:tc>
          <w:tcPr>
            <w:tcW w:w="851" w:type="dxa"/>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Max</w:t>
            </w:r>
          </w:p>
        </w:tc>
        <w:tc>
          <w:tcPr>
            <w:tcW w:w="851" w:type="dxa"/>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Min</w:t>
            </w:r>
          </w:p>
        </w:tc>
        <w:tc>
          <w:tcPr>
            <w:tcW w:w="851" w:type="dxa"/>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Max</w:t>
            </w:r>
          </w:p>
        </w:tc>
        <w:tc>
          <w:tcPr>
            <w:tcW w:w="851" w:type="dxa"/>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Min</w:t>
            </w:r>
          </w:p>
        </w:tc>
        <w:tc>
          <w:tcPr>
            <w:tcW w:w="851" w:type="dxa"/>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Max</w:t>
            </w:r>
          </w:p>
        </w:tc>
        <w:tc>
          <w:tcPr>
            <w:tcW w:w="851" w:type="dxa"/>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Min</w:t>
            </w:r>
          </w:p>
        </w:tc>
        <w:tc>
          <w:tcPr>
            <w:tcW w:w="851" w:type="dxa"/>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Max</w:t>
            </w:r>
          </w:p>
        </w:tc>
        <w:tc>
          <w:tcPr>
            <w:tcW w:w="851" w:type="dxa"/>
            <w:vAlign w:val="center"/>
          </w:tcPr>
          <w:p>
            <w:pPr>
              <w:widowControl w:val="0"/>
              <w:autoSpaceDE w:val="0"/>
              <w:autoSpaceDN w:val="0"/>
              <w:snapToGrid w:val="0"/>
              <w:jc w:val="center"/>
              <w:rPr>
                <w:b/>
                <w:bCs/>
                <w:sz w:val="21"/>
                <w:szCs w:val="21"/>
                <w:lang w:eastAsia="en-US"/>
              </w:rPr>
            </w:pPr>
            <w:r>
              <w:rPr>
                <w:rFonts w:hint="eastAsia"/>
                <w:b/>
                <w:bCs/>
                <w:sz w:val="21"/>
                <w:szCs w:val="21"/>
                <w:lang w:eastAsia="en-US"/>
              </w:rPr>
              <w:t>Min</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134" w:type="dxa"/>
            <w:vAlign w:val="center"/>
          </w:tcPr>
          <w:p>
            <w:pPr>
              <w:widowControl w:val="0"/>
              <w:autoSpaceDE w:val="0"/>
              <w:autoSpaceDN w:val="0"/>
              <w:snapToGrid w:val="0"/>
              <w:jc w:val="center"/>
              <w:rPr>
                <w:sz w:val="21"/>
                <w:szCs w:val="21"/>
                <w:lang w:eastAsia="en-US"/>
              </w:rPr>
            </w:pPr>
            <w:r>
              <w:rPr>
                <w:sz w:val="21"/>
                <w:szCs w:val="21"/>
                <w:lang w:eastAsia="en-US"/>
              </w:rPr>
              <w:t>2020.9.16</w:t>
            </w:r>
          </w:p>
        </w:tc>
        <w:tc>
          <w:tcPr>
            <w:tcW w:w="1134" w:type="dxa"/>
            <w:vAlign w:val="center"/>
          </w:tcPr>
          <w:p>
            <w:pPr>
              <w:widowControl w:val="0"/>
              <w:autoSpaceDE w:val="0"/>
              <w:autoSpaceDN w:val="0"/>
              <w:snapToGrid w:val="0"/>
              <w:jc w:val="center"/>
              <w:rPr>
                <w:sz w:val="21"/>
                <w:szCs w:val="21"/>
                <w:lang w:eastAsia="en-US"/>
              </w:rPr>
            </w:pPr>
            <w:r>
              <w:rPr>
                <w:sz w:val="21"/>
                <w:szCs w:val="21"/>
                <w:lang w:eastAsia="en-US"/>
              </w:rPr>
              <w:t>1#主变</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2</w:t>
            </w:r>
            <w:r>
              <w:rPr>
                <w:sz w:val="21"/>
                <w:szCs w:val="21"/>
                <w:lang w:eastAsia="en-US"/>
              </w:rPr>
              <w:t>32.1</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2</w:t>
            </w:r>
            <w:r>
              <w:rPr>
                <w:sz w:val="21"/>
                <w:szCs w:val="21"/>
                <w:lang w:eastAsia="en-US"/>
              </w:rPr>
              <w:t>26.7</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6</w:t>
            </w:r>
            <w:r>
              <w:rPr>
                <w:sz w:val="21"/>
                <w:szCs w:val="21"/>
                <w:lang w:eastAsia="en-US"/>
              </w:rPr>
              <w:t>6.5</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8</w:t>
            </w:r>
            <w:r>
              <w:rPr>
                <w:sz w:val="21"/>
                <w:szCs w:val="21"/>
                <w:lang w:eastAsia="en-US"/>
              </w:rPr>
              <w:t>.9</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2</w:t>
            </w:r>
            <w:r>
              <w:rPr>
                <w:sz w:val="21"/>
                <w:szCs w:val="21"/>
                <w:lang w:eastAsia="en-US"/>
              </w:rPr>
              <w:t>5.0</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0</w:t>
            </w:r>
            <w:r>
              <w:rPr>
                <w:sz w:val="21"/>
                <w:szCs w:val="21"/>
                <w:lang w:eastAsia="en-US"/>
              </w:rPr>
              <w:t>.9</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1</w:t>
            </w:r>
            <w:r>
              <w:rPr>
                <w:sz w:val="21"/>
                <w:szCs w:val="21"/>
                <w:lang w:eastAsia="en-US"/>
              </w:rPr>
              <w:t>4.8</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134" w:type="dxa"/>
            <w:vAlign w:val="center"/>
          </w:tcPr>
          <w:p>
            <w:pPr>
              <w:widowControl w:val="0"/>
              <w:autoSpaceDE w:val="0"/>
              <w:autoSpaceDN w:val="0"/>
              <w:snapToGrid w:val="0"/>
              <w:jc w:val="center"/>
              <w:rPr>
                <w:sz w:val="21"/>
                <w:szCs w:val="21"/>
                <w:lang w:eastAsia="en-US"/>
              </w:rPr>
            </w:pPr>
            <w:r>
              <w:rPr>
                <w:sz w:val="21"/>
                <w:szCs w:val="21"/>
                <w:lang w:eastAsia="en-US"/>
              </w:rPr>
              <w:t>2020.9.16</w:t>
            </w:r>
          </w:p>
        </w:tc>
        <w:tc>
          <w:tcPr>
            <w:tcW w:w="1134" w:type="dxa"/>
            <w:vAlign w:val="center"/>
          </w:tcPr>
          <w:p>
            <w:pPr>
              <w:widowControl w:val="0"/>
              <w:autoSpaceDE w:val="0"/>
              <w:autoSpaceDN w:val="0"/>
              <w:snapToGrid w:val="0"/>
              <w:jc w:val="center"/>
              <w:rPr>
                <w:sz w:val="21"/>
                <w:szCs w:val="21"/>
                <w:lang w:eastAsia="en-US"/>
              </w:rPr>
            </w:pPr>
            <w:r>
              <w:rPr>
                <w:sz w:val="21"/>
                <w:szCs w:val="21"/>
                <w:lang w:eastAsia="en-US"/>
              </w:rPr>
              <w:t>2#主变</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2</w:t>
            </w:r>
            <w:r>
              <w:rPr>
                <w:sz w:val="21"/>
                <w:szCs w:val="21"/>
                <w:lang w:eastAsia="en-US"/>
              </w:rPr>
              <w:t>31.9</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2</w:t>
            </w:r>
            <w:r>
              <w:rPr>
                <w:sz w:val="21"/>
                <w:szCs w:val="21"/>
                <w:lang w:eastAsia="en-US"/>
              </w:rPr>
              <w:t>26.6</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5</w:t>
            </w:r>
            <w:r>
              <w:rPr>
                <w:sz w:val="21"/>
                <w:szCs w:val="21"/>
                <w:lang w:eastAsia="en-US"/>
              </w:rPr>
              <w:t>3.5</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4</w:t>
            </w:r>
            <w:r>
              <w:rPr>
                <w:sz w:val="21"/>
                <w:szCs w:val="21"/>
                <w:lang w:eastAsia="en-US"/>
              </w:rPr>
              <w:t>.5</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2</w:t>
            </w:r>
            <w:r>
              <w:rPr>
                <w:sz w:val="21"/>
                <w:szCs w:val="21"/>
                <w:lang w:eastAsia="en-US"/>
              </w:rPr>
              <w:t>4.9</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0</w:t>
            </w:r>
            <w:r>
              <w:rPr>
                <w:sz w:val="21"/>
                <w:szCs w:val="21"/>
                <w:lang w:eastAsia="en-US"/>
              </w:rPr>
              <w:t>.9</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1</w:t>
            </w:r>
            <w:r>
              <w:rPr>
                <w:sz w:val="21"/>
                <w:szCs w:val="21"/>
                <w:lang w:eastAsia="en-US"/>
              </w:rPr>
              <w:t>6.7</w:t>
            </w:r>
          </w:p>
        </w:tc>
        <w:tc>
          <w:tcPr>
            <w:tcW w:w="851" w:type="dxa"/>
            <w:vAlign w:val="center"/>
          </w:tcPr>
          <w:p>
            <w:pPr>
              <w:widowControl w:val="0"/>
              <w:autoSpaceDE w:val="0"/>
              <w:autoSpaceDN w:val="0"/>
              <w:snapToGrid w:val="0"/>
              <w:jc w:val="center"/>
              <w:rPr>
                <w:sz w:val="21"/>
                <w:szCs w:val="21"/>
                <w:lang w:eastAsia="en-US"/>
              </w:rPr>
            </w:pPr>
            <w:r>
              <w:rPr>
                <w:rFonts w:hint="eastAsia"/>
                <w:sz w:val="21"/>
                <w:szCs w:val="21"/>
                <w:lang w:eastAsia="en-US"/>
              </w:rPr>
              <w:t>0</w:t>
            </w:r>
          </w:p>
        </w:tc>
      </w:tr>
    </w:tbl>
    <w:p>
      <w:pPr>
        <w:pStyle w:val="20"/>
        <w:spacing w:line="360" w:lineRule="auto"/>
        <w:jc w:val="center"/>
        <w:rPr>
          <w:rFonts w:ascii="Times New Roman" w:hAnsi="Times New Roman"/>
          <w:b/>
          <w:sz w:val="24"/>
        </w:rPr>
      </w:pPr>
      <w:r>
        <w:rPr>
          <w:rFonts w:ascii="Times New Roman" w:hAnsi="Times New Roman"/>
          <w:b/>
          <w:sz w:val="24"/>
        </w:rPr>
        <w:t xml:space="preserve">表4-3  </w:t>
      </w:r>
      <w:r>
        <w:rPr>
          <w:rFonts w:hint="eastAsia" w:ascii="Times New Roman" w:hAnsi="Times New Roman"/>
          <w:b/>
          <w:sz w:val="24"/>
        </w:rPr>
        <w:t>涞源泉峪220kV输变电工程</w:t>
      </w:r>
      <w:r>
        <w:rPr>
          <w:rFonts w:ascii="Times New Roman" w:hAnsi="Times New Roman"/>
          <w:b/>
          <w:sz w:val="24"/>
        </w:rPr>
        <w:t>电磁环境监测结果</w:t>
      </w:r>
    </w:p>
    <w:tbl>
      <w:tblPr>
        <w:tblStyle w:val="90"/>
        <w:tblW w:w="816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9"/>
        <w:gridCol w:w="3152"/>
        <w:gridCol w:w="2150"/>
        <w:gridCol w:w="211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left w:val="nil"/>
              <w:right w:val="single" w:color="000000" w:sz="4" w:space="0"/>
            </w:tcBorders>
            <w:vAlign w:val="center"/>
          </w:tcPr>
          <w:p>
            <w:pPr>
              <w:widowControl w:val="0"/>
              <w:autoSpaceDE w:val="0"/>
              <w:autoSpaceDN w:val="0"/>
              <w:jc w:val="center"/>
              <w:rPr>
                <w:b/>
                <w:bCs/>
                <w:sz w:val="21"/>
                <w:szCs w:val="21"/>
                <w:lang w:eastAsia="en-US"/>
              </w:rPr>
            </w:pPr>
            <w:r>
              <w:rPr>
                <w:b/>
                <w:bCs/>
                <w:sz w:val="21"/>
                <w:szCs w:val="21"/>
                <w:lang w:eastAsia="en-US"/>
              </w:rPr>
              <w:t>序号</w:t>
            </w:r>
          </w:p>
        </w:tc>
        <w:tc>
          <w:tcPr>
            <w:tcW w:w="3152" w:type="dxa"/>
            <w:tcBorders>
              <w:left w:val="single" w:color="000000" w:sz="4" w:space="0"/>
              <w:right w:val="single" w:color="000000" w:sz="4" w:space="0"/>
            </w:tcBorders>
            <w:vAlign w:val="center"/>
          </w:tcPr>
          <w:p>
            <w:pPr>
              <w:widowControl w:val="0"/>
              <w:autoSpaceDE w:val="0"/>
              <w:autoSpaceDN w:val="0"/>
              <w:jc w:val="center"/>
              <w:rPr>
                <w:b/>
                <w:bCs/>
                <w:sz w:val="21"/>
                <w:szCs w:val="21"/>
                <w:lang w:eastAsia="en-US"/>
              </w:rPr>
            </w:pPr>
            <w:r>
              <w:rPr>
                <w:b/>
                <w:bCs/>
                <w:sz w:val="21"/>
                <w:szCs w:val="21"/>
                <w:lang w:eastAsia="en-US"/>
              </w:rPr>
              <w:t>测点位置</w:t>
            </w:r>
          </w:p>
        </w:tc>
        <w:tc>
          <w:tcPr>
            <w:tcW w:w="2150" w:type="dxa"/>
            <w:tcBorders>
              <w:left w:val="single" w:color="000000" w:sz="4" w:space="0"/>
              <w:right w:val="single" w:color="000000" w:sz="4" w:space="0"/>
            </w:tcBorders>
            <w:vAlign w:val="center"/>
          </w:tcPr>
          <w:p>
            <w:pPr>
              <w:widowControl w:val="0"/>
              <w:autoSpaceDE w:val="0"/>
              <w:autoSpaceDN w:val="0"/>
              <w:jc w:val="center"/>
              <w:rPr>
                <w:b/>
                <w:bCs/>
                <w:sz w:val="21"/>
                <w:szCs w:val="21"/>
                <w:lang w:eastAsia="en-US"/>
              </w:rPr>
            </w:pPr>
            <w:r>
              <w:rPr>
                <w:b/>
                <w:bCs/>
                <w:sz w:val="21"/>
                <w:szCs w:val="21"/>
                <w:lang w:eastAsia="en-US"/>
              </w:rPr>
              <w:t>工频电场强度</w:t>
            </w:r>
          </w:p>
          <w:p>
            <w:pPr>
              <w:widowControl w:val="0"/>
              <w:autoSpaceDE w:val="0"/>
              <w:autoSpaceDN w:val="0"/>
              <w:jc w:val="center"/>
              <w:rPr>
                <w:b/>
                <w:bCs/>
                <w:sz w:val="21"/>
                <w:szCs w:val="21"/>
                <w:lang w:eastAsia="en-US"/>
              </w:rPr>
            </w:pPr>
            <w:r>
              <w:rPr>
                <w:b/>
                <w:bCs/>
                <w:sz w:val="21"/>
                <w:szCs w:val="21"/>
                <w:lang w:eastAsia="en-US"/>
              </w:rPr>
              <w:t>(V/m)</w:t>
            </w:r>
          </w:p>
        </w:tc>
        <w:tc>
          <w:tcPr>
            <w:tcW w:w="2111" w:type="dxa"/>
            <w:tcBorders>
              <w:left w:val="single" w:color="000000" w:sz="4" w:space="0"/>
              <w:right w:val="nil"/>
            </w:tcBorders>
            <w:vAlign w:val="center"/>
          </w:tcPr>
          <w:p>
            <w:pPr>
              <w:widowControl w:val="0"/>
              <w:autoSpaceDE w:val="0"/>
              <w:autoSpaceDN w:val="0"/>
              <w:jc w:val="center"/>
              <w:rPr>
                <w:b/>
                <w:bCs/>
                <w:sz w:val="21"/>
                <w:szCs w:val="21"/>
                <w:lang w:eastAsia="en-US"/>
              </w:rPr>
            </w:pPr>
            <w:r>
              <w:rPr>
                <w:b/>
                <w:bCs/>
                <w:sz w:val="21"/>
                <w:szCs w:val="21"/>
                <w:lang w:eastAsia="en-US"/>
              </w:rPr>
              <w:t>工频磁感应强度</w:t>
            </w:r>
          </w:p>
          <w:p>
            <w:pPr>
              <w:widowControl w:val="0"/>
              <w:autoSpaceDE w:val="0"/>
              <w:autoSpaceDN w:val="0"/>
              <w:jc w:val="center"/>
              <w:rPr>
                <w:b/>
                <w:bCs/>
                <w:sz w:val="21"/>
                <w:szCs w:val="21"/>
                <w:lang w:eastAsia="en-US"/>
              </w:rPr>
            </w:pPr>
            <w:r>
              <w:rPr>
                <w:b/>
                <w:bCs/>
                <w:sz w:val="21"/>
                <w:szCs w:val="21"/>
                <w:lang w:eastAsia="en-US"/>
              </w:rPr>
              <w:t>(μT)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1</w:t>
            </w:r>
          </w:p>
        </w:tc>
        <w:tc>
          <w:tcPr>
            <w:tcW w:w="3152" w:type="dxa"/>
            <w:tcBorders>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变电站围墙东侧</w:t>
            </w:r>
            <w:r>
              <w:rPr>
                <w:rFonts w:hint="eastAsia"/>
                <w:spacing w:val="-4"/>
                <w:sz w:val="21"/>
                <w:lang w:eastAsia="en-US"/>
              </w:rPr>
              <w:t>5m</w:t>
            </w:r>
          </w:p>
        </w:tc>
        <w:tc>
          <w:tcPr>
            <w:tcW w:w="2150" w:type="dxa"/>
            <w:tcBorders>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18.7</w:t>
            </w:r>
          </w:p>
        </w:tc>
        <w:tc>
          <w:tcPr>
            <w:tcW w:w="2111" w:type="dxa"/>
            <w:tcBorders>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0.084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2</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变电站围墙南侧</w:t>
            </w:r>
            <w:r>
              <w:rPr>
                <w:rFonts w:hint="eastAsia"/>
                <w:spacing w:val="-4"/>
                <w:sz w:val="21"/>
                <w:lang w:eastAsia="en-US"/>
              </w:rPr>
              <w:t>5m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65.5</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0.172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3</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变电站围墙西侧</w:t>
            </w:r>
            <w:r>
              <w:rPr>
                <w:rFonts w:hint="eastAsia"/>
                <w:spacing w:val="-4"/>
                <w:sz w:val="21"/>
                <w:lang w:eastAsia="en-US"/>
              </w:rPr>
              <w:t>5m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9.38</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0.032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4</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变电站围墙北侧</w:t>
            </w:r>
            <w:r>
              <w:rPr>
                <w:rFonts w:hint="eastAsia"/>
                <w:spacing w:val="-4"/>
                <w:sz w:val="21"/>
                <w:lang w:eastAsia="en-US"/>
              </w:rPr>
              <w:t>5m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85.9</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0.383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5</w:t>
            </w:r>
          </w:p>
        </w:tc>
        <w:tc>
          <w:tcPr>
            <w:tcW w:w="3152" w:type="dxa"/>
            <w:tcBorders>
              <w:top w:val="single" w:color="000000" w:sz="4" w:space="0"/>
              <w:left w:val="single" w:color="000000" w:sz="4" w:space="0"/>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变电站围墙东侧</w:t>
            </w:r>
            <w:r>
              <w:rPr>
                <w:rFonts w:hint="eastAsia"/>
                <w:sz w:val="21"/>
                <w:szCs w:val="21"/>
                <w:lang w:eastAsia="en-US"/>
              </w:rPr>
              <w:t>5m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18.8</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0.085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6</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变电站围墙东侧</w:t>
            </w:r>
            <w:r>
              <w:rPr>
                <w:rFonts w:hint="eastAsia"/>
                <w:spacing w:val="-4"/>
                <w:sz w:val="21"/>
                <w:lang w:eastAsia="en-US"/>
              </w:rPr>
              <w:t>1</w:t>
            </w:r>
            <w:r>
              <w:rPr>
                <w:spacing w:val="-4"/>
                <w:sz w:val="21"/>
                <w:lang w:eastAsia="en-US"/>
              </w:rPr>
              <w:t>0</w:t>
            </w:r>
            <w:r>
              <w:rPr>
                <w:rFonts w:hint="eastAsia"/>
                <w:spacing w:val="-4"/>
                <w:sz w:val="21"/>
                <w:lang w:eastAsia="en-US"/>
              </w:rPr>
              <w:t>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14.1</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0.067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7</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变电站围墙东侧</w:t>
            </w:r>
            <w:r>
              <w:rPr>
                <w:rFonts w:hint="eastAsia"/>
                <w:spacing w:val="-4"/>
                <w:sz w:val="21"/>
                <w:lang w:eastAsia="en-US"/>
              </w:rPr>
              <w:t>1</w:t>
            </w:r>
            <w:r>
              <w:rPr>
                <w:spacing w:val="-4"/>
                <w:sz w:val="21"/>
                <w:lang w:eastAsia="en-US"/>
              </w:rPr>
              <w:t>5</w:t>
            </w:r>
            <w:r>
              <w:rPr>
                <w:rFonts w:hint="eastAsia"/>
                <w:spacing w:val="-4"/>
                <w:sz w:val="21"/>
                <w:lang w:eastAsia="en-US"/>
              </w:rPr>
              <w:t>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9.89</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8</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变电站围墙东侧</w:t>
            </w:r>
            <w:r>
              <w:rPr>
                <w:rFonts w:hint="eastAsia"/>
                <w:spacing w:val="-4"/>
                <w:sz w:val="21"/>
                <w:lang w:eastAsia="en-US"/>
              </w:rPr>
              <w:t>2</w:t>
            </w:r>
            <w:r>
              <w:rPr>
                <w:spacing w:val="-4"/>
                <w:sz w:val="21"/>
                <w:lang w:eastAsia="en-US"/>
              </w:rPr>
              <w:t>0</w:t>
            </w:r>
            <w:r>
              <w:rPr>
                <w:rFonts w:hint="eastAsia"/>
                <w:spacing w:val="-4"/>
                <w:sz w:val="21"/>
                <w:lang w:eastAsia="en-US"/>
              </w:rPr>
              <w:t>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7.14</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0.043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9</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变电站围墙东侧</w:t>
            </w:r>
            <w:r>
              <w:rPr>
                <w:rFonts w:hint="eastAsia"/>
                <w:spacing w:val="-4"/>
                <w:sz w:val="21"/>
                <w:lang w:eastAsia="en-US"/>
              </w:rPr>
              <w:t>2</w:t>
            </w:r>
            <w:r>
              <w:rPr>
                <w:spacing w:val="-4"/>
                <w:sz w:val="21"/>
                <w:lang w:eastAsia="en-US"/>
              </w:rPr>
              <w:t>5</w:t>
            </w:r>
            <w:r>
              <w:rPr>
                <w:rFonts w:hint="eastAsia"/>
                <w:spacing w:val="-4"/>
                <w:sz w:val="21"/>
                <w:lang w:eastAsia="en-US"/>
              </w:rPr>
              <w:t>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5.84</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10</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变电站围墙东侧</w:t>
            </w:r>
            <w:r>
              <w:rPr>
                <w:rFonts w:hint="eastAsia"/>
                <w:spacing w:val="-4"/>
                <w:sz w:val="21"/>
                <w:lang w:eastAsia="en-US"/>
              </w:rPr>
              <w:t>3</w:t>
            </w:r>
            <w:r>
              <w:rPr>
                <w:spacing w:val="-4"/>
                <w:sz w:val="21"/>
                <w:lang w:eastAsia="en-US"/>
              </w:rPr>
              <w:t>0</w:t>
            </w:r>
            <w:r>
              <w:rPr>
                <w:rFonts w:hint="eastAsia"/>
                <w:spacing w:val="-4"/>
                <w:sz w:val="21"/>
                <w:lang w:eastAsia="en-US"/>
              </w:rPr>
              <w:t>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4.56</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0.037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11</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变电站围墙东侧</w:t>
            </w:r>
            <w:r>
              <w:rPr>
                <w:rFonts w:hint="eastAsia"/>
                <w:spacing w:val="-4"/>
                <w:sz w:val="21"/>
                <w:lang w:eastAsia="en-US"/>
              </w:rPr>
              <w:t>3</w:t>
            </w:r>
            <w:r>
              <w:rPr>
                <w:spacing w:val="-4"/>
                <w:sz w:val="21"/>
                <w:lang w:eastAsia="en-US"/>
              </w:rPr>
              <w:t>5</w:t>
            </w:r>
            <w:r>
              <w:rPr>
                <w:rFonts w:hint="eastAsia"/>
                <w:spacing w:val="-4"/>
                <w:sz w:val="21"/>
                <w:lang w:eastAsia="en-US"/>
              </w:rPr>
              <w:t>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3.88</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12</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变电站围墙东侧</w:t>
            </w:r>
            <w:r>
              <w:rPr>
                <w:rFonts w:hint="eastAsia"/>
                <w:spacing w:val="-4"/>
                <w:sz w:val="21"/>
                <w:lang w:eastAsia="en-US"/>
              </w:rPr>
              <w:t>4</w:t>
            </w:r>
            <w:r>
              <w:rPr>
                <w:spacing w:val="-4"/>
                <w:sz w:val="21"/>
                <w:lang w:eastAsia="en-US"/>
              </w:rPr>
              <w:t>0</w:t>
            </w:r>
            <w:r>
              <w:rPr>
                <w:rFonts w:hint="eastAsia"/>
                <w:spacing w:val="-4"/>
                <w:sz w:val="21"/>
                <w:lang w:eastAsia="en-US"/>
              </w:rPr>
              <w:t>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3.15</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0.031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bottom w:val="single" w:color="000000" w:sz="4" w:space="0"/>
              <w:right w:val="single" w:color="000000" w:sz="4" w:space="0"/>
            </w:tcBorders>
            <w:vAlign w:val="center"/>
          </w:tcPr>
          <w:p>
            <w:pPr>
              <w:widowControl w:val="0"/>
              <w:autoSpaceDE w:val="0"/>
              <w:autoSpaceDN w:val="0"/>
              <w:jc w:val="center"/>
              <w:rPr>
                <w:sz w:val="21"/>
                <w:szCs w:val="21"/>
                <w:lang w:eastAsia="en-US"/>
              </w:rPr>
            </w:pPr>
            <w:r>
              <w:rPr>
                <w:sz w:val="21"/>
                <w:szCs w:val="21"/>
                <w:lang w:eastAsia="en-US"/>
              </w:rPr>
              <w:t>13</w:t>
            </w:r>
          </w:p>
        </w:tc>
        <w:tc>
          <w:tcPr>
            <w:tcW w:w="315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变电站围墙东侧</w:t>
            </w:r>
            <w:r>
              <w:rPr>
                <w:rFonts w:hint="eastAsia"/>
                <w:spacing w:val="-4"/>
                <w:sz w:val="21"/>
                <w:lang w:eastAsia="en-US"/>
              </w:rPr>
              <w:t>4</w:t>
            </w:r>
            <w:r>
              <w:rPr>
                <w:spacing w:val="-4"/>
                <w:sz w:val="21"/>
                <w:lang w:eastAsia="en-US"/>
              </w:rPr>
              <w:t>5</w:t>
            </w:r>
            <w:r>
              <w:rPr>
                <w:rFonts w:hint="eastAsia"/>
                <w:spacing w:val="-4"/>
                <w:sz w:val="21"/>
                <w:lang w:eastAsia="en-US"/>
              </w:rPr>
              <w:t>m</w:t>
            </w:r>
          </w:p>
        </w:tc>
        <w:tc>
          <w:tcPr>
            <w:tcW w:w="21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2.71</w:t>
            </w:r>
          </w:p>
        </w:tc>
        <w:tc>
          <w:tcPr>
            <w:tcW w:w="2111" w:type="dxa"/>
            <w:tcBorders>
              <w:top w:val="single" w:color="000000" w:sz="4" w:space="0"/>
              <w:left w:val="single" w:color="000000" w:sz="4" w:space="0"/>
              <w:bottom w:val="single" w:color="000000" w:sz="4" w:space="0"/>
              <w:right w:val="nil"/>
            </w:tcBorders>
          </w:tcPr>
          <w:p>
            <w:pPr>
              <w:widowControl w:val="0"/>
              <w:autoSpaceDE w:val="0"/>
              <w:autoSpaceDN w:val="0"/>
              <w:jc w:val="center"/>
              <w:rPr>
                <w:sz w:val="21"/>
                <w:szCs w:val="21"/>
                <w:lang w:eastAsia="en-US"/>
              </w:rPr>
            </w:pPr>
            <w:r>
              <w:rPr>
                <w:spacing w:val="-2"/>
                <w:sz w:val="21"/>
                <w:lang w:eastAsia="en-US"/>
              </w:rPr>
              <w:t>0.027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749" w:type="dxa"/>
            <w:tcBorders>
              <w:top w:val="single" w:color="000000" w:sz="4" w:space="0"/>
              <w:left w:val="nil"/>
              <w:right w:val="single" w:color="000000" w:sz="4" w:space="0"/>
            </w:tcBorders>
            <w:vAlign w:val="center"/>
          </w:tcPr>
          <w:p>
            <w:pPr>
              <w:widowControl w:val="0"/>
              <w:autoSpaceDE w:val="0"/>
              <w:autoSpaceDN w:val="0"/>
              <w:jc w:val="center"/>
              <w:rPr>
                <w:sz w:val="21"/>
                <w:szCs w:val="21"/>
                <w:lang w:eastAsia="en-US"/>
              </w:rPr>
            </w:pPr>
            <w:r>
              <w:rPr>
                <w:rFonts w:hint="eastAsia"/>
                <w:sz w:val="21"/>
                <w:szCs w:val="21"/>
                <w:lang w:eastAsia="en-US"/>
              </w:rPr>
              <w:t>1</w:t>
            </w:r>
            <w:r>
              <w:rPr>
                <w:sz w:val="21"/>
                <w:szCs w:val="21"/>
                <w:lang w:eastAsia="en-US"/>
              </w:rPr>
              <w:t>4</w:t>
            </w:r>
          </w:p>
        </w:tc>
        <w:tc>
          <w:tcPr>
            <w:tcW w:w="3152" w:type="dxa"/>
            <w:tcBorders>
              <w:top w:val="single" w:color="000000" w:sz="4" w:space="0"/>
              <w:left w:val="single" w:color="000000" w:sz="4" w:space="0"/>
              <w:right w:val="single" w:color="000000" w:sz="4" w:space="0"/>
            </w:tcBorders>
          </w:tcPr>
          <w:p>
            <w:pPr>
              <w:widowControl w:val="0"/>
              <w:autoSpaceDE w:val="0"/>
              <w:autoSpaceDN w:val="0"/>
              <w:jc w:val="center"/>
              <w:rPr>
                <w:spacing w:val="-4"/>
                <w:sz w:val="21"/>
                <w:lang w:eastAsia="en-US"/>
              </w:rPr>
            </w:pPr>
            <w:r>
              <w:rPr>
                <w:spacing w:val="-4"/>
                <w:sz w:val="21"/>
                <w:lang w:eastAsia="en-US"/>
              </w:rPr>
              <w:t>变电站围墙东侧50</w:t>
            </w:r>
            <w:r>
              <w:rPr>
                <w:rFonts w:hint="eastAsia"/>
                <w:spacing w:val="-4"/>
                <w:sz w:val="21"/>
                <w:lang w:eastAsia="en-US"/>
              </w:rPr>
              <w:t>m</w:t>
            </w:r>
          </w:p>
        </w:tc>
        <w:tc>
          <w:tcPr>
            <w:tcW w:w="2150" w:type="dxa"/>
            <w:tcBorders>
              <w:top w:val="single" w:color="000000" w:sz="4" w:space="0"/>
              <w:left w:val="single" w:color="000000" w:sz="4" w:space="0"/>
              <w:right w:val="single" w:color="000000" w:sz="4" w:space="0"/>
            </w:tcBorders>
          </w:tcPr>
          <w:p>
            <w:pPr>
              <w:widowControl w:val="0"/>
              <w:autoSpaceDE w:val="0"/>
              <w:autoSpaceDN w:val="0"/>
              <w:jc w:val="center"/>
              <w:rPr>
                <w:sz w:val="21"/>
                <w:szCs w:val="21"/>
                <w:lang w:eastAsia="en-US"/>
              </w:rPr>
            </w:pPr>
            <w:r>
              <w:rPr>
                <w:spacing w:val="-4"/>
                <w:sz w:val="21"/>
                <w:lang w:eastAsia="en-US"/>
              </w:rPr>
              <w:t>1.90</w:t>
            </w:r>
          </w:p>
        </w:tc>
        <w:tc>
          <w:tcPr>
            <w:tcW w:w="2111" w:type="dxa"/>
            <w:tcBorders>
              <w:top w:val="single" w:color="000000" w:sz="4" w:space="0"/>
              <w:left w:val="single" w:color="000000" w:sz="4" w:space="0"/>
              <w:right w:val="nil"/>
            </w:tcBorders>
          </w:tcPr>
          <w:p>
            <w:pPr>
              <w:widowControl w:val="0"/>
              <w:autoSpaceDE w:val="0"/>
              <w:autoSpaceDN w:val="0"/>
              <w:jc w:val="center"/>
              <w:rPr>
                <w:sz w:val="21"/>
                <w:szCs w:val="21"/>
                <w:lang w:eastAsia="en-US"/>
              </w:rPr>
            </w:pPr>
            <w:r>
              <w:rPr>
                <w:spacing w:val="-2"/>
                <w:sz w:val="21"/>
                <w:lang w:eastAsia="en-US"/>
              </w:rPr>
              <w:t>0.024</w:t>
            </w:r>
          </w:p>
        </w:tc>
      </w:tr>
    </w:tbl>
    <w:p>
      <w:pPr>
        <w:pStyle w:val="20"/>
        <w:spacing w:line="480" w:lineRule="atLeast"/>
        <w:ind w:firstLine="480" w:firstLineChars="200"/>
        <w:jc w:val="both"/>
        <w:rPr>
          <w:rFonts w:ascii="Times New Roman" w:hAnsi="Times New Roman"/>
          <w:color w:val="FF0000"/>
          <w:sz w:val="24"/>
        </w:rPr>
      </w:pPr>
      <w:r>
        <w:rPr>
          <w:rFonts w:ascii="Times New Roman" w:hAnsi="Times New Roman"/>
          <w:sz w:val="24"/>
        </w:rPr>
        <w:t>由表4-3可知，</w:t>
      </w:r>
      <w:r>
        <w:rPr>
          <w:rFonts w:hint="eastAsia" w:ascii="Times New Roman" w:hAnsi="Times New Roman"/>
          <w:sz w:val="24"/>
        </w:rPr>
        <w:t>涞源泉峪220kV变电站</w:t>
      </w:r>
      <w:r>
        <w:rPr>
          <w:rFonts w:ascii="Times New Roman" w:hAnsi="Times New Roman"/>
          <w:sz w:val="24"/>
        </w:rPr>
        <w:t>厂界外工频电场强度为1.90V/m~85.9V/m，磁场强度为0.024µT~0.383µT，工频电场强度、工频磁感应强度符合《电磁环境控制限值》(GB 8702-2014)中频率为50Hz时工频电场4kV/m，工频磁场100μT的公众</w:t>
      </w:r>
      <w:r>
        <w:rPr>
          <w:rFonts w:hint="eastAsia" w:ascii="Times New Roman" w:hAnsi="Times New Roman"/>
          <w:sz w:val="24"/>
        </w:rPr>
        <w:t>暴露</w:t>
      </w:r>
      <w:r>
        <w:rPr>
          <w:rFonts w:ascii="Times New Roman" w:hAnsi="Times New Roman"/>
          <w:sz w:val="24"/>
        </w:rPr>
        <w:t>控制限值要求。</w:t>
      </w:r>
      <w:r>
        <w:rPr>
          <w:rFonts w:hint="eastAsia" w:ascii="Times New Roman" w:hAnsi="Times New Roman"/>
          <w:sz w:val="24"/>
        </w:rPr>
        <w:t>以此类比</w:t>
      </w:r>
      <w:r>
        <w:rPr>
          <w:rFonts w:ascii="Times New Roman" w:hAnsi="Times New Roman"/>
          <w:sz w:val="24"/>
        </w:rPr>
        <w:t>当本项目投入运行后，</w:t>
      </w:r>
      <w:r>
        <w:rPr>
          <w:rFonts w:hint="eastAsia" w:ascii="Times New Roman" w:hAnsi="Times New Roman"/>
          <w:sz w:val="24"/>
        </w:rPr>
        <w:t>升压</w:t>
      </w:r>
      <w:r>
        <w:rPr>
          <w:rFonts w:ascii="Times New Roman" w:hAnsi="Times New Roman"/>
          <w:sz w:val="24"/>
        </w:rPr>
        <w:t>站评价范围内的工频电场、工频磁</w:t>
      </w:r>
      <w:r>
        <w:rPr>
          <w:rFonts w:hint="eastAsia" w:ascii="Times New Roman" w:hAnsi="Times New Roman"/>
          <w:sz w:val="24"/>
        </w:rPr>
        <w:t>场特</w:t>
      </w:r>
      <w:r>
        <w:rPr>
          <w:rFonts w:ascii="Times New Roman" w:hAnsi="Times New Roman"/>
          <w:sz w:val="24"/>
        </w:rPr>
        <w:t>别符合《电磁环境控制限值》(GB8702-2014)规定的工频电场强度4kV/m及工频磁感应强度100μT公众</w:t>
      </w:r>
      <w:r>
        <w:rPr>
          <w:rFonts w:hint="eastAsia" w:ascii="Times New Roman" w:hAnsi="Times New Roman"/>
          <w:sz w:val="24"/>
        </w:rPr>
        <w:t>暴露</w:t>
      </w:r>
      <w:r>
        <w:rPr>
          <w:rFonts w:ascii="Times New Roman" w:hAnsi="Times New Roman"/>
          <w:sz w:val="24"/>
        </w:rPr>
        <w:t>控制限值要求。</w:t>
      </w:r>
    </w:p>
    <w:p>
      <w:pPr>
        <w:pStyle w:val="20"/>
        <w:snapToGrid w:val="0"/>
        <w:spacing w:line="480" w:lineRule="exact"/>
        <w:ind w:firstLine="480" w:firstLineChars="200"/>
        <w:jc w:val="both"/>
        <w:rPr>
          <w:rFonts w:ascii="Times New Roman" w:hAnsi="Times New Roman"/>
          <w:sz w:val="24"/>
        </w:rPr>
        <w:sectPr>
          <w:pgSz w:w="11906" w:h="16838"/>
          <w:pgMar w:top="993" w:right="991" w:bottom="1135" w:left="1560" w:header="851" w:footer="992" w:gutter="0"/>
          <w:cols w:space="720" w:num="1"/>
          <w:docGrid w:type="lines" w:linePitch="312" w:charSpace="0"/>
        </w:sectPr>
      </w:pPr>
    </w:p>
    <w:p>
      <w:pPr>
        <w:pStyle w:val="2"/>
        <w:tabs>
          <w:tab w:val="left" w:pos="206"/>
          <w:tab w:val="center" w:pos="4422"/>
        </w:tabs>
        <w:jc w:val="left"/>
        <w:rPr>
          <w:rFonts w:ascii="Times New Roman" w:hAnsi="Times New Roman"/>
          <w:lang w:val="zh-CN"/>
        </w:rPr>
      </w:pPr>
      <w:bookmarkStart w:id="40" w:name="_Toc103289001"/>
      <w:r>
        <w:rPr>
          <w:rFonts w:ascii="Times New Roman" w:hAnsi="Times New Roman"/>
          <w:lang w:val="zh-CN"/>
        </w:rPr>
        <w:t>5、电磁防护措施</w:t>
      </w:r>
      <w:bookmarkEnd w:id="40"/>
    </w:p>
    <w:p>
      <w:pPr>
        <w:pStyle w:val="20"/>
        <w:spacing w:line="360" w:lineRule="auto"/>
        <w:ind w:firstLine="361" w:firstLineChars="200"/>
        <w:jc w:val="both"/>
        <w:rPr>
          <w:rFonts w:ascii="Times New Roman" w:hAnsi="Times New Roman"/>
          <w:b/>
          <w:bCs/>
          <w:szCs w:val="28"/>
        </w:rPr>
      </w:pPr>
      <w:r>
        <w:rPr>
          <w:rFonts w:ascii="Times New Roman" w:hAnsi="Times New Roman"/>
          <w:b/>
          <w:bCs/>
          <w:szCs w:val="28"/>
        </w:rPr>
        <w:t>5.1 设计阶段电磁环境保护措施</w:t>
      </w:r>
    </w:p>
    <w:p>
      <w:pPr>
        <w:pStyle w:val="20"/>
        <w:spacing w:line="360" w:lineRule="auto"/>
        <w:ind w:firstLine="480" w:firstLineChars="200"/>
        <w:jc w:val="both"/>
        <w:rPr>
          <w:rFonts w:ascii="Times New Roman" w:hAnsi="Times New Roman"/>
          <w:sz w:val="24"/>
        </w:rPr>
      </w:pPr>
      <w:r>
        <w:rPr>
          <w:rFonts w:ascii="Times New Roman" w:hAnsi="Times New Roman"/>
          <w:sz w:val="24"/>
        </w:rPr>
        <w:t>(1)合理选择升压站站址，合理布设主变</w:t>
      </w:r>
      <w:r>
        <w:rPr>
          <w:rFonts w:hint="eastAsia" w:ascii="Times New Roman" w:hAnsi="Times New Roman"/>
          <w:sz w:val="24"/>
        </w:rPr>
        <w:t>、S</w:t>
      </w:r>
      <w:r>
        <w:rPr>
          <w:rFonts w:ascii="Times New Roman" w:hAnsi="Times New Roman"/>
          <w:sz w:val="24"/>
        </w:rPr>
        <w:t>VG和配电装置位置</w:t>
      </w:r>
      <w:r>
        <w:rPr>
          <w:rFonts w:hint="eastAsia" w:ascii="Times New Roman" w:hAnsi="Times New Roman"/>
          <w:sz w:val="24"/>
        </w:rPr>
        <w:t>。</w:t>
      </w:r>
    </w:p>
    <w:p>
      <w:pPr>
        <w:pStyle w:val="20"/>
        <w:spacing w:line="360" w:lineRule="auto"/>
        <w:ind w:firstLine="480" w:firstLineChars="200"/>
        <w:jc w:val="both"/>
        <w:rPr>
          <w:rFonts w:ascii="Times New Roman" w:hAnsi="Times New Roman"/>
          <w:sz w:val="24"/>
        </w:rPr>
      </w:pPr>
      <w:r>
        <w:rPr>
          <w:rFonts w:ascii="Times New Roman" w:hAnsi="Times New Roman"/>
          <w:sz w:val="24"/>
        </w:rPr>
        <w:t>(2)选用优质设备及配件，配电装置选用GIS装置</w:t>
      </w:r>
      <w:r>
        <w:rPr>
          <w:rFonts w:hint="eastAsia" w:ascii="Times New Roman" w:hAnsi="Times New Roman"/>
          <w:sz w:val="24"/>
        </w:rPr>
        <w:t>。</w:t>
      </w:r>
    </w:p>
    <w:p>
      <w:pPr>
        <w:pStyle w:val="20"/>
        <w:spacing w:line="360" w:lineRule="auto"/>
        <w:ind w:firstLine="361" w:firstLineChars="200"/>
        <w:jc w:val="both"/>
        <w:rPr>
          <w:rFonts w:ascii="Times New Roman" w:hAnsi="Times New Roman"/>
          <w:b/>
          <w:bCs/>
          <w:szCs w:val="28"/>
        </w:rPr>
      </w:pPr>
      <w:r>
        <w:rPr>
          <w:rFonts w:ascii="Times New Roman" w:hAnsi="Times New Roman"/>
          <w:b/>
          <w:bCs/>
          <w:szCs w:val="28"/>
        </w:rPr>
        <w:t>5.2 运行阶段电</w:t>
      </w:r>
      <w:r>
        <w:rPr>
          <w:rFonts w:hint="eastAsia" w:ascii="Times New Roman" w:hAnsi="Times New Roman"/>
          <w:b/>
          <w:bCs/>
          <w:szCs w:val="28"/>
        </w:rPr>
        <w:t>磁</w:t>
      </w:r>
      <w:r>
        <w:rPr>
          <w:rFonts w:ascii="Times New Roman" w:hAnsi="Times New Roman"/>
          <w:b/>
          <w:bCs/>
          <w:szCs w:val="28"/>
        </w:rPr>
        <w:t>环境保护措施</w:t>
      </w:r>
    </w:p>
    <w:p>
      <w:pPr>
        <w:pStyle w:val="20"/>
        <w:spacing w:line="360" w:lineRule="auto"/>
        <w:ind w:firstLine="480" w:firstLineChars="200"/>
        <w:jc w:val="both"/>
        <w:rPr>
          <w:rFonts w:ascii="Times New Roman" w:hAnsi="Times New Roman"/>
          <w:sz w:val="24"/>
        </w:rPr>
      </w:pPr>
      <w:r>
        <w:rPr>
          <w:rFonts w:ascii="Times New Roman" w:hAnsi="Times New Roman"/>
          <w:sz w:val="24"/>
        </w:rPr>
        <w:t>(1)加强运行期升压站运行维护检查，保证正常运行</w:t>
      </w:r>
      <w:r>
        <w:rPr>
          <w:rFonts w:hint="eastAsia" w:ascii="Times New Roman" w:hAnsi="Times New Roman"/>
          <w:sz w:val="24"/>
        </w:rPr>
        <w:t>。</w:t>
      </w:r>
    </w:p>
    <w:p>
      <w:pPr>
        <w:pStyle w:val="20"/>
        <w:spacing w:line="360" w:lineRule="auto"/>
        <w:ind w:firstLine="480" w:firstLineChars="200"/>
        <w:jc w:val="both"/>
        <w:rPr>
          <w:rFonts w:ascii="Times New Roman" w:hAnsi="Times New Roman"/>
        </w:rPr>
      </w:pPr>
      <w:r>
        <w:rPr>
          <w:rFonts w:ascii="Times New Roman" w:hAnsi="Times New Roman"/>
          <w:sz w:val="24"/>
        </w:rPr>
        <w:t>(2)开展运行期电磁环境监测和管理工作</w:t>
      </w:r>
      <w:r>
        <w:rPr>
          <w:rFonts w:hint="eastAsia" w:ascii="Times New Roman" w:hAnsi="Times New Roman"/>
          <w:sz w:val="24"/>
        </w:rPr>
        <w:t>。</w:t>
      </w:r>
    </w:p>
    <w:p>
      <w:pPr>
        <w:pStyle w:val="20"/>
        <w:spacing w:line="360" w:lineRule="auto"/>
        <w:ind w:firstLine="480" w:firstLineChars="200"/>
        <w:jc w:val="both"/>
        <w:rPr>
          <w:rFonts w:ascii="Times New Roman" w:hAnsi="Times New Roman"/>
          <w:sz w:val="24"/>
          <w:szCs w:val="22"/>
        </w:rPr>
      </w:pPr>
      <w:r>
        <w:rPr>
          <w:rFonts w:ascii="Times New Roman" w:hAnsi="Times New Roman"/>
          <w:sz w:val="24"/>
        </w:rPr>
        <w:t>(3)</w:t>
      </w:r>
      <w:r>
        <w:rPr>
          <w:rFonts w:ascii="Times New Roman" w:hAnsi="Times New Roman"/>
          <w:sz w:val="24"/>
          <w:szCs w:val="22"/>
        </w:rPr>
        <w:t>建立健全环保管理机构，做好项目的环保竣工验收工作。</w:t>
      </w:r>
    </w:p>
    <w:p>
      <w:pPr>
        <w:pStyle w:val="20"/>
        <w:spacing w:line="360" w:lineRule="auto"/>
        <w:ind w:firstLine="360" w:firstLineChars="200"/>
        <w:jc w:val="both"/>
        <w:rPr>
          <w:rFonts w:ascii="Times New Roman" w:hAnsi="Times New Roman"/>
        </w:rPr>
      </w:pPr>
    </w:p>
    <w:p>
      <w:pPr>
        <w:pStyle w:val="2"/>
        <w:tabs>
          <w:tab w:val="left" w:pos="206"/>
          <w:tab w:val="center" w:pos="4422"/>
        </w:tabs>
        <w:spacing w:before="240"/>
        <w:jc w:val="left"/>
        <w:rPr>
          <w:rFonts w:ascii="Times New Roman" w:hAnsi="Times New Roman"/>
        </w:rPr>
        <w:sectPr>
          <w:pgSz w:w="11906" w:h="16838"/>
          <w:pgMar w:top="993" w:right="991" w:bottom="1135" w:left="1560" w:header="851" w:footer="992" w:gutter="0"/>
          <w:cols w:space="720" w:num="1"/>
          <w:docGrid w:type="lines" w:linePitch="312" w:charSpace="0"/>
        </w:sectPr>
      </w:pPr>
    </w:p>
    <w:p>
      <w:pPr>
        <w:pStyle w:val="2"/>
        <w:tabs>
          <w:tab w:val="left" w:pos="206"/>
          <w:tab w:val="center" w:pos="4422"/>
        </w:tabs>
        <w:spacing w:before="240"/>
        <w:jc w:val="left"/>
        <w:rPr>
          <w:rFonts w:ascii="Times New Roman" w:hAnsi="Times New Roman"/>
        </w:rPr>
      </w:pPr>
      <w:bookmarkStart w:id="41" w:name="_Toc103289002"/>
      <w:r>
        <w:rPr>
          <w:rFonts w:ascii="Times New Roman" w:hAnsi="Times New Roman"/>
        </w:rPr>
        <w:t>6、电磁环境管理及监测计划</w:t>
      </w:r>
      <w:bookmarkEnd w:id="41"/>
    </w:p>
    <w:p>
      <w:pPr>
        <w:pStyle w:val="3"/>
        <w:spacing w:line="360" w:lineRule="auto"/>
        <w:ind w:firstLine="602" w:firstLineChars="200"/>
        <w:rPr>
          <w:rFonts w:ascii="Times New Roman" w:hAnsi="Times New Roman"/>
        </w:rPr>
      </w:pPr>
      <w:r>
        <w:rPr>
          <w:rFonts w:ascii="Times New Roman" w:hAnsi="Times New Roman"/>
        </w:rPr>
        <w:t>6.1环境管理部门职责</w:t>
      </w:r>
    </w:p>
    <w:p>
      <w:pPr>
        <w:spacing w:line="360" w:lineRule="auto"/>
        <w:ind w:firstLine="420" w:firstLineChars="200"/>
      </w:pPr>
      <w:r>
        <w:t>建设单位设置环境管理体制、管理机构和人员。</w:t>
      </w:r>
      <w:r>
        <w:rPr>
          <w:rFonts w:hint="eastAsia"/>
        </w:rPr>
        <w:t>运行期安全由升压站环保部门负责现场环境管理工作。</w:t>
      </w:r>
      <w:r>
        <w:t>及时组织竣工环境保护验收并加强运行期环境管理。开展环境保护培训。</w:t>
      </w:r>
    </w:p>
    <w:p>
      <w:pPr>
        <w:spacing w:line="360" w:lineRule="auto"/>
        <w:ind w:firstLine="420" w:firstLineChars="200"/>
      </w:pPr>
      <w:r>
        <w:t>严格环境保护法规、政策的执行，编制环境管理计划并落实环境保护措施的实施。</w:t>
      </w:r>
    </w:p>
    <w:p>
      <w:pPr>
        <w:spacing w:line="360" w:lineRule="auto"/>
        <w:ind w:firstLine="420" w:firstLineChars="200"/>
      </w:pPr>
      <w:r>
        <w:rPr>
          <w:rFonts w:ascii="Cambria Math" w:hAnsi="Cambria Math" w:cs="Cambria Math"/>
        </w:rPr>
        <w:t>①</w:t>
      </w:r>
      <w:r>
        <w:t>运行期做好环境保护设施的维护和运行管理，加强巡查和检查，保障发挥环境保护作用。</w:t>
      </w:r>
    </w:p>
    <w:p>
      <w:pPr>
        <w:spacing w:line="360" w:lineRule="auto"/>
        <w:ind w:firstLine="420" w:firstLineChars="200"/>
      </w:pPr>
      <w:r>
        <w:rPr>
          <w:rFonts w:ascii="Cambria Math" w:hAnsi="Cambria Math" w:cs="Cambria Math"/>
        </w:rPr>
        <w:t>②</w:t>
      </w:r>
      <w:r>
        <w:t>定期开展环保管理培训，提高工作人员环保管理意识。建立完善的环保管理档案，对已开展的环保培训、环境监测等工作建立完善的存档资料。</w:t>
      </w:r>
    </w:p>
    <w:p>
      <w:pPr>
        <w:spacing w:line="360" w:lineRule="auto"/>
        <w:ind w:firstLine="420" w:firstLineChars="200"/>
      </w:pPr>
      <w:r>
        <w:rPr>
          <w:rFonts w:ascii="Cambria Math" w:hAnsi="Cambria Math" w:cs="Cambria Math"/>
        </w:rPr>
        <w:t>③</w:t>
      </w:r>
      <w:r>
        <w:t>主要声源设备大修前后，应对</w:t>
      </w:r>
      <w:r>
        <w:rPr>
          <w:rFonts w:hint="eastAsia"/>
        </w:rPr>
        <w:t>升压</w:t>
      </w:r>
      <w:r>
        <w:t>站厂界排放噪声进行监测，监测结果向社会公开。</w:t>
      </w:r>
    </w:p>
    <w:p>
      <w:pPr>
        <w:spacing w:line="360" w:lineRule="auto"/>
        <w:ind w:firstLine="420" w:firstLineChars="200"/>
      </w:pPr>
      <w:r>
        <w:rPr>
          <w:rFonts w:ascii="Cambria Math" w:hAnsi="Cambria Math" w:cs="Cambria Math"/>
        </w:rPr>
        <w:t>④</w:t>
      </w:r>
      <w:r>
        <w:t>运行期应对事故油池的完好情况进行检查，确保无渗漏、无溢流。</w:t>
      </w:r>
    </w:p>
    <w:p>
      <w:pPr>
        <w:spacing w:line="360" w:lineRule="auto"/>
        <w:ind w:firstLine="420" w:firstLineChars="200"/>
      </w:pPr>
      <w:r>
        <w:rPr>
          <w:rFonts w:ascii="Cambria Math" w:hAnsi="Cambria Math" w:cs="Cambria Math"/>
        </w:rPr>
        <w:t>⑤</w:t>
      </w:r>
      <w:r>
        <w:rPr>
          <w:rFonts w:hint="eastAsia"/>
        </w:rPr>
        <w:t>废铅酸蓄电池及沾油抹布暂存于危险废物暂存间，</w:t>
      </w:r>
      <w:r>
        <w:rPr>
          <w:rFonts w:hint="eastAsia"/>
          <w:szCs w:val="21"/>
        </w:rPr>
        <w:t>定期由承德雅舍再生资源回收有限公司运输、回收处理；</w:t>
      </w:r>
      <w:r>
        <w:rPr>
          <w:rFonts w:hint="eastAsia"/>
        </w:rPr>
        <w:t>变压器事故油</w:t>
      </w:r>
      <w:r>
        <w:rPr>
          <w:szCs w:val="21"/>
        </w:rPr>
        <w:t>排入</w:t>
      </w:r>
      <w:r>
        <w:rPr>
          <w:rFonts w:hint="eastAsia"/>
          <w:szCs w:val="21"/>
        </w:rPr>
        <w:t>项目新建</w:t>
      </w:r>
      <w:r>
        <w:rPr>
          <w:szCs w:val="21"/>
        </w:rPr>
        <w:t>事故油池</w:t>
      </w:r>
      <w:r>
        <w:rPr>
          <w:rFonts w:hint="eastAsia"/>
          <w:szCs w:val="21"/>
        </w:rPr>
        <w:t>，由承德双然环保科技有限公司运输至乐亭县海畅环保科技有限公司处理</w:t>
      </w:r>
      <w:r>
        <w:t>。</w:t>
      </w:r>
    </w:p>
    <w:p>
      <w:pPr>
        <w:spacing w:line="360" w:lineRule="auto"/>
        <w:ind w:firstLine="420" w:firstLineChars="200"/>
      </w:pPr>
      <w:r>
        <w:rPr>
          <w:rFonts w:ascii="Cambria Math" w:hAnsi="Cambria Math" w:cs="Cambria Math"/>
        </w:rPr>
        <w:t>⑥</w:t>
      </w:r>
      <w:r>
        <w:t>站内可能发生的突发环境事件，应按照HJ 169等国家有关规定制定突发环境事件应急预案，并定期演练。</w:t>
      </w:r>
    </w:p>
    <w:p>
      <w:pPr>
        <w:pStyle w:val="3"/>
        <w:spacing w:line="360" w:lineRule="auto"/>
        <w:ind w:firstLine="602" w:firstLineChars="200"/>
        <w:rPr>
          <w:rFonts w:ascii="Times New Roman" w:hAnsi="Times New Roman"/>
        </w:rPr>
      </w:pPr>
      <w:r>
        <w:rPr>
          <w:rFonts w:ascii="Times New Roman" w:hAnsi="Times New Roman"/>
        </w:rPr>
        <w:t>6.2培训管理</w:t>
      </w:r>
    </w:p>
    <w:p>
      <w:pPr>
        <w:spacing w:line="360" w:lineRule="auto"/>
        <w:ind w:firstLine="420" w:firstLineChars="200"/>
      </w:pPr>
      <w:r>
        <w:t>本项目运行期对与工程项目有关的人员，进行一次环境保护技术和政策方面的培训与宣传，从而进一步</w:t>
      </w:r>
      <w:r>
        <w:rPr>
          <w:rFonts w:hint="eastAsia"/>
        </w:rPr>
        <w:t>增强</w:t>
      </w:r>
      <w:r>
        <w:t>运行单位的环保管理的能力，减少运行产生的不利环境影响，并且能够更好地参与和监督本项目的环保管理；同时对附近居民进行相关环境保护技术及政策法规、电力安全防护知识宣传，提高公众的环境保护和自我保护意识。</w:t>
      </w:r>
      <w:r>
        <w:rPr>
          <w:rFonts w:hint="eastAsia"/>
        </w:rPr>
        <w:t>主要培训内容有：</w:t>
      </w:r>
    </w:p>
    <w:p>
      <w:pPr>
        <w:spacing w:line="360" w:lineRule="auto"/>
        <w:ind w:firstLine="420" w:firstLineChars="200"/>
      </w:pPr>
      <w:r>
        <w:rPr>
          <w:rFonts w:hint="eastAsia"/>
        </w:rPr>
        <w:t>(</w:t>
      </w:r>
      <w:r>
        <w:t>1)</w:t>
      </w:r>
      <w:r>
        <w:rPr>
          <w:rFonts w:hint="eastAsia"/>
        </w:rPr>
        <w:t>环保基本知识，环境污染具体情况、环保工作的重要性及意义。</w:t>
      </w:r>
    </w:p>
    <w:p>
      <w:pPr>
        <w:spacing w:line="360" w:lineRule="auto"/>
        <w:ind w:firstLine="420" w:firstLineChars="200"/>
      </w:pPr>
      <w:r>
        <w:rPr>
          <w:rFonts w:hint="eastAsia"/>
        </w:rPr>
        <w:t>(</w:t>
      </w:r>
      <w:r>
        <w:t>2)</w:t>
      </w:r>
      <w:r>
        <w:rPr>
          <w:rFonts w:hint="eastAsia"/>
        </w:rPr>
        <w:t>环境保护法规体系、以及其他方面的要求。</w:t>
      </w:r>
    </w:p>
    <w:p>
      <w:pPr>
        <w:spacing w:line="360" w:lineRule="auto"/>
        <w:ind w:firstLine="420" w:firstLineChars="200"/>
      </w:pPr>
      <w:r>
        <w:t>(3)</w:t>
      </w:r>
      <w:r>
        <w:rPr>
          <w:rFonts w:hint="eastAsia"/>
        </w:rPr>
        <w:t>公司的各项环境保护管理制度。</w:t>
      </w:r>
    </w:p>
    <w:p>
      <w:pPr>
        <w:spacing w:line="360" w:lineRule="auto"/>
        <w:ind w:firstLine="420" w:firstLineChars="200"/>
      </w:pPr>
      <w:r>
        <w:rPr>
          <w:rFonts w:hint="eastAsia"/>
        </w:rPr>
        <w:t>(</w:t>
      </w:r>
      <w:r>
        <w:t>4)</w:t>
      </w:r>
      <w:r>
        <w:rPr>
          <w:rFonts w:hint="eastAsia"/>
        </w:rPr>
        <w:t>环境污染事故以及应急设备的具体处理方式。</w:t>
      </w:r>
    </w:p>
    <w:p>
      <w:pPr>
        <w:spacing w:line="360" w:lineRule="auto"/>
        <w:ind w:firstLine="562" w:firstLineChars="200"/>
        <w:rPr>
          <w:b/>
          <w:sz w:val="28"/>
          <w:szCs w:val="28"/>
        </w:rPr>
      </w:pPr>
      <w:r>
        <w:rPr>
          <w:b/>
          <w:sz w:val="28"/>
          <w:szCs w:val="28"/>
        </w:rPr>
        <w:t>6.3档案管理</w:t>
      </w:r>
    </w:p>
    <w:p>
      <w:pPr>
        <w:spacing w:line="360" w:lineRule="auto"/>
        <w:ind w:firstLine="420" w:firstLineChars="200"/>
      </w:pPr>
      <w:r>
        <w:t>工程档案是指建设项目从立项审批、勘察设计、施工、安装调试、生产准备到竣工投产全过程形成的、应当归档保存的文字材料、图纸、图表、电子文件、声像等形式与载体的材料</w:t>
      </w:r>
      <w:r>
        <w:rPr>
          <w:rFonts w:hint="eastAsia"/>
        </w:rPr>
        <w:t>，包括环境影响报告表及批复、竣工环境保护验收报告及验收意见、水土保持报告及意见等</w:t>
      </w:r>
      <w:r>
        <w:t>。</w:t>
      </w:r>
    </w:p>
    <w:p>
      <w:pPr>
        <w:spacing w:line="360" w:lineRule="auto"/>
        <w:rPr>
          <w:b/>
        </w:rPr>
      </w:pPr>
      <w:r>
        <w:rPr>
          <w:b/>
        </w:rPr>
        <w:t xml:space="preserve">    </w:t>
      </w:r>
      <w:r>
        <w:t>工程档案应由专人负责各阶段(工程前期、启动验收及其以后)档案材料的归档、立卷、管理工作。</w:t>
      </w:r>
    </w:p>
    <w:p>
      <w:pPr>
        <w:pStyle w:val="3"/>
        <w:spacing w:line="360" w:lineRule="auto"/>
        <w:ind w:firstLine="602" w:firstLineChars="200"/>
        <w:rPr>
          <w:rFonts w:ascii="Times New Roman" w:hAnsi="Times New Roman"/>
        </w:rPr>
      </w:pPr>
      <w:r>
        <w:rPr>
          <w:rFonts w:ascii="Times New Roman" w:hAnsi="Times New Roman"/>
        </w:rPr>
        <w:t>6.4环境监测计划</w:t>
      </w:r>
    </w:p>
    <w:p>
      <w:pPr>
        <w:spacing w:line="360" w:lineRule="auto"/>
        <w:ind w:firstLine="420" w:firstLineChars="200"/>
      </w:pPr>
      <w:r>
        <w:t>为建立本工程对环境影响情况的档案，应对</w:t>
      </w:r>
      <w:r>
        <w:rPr>
          <w:rFonts w:hint="eastAsia"/>
        </w:rPr>
        <w:t>升压</w:t>
      </w:r>
      <w:r>
        <w:t>站周围环境进行监测或调查。监测内容如下：</w:t>
      </w:r>
    </w:p>
    <w:p>
      <w:pPr>
        <w:spacing w:line="360" w:lineRule="auto"/>
        <w:ind w:firstLine="420" w:firstLineChars="200"/>
      </w:pPr>
      <w:r>
        <w:t>1.监测项目：工频电场强度、工频磁感应强度、噪声。</w:t>
      </w:r>
    </w:p>
    <w:p>
      <w:pPr>
        <w:spacing w:line="360" w:lineRule="auto"/>
        <w:ind w:firstLine="420" w:firstLineChars="200"/>
      </w:pPr>
      <w:r>
        <w:t>2.监测点位：厂界、升压站</w:t>
      </w:r>
      <w:r>
        <w:rPr>
          <w:rFonts w:hint="eastAsia"/>
        </w:rPr>
        <w:t>外</w:t>
      </w:r>
      <w:r>
        <w:t>。</w:t>
      </w:r>
    </w:p>
    <w:p>
      <w:pPr>
        <w:spacing w:line="360" w:lineRule="auto"/>
        <w:ind w:firstLine="420" w:firstLineChars="200"/>
      </w:pPr>
      <w:r>
        <w:t>3.监测时间：环保验收监测一次，运行后定期进行监测。</w:t>
      </w:r>
    </w:p>
    <w:p>
      <w:pPr>
        <w:pStyle w:val="3"/>
        <w:spacing w:line="360" w:lineRule="auto"/>
        <w:ind w:firstLine="602" w:firstLineChars="200"/>
        <w:rPr>
          <w:rFonts w:ascii="Times New Roman" w:hAnsi="Times New Roman"/>
        </w:rPr>
      </w:pPr>
      <w:r>
        <w:rPr>
          <w:rFonts w:ascii="Times New Roman" w:hAnsi="Times New Roman"/>
        </w:rPr>
        <w:t>6.5环境保护设施竣工验收</w:t>
      </w:r>
    </w:p>
    <w:p>
      <w:pPr>
        <w:pStyle w:val="20"/>
        <w:spacing w:line="360" w:lineRule="auto"/>
        <w:ind w:firstLine="480" w:firstLineChars="200"/>
        <w:jc w:val="both"/>
        <w:rPr>
          <w:rFonts w:ascii="Times New Roman" w:hAnsi="Times New Roman"/>
          <w:sz w:val="24"/>
        </w:rPr>
      </w:pPr>
      <w:r>
        <w:rPr>
          <w:rFonts w:ascii="Times New Roman" w:hAnsi="Times New Roman"/>
          <w:sz w:val="24"/>
        </w:rPr>
        <w:t>根据《建设项目环境保护管理条例》，本次项目的建设应执行污染治理设施与主体工程同时设计、同时施工、同时投产使用的“三同时”制度。建设单位应当按照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pPr>
        <w:pStyle w:val="20"/>
        <w:spacing w:line="440" w:lineRule="exact"/>
        <w:ind w:firstLine="480" w:firstLineChars="200"/>
        <w:jc w:val="both"/>
        <w:rPr>
          <w:rFonts w:ascii="Times New Roman" w:hAnsi="Times New Roman"/>
          <w:sz w:val="24"/>
        </w:rPr>
      </w:pPr>
    </w:p>
    <w:p>
      <w:pPr>
        <w:pStyle w:val="20"/>
        <w:spacing w:line="440" w:lineRule="exact"/>
        <w:ind w:firstLine="480" w:firstLineChars="200"/>
        <w:jc w:val="both"/>
        <w:rPr>
          <w:rFonts w:ascii="Times New Roman" w:hAnsi="Times New Roman"/>
          <w:sz w:val="24"/>
        </w:rPr>
      </w:pPr>
    </w:p>
    <w:p>
      <w:pPr>
        <w:pStyle w:val="20"/>
        <w:rPr>
          <w:rFonts w:ascii="Times New Roman" w:hAnsi="Times New Roman"/>
        </w:rPr>
      </w:pPr>
    </w:p>
    <w:p>
      <w:pPr>
        <w:pStyle w:val="20"/>
        <w:rPr>
          <w:rFonts w:ascii="Times New Roman" w:hAnsi="Times New Roman"/>
        </w:rPr>
      </w:pPr>
    </w:p>
    <w:p>
      <w:pPr>
        <w:pStyle w:val="20"/>
        <w:rPr>
          <w:rFonts w:ascii="Times New Roman" w:hAnsi="Times New Roman"/>
        </w:rPr>
      </w:pPr>
    </w:p>
    <w:p>
      <w:pPr>
        <w:pStyle w:val="20"/>
        <w:rPr>
          <w:rFonts w:ascii="Times New Roman" w:hAnsi="Times New Roman"/>
        </w:rPr>
      </w:pPr>
    </w:p>
    <w:p>
      <w:pPr>
        <w:pStyle w:val="20"/>
        <w:rPr>
          <w:rFonts w:ascii="Times New Roman" w:hAnsi="Times New Roman"/>
        </w:rPr>
      </w:pPr>
    </w:p>
    <w:p>
      <w:pPr>
        <w:pStyle w:val="20"/>
        <w:rPr>
          <w:rFonts w:ascii="Times New Roman" w:hAnsi="Times New Roman"/>
        </w:rPr>
      </w:pPr>
    </w:p>
    <w:p>
      <w:pPr>
        <w:pStyle w:val="20"/>
        <w:rPr>
          <w:rFonts w:ascii="Times New Roman" w:hAnsi="Times New Roman"/>
        </w:rPr>
      </w:pPr>
    </w:p>
    <w:p>
      <w:pPr>
        <w:pStyle w:val="21"/>
        <w:rPr>
          <w:rFonts w:ascii="Times New Roman" w:hAnsi="Times New Roman"/>
        </w:rPr>
      </w:pPr>
    </w:p>
    <w:p>
      <w:pPr>
        <w:pStyle w:val="22"/>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20"/>
        <w:rPr>
          <w:rFonts w:ascii="Times New Roman" w:hAnsi="Times New Roman"/>
        </w:rPr>
      </w:pPr>
    </w:p>
    <w:p>
      <w:pPr>
        <w:pStyle w:val="20"/>
        <w:rPr>
          <w:rFonts w:ascii="Times New Roman" w:hAnsi="Times New Roman"/>
        </w:rPr>
      </w:pPr>
    </w:p>
    <w:p>
      <w:pPr>
        <w:pStyle w:val="20"/>
        <w:rPr>
          <w:rFonts w:ascii="Times New Roman" w:hAnsi="Times New Roman"/>
        </w:rPr>
      </w:pPr>
    </w:p>
    <w:p>
      <w:pPr>
        <w:pStyle w:val="2"/>
        <w:tabs>
          <w:tab w:val="left" w:pos="206"/>
          <w:tab w:val="center" w:pos="4422"/>
        </w:tabs>
        <w:spacing w:after="0" w:afterLines="0"/>
        <w:jc w:val="left"/>
        <w:rPr>
          <w:rFonts w:ascii="Times New Roman" w:hAnsi="Times New Roman"/>
          <w:sz w:val="21"/>
          <w:szCs w:val="21"/>
        </w:rPr>
      </w:pPr>
      <w:bookmarkStart w:id="42" w:name="_Toc103289003"/>
      <w:r>
        <w:rPr>
          <w:rFonts w:ascii="Times New Roman" w:hAnsi="Times New Roman"/>
        </w:rPr>
        <w:t>7、电磁环境影响评价结论与建议</w:t>
      </w:r>
      <w:bookmarkEnd w:id="42"/>
    </w:p>
    <w:p>
      <w:pPr>
        <w:pStyle w:val="3"/>
        <w:spacing w:line="360" w:lineRule="auto"/>
        <w:ind w:firstLine="602" w:firstLineChars="200"/>
        <w:rPr>
          <w:rFonts w:ascii="Times New Roman" w:hAnsi="Times New Roman"/>
        </w:rPr>
      </w:pPr>
      <w:r>
        <w:rPr>
          <w:rFonts w:ascii="Times New Roman" w:hAnsi="Times New Roman"/>
        </w:rPr>
        <w:t>7.1电磁环境现状</w:t>
      </w:r>
    </w:p>
    <w:p>
      <w:pPr>
        <w:snapToGrid w:val="0"/>
        <w:spacing w:line="360" w:lineRule="auto"/>
        <w:ind w:firstLine="420" w:firstLineChars="200"/>
      </w:pPr>
      <w:r>
        <w:t>根据</w:t>
      </w:r>
      <w:r>
        <w:rPr>
          <w:rFonts w:hint="eastAsia"/>
        </w:rPr>
        <w:t>现状</w:t>
      </w:r>
      <w:r>
        <w:t>监测结果分析，拟建站址处监测点工频电场强度、磁感应强度均满足《电磁环境控制限值》(GB 8702-2014)中规定的电场强度4kV/m、磁感应强度100μT的</w:t>
      </w:r>
      <w:r>
        <w:rPr>
          <w:rFonts w:hint="eastAsia"/>
        </w:rPr>
        <w:t>公众暴露控制</w:t>
      </w:r>
      <w:r>
        <w:t>限值要求。</w:t>
      </w:r>
    </w:p>
    <w:p>
      <w:pPr>
        <w:pStyle w:val="3"/>
        <w:spacing w:line="360" w:lineRule="auto"/>
        <w:ind w:firstLine="602" w:firstLineChars="200"/>
        <w:rPr>
          <w:rFonts w:ascii="Times New Roman" w:hAnsi="Times New Roman"/>
        </w:rPr>
      </w:pPr>
      <w:bookmarkStart w:id="43" w:name="_Toc68045362"/>
      <w:r>
        <w:rPr>
          <w:rFonts w:ascii="Times New Roman" w:hAnsi="Times New Roman"/>
        </w:rPr>
        <w:t>7.2电磁环境影响评价结论</w:t>
      </w:r>
      <w:bookmarkEnd w:id="43"/>
    </w:p>
    <w:p>
      <w:pPr>
        <w:pStyle w:val="20"/>
        <w:snapToGrid w:val="0"/>
        <w:spacing w:line="360" w:lineRule="auto"/>
        <w:ind w:firstLine="480" w:firstLineChars="200"/>
        <w:jc w:val="both"/>
        <w:rPr>
          <w:rFonts w:ascii="Times New Roman" w:hAnsi="Times New Roman"/>
          <w:sz w:val="24"/>
        </w:rPr>
      </w:pPr>
      <w:r>
        <w:rPr>
          <w:rFonts w:ascii="Times New Roman" w:hAnsi="Times New Roman"/>
          <w:sz w:val="24"/>
        </w:rPr>
        <w:t>经理论计算，本项目工程运行后产生的工频电场强度、磁感应强度均满足《电磁环境控制限值》(GB 8702-2014)中规定的电场强度4kV/m、磁感应强度100μT的</w:t>
      </w:r>
      <w:r>
        <w:rPr>
          <w:rFonts w:hint="eastAsia" w:ascii="Times New Roman" w:hAnsi="Times New Roman"/>
          <w:sz w:val="24"/>
        </w:rPr>
        <w:t>公众暴露控制</w:t>
      </w:r>
      <w:r>
        <w:rPr>
          <w:rFonts w:ascii="Times New Roman" w:hAnsi="Times New Roman"/>
          <w:sz w:val="24"/>
        </w:rPr>
        <w:t>限值要求。</w:t>
      </w:r>
    </w:p>
    <w:p>
      <w:pPr>
        <w:pStyle w:val="20"/>
        <w:snapToGrid w:val="0"/>
        <w:spacing w:line="360" w:lineRule="auto"/>
        <w:ind w:firstLine="480" w:firstLineChars="200"/>
        <w:jc w:val="both"/>
        <w:rPr>
          <w:rFonts w:ascii="Times New Roman" w:hAnsi="Times New Roman"/>
          <w:sz w:val="24"/>
        </w:rPr>
      </w:pPr>
      <w:r>
        <w:rPr>
          <w:rFonts w:ascii="Times New Roman" w:hAnsi="Times New Roman"/>
          <w:sz w:val="24"/>
        </w:rPr>
        <w:t>本项目为</w:t>
      </w:r>
      <w:r>
        <w:rPr>
          <w:rFonts w:hint="eastAsia" w:ascii="Times New Roman" w:hAnsi="Times New Roman"/>
          <w:sz w:val="24"/>
        </w:rPr>
        <w:t>输变电工程中的变电工程</w:t>
      </w:r>
      <w:r>
        <w:rPr>
          <w:rFonts w:ascii="Times New Roman" w:hAnsi="Times New Roman"/>
          <w:sz w:val="24"/>
        </w:rPr>
        <w:t>项目，技术成熟、可靠、安全，项目建设区域电磁环境本底现状满足环评标准要求，本项目严格执行报告表及项目设计中提出的相应电磁环境保护措施及要求，能有效控制工程建设对电磁环境的影响。从保护角度分析，该项目是可行的。</w:t>
      </w:r>
    </w:p>
    <w:p>
      <w:pPr>
        <w:pStyle w:val="3"/>
        <w:spacing w:line="360" w:lineRule="auto"/>
        <w:ind w:firstLine="602" w:firstLineChars="200"/>
        <w:rPr>
          <w:rFonts w:ascii="Times New Roman" w:hAnsi="Times New Roman"/>
        </w:rPr>
      </w:pPr>
      <w:r>
        <w:rPr>
          <w:rFonts w:ascii="Times New Roman" w:hAnsi="Times New Roman"/>
        </w:rPr>
        <w:t>7.3建议</w:t>
      </w:r>
    </w:p>
    <w:p>
      <w:pPr>
        <w:pStyle w:val="20"/>
        <w:snapToGrid w:val="0"/>
        <w:spacing w:line="360" w:lineRule="auto"/>
        <w:ind w:firstLine="480" w:firstLineChars="200"/>
        <w:rPr>
          <w:rFonts w:ascii="Times New Roman" w:hAnsi="Times New Roman"/>
        </w:rPr>
      </w:pPr>
      <w:r>
        <w:rPr>
          <w:rFonts w:ascii="Times New Roman" w:hAnsi="Times New Roman"/>
          <w:sz w:val="24"/>
        </w:rPr>
        <w:t>本项目取得环评批复后，建设单位应当按照国务院环境保护行政主管部门规定的标准和程序，对配套建设的环境保护设施进行验收，编制验收报告。</w:t>
      </w:r>
    </w:p>
    <w:p>
      <w:pPr>
        <w:rPr>
          <w:rFonts w:ascii="Times New Roman"/>
          <w:snapToGrid w:val="0"/>
          <w:spacing w:val="-6"/>
          <w:kern w:val="21"/>
          <w:szCs w:val="21"/>
        </w:rPr>
      </w:pPr>
    </w:p>
    <w:p>
      <w:pPr>
        <w:rPr>
          <w:rFonts w:ascii="Times New Roman"/>
          <w:snapToGrid w:val="0"/>
          <w:spacing w:val="-6"/>
          <w:kern w:val="21"/>
          <w:szCs w:val="21"/>
        </w:rPr>
      </w:pPr>
    </w:p>
    <w:p>
      <w:pPr>
        <w:rPr>
          <w:rFonts w:ascii="Times New Roman"/>
          <w:snapToGrid w:val="0"/>
          <w:spacing w:val="-6"/>
          <w:kern w:val="21"/>
          <w:szCs w:val="21"/>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_GBK">
    <w:altName w:val="微软雅黑"/>
    <w:panose1 w:val="00000000000000000000"/>
    <w:charset w:val="86"/>
    <w:family w:val="script"/>
    <w:pitch w:val="default"/>
    <w:sig w:usb0="00000000" w:usb1="00000000" w:usb2="00082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jc w:val="center"/>
    </w:pPr>
    <w:r>
      <w:fldChar w:fldCharType="begin"/>
    </w:r>
    <w:r>
      <w:instrText xml:space="preserve">PAGE   \* MERGEFORMAT</w:instrText>
    </w:r>
    <w:r>
      <w:fldChar w:fldCharType="separate"/>
    </w:r>
    <w:r>
      <w:rPr>
        <w:lang w:val="zh-CN"/>
      </w:rP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outside" w:y="1"/>
      <w:rPr>
        <w:rStyle w:val="58"/>
      </w:rPr>
    </w:pPr>
    <w:r>
      <w:rPr>
        <w:rStyle w:val="58"/>
      </w:rPr>
      <w:fldChar w:fldCharType="begin"/>
    </w:r>
    <w:r>
      <w:rPr>
        <w:rStyle w:val="58"/>
      </w:rPr>
      <w:instrText xml:space="preserve">PAGE  </w:instrText>
    </w:r>
    <w:r>
      <w:rPr>
        <w:rStyle w:val="58"/>
      </w:rPr>
      <w:fldChar w:fldCharType="end"/>
    </w:r>
  </w:p>
  <w:p>
    <w:pPr>
      <w:pStyle w:val="3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1816"/>
      <w:showingPlcHdr/>
    </w:sdtPr>
    <w:sdtContent>
      <w:p>
        <w:pPr>
          <w:pStyle w:val="32"/>
          <w:jc w:val="center"/>
        </w:pP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4542630"/>
    </w:sdtPr>
    <w:sdtContent>
      <w:p>
        <w:pPr>
          <w:pStyle w:val="32"/>
          <w:jc w:val="center"/>
        </w:pPr>
        <w:r>
          <w:fldChar w:fldCharType="begin"/>
        </w:r>
        <w:r>
          <w:instrText xml:space="preserve">PAGE   \* MERGEFORMAT</w:instrText>
        </w:r>
        <w:r>
          <w:fldChar w:fldCharType="separate"/>
        </w:r>
        <w:r>
          <w:rPr>
            <w:lang w:val="zh-CN"/>
          </w:rPr>
          <w:t>68</w:t>
        </w:r>
        <w:r>
          <w:rPr>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507070"/>
    </w:sdtPr>
    <w:sdtContent>
      <w:p>
        <w:pPr>
          <w:pStyle w:val="32"/>
          <w:jc w:val="center"/>
        </w:pPr>
        <w:r>
          <w:fldChar w:fldCharType="begin"/>
        </w:r>
        <w:r>
          <w:instrText xml:space="preserve">PAGE   \* MERGEFORMAT</w:instrText>
        </w:r>
        <w:r>
          <w:fldChar w:fldCharType="separate"/>
        </w:r>
        <w:r>
          <w:rPr>
            <w:lang w:val="zh-CN"/>
          </w:rPr>
          <w:t>2</w:t>
        </w:r>
        <w:r>
          <w:rPr>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firstLine="360"/>
    </w:pPr>
    <w:r>
      <w:pict>
        <v:shape id="文本框 5"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">
          <v:path/>
          <v:fill on="f" focussize="0,0"/>
          <v:stroke on="f" joinstyle="miter"/>
          <v:imagedata o:title=""/>
          <o:lock v:ext="edit"/>
          <v:textbox inset="0mm,0mm,0mm,0mm" style="mso-fit-shape-to-text:t;">
            <w:txbxContent>
              <w:p>
                <w:pPr>
                  <w:pStyle w:val="32"/>
                </w:pPr>
                <w:r>
                  <w:fldChar w:fldCharType="begin"/>
                </w:r>
                <w:r>
                  <w:instrText xml:space="preserve"> PAGE  \* MERGEFORMAT </w:instrText>
                </w:r>
                <w:r>
                  <w:fldChar w:fldCharType="separate"/>
                </w:r>
                <w:r>
                  <w:t>72</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r>
      <w:pict>
        <v:shape id="文本框 6" o:spid="_x0000_s2050"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Lrm84NcBAACHAwAA&#10;DgAAAAAAAAAAAAAAAAAuAgAAZHJzL2Uyb0RvYy54bWxQSwECLQAUAAYACAAAACEADErw7tYAAAAF&#10;AQAADwAAAAAAAAAAAAAAAAAxBAAAZHJzL2Rvd25yZXYueG1sUEsFBgAAAAAEAAQA8wAAADQFAAAA&#10;AA==&#10;">
          <v:path/>
          <v:fill on="f" focussize="0,0"/>
          <v:stroke on="f" joinstyle="miter"/>
          <v:imagedata o:title=""/>
          <o:lock v:ext="edit"/>
          <v:textbox inset="0mm,0mm,0mm,0mm" style="mso-fit-shape-to-text:t;">
            <w:txbxContent>
              <w:p>
                <w:pPr>
                  <w:pStyle w:val="32"/>
                </w:pPr>
                <w:r>
                  <w:fldChar w:fldCharType="begin"/>
                </w:r>
                <w:r>
                  <w:instrText xml:space="preserve"> PAGE  \* MERGEFORMAT </w:instrText>
                </w:r>
                <w:r>
                  <w:fldChar w:fldCharType="separate"/>
                </w:r>
                <w:r>
                  <w:t>82</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4BC84C"/>
    <w:multiLevelType w:val="singleLevel"/>
    <w:tmpl w:val="B64BC84C"/>
    <w:lvl w:ilvl="0" w:tentative="0">
      <w:start w:val="2"/>
      <w:numFmt w:val="decimal"/>
      <w:suff w:val="nothing"/>
      <w:lvlText w:val="%1、"/>
      <w:lvlJc w:val="left"/>
    </w:lvl>
  </w:abstractNum>
  <w:abstractNum w:abstractNumId="1">
    <w:nsid w:val="FFB2BABB"/>
    <w:multiLevelType w:val="singleLevel"/>
    <w:tmpl w:val="FFB2BABB"/>
    <w:lvl w:ilvl="0" w:tentative="0">
      <w:start w:val="1"/>
      <w:numFmt w:val="decimal"/>
      <w:suff w:val="nothing"/>
      <w:lvlText w:val="%1、"/>
      <w:lvlJc w:val="left"/>
    </w:lvl>
  </w:abstractNum>
  <w:abstractNum w:abstractNumId="2">
    <w:nsid w:val="341E11F4"/>
    <w:multiLevelType w:val="multilevel"/>
    <w:tmpl w:val="341E11F4"/>
    <w:lvl w:ilvl="0" w:tentative="0">
      <w:start w:val="1"/>
      <w:numFmt w:val="decimal"/>
      <w:lvlText w:val="%1"/>
      <w:lvlJc w:val="left"/>
      <w:pPr>
        <w:ind w:left="360" w:hanging="360"/>
      </w:pPr>
      <w:rPr>
        <w:rFonts w:hint="default"/>
      </w:rPr>
    </w:lvl>
    <w:lvl w:ilvl="1" w:tentative="0">
      <w:start w:val="4"/>
      <w:numFmt w:val="decimal"/>
      <w:lvlText w:val="%1.%2"/>
      <w:lvlJc w:val="left"/>
      <w:pPr>
        <w:ind w:left="782" w:hanging="360"/>
      </w:pPr>
      <w:rPr>
        <w:rFonts w:hint="default"/>
      </w:rPr>
    </w:lvl>
    <w:lvl w:ilvl="2" w:tentative="0">
      <w:start w:val="1"/>
      <w:numFmt w:val="decimal"/>
      <w:lvlText w:val="%1.%2.%3"/>
      <w:lvlJc w:val="left"/>
      <w:pPr>
        <w:ind w:left="1564" w:hanging="720"/>
      </w:pPr>
      <w:rPr>
        <w:rFonts w:hint="default"/>
      </w:rPr>
    </w:lvl>
    <w:lvl w:ilvl="3" w:tentative="0">
      <w:start w:val="1"/>
      <w:numFmt w:val="decimal"/>
      <w:lvlText w:val="%1.%2.%3.%4"/>
      <w:lvlJc w:val="left"/>
      <w:pPr>
        <w:ind w:left="1986" w:hanging="720"/>
      </w:pPr>
      <w:rPr>
        <w:rFonts w:hint="default"/>
      </w:rPr>
    </w:lvl>
    <w:lvl w:ilvl="4" w:tentative="0">
      <w:start w:val="1"/>
      <w:numFmt w:val="decimal"/>
      <w:lvlText w:val="%1.%2.%3.%4.%5"/>
      <w:lvlJc w:val="left"/>
      <w:pPr>
        <w:ind w:left="2768" w:hanging="1080"/>
      </w:pPr>
      <w:rPr>
        <w:rFonts w:hint="default"/>
      </w:rPr>
    </w:lvl>
    <w:lvl w:ilvl="5" w:tentative="0">
      <w:start w:val="1"/>
      <w:numFmt w:val="decimal"/>
      <w:lvlText w:val="%1.%2.%3.%4.%5.%6"/>
      <w:lvlJc w:val="left"/>
      <w:pPr>
        <w:ind w:left="3190" w:hanging="1080"/>
      </w:pPr>
      <w:rPr>
        <w:rFonts w:hint="default"/>
      </w:rPr>
    </w:lvl>
    <w:lvl w:ilvl="6" w:tentative="0">
      <w:start w:val="1"/>
      <w:numFmt w:val="decimal"/>
      <w:lvlText w:val="%1.%2.%3.%4.%5.%6.%7"/>
      <w:lvlJc w:val="left"/>
      <w:pPr>
        <w:ind w:left="3972" w:hanging="1440"/>
      </w:pPr>
      <w:rPr>
        <w:rFonts w:hint="default"/>
      </w:rPr>
    </w:lvl>
    <w:lvl w:ilvl="7" w:tentative="0">
      <w:start w:val="1"/>
      <w:numFmt w:val="decimal"/>
      <w:lvlText w:val="%1.%2.%3.%4.%5.%6.%7.%8"/>
      <w:lvlJc w:val="left"/>
      <w:pPr>
        <w:ind w:left="4394" w:hanging="1440"/>
      </w:pPr>
      <w:rPr>
        <w:rFonts w:hint="default"/>
      </w:rPr>
    </w:lvl>
    <w:lvl w:ilvl="8" w:tentative="0">
      <w:start w:val="1"/>
      <w:numFmt w:val="decimal"/>
      <w:lvlText w:val="%1.%2.%3.%4.%5.%6.%7.%8.%9"/>
      <w:lvlJc w:val="left"/>
      <w:pPr>
        <w:ind w:left="5176" w:hanging="1800"/>
      </w:pPr>
      <w:rPr>
        <w:rFonts w:hint="default"/>
      </w:rPr>
    </w:lvl>
  </w:abstractNum>
  <w:abstractNum w:abstractNumId="3">
    <w:nsid w:val="7241961A"/>
    <w:multiLevelType w:val="singleLevel"/>
    <w:tmpl w:val="7241961A"/>
    <w:lvl w:ilvl="0" w:tentative="0">
      <w:start w:val="5"/>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edit="trackedChanges" w:enforcement="0"/>
  <w:defaultTabStop w:val="420"/>
  <w:doNotHyphenateCaps/>
  <w:drawingGridHorizontalSpacing w:val="181"/>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MzNjM2NmYxYTM5YmE5ZmQyNjY5MzA5ZmI1OTJjY2QifQ=="/>
    <w:docVar w:name="KSO_WPS_MARK_KEY" w:val="837ceda2-73d7-480f-8ecd-3c17c7819523"/>
  </w:docVars>
  <w:rsids>
    <w:rsidRoot w:val="00A14947"/>
    <w:rsid w:val="00000194"/>
    <w:rsid w:val="0000055B"/>
    <w:rsid w:val="00000B95"/>
    <w:rsid w:val="00001308"/>
    <w:rsid w:val="00001311"/>
    <w:rsid w:val="0000162E"/>
    <w:rsid w:val="0000168D"/>
    <w:rsid w:val="0000182B"/>
    <w:rsid w:val="00001E53"/>
    <w:rsid w:val="00002E8E"/>
    <w:rsid w:val="00002F4F"/>
    <w:rsid w:val="00003116"/>
    <w:rsid w:val="00003549"/>
    <w:rsid w:val="0000380C"/>
    <w:rsid w:val="00004178"/>
    <w:rsid w:val="0000449C"/>
    <w:rsid w:val="00004EA4"/>
    <w:rsid w:val="00005155"/>
    <w:rsid w:val="00005391"/>
    <w:rsid w:val="00005D31"/>
    <w:rsid w:val="000060B3"/>
    <w:rsid w:val="00006656"/>
    <w:rsid w:val="000068EC"/>
    <w:rsid w:val="00006BDC"/>
    <w:rsid w:val="00006BE8"/>
    <w:rsid w:val="00006F5B"/>
    <w:rsid w:val="00006FBA"/>
    <w:rsid w:val="0000775E"/>
    <w:rsid w:val="00007C54"/>
    <w:rsid w:val="00010012"/>
    <w:rsid w:val="00010089"/>
    <w:rsid w:val="00010108"/>
    <w:rsid w:val="000104D5"/>
    <w:rsid w:val="00010C3D"/>
    <w:rsid w:val="0001170B"/>
    <w:rsid w:val="00011A2F"/>
    <w:rsid w:val="00011E1E"/>
    <w:rsid w:val="00011FA8"/>
    <w:rsid w:val="000122DF"/>
    <w:rsid w:val="00012399"/>
    <w:rsid w:val="00012850"/>
    <w:rsid w:val="00012860"/>
    <w:rsid w:val="00012CA9"/>
    <w:rsid w:val="000131E3"/>
    <w:rsid w:val="0001337A"/>
    <w:rsid w:val="0001342D"/>
    <w:rsid w:val="00013A27"/>
    <w:rsid w:val="00013A5F"/>
    <w:rsid w:val="00013ABD"/>
    <w:rsid w:val="00013CAC"/>
    <w:rsid w:val="00014141"/>
    <w:rsid w:val="00014715"/>
    <w:rsid w:val="00015544"/>
    <w:rsid w:val="00015C2E"/>
    <w:rsid w:val="00015E4A"/>
    <w:rsid w:val="00016002"/>
    <w:rsid w:val="000161B5"/>
    <w:rsid w:val="000161F0"/>
    <w:rsid w:val="000163C3"/>
    <w:rsid w:val="00016BC2"/>
    <w:rsid w:val="00017005"/>
    <w:rsid w:val="000174C8"/>
    <w:rsid w:val="00017AA1"/>
    <w:rsid w:val="000206B9"/>
    <w:rsid w:val="00021404"/>
    <w:rsid w:val="00022019"/>
    <w:rsid w:val="00022414"/>
    <w:rsid w:val="00022735"/>
    <w:rsid w:val="00022EEC"/>
    <w:rsid w:val="00023435"/>
    <w:rsid w:val="0002344B"/>
    <w:rsid w:val="00024929"/>
    <w:rsid w:val="000249E0"/>
    <w:rsid w:val="00024EE4"/>
    <w:rsid w:val="0002568B"/>
    <w:rsid w:val="00025960"/>
    <w:rsid w:val="00025D0A"/>
    <w:rsid w:val="00026821"/>
    <w:rsid w:val="00026F4B"/>
    <w:rsid w:val="0002765E"/>
    <w:rsid w:val="00027C7F"/>
    <w:rsid w:val="00027DB3"/>
    <w:rsid w:val="00027E8C"/>
    <w:rsid w:val="000306A8"/>
    <w:rsid w:val="00030A91"/>
    <w:rsid w:val="00030C64"/>
    <w:rsid w:val="000311F2"/>
    <w:rsid w:val="00031A5C"/>
    <w:rsid w:val="00031E26"/>
    <w:rsid w:val="00032272"/>
    <w:rsid w:val="000328E6"/>
    <w:rsid w:val="00032A03"/>
    <w:rsid w:val="000330F6"/>
    <w:rsid w:val="0003314C"/>
    <w:rsid w:val="00033BFC"/>
    <w:rsid w:val="000340F3"/>
    <w:rsid w:val="00034838"/>
    <w:rsid w:val="00034CAB"/>
    <w:rsid w:val="0003523F"/>
    <w:rsid w:val="000353AB"/>
    <w:rsid w:val="00035CEC"/>
    <w:rsid w:val="00035D19"/>
    <w:rsid w:val="0003600A"/>
    <w:rsid w:val="000365A1"/>
    <w:rsid w:val="00036659"/>
    <w:rsid w:val="000375B9"/>
    <w:rsid w:val="00037C85"/>
    <w:rsid w:val="00040932"/>
    <w:rsid w:val="00040D0E"/>
    <w:rsid w:val="00041579"/>
    <w:rsid w:val="000417E9"/>
    <w:rsid w:val="00041FB0"/>
    <w:rsid w:val="00042210"/>
    <w:rsid w:val="00042F8A"/>
    <w:rsid w:val="0004345A"/>
    <w:rsid w:val="0004364B"/>
    <w:rsid w:val="00043E1D"/>
    <w:rsid w:val="00045764"/>
    <w:rsid w:val="00045AB5"/>
    <w:rsid w:val="00045B36"/>
    <w:rsid w:val="00045BD1"/>
    <w:rsid w:val="00045C07"/>
    <w:rsid w:val="00045C6C"/>
    <w:rsid w:val="00045F5B"/>
    <w:rsid w:val="00046391"/>
    <w:rsid w:val="0004654A"/>
    <w:rsid w:val="00046623"/>
    <w:rsid w:val="000467B5"/>
    <w:rsid w:val="00047456"/>
    <w:rsid w:val="00047462"/>
    <w:rsid w:val="00047512"/>
    <w:rsid w:val="000478FE"/>
    <w:rsid w:val="00047998"/>
    <w:rsid w:val="00047F02"/>
    <w:rsid w:val="000505C3"/>
    <w:rsid w:val="000507B2"/>
    <w:rsid w:val="00050C64"/>
    <w:rsid w:val="00050F8F"/>
    <w:rsid w:val="0005150F"/>
    <w:rsid w:val="00051659"/>
    <w:rsid w:val="00051801"/>
    <w:rsid w:val="000518C4"/>
    <w:rsid w:val="00051C05"/>
    <w:rsid w:val="0005260A"/>
    <w:rsid w:val="00052853"/>
    <w:rsid w:val="00052D7C"/>
    <w:rsid w:val="00052E0E"/>
    <w:rsid w:val="00053271"/>
    <w:rsid w:val="00054074"/>
    <w:rsid w:val="000543D4"/>
    <w:rsid w:val="00054952"/>
    <w:rsid w:val="00055170"/>
    <w:rsid w:val="000552B2"/>
    <w:rsid w:val="000554E5"/>
    <w:rsid w:val="00055544"/>
    <w:rsid w:val="00055C6B"/>
    <w:rsid w:val="000569B5"/>
    <w:rsid w:val="00057004"/>
    <w:rsid w:val="0005723E"/>
    <w:rsid w:val="0005736F"/>
    <w:rsid w:val="000573C4"/>
    <w:rsid w:val="00057444"/>
    <w:rsid w:val="00057667"/>
    <w:rsid w:val="00057CC1"/>
    <w:rsid w:val="00057E6D"/>
    <w:rsid w:val="00060304"/>
    <w:rsid w:val="00060A4C"/>
    <w:rsid w:val="00060F76"/>
    <w:rsid w:val="00061278"/>
    <w:rsid w:val="00061555"/>
    <w:rsid w:val="00061B1F"/>
    <w:rsid w:val="000620C3"/>
    <w:rsid w:val="0006288A"/>
    <w:rsid w:val="00062A16"/>
    <w:rsid w:val="00062B15"/>
    <w:rsid w:val="00062D68"/>
    <w:rsid w:val="000630DE"/>
    <w:rsid w:val="00063504"/>
    <w:rsid w:val="00063507"/>
    <w:rsid w:val="000638C8"/>
    <w:rsid w:val="00063C8C"/>
    <w:rsid w:val="00064359"/>
    <w:rsid w:val="00064DDB"/>
    <w:rsid w:val="000653E0"/>
    <w:rsid w:val="000654F4"/>
    <w:rsid w:val="0006585E"/>
    <w:rsid w:val="00065D88"/>
    <w:rsid w:val="00065F29"/>
    <w:rsid w:val="00066512"/>
    <w:rsid w:val="000665DF"/>
    <w:rsid w:val="0006670C"/>
    <w:rsid w:val="00067787"/>
    <w:rsid w:val="00067E2C"/>
    <w:rsid w:val="00067EB0"/>
    <w:rsid w:val="00070319"/>
    <w:rsid w:val="00070C81"/>
    <w:rsid w:val="000718FD"/>
    <w:rsid w:val="000721BF"/>
    <w:rsid w:val="00072734"/>
    <w:rsid w:val="00072898"/>
    <w:rsid w:val="00072A02"/>
    <w:rsid w:val="00072A47"/>
    <w:rsid w:val="00073320"/>
    <w:rsid w:val="000733C4"/>
    <w:rsid w:val="0007346B"/>
    <w:rsid w:val="00073D02"/>
    <w:rsid w:val="00073D2D"/>
    <w:rsid w:val="0007461D"/>
    <w:rsid w:val="00074783"/>
    <w:rsid w:val="000749E3"/>
    <w:rsid w:val="00074BCB"/>
    <w:rsid w:val="000752F6"/>
    <w:rsid w:val="00075421"/>
    <w:rsid w:val="0007548F"/>
    <w:rsid w:val="00075C0B"/>
    <w:rsid w:val="00075D56"/>
    <w:rsid w:val="00075E1D"/>
    <w:rsid w:val="00075F7A"/>
    <w:rsid w:val="0007611F"/>
    <w:rsid w:val="00076262"/>
    <w:rsid w:val="0007635B"/>
    <w:rsid w:val="0007652D"/>
    <w:rsid w:val="00076686"/>
    <w:rsid w:val="00076CCF"/>
    <w:rsid w:val="00076EA2"/>
    <w:rsid w:val="0007704B"/>
    <w:rsid w:val="0007710C"/>
    <w:rsid w:val="000771EB"/>
    <w:rsid w:val="000773AF"/>
    <w:rsid w:val="00077516"/>
    <w:rsid w:val="00077EF4"/>
    <w:rsid w:val="000800BC"/>
    <w:rsid w:val="0008035B"/>
    <w:rsid w:val="0008047C"/>
    <w:rsid w:val="0008070B"/>
    <w:rsid w:val="000810AC"/>
    <w:rsid w:val="00081396"/>
    <w:rsid w:val="00081A02"/>
    <w:rsid w:val="00081B24"/>
    <w:rsid w:val="00081C1A"/>
    <w:rsid w:val="00081F9A"/>
    <w:rsid w:val="0008208E"/>
    <w:rsid w:val="00082231"/>
    <w:rsid w:val="00083122"/>
    <w:rsid w:val="000832C1"/>
    <w:rsid w:val="00083A70"/>
    <w:rsid w:val="000849EF"/>
    <w:rsid w:val="00084C5A"/>
    <w:rsid w:val="00084D63"/>
    <w:rsid w:val="00084F73"/>
    <w:rsid w:val="00085437"/>
    <w:rsid w:val="000863BC"/>
    <w:rsid w:val="0008697D"/>
    <w:rsid w:val="00086DC8"/>
    <w:rsid w:val="00086F3A"/>
    <w:rsid w:val="00087CD4"/>
    <w:rsid w:val="00087E11"/>
    <w:rsid w:val="0009060A"/>
    <w:rsid w:val="00090A66"/>
    <w:rsid w:val="00090D2C"/>
    <w:rsid w:val="00090F1E"/>
    <w:rsid w:val="0009185A"/>
    <w:rsid w:val="000918B6"/>
    <w:rsid w:val="000922AA"/>
    <w:rsid w:val="0009235A"/>
    <w:rsid w:val="00092D38"/>
    <w:rsid w:val="00092E4E"/>
    <w:rsid w:val="000932E8"/>
    <w:rsid w:val="00093482"/>
    <w:rsid w:val="000935DC"/>
    <w:rsid w:val="000935DD"/>
    <w:rsid w:val="0009361F"/>
    <w:rsid w:val="000936AA"/>
    <w:rsid w:val="0009377B"/>
    <w:rsid w:val="00093D36"/>
    <w:rsid w:val="00094C57"/>
    <w:rsid w:val="00094CF0"/>
    <w:rsid w:val="00096872"/>
    <w:rsid w:val="000969AD"/>
    <w:rsid w:val="000969D3"/>
    <w:rsid w:val="00096BC1"/>
    <w:rsid w:val="00096ECF"/>
    <w:rsid w:val="00097059"/>
    <w:rsid w:val="000970AA"/>
    <w:rsid w:val="00097176"/>
    <w:rsid w:val="000974FE"/>
    <w:rsid w:val="0009764D"/>
    <w:rsid w:val="00097A8F"/>
    <w:rsid w:val="00097CD6"/>
    <w:rsid w:val="000A0887"/>
    <w:rsid w:val="000A0C02"/>
    <w:rsid w:val="000A15EA"/>
    <w:rsid w:val="000A1B04"/>
    <w:rsid w:val="000A1EE9"/>
    <w:rsid w:val="000A205D"/>
    <w:rsid w:val="000A20C9"/>
    <w:rsid w:val="000A241E"/>
    <w:rsid w:val="000A2859"/>
    <w:rsid w:val="000A2EF7"/>
    <w:rsid w:val="000A2FD3"/>
    <w:rsid w:val="000A3A46"/>
    <w:rsid w:val="000A417C"/>
    <w:rsid w:val="000A4215"/>
    <w:rsid w:val="000A47B0"/>
    <w:rsid w:val="000A50EE"/>
    <w:rsid w:val="000A5246"/>
    <w:rsid w:val="000A592D"/>
    <w:rsid w:val="000A5BF7"/>
    <w:rsid w:val="000A5E72"/>
    <w:rsid w:val="000A6194"/>
    <w:rsid w:val="000A63A3"/>
    <w:rsid w:val="000A6466"/>
    <w:rsid w:val="000A67E2"/>
    <w:rsid w:val="000A7B92"/>
    <w:rsid w:val="000B01A2"/>
    <w:rsid w:val="000B058F"/>
    <w:rsid w:val="000B0AE3"/>
    <w:rsid w:val="000B0E70"/>
    <w:rsid w:val="000B1056"/>
    <w:rsid w:val="000B106B"/>
    <w:rsid w:val="000B169C"/>
    <w:rsid w:val="000B1A79"/>
    <w:rsid w:val="000B1B0C"/>
    <w:rsid w:val="000B1E3B"/>
    <w:rsid w:val="000B29F9"/>
    <w:rsid w:val="000B2FAC"/>
    <w:rsid w:val="000B3622"/>
    <w:rsid w:val="000B3680"/>
    <w:rsid w:val="000B3854"/>
    <w:rsid w:val="000B3890"/>
    <w:rsid w:val="000B3D54"/>
    <w:rsid w:val="000B43A0"/>
    <w:rsid w:val="000B4467"/>
    <w:rsid w:val="000B4766"/>
    <w:rsid w:val="000B480E"/>
    <w:rsid w:val="000B4DB9"/>
    <w:rsid w:val="000B5EF1"/>
    <w:rsid w:val="000B64C0"/>
    <w:rsid w:val="000B6F91"/>
    <w:rsid w:val="000B774C"/>
    <w:rsid w:val="000B7792"/>
    <w:rsid w:val="000B7B92"/>
    <w:rsid w:val="000B7BC3"/>
    <w:rsid w:val="000C017B"/>
    <w:rsid w:val="000C022F"/>
    <w:rsid w:val="000C027C"/>
    <w:rsid w:val="000C09AC"/>
    <w:rsid w:val="000C162C"/>
    <w:rsid w:val="000C16BC"/>
    <w:rsid w:val="000C2393"/>
    <w:rsid w:val="000C2459"/>
    <w:rsid w:val="000C2F30"/>
    <w:rsid w:val="000C390A"/>
    <w:rsid w:val="000C4739"/>
    <w:rsid w:val="000C47BF"/>
    <w:rsid w:val="000C4C0C"/>
    <w:rsid w:val="000C5028"/>
    <w:rsid w:val="000C5240"/>
    <w:rsid w:val="000C5262"/>
    <w:rsid w:val="000C5C91"/>
    <w:rsid w:val="000C6524"/>
    <w:rsid w:val="000C705D"/>
    <w:rsid w:val="000C72F0"/>
    <w:rsid w:val="000C767F"/>
    <w:rsid w:val="000C79CD"/>
    <w:rsid w:val="000C7CBB"/>
    <w:rsid w:val="000C7E99"/>
    <w:rsid w:val="000D025C"/>
    <w:rsid w:val="000D0546"/>
    <w:rsid w:val="000D08A2"/>
    <w:rsid w:val="000D0B4C"/>
    <w:rsid w:val="000D0CB6"/>
    <w:rsid w:val="000D0E5D"/>
    <w:rsid w:val="000D1785"/>
    <w:rsid w:val="000D1815"/>
    <w:rsid w:val="000D1DA4"/>
    <w:rsid w:val="000D2143"/>
    <w:rsid w:val="000D248E"/>
    <w:rsid w:val="000D2B2B"/>
    <w:rsid w:val="000D2DAB"/>
    <w:rsid w:val="000D2EF3"/>
    <w:rsid w:val="000D3CB5"/>
    <w:rsid w:val="000D3EED"/>
    <w:rsid w:val="000D4403"/>
    <w:rsid w:val="000D4B5C"/>
    <w:rsid w:val="000D52B4"/>
    <w:rsid w:val="000D58A2"/>
    <w:rsid w:val="000D5A44"/>
    <w:rsid w:val="000D5AA7"/>
    <w:rsid w:val="000D5B3E"/>
    <w:rsid w:val="000D5CAA"/>
    <w:rsid w:val="000D5F10"/>
    <w:rsid w:val="000D624C"/>
    <w:rsid w:val="000D6E5E"/>
    <w:rsid w:val="000D7274"/>
    <w:rsid w:val="000D7297"/>
    <w:rsid w:val="000D7ADF"/>
    <w:rsid w:val="000E0192"/>
    <w:rsid w:val="000E01CC"/>
    <w:rsid w:val="000E0CE9"/>
    <w:rsid w:val="000E1285"/>
    <w:rsid w:val="000E1E15"/>
    <w:rsid w:val="000E1EED"/>
    <w:rsid w:val="000E268A"/>
    <w:rsid w:val="000E2F3E"/>
    <w:rsid w:val="000E392B"/>
    <w:rsid w:val="000E3ED2"/>
    <w:rsid w:val="000E3F71"/>
    <w:rsid w:val="000E4235"/>
    <w:rsid w:val="000E4A15"/>
    <w:rsid w:val="000E4FE0"/>
    <w:rsid w:val="000E51F8"/>
    <w:rsid w:val="000E534F"/>
    <w:rsid w:val="000E552D"/>
    <w:rsid w:val="000E6071"/>
    <w:rsid w:val="000E620F"/>
    <w:rsid w:val="000E6609"/>
    <w:rsid w:val="000E6E8D"/>
    <w:rsid w:val="000E7383"/>
    <w:rsid w:val="000E7699"/>
    <w:rsid w:val="000E7D9E"/>
    <w:rsid w:val="000F046E"/>
    <w:rsid w:val="000F1082"/>
    <w:rsid w:val="000F1432"/>
    <w:rsid w:val="000F16F3"/>
    <w:rsid w:val="000F1E90"/>
    <w:rsid w:val="000F2A16"/>
    <w:rsid w:val="000F2C5F"/>
    <w:rsid w:val="000F2D4D"/>
    <w:rsid w:val="000F3078"/>
    <w:rsid w:val="000F35CC"/>
    <w:rsid w:val="000F3879"/>
    <w:rsid w:val="000F3F5F"/>
    <w:rsid w:val="000F41A4"/>
    <w:rsid w:val="000F4AC3"/>
    <w:rsid w:val="000F5062"/>
    <w:rsid w:val="000F520A"/>
    <w:rsid w:val="000F6905"/>
    <w:rsid w:val="000F6A96"/>
    <w:rsid w:val="000F6B5C"/>
    <w:rsid w:val="000F71D5"/>
    <w:rsid w:val="000F7547"/>
    <w:rsid w:val="000F78D7"/>
    <w:rsid w:val="000F7B3B"/>
    <w:rsid w:val="000F7F17"/>
    <w:rsid w:val="001007F3"/>
    <w:rsid w:val="00100EBB"/>
    <w:rsid w:val="00100FD4"/>
    <w:rsid w:val="00101385"/>
    <w:rsid w:val="001016DA"/>
    <w:rsid w:val="00102178"/>
    <w:rsid w:val="001025EC"/>
    <w:rsid w:val="00102637"/>
    <w:rsid w:val="001029FC"/>
    <w:rsid w:val="00102B6F"/>
    <w:rsid w:val="0010330B"/>
    <w:rsid w:val="00103383"/>
    <w:rsid w:val="0010357A"/>
    <w:rsid w:val="00103ADB"/>
    <w:rsid w:val="00103F78"/>
    <w:rsid w:val="001040A5"/>
    <w:rsid w:val="00104576"/>
    <w:rsid w:val="001049C2"/>
    <w:rsid w:val="00104EED"/>
    <w:rsid w:val="00105031"/>
    <w:rsid w:val="001052AC"/>
    <w:rsid w:val="001056D3"/>
    <w:rsid w:val="0010579D"/>
    <w:rsid w:val="00105DD5"/>
    <w:rsid w:val="001061D0"/>
    <w:rsid w:val="00106890"/>
    <w:rsid w:val="00107212"/>
    <w:rsid w:val="00107623"/>
    <w:rsid w:val="00107F8B"/>
    <w:rsid w:val="001104B5"/>
    <w:rsid w:val="00110998"/>
    <w:rsid w:val="00111082"/>
    <w:rsid w:val="0011163E"/>
    <w:rsid w:val="00111859"/>
    <w:rsid w:val="00111B33"/>
    <w:rsid w:val="00111EBF"/>
    <w:rsid w:val="00111FF4"/>
    <w:rsid w:val="0011222A"/>
    <w:rsid w:val="00112565"/>
    <w:rsid w:val="001126A6"/>
    <w:rsid w:val="00112A56"/>
    <w:rsid w:val="00112D16"/>
    <w:rsid w:val="00112DBD"/>
    <w:rsid w:val="00112DEF"/>
    <w:rsid w:val="00112FBB"/>
    <w:rsid w:val="0011328B"/>
    <w:rsid w:val="00114CC9"/>
    <w:rsid w:val="00115945"/>
    <w:rsid w:val="00115C16"/>
    <w:rsid w:val="00115E81"/>
    <w:rsid w:val="00116F1A"/>
    <w:rsid w:val="00117494"/>
    <w:rsid w:val="0011755D"/>
    <w:rsid w:val="00117F2F"/>
    <w:rsid w:val="00117FB7"/>
    <w:rsid w:val="00120117"/>
    <w:rsid w:val="00120BAD"/>
    <w:rsid w:val="00121076"/>
    <w:rsid w:val="00121404"/>
    <w:rsid w:val="0012199B"/>
    <w:rsid w:val="00121BA8"/>
    <w:rsid w:val="001221BD"/>
    <w:rsid w:val="001227C3"/>
    <w:rsid w:val="00122AB1"/>
    <w:rsid w:val="00123181"/>
    <w:rsid w:val="00123443"/>
    <w:rsid w:val="00123E07"/>
    <w:rsid w:val="00123F54"/>
    <w:rsid w:val="00123FD6"/>
    <w:rsid w:val="001240D8"/>
    <w:rsid w:val="001241D0"/>
    <w:rsid w:val="0012459D"/>
    <w:rsid w:val="00124CAF"/>
    <w:rsid w:val="00124DB0"/>
    <w:rsid w:val="00125237"/>
    <w:rsid w:val="00125861"/>
    <w:rsid w:val="00125D7A"/>
    <w:rsid w:val="0012605E"/>
    <w:rsid w:val="00126353"/>
    <w:rsid w:val="00126B36"/>
    <w:rsid w:val="00126C3D"/>
    <w:rsid w:val="001271CC"/>
    <w:rsid w:val="00127E2A"/>
    <w:rsid w:val="00130330"/>
    <w:rsid w:val="001305B0"/>
    <w:rsid w:val="00130DD2"/>
    <w:rsid w:val="001313A4"/>
    <w:rsid w:val="001318D7"/>
    <w:rsid w:val="00131BFD"/>
    <w:rsid w:val="00131F42"/>
    <w:rsid w:val="00132720"/>
    <w:rsid w:val="00132C86"/>
    <w:rsid w:val="00132D8A"/>
    <w:rsid w:val="00132DBF"/>
    <w:rsid w:val="001330C2"/>
    <w:rsid w:val="0013338C"/>
    <w:rsid w:val="00133515"/>
    <w:rsid w:val="001338ED"/>
    <w:rsid w:val="00133C00"/>
    <w:rsid w:val="00133DB6"/>
    <w:rsid w:val="00133FCF"/>
    <w:rsid w:val="001340B7"/>
    <w:rsid w:val="0013411F"/>
    <w:rsid w:val="001341E5"/>
    <w:rsid w:val="00134588"/>
    <w:rsid w:val="0013483E"/>
    <w:rsid w:val="00134CB9"/>
    <w:rsid w:val="0013567B"/>
    <w:rsid w:val="00135750"/>
    <w:rsid w:val="001357F1"/>
    <w:rsid w:val="001359B8"/>
    <w:rsid w:val="001361E1"/>
    <w:rsid w:val="001367B4"/>
    <w:rsid w:val="00136BBC"/>
    <w:rsid w:val="00137596"/>
    <w:rsid w:val="001375E8"/>
    <w:rsid w:val="001379BC"/>
    <w:rsid w:val="00137B20"/>
    <w:rsid w:val="00140077"/>
    <w:rsid w:val="001403F8"/>
    <w:rsid w:val="0014075B"/>
    <w:rsid w:val="00140787"/>
    <w:rsid w:val="001409A4"/>
    <w:rsid w:val="00140B09"/>
    <w:rsid w:val="00140FA8"/>
    <w:rsid w:val="0014168B"/>
    <w:rsid w:val="0014183B"/>
    <w:rsid w:val="001419A2"/>
    <w:rsid w:val="00141BBF"/>
    <w:rsid w:val="00141C19"/>
    <w:rsid w:val="001421F6"/>
    <w:rsid w:val="00142218"/>
    <w:rsid w:val="001422A9"/>
    <w:rsid w:val="0014237D"/>
    <w:rsid w:val="001423EF"/>
    <w:rsid w:val="00142C79"/>
    <w:rsid w:val="00142FEB"/>
    <w:rsid w:val="00143409"/>
    <w:rsid w:val="001436F4"/>
    <w:rsid w:val="001436F5"/>
    <w:rsid w:val="001436FF"/>
    <w:rsid w:val="001439A3"/>
    <w:rsid w:val="00143A2D"/>
    <w:rsid w:val="00144390"/>
    <w:rsid w:val="00144722"/>
    <w:rsid w:val="00144921"/>
    <w:rsid w:val="00144F71"/>
    <w:rsid w:val="001454CD"/>
    <w:rsid w:val="001454E7"/>
    <w:rsid w:val="00145A41"/>
    <w:rsid w:val="0014638D"/>
    <w:rsid w:val="001474CC"/>
    <w:rsid w:val="001477D5"/>
    <w:rsid w:val="00147ED5"/>
    <w:rsid w:val="001514C9"/>
    <w:rsid w:val="00151675"/>
    <w:rsid w:val="001518C3"/>
    <w:rsid w:val="001520C4"/>
    <w:rsid w:val="001523E8"/>
    <w:rsid w:val="0015281C"/>
    <w:rsid w:val="0015298E"/>
    <w:rsid w:val="0015299E"/>
    <w:rsid w:val="001536D6"/>
    <w:rsid w:val="00153D53"/>
    <w:rsid w:val="00153DD8"/>
    <w:rsid w:val="00154A30"/>
    <w:rsid w:val="00154E60"/>
    <w:rsid w:val="001550B7"/>
    <w:rsid w:val="001552F6"/>
    <w:rsid w:val="00155672"/>
    <w:rsid w:val="00155925"/>
    <w:rsid w:val="001559B6"/>
    <w:rsid w:val="00155C77"/>
    <w:rsid w:val="00155EB8"/>
    <w:rsid w:val="0015665F"/>
    <w:rsid w:val="0015667B"/>
    <w:rsid w:val="00156900"/>
    <w:rsid w:val="00156B4F"/>
    <w:rsid w:val="00156D0D"/>
    <w:rsid w:val="00157435"/>
    <w:rsid w:val="001578F9"/>
    <w:rsid w:val="0015793E"/>
    <w:rsid w:val="001579A8"/>
    <w:rsid w:val="00157E9C"/>
    <w:rsid w:val="001601DA"/>
    <w:rsid w:val="00160433"/>
    <w:rsid w:val="00161149"/>
    <w:rsid w:val="00161503"/>
    <w:rsid w:val="0016162B"/>
    <w:rsid w:val="001619B0"/>
    <w:rsid w:val="00161DC5"/>
    <w:rsid w:val="00161E45"/>
    <w:rsid w:val="00162BA1"/>
    <w:rsid w:val="00162C57"/>
    <w:rsid w:val="00162F1B"/>
    <w:rsid w:val="00162F49"/>
    <w:rsid w:val="001631C7"/>
    <w:rsid w:val="00163A7A"/>
    <w:rsid w:val="00164EEC"/>
    <w:rsid w:val="001653D3"/>
    <w:rsid w:val="0016565F"/>
    <w:rsid w:val="00165B94"/>
    <w:rsid w:val="001661E2"/>
    <w:rsid w:val="001668F1"/>
    <w:rsid w:val="00166D55"/>
    <w:rsid w:val="00167567"/>
    <w:rsid w:val="0017018B"/>
    <w:rsid w:val="00171357"/>
    <w:rsid w:val="001714C9"/>
    <w:rsid w:val="001715F6"/>
    <w:rsid w:val="00171953"/>
    <w:rsid w:val="0017225F"/>
    <w:rsid w:val="00172514"/>
    <w:rsid w:val="00172607"/>
    <w:rsid w:val="00172719"/>
    <w:rsid w:val="00172796"/>
    <w:rsid w:val="00172AC7"/>
    <w:rsid w:val="00172D66"/>
    <w:rsid w:val="001730EB"/>
    <w:rsid w:val="00173680"/>
    <w:rsid w:val="00174142"/>
    <w:rsid w:val="001746A5"/>
    <w:rsid w:val="0017504D"/>
    <w:rsid w:val="00175382"/>
    <w:rsid w:val="001756C3"/>
    <w:rsid w:val="0017588F"/>
    <w:rsid w:val="00175AAA"/>
    <w:rsid w:val="00175F5F"/>
    <w:rsid w:val="00175F6E"/>
    <w:rsid w:val="00175FDF"/>
    <w:rsid w:val="001760A8"/>
    <w:rsid w:val="0017671A"/>
    <w:rsid w:val="0017673C"/>
    <w:rsid w:val="00176D1E"/>
    <w:rsid w:val="0017703F"/>
    <w:rsid w:val="00177422"/>
    <w:rsid w:val="00177613"/>
    <w:rsid w:val="001776D5"/>
    <w:rsid w:val="00177BF1"/>
    <w:rsid w:val="00180137"/>
    <w:rsid w:val="001806BE"/>
    <w:rsid w:val="001809D4"/>
    <w:rsid w:val="00180FCA"/>
    <w:rsid w:val="001818AB"/>
    <w:rsid w:val="00181945"/>
    <w:rsid w:val="00181F5E"/>
    <w:rsid w:val="00182084"/>
    <w:rsid w:val="0018388A"/>
    <w:rsid w:val="001840E9"/>
    <w:rsid w:val="00184590"/>
    <w:rsid w:val="00184640"/>
    <w:rsid w:val="00184F9A"/>
    <w:rsid w:val="00185DA4"/>
    <w:rsid w:val="00185E19"/>
    <w:rsid w:val="001866A4"/>
    <w:rsid w:val="0018671E"/>
    <w:rsid w:val="00186E71"/>
    <w:rsid w:val="00186F4E"/>
    <w:rsid w:val="00186FD8"/>
    <w:rsid w:val="0018700B"/>
    <w:rsid w:val="001870D1"/>
    <w:rsid w:val="00187120"/>
    <w:rsid w:val="0018781E"/>
    <w:rsid w:val="00187847"/>
    <w:rsid w:val="0018798E"/>
    <w:rsid w:val="00187C9B"/>
    <w:rsid w:val="0019064E"/>
    <w:rsid w:val="00190BAC"/>
    <w:rsid w:val="0019111C"/>
    <w:rsid w:val="00191874"/>
    <w:rsid w:val="001923CE"/>
    <w:rsid w:val="0019262D"/>
    <w:rsid w:val="00192858"/>
    <w:rsid w:val="001929CA"/>
    <w:rsid w:val="00192F6C"/>
    <w:rsid w:val="00192FCD"/>
    <w:rsid w:val="001941D8"/>
    <w:rsid w:val="00194725"/>
    <w:rsid w:val="0019479F"/>
    <w:rsid w:val="00194E40"/>
    <w:rsid w:val="00194E6F"/>
    <w:rsid w:val="00195762"/>
    <w:rsid w:val="0019624B"/>
    <w:rsid w:val="001963F3"/>
    <w:rsid w:val="0019693E"/>
    <w:rsid w:val="00196B1C"/>
    <w:rsid w:val="00197561"/>
    <w:rsid w:val="00197577"/>
    <w:rsid w:val="00197F8F"/>
    <w:rsid w:val="001A0346"/>
    <w:rsid w:val="001A045A"/>
    <w:rsid w:val="001A0541"/>
    <w:rsid w:val="001A0840"/>
    <w:rsid w:val="001A0D83"/>
    <w:rsid w:val="001A1205"/>
    <w:rsid w:val="001A1B35"/>
    <w:rsid w:val="001A230D"/>
    <w:rsid w:val="001A2311"/>
    <w:rsid w:val="001A3185"/>
    <w:rsid w:val="001A3FB2"/>
    <w:rsid w:val="001A48A2"/>
    <w:rsid w:val="001A4D89"/>
    <w:rsid w:val="001A4F2A"/>
    <w:rsid w:val="001A5084"/>
    <w:rsid w:val="001A5A92"/>
    <w:rsid w:val="001A5DD6"/>
    <w:rsid w:val="001A5F69"/>
    <w:rsid w:val="001A63DA"/>
    <w:rsid w:val="001A653D"/>
    <w:rsid w:val="001A68E1"/>
    <w:rsid w:val="001A696C"/>
    <w:rsid w:val="001A6F61"/>
    <w:rsid w:val="001A7616"/>
    <w:rsid w:val="001A7C20"/>
    <w:rsid w:val="001B02A7"/>
    <w:rsid w:val="001B0BA5"/>
    <w:rsid w:val="001B100E"/>
    <w:rsid w:val="001B1646"/>
    <w:rsid w:val="001B178B"/>
    <w:rsid w:val="001B181A"/>
    <w:rsid w:val="001B1F8F"/>
    <w:rsid w:val="001B2155"/>
    <w:rsid w:val="001B234F"/>
    <w:rsid w:val="001B34D1"/>
    <w:rsid w:val="001B37C7"/>
    <w:rsid w:val="001B3E42"/>
    <w:rsid w:val="001B445A"/>
    <w:rsid w:val="001B4954"/>
    <w:rsid w:val="001B527E"/>
    <w:rsid w:val="001B52A2"/>
    <w:rsid w:val="001B5B3E"/>
    <w:rsid w:val="001B5EDC"/>
    <w:rsid w:val="001B5F6F"/>
    <w:rsid w:val="001B69E7"/>
    <w:rsid w:val="001B7039"/>
    <w:rsid w:val="001B72B8"/>
    <w:rsid w:val="001B7334"/>
    <w:rsid w:val="001B7C15"/>
    <w:rsid w:val="001B7EDD"/>
    <w:rsid w:val="001C02AD"/>
    <w:rsid w:val="001C06D1"/>
    <w:rsid w:val="001C073B"/>
    <w:rsid w:val="001C0898"/>
    <w:rsid w:val="001C0D72"/>
    <w:rsid w:val="001C10B1"/>
    <w:rsid w:val="001C165C"/>
    <w:rsid w:val="001C193F"/>
    <w:rsid w:val="001C19D8"/>
    <w:rsid w:val="001C1E69"/>
    <w:rsid w:val="001C253B"/>
    <w:rsid w:val="001C260D"/>
    <w:rsid w:val="001C29FF"/>
    <w:rsid w:val="001C2E2A"/>
    <w:rsid w:val="001C3010"/>
    <w:rsid w:val="001C323F"/>
    <w:rsid w:val="001C365B"/>
    <w:rsid w:val="001C3A4D"/>
    <w:rsid w:val="001C447C"/>
    <w:rsid w:val="001C462D"/>
    <w:rsid w:val="001C4641"/>
    <w:rsid w:val="001C5081"/>
    <w:rsid w:val="001C51B7"/>
    <w:rsid w:val="001C52A1"/>
    <w:rsid w:val="001C55FA"/>
    <w:rsid w:val="001C61AA"/>
    <w:rsid w:val="001C6393"/>
    <w:rsid w:val="001C69B3"/>
    <w:rsid w:val="001C6B80"/>
    <w:rsid w:val="001C70F6"/>
    <w:rsid w:val="001C71A7"/>
    <w:rsid w:val="001C74B6"/>
    <w:rsid w:val="001C7727"/>
    <w:rsid w:val="001C7AB4"/>
    <w:rsid w:val="001D0CCE"/>
    <w:rsid w:val="001D10B9"/>
    <w:rsid w:val="001D1322"/>
    <w:rsid w:val="001D1446"/>
    <w:rsid w:val="001D1536"/>
    <w:rsid w:val="001D17C0"/>
    <w:rsid w:val="001D1CA6"/>
    <w:rsid w:val="001D2A18"/>
    <w:rsid w:val="001D35B9"/>
    <w:rsid w:val="001D42BB"/>
    <w:rsid w:val="001D47EA"/>
    <w:rsid w:val="001D516A"/>
    <w:rsid w:val="001D51C9"/>
    <w:rsid w:val="001D53BE"/>
    <w:rsid w:val="001D5595"/>
    <w:rsid w:val="001D5628"/>
    <w:rsid w:val="001D5A45"/>
    <w:rsid w:val="001D6847"/>
    <w:rsid w:val="001D6A1B"/>
    <w:rsid w:val="001D6B7F"/>
    <w:rsid w:val="001D6DE0"/>
    <w:rsid w:val="001D6FC2"/>
    <w:rsid w:val="001D7874"/>
    <w:rsid w:val="001D79A9"/>
    <w:rsid w:val="001D7F22"/>
    <w:rsid w:val="001E01D2"/>
    <w:rsid w:val="001E0496"/>
    <w:rsid w:val="001E0995"/>
    <w:rsid w:val="001E12AE"/>
    <w:rsid w:val="001E1446"/>
    <w:rsid w:val="001E15E4"/>
    <w:rsid w:val="001E188D"/>
    <w:rsid w:val="001E1F1B"/>
    <w:rsid w:val="001E1F62"/>
    <w:rsid w:val="001E212C"/>
    <w:rsid w:val="001E24F9"/>
    <w:rsid w:val="001E270B"/>
    <w:rsid w:val="001E2B01"/>
    <w:rsid w:val="001E3505"/>
    <w:rsid w:val="001E3776"/>
    <w:rsid w:val="001E39B3"/>
    <w:rsid w:val="001E3E5C"/>
    <w:rsid w:val="001E3F1D"/>
    <w:rsid w:val="001E4904"/>
    <w:rsid w:val="001E4EA7"/>
    <w:rsid w:val="001E529A"/>
    <w:rsid w:val="001E58B0"/>
    <w:rsid w:val="001E58B2"/>
    <w:rsid w:val="001E63E1"/>
    <w:rsid w:val="001E7118"/>
    <w:rsid w:val="001E73ED"/>
    <w:rsid w:val="001E76A8"/>
    <w:rsid w:val="001E7873"/>
    <w:rsid w:val="001E7A31"/>
    <w:rsid w:val="001F0020"/>
    <w:rsid w:val="001F0279"/>
    <w:rsid w:val="001F053F"/>
    <w:rsid w:val="001F0700"/>
    <w:rsid w:val="001F075B"/>
    <w:rsid w:val="001F0A37"/>
    <w:rsid w:val="001F0B35"/>
    <w:rsid w:val="001F0CA9"/>
    <w:rsid w:val="001F0F17"/>
    <w:rsid w:val="001F137C"/>
    <w:rsid w:val="001F163E"/>
    <w:rsid w:val="001F193B"/>
    <w:rsid w:val="001F1BA3"/>
    <w:rsid w:val="001F1FFC"/>
    <w:rsid w:val="001F26D0"/>
    <w:rsid w:val="001F26F4"/>
    <w:rsid w:val="001F2704"/>
    <w:rsid w:val="001F2AD7"/>
    <w:rsid w:val="001F3026"/>
    <w:rsid w:val="001F3347"/>
    <w:rsid w:val="001F35B5"/>
    <w:rsid w:val="001F404B"/>
    <w:rsid w:val="001F5828"/>
    <w:rsid w:val="001F5902"/>
    <w:rsid w:val="001F5FA4"/>
    <w:rsid w:val="001F60F3"/>
    <w:rsid w:val="001F69E4"/>
    <w:rsid w:val="001F75B8"/>
    <w:rsid w:val="001F765F"/>
    <w:rsid w:val="001F76B9"/>
    <w:rsid w:val="001F789A"/>
    <w:rsid w:val="001F79EE"/>
    <w:rsid w:val="002004E8"/>
    <w:rsid w:val="0020053D"/>
    <w:rsid w:val="00200951"/>
    <w:rsid w:val="00200C4D"/>
    <w:rsid w:val="00200CE6"/>
    <w:rsid w:val="00200D38"/>
    <w:rsid w:val="00201928"/>
    <w:rsid w:val="00201BA8"/>
    <w:rsid w:val="00201E24"/>
    <w:rsid w:val="002020C4"/>
    <w:rsid w:val="002025B8"/>
    <w:rsid w:val="002027B6"/>
    <w:rsid w:val="00202B4B"/>
    <w:rsid w:val="00202BAB"/>
    <w:rsid w:val="00203264"/>
    <w:rsid w:val="00203CB7"/>
    <w:rsid w:val="0020440B"/>
    <w:rsid w:val="00204659"/>
    <w:rsid w:val="00204C25"/>
    <w:rsid w:val="00205023"/>
    <w:rsid w:val="00205103"/>
    <w:rsid w:val="0020530A"/>
    <w:rsid w:val="00205677"/>
    <w:rsid w:val="002056F2"/>
    <w:rsid w:val="00205BF1"/>
    <w:rsid w:val="0020626D"/>
    <w:rsid w:val="00206774"/>
    <w:rsid w:val="002068A5"/>
    <w:rsid w:val="00206C56"/>
    <w:rsid w:val="00207498"/>
    <w:rsid w:val="00207533"/>
    <w:rsid w:val="00207975"/>
    <w:rsid w:val="002102E5"/>
    <w:rsid w:val="0021047B"/>
    <w:rsid w:val="00210D22"/>
    <w:rsid w:val="00210F08"/>
    <w:rsid w:val="00211C03"/>
    <w:rsid w:val="00211CA4"/>
    <w:rsid w:val="00211E50"/>
    <w:rsid w:val="00212341"/>
    <w:rsid w:val="002125B4"/>
    <w:rsid w:val="002129D6"/>
    <w:rsid w:val="00212AA9"/>
    <w:rsid w:val="00212C38"/>
    <w:rsid w:val="00212F0F"/>
    <w:rsid w:val="00212F49"/>
    <w:rsid w:val="00212F4C"/>
    <w:rsid w:val="00213E54"/>
    <w:rsid w:val="00213F46"/>
    <w:rsid w:val="0021422C"/>
    <w:rsid w:val="0021475C"/>
    <w:rsid w:val="00214BCC"/>
    <w:rsid w:val="00215349"/>
    <w:rsid w:val="002155B8"/>
    <w:rsid w:val="00215745"/>
    <w:rsid w:val="00215FA2"/>
    <w:rsid w:val="002166E2"/>
    <w:rsid w:val="002169EF"/>
    <w:rsid w:val="00216CA4"/>
    <w:rsid w:val="00216CFC"/>
    <w:rsid w:val="00216F7F"/>
    <w:rsid w:val="00217092"/>
    <w:rsid w:val="0021720C"/>
    <w:rsid w:val="002175C6"/>
    <w:rsid w:val="00217864"/>
    <w:rsid w:val="00217B8A"/>
    <w:rsid w:val="00220123"/>
    <w:rsid w:val="00220143"/>
    <w:rsid w:val="002207EE"/>
    <w:rsid w:val="0022083B"/>
    <w:rsid w:val="00220CD4"/>
    <w:rsid w:val="00220F8B"/>
    <w:rsid w:val="002213BE"/>
    <w:rsid w:val="002213DA"/>
    <w:rsid w:val="002215D8"/>
    <w:rsid w:val="00221670"/>
    <w:rsid w:val="00222C5F"/>
    <w:rsid w:val="00222CAA"/>
    <w:rsid w:val="00222D9F"/>
    <w:rsid w:val="00222E1E"/>
    <w:rsid w:val="002234EB"/>
    <w:rsid w:val="00223ABE"/>
    <w:rsid w:val="002244C3"/>
    <w:rsid w:val="002247A4"/>
    <w:rsid w:val="00224839"/>
    <w:rsid w:val="002249B2"/>
    <w:rsid w:val="00224B0A"/>
    <w:rsid w:val="00224B57"/>
    <w:rsid w:val="00224C42"/>
    <w:rsid w:val="00224D14"/>
    <w:rsid w:val="00225302"/>
    <w:rsid w:val="0022588B"/>
    <w:rsid w:val="00225CFB"/>
    <w:rsid w:val="00226193"/>
    <w:rsid w:val="00226305"/>
    <w:rsid w:val="00226574"/>
    <w:rsid w:val="002265B1"/>
    <w:rsid w:val="0022669D"/>
    <w:rsid w:val="0022685E"/>
    <w:rsid w:val="00226C80"/>
    <w:rsid w:val="00226D03"/>
    <w:rsid w:val="00226DD1"/>
    <w:rsid w:val="00226E1D"/>
    <w:rsid w:val="00227282"/>
    <w:rsid w:val="002278EC"/>
    <w:rsid w:val="002302F2"/>
    <w:rsid w:val="00230C36"/>
    <w:rsid w:val="002311A7"/>
    <w:rsid w:val="00231484"/>
    <w:rsid w:val="002317B0"/>
    <w:rsid w:val="00231837"/>
    <w:rsid w:val="00232199"/>
    <w:rsid w:val="0023261E"/>
    <w:rsid w:val="00232674"/>
    <w:rsid w:val="002327AB"/>
    <w:rsid w:val="0023280E"/>
    <w:rsid w:val="00232950"/>
    <w:rsid w:val="002329AD"/>
    <w:rsid w:val="002334E5"/>
    <w:rsid w:val="00233A16"/>
    <w:rsid w:val="00233ABE"/>
    <w:rsid w:val="00234267"/>
    <w:rsid w:val="002348F9"/>
    <w:rsid w:val="00234B84"/>
    <w:rsid w:val="00234BE1"/>
    <w:rsid w:val="00234F4B"/>
    <w:rsid w:val="0023529D"/>
    <w:rsid w:val="0023552E"/>
    <w:rsid w:val="00235615"/>
    <w:rsid w:val="0023577E"/>
    <w:rsid w:val="0023694B"/>
    <w:rsid w:val="0023713A"/>
    <w:rsid w:val="0023750D"/>
    <w:rsid w:val="00237794"/>
    <w:rsid w:val="002377D1"/>
    <w:rsid w:val="00237B76"/>
    <w:rsid w:val="00237C2D"/>
    <w:rsid w:val="0024024B"/>
    <w:rsid w:val="0024047D"/>
    <w:rsid w:val="00240BA1"/>
    <w:rsid w:val="00240D5F"/>
    <w:rsid w:val="00241002"/>
    <w:rsid w:val="00241681"/>
    <w:rsid w:val="0024168F"/>
    <w:rsid w:val="00241723"/>
    <w:rsid w:val="0024194F"/>
    <w:rsid w:val="002429D6"/>
    <w:rsid w:val="002438AF"/>
    <w:rsid w:val="00243AF3"/>
    <w:rsid w:val="00244023"/>
    <w:rsid w:val="0024447F"/>
    <w:rsid w:val="00244E29"/>
    <w:rsid w:val="00244F88"/>
    <w:rsid w:val="00245594"/>
    <w:rsid w:val="002456C2"/>
    <w:rsid w:val="002458B6"/>
    <w:rsid w:val="00245919"/>
    <w:rsid w:val="00246671"/>
    <w:rsid w:val="00246C10"/>
    <w:rsid w:val="00247291"/>
    <w:rsid w:val="00247DFA"/>
    <w:rsid w:val="00247FC4"/>
    <w:rsid w:val="0025064D"/>
    <w:rsid w:val="002506BC"/>
    <w:rsid w:val="0025096D"/>
    <w:rsid w:val="002509A4"/>
    <w:rsid w:val="00251052"/>
    <w:rsid w:val="00251ADB"/>
    <w:rsid w:val="00251DBB"/>
    <w:rsid w:val="00251FA4"/>
    <w:rsid w:val="00252859"/>
    <w:rsid w:val="0025312E"/>
    <w:rsid w:val="002536CD"/>
    <w:rsid w:val="00253C4B"/>
    <w:rsid w:val="00254345"/>
    <w:rsid w:val="00255208"/>
    <w:rsid w:val="00255359"/>
    <w:rsid w:val="002555A6"/>
    <w:rsid w:val="00255EAD"/>
    <w:rsid w:val="00256750"/>
    <w:rsid w:val="002569B0"/>
    <w:rsid w:val="002569FC"/>
    <w:rsid w:val="00256B0C"/>
    <w:rsid w:val="00256C05"/>
    <w:rsid w:val="00256DB5"/>
    <w:rsid w:val="00256ECC"/>
    <w:rsid w:val="0025781A"/>
    <w:rsid w:val="002604B5"/>
    <w:rsid w:val="002611AB"/>
    <w:rsid w:val="00261AFF"/>
    <w:rsid w:val="00261B6E"/>
    <w:rsid w:val="00261D34"/>
    <w:rsid w:val="00261EFC"/>
    <w:rsid w:val="002621DC"/>
    <w:rsid w:val="002623C3"/>
    <w:rsid w:val="0026252B"/>
    <w:rsid w:val="002629A6"/>
    <w:rsid w:val="00262EF1"/>
    <w:rsid w:val="002636C7"/>
    <w:rsid w:val="00263E74"/>
    <w:rsid w:val="00263FD1"/>
    <w:rsid w:val="00264557"/>
    <w:rsid w:val="00264CED"/>
    <w:rsid w:val="00264EA5"/>
    <w:rsid w:val="002655B8"/>
    <w:rsid w:val="002658DE"/>
    <w:rsid w:val="00265D27"/>
    <w:rsid w:val="00266415"/>
    <w:rsid w:val="00266979"/>
    <w:rsid w:val="00266C43"/>
    <w:rsid w:val="00267E19"/>
    <w:rsid w:val="00270095"/>
    <w:rsid w:val="00270250"/>
    <w:rsid w:val="00270A98"/>
    <w:rsid w:val="00270C0A"/>
    <w:rsid w:val="00271180"/>
    <w:rsid w:val="00271413"/>
    <w:rsid w:val="00271439"/>
    <w:rsid w:val="00271ABC"/>
    <w:rsid w:val="00272240"/>
    <w:rsid w:val="0027261A"/>
    <w:rsid w:val="00272E1E"/>
    <w:rsid w:val="0027388E"/>
    <w:rsid w:val="00273CFC"/>
    <w:rsid w:val="002744C6"/>
    <w:rsid w:val="0027454D"/>
    <w:rsid w:val="00274A63"/>
    <w:rsid w:val="0027597F"/>
    <w:rsid w:val="00275AB9"/>
    <w:rsid w:val="0027630E"/>
    <w:rsid w:val="002769EA"/>
    <w:rsid w:val="00276EF8"/>
    <w:rsid w:val="0027713C"/>
    <w:rsid w:val="002773D3"/>
    <w:rsid w:val="0027746A"/>
    <w:rsid w:val="0027764D"/>
    <w:rsid w:val="00277975"/>
    <w:rsid w:val="00277BC7"/>
    <w:rsid w:val="00277F50"/>
    <w:rsid w:val="0028005E"/>
    <w:rsid w:val="00280337"/>
    <w:rsid w:val="00280484"/>
    <w:rsid w:val="002805AB"/>
    <w:rsid w:val="002833F3"/>
    <w:rsid w:val="002838C3"/>
    <w:rsid w:val="00283CA0"/>
    <w:rsid w:val="00283F21"/>
    <w:rsid w:val="00284204"/>
    <w:rsid w:val="0028466C"/>
    <w:rsid w:val="0028467D"/>
    <w:rsid w:val="00284ADE"/>
    <w:rsid w:val="00284C8C"/>
    <w:rsid w:val="00284F9F"/>
    <w:rsid w:val="002851CC"/>
    <w:rsid w:val="002854CD"/>
    <w:rsid w:val="00285E43"/>
    <w:rsid w:val="002866AD"/>
    <w:rsid w:val="00286CBD"/>
    <w:rsid w:val="00286EB2"/>
    <w:rsid w:val="002908DA"/>
    <w:rsid w:val="002909B8"/>
    <w:rsid w:val="00290B82"/>
    <w:rsid w:val="00290BF1"/>
    <w:rsid w:val="00291346"/>
    <w:rsid w:val="00291773"/>
    <w:rsid w:val="002917AE"/>
    <w:rsid w:val="00291A96"/>
    <w:rsid w:val="00291D1E"/>
    <w:rsid w:val="00292075"/>
    <w:rsid w:val="00292211"/>
    <w:rsid w:val="00292671"/>
    <w:rsid w:val="00292D1D"/>
    <w:rsid w:val="00292DB5"/>
    <w:rsid w:val="002933CF"/>
    <w:rsid w:val="00293851"/>
    <w:rsid w:val="00293E41"/>
    <w:rsid w:val="00294391"/>
    <w:rsid w:val="00294439"/>
    <w:rsid w:val="00294DD5"/>
    <w:rsid w:val="002954C3"/>
    <w:rsid w:val="00295517"/>
    <w:rsid w:val="0029588E"/>
    <w:rsid w:val="002959F8"/>
    <w:rsid w:val="00295A35"/>
    <w:rsid w:val="00296507"/>
    <w:rsid w:val="00296743"/>
    <w:rsid w:val="00296A16"/>
    <w:rsid w:val="0029701B"/>
    <w:rsid w:val="00297C82"/>
    <w:rsid w:val="002A0005"/>
    <w:rsid w:val="002A0036"/>
    <w:rsid w:val="002A0267"/>
    <w:rsid w:val="002A0AA9"/>
    <w:rsid w:val="002A0EBC"/>
    <w:rsid w:val="002A168C"/>
    <w:rsid w:val="002A1AE2"/>
    <w:rsid w:val="002A1C52"/>
    <w:rsid w:val="002A1DD9"/>
    <w:rsid w:val="002A2814"/>
    <w:rsid w:val="002A38DB"/>
    <w:rsid w:val="002A3BE6"/>
    <w:rsid w:val="002A3CAF"/>
    <w:rsid w:val="002A3D72"/>
    <w:rsid w:val="002A3DC7"/>
    <w:rsid w:val="002A3F48"/>
    <w:rsid w:val="002A4476"/>
    <w:rsid w:val="002A5B38"/>
    <w:rsid w:val="002A600A"/>
    <w:rsid w:val="002A64F9"/>
    <w:rsid w:val="002A67E4"/>
    <w:rsid w:val="002A70D5"/>
    <w:rsid w:val="002A75B6"/>
    <w:rsid w:val="002A7F27"/>
    <w:rsid w:val="002B00FF"/>
    <w:rsid w:val="002B025A"/>
    <w:rsid w:val="002B0354"/>
    <w:rsid w:val="002B0687"/>
    <w:rsid w:val="002B0822"/>
    <w:rsid w:val="002B0858"/>
    <w:rsid w:val="002B091E"/>
    <w:rsid w:val="002B162D"/>
    <w:rsid w:val="002B1DD6"/>
    <w:rsid w:val="002B2452"/>
    <w:rsid w:val="002B2885"/>
    <w:rsid w:val="002B2B29"/>
    <w:rsid w:val="002B2D0E"/>
    <w:rsid w:val="002B3B43"/>
    <w:rsid w:val="002B3E48"/>
    <w:rsid w:val="002B48FD"/>
    <w:rsid w:val="002B4925"/>
    <w:rsid w:val="002B49E2"/>
    <w:rsid w:val="002B4E70"/>
    <w:rsid w:val="002B5A24"/>
    <w:rsid w:val="002B5D21"/>
    <w:rsid w:val="002B631D"/>
    <w:rsid w:val="002B6B8E"/>
    <w:rsid w:val="002B6C2B"/>
    <w:rsid w:val="002B6CE4"/>
    <w:rsid w:val="002B6EC7"/>
    <w:rsid w:val="002B71B2"/>
    <w:rsid w:val="002B75AB"/>
    <w:rsid w:val="002B7897"/>
    <w:rsid w:val="002B7A05"/>
    <w:rsid w:val="002B7B00"/>
    <w:rsid w:val="002B7C44"/>
    <w:rsid w:val="002C0F64"/>
    <w:rsid w:val="002C1761"/>
    <w:rsid w:val="002C1E74"/>
    <w:rsid w:val="002C291E"/>
    <w:rsid w:val="002C29FC"/>
    <w:rsid w:val="002C2B17"/>
    <w:rsid w:val="002C3345"/>
    <w:rsid w:val="002C3364"/>
    <w:rsid w:val="002C35F4"/>
    <w:rsid w:val="002C365B"/>
    <w:rsid w:val="002C3704"/>
    <w:rsid w:val="002C3ECD"/>
    <w:rsid w:val="002C3F8C"/>
    <w:rsid w:val="002C4C0F"/>
    <w:rsid w:val="002C4DC2"/>
    <w:rsid w:val="002C4E6C"/>
    <w:rsid w:val="002C51B5"/>
    <w:rsid w:val="002C5628"/>
    <w:rsid w:val="002C5BDF"/>
    <w:rsid w:val="002C5D53"/>
    <w:rsid w:val="002C5FB2"/>
    <w:rsid w:val="002C5FF6"/>
    <w:rsid w:val="002C6222"/>
    <w:rsid w:val="002C6DFB"/>
    <w:rsid w:val="002C6FCE"/>
    <w:rsid w:val="002C7434"/>
    <w:rsid w:val="002C74E5"/>
    <w:rsid w:val="002C777E"/>
    <w:rsid w:val="002C7AF2"/>
    <w:rsid w:val="002D0043"/>
    <w:rsid w:val="002D0352"/>
    <w:rsid w:val="002D07C1"/>
    <w:rsid w:val="002D0959"/>
    <w:rsid w:val="002D0E0F"/>
    <w:rsid w:val="002D193F"/>
    <w:rsid w:val="002D1A86"/>
    <w:rsid w:val="002D1D56"/>
    <w:rsid w:val="002D1F39"/>
    <w:rsid w:val="002D2607"/>
    <w:rsid w:val="002D3901"/>
    <w:rsid w:val="002D3DD0"/>
    <w:rsid w:val="002D40C0"/>
    <w:rsid w:val="002D428E"/>
    <w:rsid w:val="002D4676"/>
    <w:rsid w:val="002D48B4"/>
    <w:rsid w:val="002D4930"/>
    <w:rsid w:val="002D4BFB"/>
    <w:rsid w:val="002D549D"/>
    <w:rsid w:val="002D5911"/>
    <w:rsid w:val="002D6047"/>
    <w:rsid w:val="002D66C5"/>
    <w:rsid w:val="002D6799"/>
    <w:rsid w:val="002D67E7"/>
    <w:rsid w:val="002D69EC"/>
    <w:rsid w:val="002D6A47"/>
    <w:rsid w:val="002D6DD0"/>
    <w:rsid w:val="002D70BE"/>
    <w:rsid w:val="002D7371"/>
    <w:rsid w:val="002D7B52"/>
    <w:rsid w:val="002E0A04"/>
    <w:rsid w:val="002E0D5D"/>
    <w:rsid w:val="002E0F09"/>
    <w:rsid w:val="002E1246"/>
    <w:rsid w:val="002E1367"/>
    <w:rsid w:val="002E1390"/>
    <w:rsid w:val="002E1C7B"/>
    <w:rsid w:val="002E1C96"/>
    <w:rsid w:val="002E1F3A"/>
    <w:rsid w:val="002E2936"/>
    <w:rsid w:val="002E298A"/>
    <w:rsid w:val="002E2D4B"/>
    <w:rsid w:val="002E2D72"/>
    <w:rsid w:val="002E309D"/>
    <w:rsid w:val="002E3676"/>
    <w:rsid w:val="002E38C3"/>
    <w:rsid w:val="002E3CEF"/>
    <w:rsid w:val="002E491D"/>
    <w:rsid w:val="002E49EF"/>
    <w:rsid w:val="002E4AAC"/>
    <w:rsid w:val="002E5407"/>
    <w:rsid w:val="002E54D2"/>
    <w:rsid w:val="002E56C1"/>
    <w:rsid w:val="002E5F40"/>
    <w:rsid w:val="002E621B"/>
    <w:rsid w:val="002E63AE"/>
    <w:rsid w:val="002E6594"/>
    <w:rsid w:val="002E6659"/>
    <w:rsid w:val="002E73BE"/>
    <w:rsid w:val="002E7478"/>
    <w:rsid w:val="002E7765"/>
    <w:rsid w:val="002E78EA"/>
    <w:rsid w:val="002E7B96"/>
    <w:rsid w:val="002F04B2"/>
    <w:rsid w:val="002F0681"/>
    <w:rsid w:val="002F0707"/>
    <w:rsid w:val="002F0737"/>
    <w:rsid w:val="002F0823"/>
    <w:rsid w:val="002F08C2"/>
    <w:rsid w:val="002F0ABB"/>
    <w:rsid w:val="002F0B88"/>
    <w:rsid w:val="002F0D76"/>
    <w:rsid w:val="002F0E51"/>
    <w:rsid w:val="002F0E75"/>
    <w:rsid w:val="002F1066"/>
    <w:rsid w:val="002F132F"/>
    <w:rsid w:val="002F14D2"/>
    <w:rsid w:val="002F153B"/>
    <w:rsid w:val="002F172F"/>
    <w:rsid w:val="002F19E6"/>
    <w:rsid w:val="002F1D81"/>
    <w:rsid w:val="002F228F"/>
    <w:rsid w:val="002F27E8"/>
    <w:rsid w:val="002F2C8A"/>
    <w:rsid w:val="002F2E0E"/>
    <w:rsid w:val="002F32BF"/>
    <w:rsid w:val="002F430D"/>
    <w:rsid w:val="002F43D2"/>
    <w:rsid w:val="002F4A1F"/>
    <w:rsid w:val="002F506F"/>
    <w:rsid w:val="002F53A2"/>
    <w:rsid w:val="002F575F"/>
    <w:rsid w:val="002F5CDC"/>
    <w:rsid w:val="002F6343"/>
    <w:rsid w:val="002F6BD3"/>
    <w:rsid w:val="002F6E25"/>
    <w:rsid w:val="002F6E74"/>
    <w:rsid w:val="002F7101"/>
    <w:rsid w:val="002F756D"/>
    <w:rsid w:val="002F777C"/>
    <w:rsid w:val="002F79E0"/>
    <w:rsid w:val="002F7B86"/>
    <w:rsid w:val="002F7CE8"/>
    <w:rsid w:val="002F7FC8"/>
    <w:rsid w:val="0030014E"/>
    <w:rsid w:val="00300526"/>
    <w:rsid w:val="00300846"/>
    <w:rsid w:val="00300F65"/>
    <w:rsid w:val="003011EC"/>
    <w:rsid w:val="003011F9"/>
    <w:rsid w:val="00301281"/>
    <w:rsid w:val="00301816"/>
    <w:rsid w:val="00301978"/>
    <w:rsid w:val="00301C60"/>
    <w:rsid w:val="00301F11"/>
    <w:rsid w:val="003023E5"/>
    <w:rsid w:val="00302AB1"/>
    <w:rsid w:val="00302ED5"/>
    <w:rsid w:val="0030332C"/>
    <w:rsid w:val="003038CA"/>
    <w:rsid w:val="00303E67"/>
    <w:rsid w:val="00304030"/>
    <w:rsid w:val="0030427B"/>
    <w:rsid w:val="0030442E"/>
    <w:rsid w:val="00304480"/>
    <w:rsid w:val="00304AE4"/>
    <w:rsid w:val="00304B85"/>
    <w:rsid w:val="003051C2"/>
    <w:rsid w:val="003054AA"/>
    <w:rsid w:val="00305735"/>
    <w:rsid w:val="00305F8F"/>
    <w:rsid w:val="003060CB"/>
    <w:rsid w:val="00306C4C"/>
    <w:rsid w:val="0030754D"/>
    <w:rsid w:val="00310004"/>
    <w:rsid w:val="00311521"/>
    <w:rsid w:val="0031158E"/>
    <w:rsid w:val="0031182C"/>
    <w:rsid w:val="00311FEB"/>
    <w:rsid w:val="00312296"/>
    <w:rsid w:val="003127CF"/>
    <w:rsid w:val="00312A43"/>
    <w:rsid w:val="00313735"/>
    <w:rsid w:val="00313EA7"/>
    <w:rsid w:val="003142A4"/>
    <w:rsid w:val="00314BDB"/>
    <w:rsid w:val="00314F0E"/>
    <w:rsid w:val="0031533A"/>
    <w:rsid w:val="0031545F"/>
    <w:rsid w:val="0031610C"/>
    <w:rsid w:val="003161EB"/>
    <w:rsid w:val="003167D0"/>
    <w:rsid w:val="0031713B"/>
    <w:rsid w:val="003171F6"/>
    <w:rsid w:val="0031724A"/>
    <w:rsid w:val="00317876"/>
    <w:rsid w:val="00317BE0"/>
    <w:rsid w:val="003208AA"/>
    <w:rsid w:val="00320E5C"/>
    <w:rsid w:val="00320E64"/>
    <w:rsid w:val="00320FBA"/>
    <w:rsid w:val="00321536"/>
    <w:rsid w:val="0032155D"/>
    <w:rsid w:val="00321D8E"/>
    <w:rsid w:val="00321DD1"/>
    <w:rsid w:val="003226A3"/>
    <w:rsid w:val="00323325"/>
    <w:rsid w:val="0032341E"/>
    <w:rsid w:val="00323C5B"/>
    <w:rsid w:val="00324BC7"/>
    <w:rsid w:val="00324FA5"/>
    <w:rsid w:val="003252D2"/>
    <w:rsid w:val="0032551B"/>
    <w:rsid w:val="00325530"/>
    <w:rsid w:val="00325928"/>
    <w:rsid w:val="00325E55"/>
    <w:rsid w:val="00330AAD"/>
    <w:rsid w:val="00330B48"/>
    <w:rsid w:val="00330D43"/>
    <w:rsid w:val="0033104E"/>
    <w:rsid w:val="0033111C"/>
    <w:rsid w:val="00331251"/>
    <w:rsid w:val="00331386"/>
    <w:rsid w:val="0033164A"/>
    <w:rsid w:val="00331B83"/>
    <w:rsid w:val="003320B6"/>
    <w:rsid w:val="003324D8"/>
    <w:rsid w:val="00332863"/>
    <w:rsid w:val="00332A38"/>
    <w:rsid w:val="00332C9B"/>
    <w:rsid w:val="00332E3D"/>
    <w:rsid w:val="00332FC3"/>
    <w:rsid w:val="0033312E"/>
    <w:rsid w:val="00333809"/>
    <w:rsid w:val="00333D94"/>
    <w:rsid w:val="00334233"/>
    <w:rsid w:val="00334864"/>
    <w:rsid w:val="003349AF"/>
    <w:rsid w:val="00334B36"/>
    <w:rsid w:val="00334D08"/>
    <w:rsid w:val="00334D6D"/>
    <w:rsid w:val="00335C31"/>
    <w:rsid w:val="00335D75"/>
    <w:rsid w:val="003367C9"/>
    <w:rsid w:val="0033684D"/>
    <w:rsid w:val="003379AC"/>
    <w:rsid w:val="00337A28"/>
    <w:rsid w:val="00337A3F"/>
    <w:rsid w:val="00337B42"/>
    <w:rsid w:val="00337CE9"/>
    <w:rsid w:val="00337DC2"/>
    <w:rsid w:val="00340454"/>
    <w:rsid w:val="00340A07"/>
    <w:rsid w:val="0034111E"/>
    <w:rsid w:val="003412B3"/>
    <w:rsid w:val="0034190E"/>
    <w:rsid w:val="00341B42"/>
    <w:rsid w:val="00342105"/>
    <w:rsid w:val="0034224C"/>
    <w:rsid w:val="003422B6"/>
    <w:rsid w:val="00342DCE"/>
    <w:rsid w:val="00342E2D"/>
    <w:rsid w:val="00342FE7"/>
    <w:rsid w:val="0034319B"/>
    <w:rsid w:val="003431D4"/>
    <w:rsid w:val="00343285"/>
    <w:rsid w:val="00343299"/>
    <w:rsid w:val="0034348F"/>
    <w:rsid w:val="003445AD"/>
    <w:rsid w:val="0034495F"/>
    <w:rsid w:val="00344A65"/>
    <w:rsid w:val="003450FD"/>
    <w:rsid w:val="003454DA"/>
    <w:rsid w:val="0034560C"/>
    <w:rsid w:val="003465AD"/>
    <w:rsid w:val="003468A1"/>
    <w:rsid w:val="003469D3"/>
    <w:rsid w:val="00346DAC"/>
    <w:rsid w:val="00346FA6"/>
    <w:rsid w:val="003470DC"/>
    <w:rsid w:val="00347392"/>
    <w:rsid w:val="00347579"/>
    <w:rsid w:val="003477D3"/>
    <w:rsid w:val="0034785A"/>
    <w:rsid w:val="00347E1E"/>
    <w:rsid w:val="0035009C"/>
    <w:rsid w:val="00350971"/>
    <w:rsid w:val="00350A6E"/>
    <w:rsid w:val="00350BEA"/>
    <w:rsid w:val="003511C0"/>
    <w:rsid w:val="003514ED"/>
    <w:rsid w:val="00351BB9"/>
    <w:rsid w:val="00351EB1"/>
    <w:rsid w:val="003520AB"/>
    <w:rsid w:val="0035229F"/>
    <w:rsid w:val="00352688"/>
    <w:rsid w:val="0035276F"/>
    <w:rsid w:val="0035285B"/>
    <w:rsid w:val="00352DDB"/>
    <w:rsid w:val="00353048"/>
    <w:rsid w:val="0035357B"/>
    <w:rsid w:val="003535EC"/>
    <w:rsid w:val="0035373C"/>
    <w:rsid w:val="00353BE1"/>
    <w:rsid w:val="00353E0E"/>
    <w:rsid w:val="003549C6"/>
    <w:rsid w:val="00354C63"/>
    <w:rsid w:val="00354CD3"/>
    <w:rsid w:val="003551FD"/>
    <w:rsid w:val="00355232"/>
    <w:rsid w:val="00355626"/>
    <w:rsid w:val="0035563E"/>
    <w:rsid w:val="00355AEE"/>
    <w:rsid w:val="00356653"/>
    <w:rsid w:val="00356787"/>
    <w:rsid w:val="00356833"/>
    <w:rsid w:val="00356EC5"/>
    <w:rsid w:val="0035743F"/>
    <w:rsid w:val="00357506"/>
    <w:rsid w:val="00357676"/>
    <w:rsid w:val="00357BE2"/>
    <w:rsid w:val="00360E38"/>
    <w:rsid w:val="0036146E"/>
    <w:rsid w:val="003614A6"/>
    <w:rsid w:val="0036170C"/>
    <w:rsid w:val="00361967"/>
    <w:rsid w:val="00361CFF"/>
    <w:rsid w:val="00361D53"/>
    <w:rsid w:val="00361EFE"/>
    <w:rsid w:val="0036216E"/>
    <w:rsid w:val="003622BD"/>
    <w:rsid w:val="0036245D"/>
    <w:rsid w:val="0036251A"/>
    <w:rsid w:val="00362A8D"/>
    <w:rsid w:val="00362C4B"/>
    <w:rsid w:val="00362E72"/>
    <w:rsid w:val="00363107"/>
    <w:rsid w:val="003636FC"/>
    <w:rsid w:val="00363B4B"/>
    <w:rsid w:val="00363DA8"/>
    <w:rsid w:val="003642C7"/>
    <w:rsid w:val="0036446B"/>
    <w:rsid w:val="0036454A"/>
    <w:rsid w:val="00364E39"/>
    <w:rsid w:val="00364F15"/>
    <w:rsid w:val="00365076"/>
    <w:rsid w:val="003652A1"/>
    <w:rsid w:val="0036558A"/>
    <w:rsid w:val="00365DC4"/>
    <w:rsid w:val="00366112"/>
    <w:rsid w:val="003662F8"/>
    <w:rsid w:val="0036655B"/>
    <w:rsid w:val="00366595"/>
    <w:rsid w:val="003668A4"/>
    <w:rsid w:val="00366E0F"/>
    <w:rsid w:val="00366F2C"/>
    <w:rsid w:val="00367F4A"/>
    <w:rsid w:val="00370007"/>
    <w:rsid w:val="0037037F"/>
    <w:rsid w:val="00370BFE"/>
    <w:rsid w:val="003713D2"/>
    <w:rsid w:val="0037157C"/>
    <w:rsid w:val="0037175B"/>
    <w:rsid w:val="00371769"/>
    <w:rsid w:val="00371840"/>
    <w:rsid w:val="00371EF5"/>
    <w:rsid w:val="00372517"/>
    <w:rsid w:val="00372761"/>
    <w:rsid w:val="00373389"/>
    <w:rsid w:val="003739EB"/>
    <w:rsid w:val="00374783"/>
    <w:rsid w:val="00374A7E"/>
    <w:rsid w:val="00374AE2"/>
    <w:rsid w:val="00374D2D"/>
    <w:rsid w:val="00374F60"/>
    <w:rsid w:val="003751CE"/>
    <w:rsid w:val="00375384"/>
    <w:rsid w:val="0037548A"/>
    <w:rsid w:val="003756A7"/>
    <w:rsid w:val="00375B9D"/>
    <w:rsid w:val="00375EEA"/>
    <w:rsid w:val="00376E7D"/>
    <w:rsid w:val="003777C8"/>
    <w:rsid w:val="00377B4F"/>
    <w:rsid w:val="00377EFD"/>
    <w:rsid w:val="003804B0"/>
    <w:rsid w:val="00380EAE"/>
    <w:rsid w:val="003811DB"/>
    <w:rsid w:val="003819B7"/>
    <w:rsid w:val="00381A72"/>
    <w:rsid w:val="0038206C"/>
    <w:rsid w:val="003824BE"/>
    <w:rsid w:val="00382A99"/>
    <w:rsid w:val="00382EFC"/>
    <w:rsid w:val="0038302B"/>
    <w:rsid w:val="003831AC"/>
    <w:rsid w:val="0038321E"/>
    <w:rsid w:val="00383299"/>
    <w:rsid w:val="003835AC"/>
    <w:rsid w:val="00383700"/>
    <w:rsid w:val="003840AF"/>
    <w:rsid w:val="00384676"/>
    <w:rsid w:val="003848D6"/>
    <w:rsid w:val="00384B47"/>
    <w:rsid w:val="00384C19"/>
    <w:rsid w:val="00384DCA"/>
    <w:rsid w:val="00384E05"/>
    <w:rsid w:val="003851ED"/>
    <w:rsid w:val="00385C7B"/>
    <w:rsid w:val="00385E33"/>
    <w:rsid w:val="003861B9"/>
    <w:rsid w:val="003862EC"/>
    <w:rsid w:val="00386808"/>
    <w:rsid w:val="00386816"/>
    <w:rsid w:val="0038704B"/>
    <w:rsid w:val="00387E8C"/>
    <w:rsid w:val="00387F2D"/>
    <w:rsid w:val="003900CF"/>
    <w:rsid w:val="003905CB"/>
    <w:rsid w:val="003907B9"/>
    <w:rsid w:val="00390857"/>
    <w:rsid w:val="00390DC6"/>
    <w:rsid w:val="00390E02"/>
    <w:rsid w:val="00390EA6"/>
    <w:rsid w:val="00391043"/>
    <w:rsid w:val="0039123C"/>
    <w:rsid w:val="00391350"/>
    <w:rsid w:val="003915B8"/>
    <w:rsid w:val="00391A61"/>
    <w:rsid w:val="00391B96"/>
    <w:rsid w:val="00391DCE"/>
    <w:rsid w:val="00391EBF"/>
    <w:rsid w:val="00392A86"/>
    <w:rsid w:val="00392E58"/>
    <w:rsid w:val="00393527"/>
    <w:rsid w:val="00393D50"/>
    <w:rsid w:val="00394355"/>
    <w:rsid w:val="0039445D"/>
    <w:rsid w:val="00394735"/>
    <w:rsid w:val="0039499A"/>
    <w:rsid w:val="00394F71"/>
    <w:rsid w:val="003955F6"/>
    <w:rsid w:val="00395818"/>
    <w:rsid w:val="00395991"/>
    <w:rsid w:val="00395B88"/>
    <w:rsid w:val="0039692F"/>
    <w:rsid w:val="00396E27"/>
    <w:rsid w:val="00396EEF"/>
    <w:rsid w:val="0039701E"/>
    <w:rsid w:val="00397180"/>
    <w:rsid w:val="003A008E"/>
    <w:rsid w:val="003A01D1"/>
    <w:rsid w:val="003A04D0"/>
    <w:rsid w:val="003A051C"/>
    <w:rsid w:val="003A08B2"/>
    <w:rsid w:val="003A08D2"/>
    <w:rsid w:val="003A09E5"/>
    <w:rsid w:val="003A0C9A"/>
    <w:rsid w:val="003A0E9E"/>
    <w:rsid w:val="003A0EF3"/>
    <w:rsid w:val="003A1432"/>
    <w:rsid w:val="003A170B"/>
    <w:rsid w:val="003A2476"/>
    <w:rsid w:val="003A24A7"/>
    <w:rsid w:val="003A31A4"/>
    <w:rsid w:val="003A36C4"/>
    <w:rsid w:val="003A4939"/>
    <w:rsid w:val="003A4BF3"/>
    <w:rsid w:val="003A4C8B"/>
    <w:rsid w:val="003A57AB"/>
    <w:rsid w:val="003A5B2F"/>
    <w:rsid w:val="003A5CA0"/>
    <w:rsid w:val="003A6159"/>
    <w:rsid w:val="003A62D9"/>
    <w:rsid w:val="003A63E5"/>
    <w:rsid w:val="003A6AEE"/>
    <w:rsid w:val="003A6EA8"/>
    <w:rsid w:val="003A6EFB"/>
    <w:rsid w:val="003A76B0"/>
    <w:rsid w:val="003A781B"/>
    <w:rsid w:val="003A7D73"/>
    <w:rsid w:val="003A7EDE"/>
    <w:rsid w:val="003B062E"/>
    <w:rsid w:val="003B09C2"/>
    <w:rsid w:val="003B0AAD"/>
    <w:rsid w:val="003B0E20"/>
    <w:rsid w:val="003B16C3"/>
    <w:rsid w:val="003B1843"/>
    <w:rsid w:val="003B1CAD"/>
    <w:rsid w:val="003B1FFA"/>
    <w:rsid w:val="003B284D"/>
    <w:rsid w:val="003B3759"/>
    <w:rsid w:val="003B3768"/>
    <w:rsid w:val="003B39A7"/>
    <w:rsid w:val="003B3F8C"/>
    <w:rsid w:val="003B4106"/>
    <w:rsid w:val="003B420D"/>
    <w:rsid w:val="003B499A"/>
    <w:rsid w:val="003B54ED"/>
    <w:rsid w:val="003B559D"/>
    <w:rsid w:val="003B593D"/>
    <w:rsid w:val="003B5998"/>
    <w:rsid w:val="003B6565"/>
    <w:rsid w:val="003B6A58"/>
    <w:rsid w:val="003B6AED"/>
    <w:rsid w:val="003B6B4F"/>
    <w:rsid w:val="003B6C45"/>
    <w:rsid w:val="003B6CC8"/>
    <w:rsid w:val="003B6CEE"/>
    <w:rsid w:val="003B6E90"/>
    <w:rsid w:val="003B6EEA"/>
    <w:rsid w:val="003C0A1B"/>
    <w:rsid w:val="003C0B20"/>
    <w:rsid w:val="003C0EF3"/>
    <w:rsid w:val="003C16A9"/>
    <w:rsid w:val="003C1FCE"/>
    <w:rsid w:val="003C2030"/>
    <w:rsid w:val="003C2404"/>
    <w:rsid w:val="003C2695"/>
    <w:rsid w:val="003C27C5"/>
    <w:rsid w:val="003C29B0"/>
    <w:rsid w:val="003C2D42"/>
    <w:rsid w:val="003C30FE"/>
    <w:rsid w:val="003C332F"/>
    <w:rsid w:val="003C43EE"/>
    <w:rsid w:val="003C4ADC"/>
    <w:rsid w:val="003C519F"/>
    <w:rsid w:val="003C53C3"/>
    <w:rsid w:val="003C53DD"/>
    <w:rsid w:val="003C5DBE"/>
    <w:rsid w:val="003C6AB8"/>
    <w:rsid w:val="003C6BB7"/>
    <w:rsid w:val="003C6BDF"/>
    <w:rsid w:val="003C6C16"/>
    <w:rsid w:val="003C6C40"/>
    <w:rsid w:val="003C76CD"/>
    <w:rsid w:val="003C7792"/>
    <w:rsid w:val="003C77E2"/>
    <w:rsid w:val="003C7C19"/>
    <w:rsid w:val="003D07D4"/>
    <w:rsid w:val="003D0905"/>
    <w:rsid w:val="003D090E"/>
    <w:rsid w:val="003D195E"/>
    <w:rsid w:val="003D197E"/>
    <w:rsid w:val="003D1B1B"/>
    <w:rsid w:val="003D1D94"/>
    <w:rsid w:val="003D1F87"/>
    <w:rsid w:val="003D2D79"/>
    <w:rsid w:val="003D2E52"/>
    <w:rsid w:val="003D316F"/>
    <w:rsid w:val="003D3329"/>
    <w:rsid w:val="003D37B4"/>
    <w:rsid w:val="003D37C5"/>
    <w:rsid w:val="003D3B86"/>
    <w:rsid w:val="003D44EE"/>
    <w:rsid w:val="003D457C"/>
    <w:rsid w:val="003D4AC4"/>
    <w:rsid w:val="003D5626"/>
    <w:rsid w:val="003D59FB"/>
    <w:rsid w:val="003D625E"/>
    <w:rsid w:val="003D661A"/>
    <w:rsid w:val="003D6795"/>
    <w:rsid w:val="003D67FE"/>
    <w:rsid w:val="003D74AB"/>
    <w:rsid w:val="003D77BA"/>
    <w:rsid w:val="003D794D"/>
    <w:rsid w:val="003E03AE"/>
    <w:rsid w:val="003E0D33"/>
    <w:rsid w:val="003E0FEB"/>
    <w:rsid w:val="003E1268"/>
    <w:rsid w:val="003E1330"/>
    <w:rsid w:val="003E14E4"/>
    <w:rsid w:val="003E1705"/>
    <w:rsid w:val="003E1E2F"/>
    <w:rsid w:val="003E20BD"/>
    <w:rsid w:val="003E24FE"/>
    <w:rsid w:val="003E2624"/>
    <w:rsid w:val="003E2B11"/>
    <w:rsid w:val="003E2BD1"/>
    <w:rsid w:val="003E2E1C"/>
    <w:rsid w:val="003E3058"/>
    <w:rsid w:val="003E3467"/>
    <w:rsid w:val="003E3F5F"/>
    <w:rsid w:val="003E4290"/>
    <w:rsid w:val="003E42EF"/>
    <w:rsid w:val="003E4C67"/>
    <w:rsid w:val="003E4F71"/>
    <w:rsid w:val="003E50BD"/>
    <w:rsid w:val="003E5277"/>
    <w:rsid w:val="003E54E5"/>
    <w:rsid w:val="003E5704"/>
    <w:rsid w:val="003E6225"/>
    <w:rsid w:val="003E6F5A"/>
    <w:rsid w:val="003E7262"/>
    <w:rsid w:val="003E76A9"/>
    <w:rsid w:val="003E7B0C"/>
    <w:rsid w:val="003E7D1F"/>
    <w:rsid w:val="003F072B"/>
    <w:rsid w:val="003F0809"/>
    <w:rsid w:val="003F094B"/>
    <w:rsid w:val="003F112A"/>
    <w:rsid w:val="003F15E1"/>
    <w:rsid w:val="003F167F"/>
    <w:rsid w:val="003F211C"/>
    <w:rsid w:val="003F22C7"/>
    <w:rsid w:val="003F256D"/>
    <w:rsid w:val="003F25AA"/>
    <w:rsid w:val="003F26F8"/>
    <w:rsid w:val="003F2BDD"/>
    <w:rsid w:val="003F2CB7"/>
    <w:rsid w:val="003F3E50"/>
    <w:rsid w:val="003F3F0C"/>
    <w:rsid w:val="003F3F35"/>
    <w:rsid w:val="003F41F0"/>
    <w:rsid w:val="003F4382"/>
    <w:rsid w:val="003F4726"/>
    <w:rsid w:val="003F4B1B"/>
    <w:rsid w:val="003F5087"/>
    <w:rsid w:val="003F541B"/>
    <w:rsid w:val="003F559F"/>
    <w:rsid w:val="003F5A12"/>
    <w:rsid w:val="003F5CB2"/>
    <w:rsid w:val="003F5CDF"/>
    <w:rsid w:val="003F6268"/>
    <w:rsid w:val="003F62F7"/>
    <w:rsid w:val="003F6718"/>
    <w:rsid w:val="003F6A70"/>
    <w:rsid w:val="003F6A8C"/>
    <w:rsid w:val="003F6DC8"/>
    <w:rsid w:val="003F711B"/>
    <w:rsid w:val="003F755C"/>
    <w:rsid w:val="003F7916"/>
    <w:rsid w:val="004001CD"/>
    <w:rsid w:val="00400371"/>
    <w:rsid w:val="00400576"/>
    <w:rsid w:val="00400A79"/>
    <w:rsid w:val="00400ACF"/>
    <w:rsid w:val="00400D45"/>
    <w:rsid w:val="004011E5"/>
    <w:rsid w:val="0040138C"/>
    <w:rsid w:val="00401526"/>
    <w:rsid w:val="004016F6"/>
    <w:rsid w:val="00401CD4"/>
    <w:rsid w:val="004032FA"/>
    <w:rsid w:val="004038C4"/>
    <w:rsid w:val="00403C84"/>
    <w:rsid w:val="0040411B"/>
    <w:rsid w:val="004043AC"/>
    <w:rsid w:val="004045B8"/>
    <w:rsid w:val="004051AA"/>
    <w:rsid w:val="00405C00"/>
    <w:rsid w:val="00405E6F"/>
    <w:rsid w:val="004061DB"/>
    <w:rsid w:val="0040621F"/>
    <w:rsid w:val="004063EA"/>
    <w:rsid w:val="00406C8C"/>
    <w:rsid w:val="00406EE7"/>
    <w:rsid w:val="00406F01"/>
    <w:rsid w:val="00406FF4"/>
    <w:rsid w:val="004101AE"/>
    <w:rsid w:val="00410314"/>
    <w:rsid w:val="00410664"/>
    <w:rsid w:val="00410998"/>
    <w:rsid w:val="00410C13"/>
    <w:rsid w:val="00410ED6"/>
    <w:rsid w:val="00411273"/>
    <w:rsid w:val="00411748"/>
    <w:rsid w:val="00411916"/>
    <w:rsid w:val="00411AD2"/>
    <w:rsid w:val="00411B2A"/>
    <w:rsid w:val="00412B8D"/>
    <w:rsid w:val="00412DA9"/>
    <w:rsid w:val="0041310A"/>
    <w:rsid w:val="0041366A"/>
    <w:rsid w:val="0041399F"/>
    <w:rsid w:val="00413BDC"/>
    <w:rsid w:val="00414377"/>
    <w:rsid w:val="00414549"/>
    <w:rsid w:val="004149B8"/>
    <w:rsid w:val="00414AC0"/>
    <w:rsid w:val="00414F10"/>
    <w:rsid w:val="004150D3"/>
    <w:rsid w:val="00415230"/>
    <w:rsid w:val="0041559F"/>
    <w:rsid w:val="004164E4"/>
    <w:rsid w:val="004168FA"/>
    <w:rsid w:val="00416D50"/>
    <w:rsid w:val="00416FD5"/>
    <w:rsid w:val="00417772"/>
    <w:rsid w:val="00417BE7"/>
    <w:rsid w:val="00417C6B"/>
    <w:rsid w:val="00417D50"/>
    <w:rsid w:val="00417F3B"/>
    <w:rsid w:val="00420121"/>
    <w:rsid w:val="004206DF"/>
    <w:rsid w:val="00420BE1"/>
    <w:rsid w:val="00420CB0"/>
    <w:rsid w:val="00420D3F"/>
    <w:rsid w:val="00420D48"/>
    <w:rsid w:val="00420E6A"/>
    <w:rsid w:val="00420E8D"/>
    <w:rsid w:val="0042105E"/>
    <w:rsid w:val="004216DC"/>
    <w:rsid w:val="00421D1D"/>
    <w:rsid w:val="00422549"/>
    <w:rsid w:val="00422D0C"/>
    <w:rsid w:val="00422F31"/>
    <w:rsid w:val="00423CD3"/>
    <w:rsid w:val="00424532"/>
    <w:rsid w:val="004245FD"/>
    <w:rsid w:val="00424769"/>
    <w:rsid w:val="004249B0"/>
    <w:rsid w:val="00424BC5"/>
    <w:rsid w:val="00425A9E"/>
    <w:rsid w:val="00425CA1"/>
    <w:rsid w:val="00425E37"/>
    <w:rsid w:val="00426D6B"/>
    <w:rsid w:val="00427522"/>
    <w:rsid w:val="00427A69"/>
    <w:rsid w:val="00427D0B"/>
    <w:rsid w:val="004301D1"/>
    <w:rsid w:val="004306F8"/>
    <w:rsid w:val="00430790"/>
    <w:rsid w:val="00430820"/>
    <w:rsid w:val="00430A0E"/>
    <w:rsid w:val="00430CF2"/>
    <w:rsid w:val="004312D3"/>
    <w:rsid w:val="00431BA4"/>
    <w:rsid w:val="00431E6C"/>
    <w:rsid w:val="00431E87"/>
    <w:rsid w:val="004320EC"/>
    <w:rsid w:val="00432308"/>
    <w:rsid w:val="00432E1C"/>
    <w:rsid w:val="00432EEE"/>
    <w:rsid w:val="00432FE1"/>
    <w:rsid w:val="004338C4"/>
    <w:rsid w:val="00433908"/>
    <w:rsid w:val="00433CE7"/>
    <w:rsid w:val="00433CE8"/>
    <w:rsid w:val="00433E11"/>
    <w:rsid w:val="0043426B"/>
    <w:rsid w:val="00434E66"/>
    <w:rsid w:val="004351A7"/>
    <w:rsid w:val="00435A10"/>
    <w:rsid w:val="00436B75"/>
    <w:rsid w:val="004379F3"/>
    <w:rsid w:val="00437BCE"/>
    <w:rsid w:val="00437C57"/>
    <w:rsid w:val="00441356"/>
    <w:rsid w:val="004413FB"/>
    <w:rsid w:val="004414EB"/>
    <w:rsid w:val="00441585"/>
    <w:rsid w:val="0044167C"/>
    <w:rsid w:val="00441702"/>
    <w:rsid w:val="004419D3"/>
    <w:rsid w:val="00442114"/>
    <w:rsid w:val="004423D0"/>
    <w:rsid w:val="00442AA7"/>
    <w:rsid w:val="00442FD9"/>
    <w:rsid w:val="004430A1"/>
    <w:rsid w:val="004431C8"/>
    <w:rsid w:val="00443CE1"/>
    <w:rsid w:val="00444B2E"/>
    <w:rsid w:val="004451DE"/>
    <w:rsid w:val="00445399"/>
    <w:rsid w:val="0044555F"/>
    <w:rsid w:val="00445AA9"/>
    <w:rsid w:val="00445D89"/>
    <w:rsid w:val="00445FC4"/>
    <w:rsid w:val="0044638E"/>
    <w:rsid w:val="00446687"/>
    <w:rsid w:val="00446EAB"/>
    <w:rsid w:val="004470B2"/>
    <w:rsid w:val="0044719C"/>
    <w:rsid w:val="0044772B"/>
    <w:rsid w:val="004477E1"/>
    <w:rsid w:val="0044790A"/>
    <w:rsid w:val="00451313"/>
    <w:rsid w:val="00451446"/>
    <w:rsid w:val="0045206F"/>
    <w:rsid w:val="00452085"/>
    <w:rsid w:val="004526CA"/>
    <w:rsid w:val="00452738"/>
    <w:rsid w:val="00452A5E"/>
    <w:rsid w:val="004530E0"/>
    <w:rsid w:val="004531F7"/>
    <w:rsid w:val="004533F6"/>
    <w:rsid w:val="004540FC"/>
    <w:rsid w:val="0045421E"/>
    <w:rsid w:val="004547B1"/>
    <w:rsid w:val="004549C5"/>
    <w:rsid w:val="00454D91"/>
    <w:rsid w:val="00455224"/>
    <w:rsid w:val="00455676"/>
    <w:rsid w:val="004556C3"/>
    <w:rsid w:val="004556EC"/>
    <w:rsid w:val="00455C8B"/>
    <w:rsid w:val="00456019"/>
    <w:rsid w:val="00456091"/>
    <w:rsid w:val="0045618F"/>
    <w:rsid w:val="0045671D"/>
    <w:rsid w:val="004568E5"/>
    <w:rsid w:val="00456EFA"/>
    <w:rsid w:val="0045728D"/>
    <w:rsid w:val="00457AA3"/>
    <w:rsid w:val="00460430"/>
    <w:rsid w:val="004604C7"/>
    <w:rsid w:val="00460A06"/>
    <w:rsid w:val="00460A08"/>
    <w:rsid w:val="00461280"/>
    <w:rsid w:val="00461801"/>
    <w:rsid w:val="00461CEB"/>
    <w:rsid w:val="0046261E"/>
    <w:rsid w:val="00462A11"/>
    <w:rsid w:val="00462FDA"/>
    <w:rsid w:val="00463AC8"/>
    <w:rsid w:val="00463C65"/>
    <w:rsid w:val="004646A5"/>
    <w:rsid w:val="004648B5"/>
    <w:rsid w:val="004649FB"/>
    <w:rsid w:val="00464A19"/>
    <w:rsid w:val="0046510E"/>
    <w:rsid w:val="004654D7"/>
    <w:rsid w:val="00465886"/>
    <w:rsid w:val="00465C03"/>
    <w:rsid w:val="00466321"/>
    <w:rsid w:val="00466490"/>
    <w:rsid w:val="004669AD"/>
    <w:rsid w:val="00466DBE"/>
    <w:rsid w:val="00466FC6"/>
    <w:rsid w:val="004675E7"/>
    <w:rsid w:val="00467F00"/>
    <w:rsid w:val="00470073"/>
    <w:rsid w:val="004702FE"/>
    <w:rsid w:val="004706D0"/>
    <w:rsid w:val="00470AFF"/>
    <w:rsid w:val="00470FAA"/>
    <w:rsid w:val="004719BC"/>
    <w:rsid w:val="00471A05"/>
    <w:rsid w:val="00471F36"/>
    <w:rsid w:val="0047254D"/>
    <w:rsid w:val="00472C37"/>
    <w:rsid w:val="004734E2"/>
    <w:rsid w:val="004737D1"/>
    <w:rsid w:val="004738D4"/>
    <w:rsid w:val="00473E8A"/>
    <w:rsid w:val="0047496C"/>
    <w:rsid w:val="00474DDC"/>
    <w:rsid w:val="00474E5E"/>
    <w:rsid w:val="00475046"/>
    <w:rsid w:val="00475297"/>
    <w:rsid w:val="0047551A"/>
    <w:rsid w:val="00475798"/>
    <w:rsid w:val="00475C88"/>
    <w:rsid w:val="00475CB3"/>
    <w:rsid w:val="00476BAD"/>
    <w:rsid w:val="00476E13"/>
    <w:rsid w:val="00476EC7"/>
    <w:rsid w:val="004774C4"/>
    <w:rsid w:val="00477605"/>
    <w:rsid w:val="004802C0"/>
    <w:rsid w:val="004803F7"/>
    <w:rsid w:val="00480572"/>
    <w:rsid w:val="00480A56"/>
    <w:rsid w:val="00480D2A"/>
    <w:rsid w:val="00480E47"/>
    <w:rsid w:val="00481F7A"/>
    <w:rsid w:val="004822FD"/>
    <w:rsid w:val="004824B2"/>
    <w:rsid w:val="00482994"/>
    <w:rsid w:val="00482EBC"/>
    <w:rsid w:val="004833DC"/>
    <w:rsid w:val="00483CD9"/>
    <w:rsid w:val="00484866"/>
    <w:rsid w:val="00484B9B"/>
    <w:rsid w:val="00484BE5"/>
    <w:rsid w:val="00484C2F"/>
    <w:rsid w:val="004853EF"/>
    <w:rsid w:val="004855F6"/>
    <w:rsid w:val="00485A4B"/>
    <w:rsid w:val="00485CC3"/>
    <w:rsid w:val="0048631F"/>
    <w:rsid w:val="0048661E"/>
    <w:rsid w:val="00486A87"/>
    <w:rsid w:val="004873EB"/>
    <w:rsid w:val="004874B0"/>
    <w:rsid w:val="0048760E"/>
    <w:rsid w:val="00487AF2"/>
    <w:rsid w:val="00487B88"/>
    <w:rsid w:val="00487FD6"/>
    <w:rsid w:val="0049017B"/>
    <w:rsid w:val="00490396"/>
    <w:rsid w:val="004907BA"/>
    <w:rsid w:val="00490AEE"/>
    <w:rsid w:val="00490E29"/>
    <w:rsid w:val="004919D7"/>
    <w:rsid w:val="00491DCC"/>
    <w:rsid w:val="0049203E"/>
    <w:rsid w:val="0049230E"/>
    <w:rsid w:val="0049269C"/>
    <w:rsid w:val="0049272C"/>
    <w:rsid w:val="00493173"/>
    <w:rsid w:val="004932C3"/>
    <w:rsid w:val="00493467"/>
    <w:rsid w:val="00493FA1"/>
    <w:rsid w:val="0049418B"/>
    <w:rsid w:val="0049440C"/>
    <w:rsid w:val="00494670"/>
    <w:rsid w:val="004947B4"/>
    <w:rsid w:val="0049493D"/>
    <w:rsid w:val="004950C8"/>
    <w:rsid w:val="00495794"/>
    <w:rsid w:val="004958DF"/>
    <w:rsid w:val="00496E64"/>
    <w:rsid w:val="0049777E"/>
    <w:rsid w:val="004977C6"/>
    <w:rsid w:val="004A08EC"/>
    <w:rsid w:val="004A0934"/>
    <w:rsid w:val="004A1234"/>
    <w:rsid w:val="004A1464"/>
    <w:rsid w:val="004A1DF3"/>
    <w:rsid w:val="004A1E0A"/>
    <w:rsid w:val="004A1EA4"/>
    <w:rsid w:val="004A2592"/>
    <w:rsid w:val="004A268C"/>
    <w:rsid w:val="004A2D65"/>
    <w:rsid w:val="004A2E09"/>
    <w:rsid w:val="004A33D1"/>
    <w:rsid w:val="004A3823"/>
    <w:rsid w:val="004A46A8"/>
    <w:rsid w:val="004A48EC"/>
    <w:rsid w:val="004A493A"/>
    <w:rsid w:val="004A4C8F"/>
    <w:rsid w:val="004A5207"/>
    <w:rsid w:val="004A53F5"/>
    <w:rsid w:val="004A5573"/>
    <w:rsid w:val="004A5637"/>
    <w:rsid w:val="004A57FD"/>
    <w:rsid w:val="004A5931"/>
    <w:rsid w:val="004A652B"/>
    <w:rsid w:val="004A69D7"/>
    <w:rsid w:val="004A6D61"/>
    <w:rsid w:val="004A726B"/>
    <w:rsid w:val="004A7750"/>
    <w:rsid w:val="004A7B45"/>
    <w:rsid w:val="004A7F41"/>
    <w:rsid w:val="004B0366"/>
    <w:rsid w:val="004B04BE"/>
    <w:rsid w:val="004B0654"/>
    <w:rsid w:val="004B0D2B"/>
    <w:rsid w:val="004B0D46"/>
    <w:rsid w:val="004B0F9E"/>
    <w:rsid w:val="004B1016"/>
    <w:rsid w:val="004B1955"/>
    <w:rsid w:val="004B1D99"/>
    <w:rsid w:val="004B1FAD"/>
    <w:rsid w:val="004B25EB"/>
    <w:rsid w:val="004B25F2"/>
    <w:rsid w:val="004B2B21"/>
    <w:rsid w:val="004B2B42"/>
    <w:rsid w:val="004B2B5C"/>
    <w:rsid w:val="004B2FD2"/>
    <w:rsid w:val="004B3086"/>
    <w:rsid w:val="004B326C"/>
    <w:rsid w:val="004B39E6"/>
    <w:rsid w:val="004B3F7C"/>
    <w:rsid w:val="004B40E4"/>
    <w:rsid w:val="004B4591"/>
    <w:rsid w:val="004B478D"/>
    <w:rsid w:val="004B50D7"/>
    <w:rsid w:val="004B56EA"/>
    <w:rsid w:val="004B6522"/>
    <w:rsid w:val="004B6728"/>
    <w:rsid w:val="004B69CF"/>
    <w:rsid w:val="004B74BB"/>
    <w:rsid w:val="004B795A"/>
    <w:rsid w:val="004C04F9"/>
    <w:rsid w:val="004C0F2C"/>
    <w:rsid w:val="004C10BC"/>
    <w:rsid w:val="004C10D6"/>
    <w:rsid w:val="004C146E"/>
    <w:rsid w:val="004C196D"/>
    <w:rsid w:val="004C1DC6"/>
    <w:rsid w:val="004C21BE"/>
    <w:rsid w:val="004C2553"/>
    <w:rsid w:val="004C255F"/>
    <w:rsid w:val="004C2C13"/>
    <w:rsid w:val="004C2D0D"/>
    <w:rsid w:val="004C2DE5"/>
    <w:rsid w:val="004C2F0D"/>
    <w:rsid w:val="004C3D04"/>
    <w:rsid w:val="004C410E"/>
    <w:rsid w:val="004C4465"/>
    <w:rsid w:val="004C45FC"/>
    <w:rsid w:val="004C48A5"/>
    <w:rsid w:val="004C4B69"/>
    <w:rsid w:val="004C4C92"/>
    <w:rsid w:val="004C5765"/>
    <w:rsid w:val="004C5B60"/>
    <w:rsid w:val="004C6376"/>
    <w:rsid w:val="004C6443"/>
    <w:rsid w:val="004C6B0A"/>
    <w:rsid w:val="004C6B89"/>
    <w:rsid w:val="004C6C1F"/>
    <w:rsid w:val="004C70B8"/>
    <w:rsid w:val="004C77B3"/>
    <w:rsid w:val="004C7A90"/>
    <w:rsid w:val="004C7BDA"/>
    <w:rsid w:val="004D027C"/>
    <w:rsid w:val="004D02E8"/>
    <w:rsid w:val="004D033A"/>
    <w:rsid w:val="004D0A35"/>
    <w:rsid w:val="004D101B"/>
    <w:rsid w:val="004D1101"/>
    <w:rsid w:val="004D1BB2"/>
    <w:rsid w:val="004D20A6"/>
    <w:rsid w:val="004D2488"/>
    <w:rsid w:val="004D26A6"/>
    <w:rsid w:val="004D2F60"/>
    <w:rsid w:val="004D3A5A"/>
    <w:rsid w:val="004D3AA2"/>
    <w:rsid w:val="004D4156"/>
    <w:rsid w:val="004D4389"/>
    <w:rsid w:val="004D46A1"/>
    <w:rsid w:val="004D46B5"/>
    <w:rsid w:val="004D4F7B"/>
    <w:rsid w:val="004D5081"/>
    <w:rsid w:val="004D5460"/>
    <w:rsid w:val="004D5501"/>
    <w:rsid w:val="004D5DA9"/>
    <w:rsid w:val="004D654A"/>
    <w:rsid w:val="004D664C"/>
    <w:rsid w:val="004D72A9"/>
    <w:rsid w:val="004D749D"/>
    <w:rsid w:val="004D7AAE"/>
    <w:rsid w:val="004D7B3B"/>
    <w:rsid w:val="004E03F3"/>
    <w:rsid w:val="004E0AE7"/>
    <w:rsid w:val="004E0EE5"/>
    <w:rsid w:val="004E0F12"/>
    <w:rsid w:val="004E17D1"/>
    <w:rsid w:val="004E1C75"/>
    <w:rsid w:val="004E1CCB"/>
    <w:rsid w:val="004E2B36"/>
    <w:rsid w:val="004E2CD6"/>
    <w:rsid w:val="004E2DE1"/>
    <w:rsid w:val="004E31B0"/>
    <w:rsid w:val="004E364F"/>
    <w:rsid w:val="004E4CEB"/>
    <w:rsid w:val="004E4CF4"/>
    <w:rsid w:val="004E4FB8"/>
    <w:rsid w:val="004E50CC"/>
    <w:rsid w:val="004E6088"/>
    <w:rsid w:val="004E62A9"/>
    <w:rsid w:val="004E66EA"/>
    <w:rsid w:val="004E6702"/>
    <w:rsid w:val="004E6877"/>
    <w:rsid w:val="004E691A"/>
    <w:rsid w:val="004E6946"/>
    <w:rsid w:val="004E69AE"/>
    <w:rsid w:val="004E6AF6"/>
    <w:rsid w:val="004E6FE7"/>
    <w:rsid w:val="004E7629"/>
    <w:rsid w:val="004E78B1"/>
    <w:rsid w:val="004E7C4F"/>
    <w:rsid w:val="004E7CF3"/>
    <w:rsid w:val="004F03AA"/>
    <w:rsid w:val="004F0B83"/>
    <w:rsid w:val="004F0C76"/>
    <w:rsid w:val="004F0D97"/>
    <w:rsid w:val="004F183F"/>
    <w:rsid w:val="004F1AD8"/>
    <w:rsid w:val="004F1BC7"/>
    <w:rsid w:val="004F1C56"/>
    <w:rsid w:val="004F21E0"/>
    <w:rsid w:val="004F2425"/>
    <w:rsid w:val="004F3B3D"/>
    <w:rsid w:val="004F3E90"/>
    <w:rsid w:val="004F3F0B"/>
    <w:rsid w:val="004F431F"/>
    <w:rsid w:val="004F45D2"/>
    <w:rsid w:val="004F478A"/>
    <w:rsid w:val="004F4A9F"/>
    <w:rsid w:val="004F56E2"/>
    <w:rsid w:val="004F600B"/>
    <w:rsid w:val="004F6294"/>
    <w:rsid w:val="004F6ACF"/>
    <w:rsid w:val="004F6BC0"/>
    <w:rsid w:val="004F6C77"/>
    <w:rsid w:val="004F72F0"/>
    <w:rsid w:val="004F74C5"/>
    <w:rsid w:val="004F75F0"/>
    <w:rsid w:val="004F78A7"/>
    <w:rsid w:val="0050083C"/>
    <w:rsid w:val="005009DA"/>
    <w:rsid w:val="00501E04"/>
    <w:rsid w:val="005025B0"/>
    <w:rsid w:val="005028A1"/>
    <w:rsid w:val="00502951"/>
    <w:rsid w:val="00502F90"/>
    <w:rsid w:val="005032C4"/>
    <w:rsid w:val="005034CD"/>
    <w:rsid w:val="00503511"/>
    <w:rsid w:val="005037F6"/>
    <w:rsid w:val="005039CB"/>
    <w:rsid w:val="00503D2F"/>
    <w:rsid w:val="00504492"/>
    <w:rsid w:val="00504527"/>
    <w:rsid w:val="00504617"/>
    <w:rsid w:val="0050462C"/>
    <w:rsid w:val="00504A25"/>
    <w:rsid w:val="00504F53"/>
    <w:rsid w:val="0050558F"/>
    <w:rsid w:val="0050578C"/>
    <w:rsid w:val="0050594F"/>
    <w:rsid w:val="00505AF4"/>
    <w:rsid w:val="00505C3F"/>
    <w:rsid w:val="00505EEC"/>
    <w:rsid w:val="00506286"/>
    <w:rsid w:val="00506398"/>
    <w:rsid w:val="0050647F"/>
    <w:rsid w:val="00506BFB"/>
    <w:rsid w:val="00507358"/>
    <w:rsid w:val="005075B7"/>
    <w:rsid w:val="00507861"/>
    <w:rsid w:val="005079B9"/>
    <w:rsid w:val="00507FAD"/>
    <w:rsid w:val="00510371"/>
    <w:rsid w:val="0051058F"/>
    <w:rsid w:val="00510813"/>
    <w:rsid w:val="00510C70"/>
    <w:rsid w:val="00510C79"/>
    <w:rsid w:val="00510EC2"/>
    <w:rsid w:val="00511990"/>
    <w:rsid w:val="0051199A"/>
    <w:rsid w:val="005119A4"/>
    <w:rsid w:val="00511D24"/>
    <w:rsid w:val="00511DE0"/>
    <w:rsid w:val="00511E3E"/>
    <w:rsid w:val="00512672"/>
    <w:rsid w:val="00512813"/>
    <w:rsid w:val="0051299D"/>
    <w:rsid w:val="00512A90"/>
    <w:rsid w:val="00512E66"/>
    <w:rsid w:val="00512F09"/>
    <w:rsid w:val="00513138"/>
    <w:rsid w:val="0051381E"/>
    <w:rsid w:val="005139EA"/>
    <w:rsid w:val="00514870"/>
    <w:rsid w:val="005148F0"/>
    <w:rsid w:val="00514B9B"/>
    <w:rsid w:val="00514BC5"/>
    <w:rsid w:val="00514E22"/>
    <w:rsid w:val="00515410"/>
    <w:rsid w:val="0051544F"/>
    <w:rsid w:val="0051546B"/>
    <w:rsid w:val="00515CFF"/>
    <w:rsid w:val="00515F80"/>
    <w:rsid w:val="0051601A"/>
    <w:rsid w:val="005165A7"/>
    <w:rsid w:val="0051664E"/>
    <w:rsid w:val="00516931"/>
    <w:rsid w:val="00516AE7"/>
    <w:rsid w:val="00516D30"/>
    <w:rsid w:val="00516EF2"/>
    <w:rsid w:val="00517052"/>
    <w:rsid w:val="005175C4"/>
    <w:rsid w:val="00517F02"/>
    <w:rsid w:val="00520391"/>
    <w:rsid w:val="00520466"/>
    <w:rsid w:val="00520678"/>
    <w:rsid w:val="00521CB8"/>
    <w:rsid w:val="00522213"/>
    <w:rsid w:val="005222DA"/>
    <w:rsid w:val="0052334B"/>
    <w:rsid w:val="0052335E"/>
    <w:rsid w:val="00523A7E"/>
    <w:rsid w:val="00523C6C"/>
    <w:rsid w:val="00523CA1"/>
    <w:rsid w:val="00523CDA"/>
    <w:rsid w:val="00523D72"/>
    <w:rsid w:val="00523F3D"/>
    <w:rsid w:val="00523F74"/>
    <w:rsid w:val="00523FE0"/>
    <w:rsid w:val="00524303"/>
    <w:rsid w:val="00524561"/>
    <w:rsid w:val="00524C57"/>
    <w:rsid w:val="00524DA2"/>
    <w:rsid w:val="0052548C"/>
    <w:rsid w:val="005258A2"/>
    <w:rsid w:val="00525992"/>
    <w:rsid w:val="00525D22"/>
    <w:rsid w:val="00525E27"/>
    <w:rsid w:val="00525E69"/>
    <w:rsid w:val="00525F63"/>
    <w:rsid w:val="00525FC3"/>
    <w:rsid w:val="005263DA"/>
    <w:rsid w:val="00526423"/>
    <w:rsid w:val="00526589"/>
    <w:rsid w:val="005267B2"/>
    <w:rsid w:val="00526850"/>
    <w:rsid w:val="00527117"/>
    <w:rsid w:val="00527697"/>
    <w:rsid w:val="00527A00"/>
    <w:rsid w:val="00527F52"/>
    <w:rsid w:val="00530265"/>
    <w:rsid w:val="00530643"/>
    <w:rsid w:val="0053081C"/>
    <w:rsid w:val="0053101D"/>
    <w:rsid w:val="005312C6"/>
    <w:rsid w:val="00531366"/>
    <w:rsid w:val="0053182B"/>
    <w:rsid w:val="00531852"/>
    <w:rsid w:val="005319D6"/>
    <w:rsid w:val="005319E3"/>
    <w:rsid w:val="00531B35"/>
    <w:rsid w:val="005321AB"/>
    <w:rsid w:val="005321F0"/>
    <w:rsid w:val="00532616"/>
    <w:rsid w:val="00532BBC"/>
    <w:rsid w:val="00532D5A"/>
    <w:rsid w:val="00532ED6"/>
    <w:rsid w:val="00533307"/>
    <w:rsid w:val="005334C8"/>
    <w:rsid w:val="00533595"/>
    <w:rsid w:val="005338D6"/>
    <w:rsid w:val="00533A97"/>
    <w:rsid w:val="00534511"/>
    <w:rsid w:val="0053476D"/>
    <w:rsid w:val="005347F8"/>
    <w:rsid w:val="00534914"/>
    <w:rsid w:val="00534BF6"/>
    <w:rsid w:val="00534D40"/>
    <w:rsid w:val="00534FC6"/>
    <w:rsid w:val="005350E0"/>
    <w:rsid w:val="00535A2E"/>
    <w:rsid w:val="0053694B"/>
    <w:rsid w:val="005369C0"/>
    <w:rsid w:val="00536F89"/>
    <w:rsid w:val="0053774A"/>
    <w:rsid w:val="00537F43"/>
    <w:rsid w:val="00537FE8"/>
    <w:rsid w:val="005401AE"/>
    <w:rsid w:val="00540263"/>
    <w:rsid w:val="00540539"/>
    <w:rsid w:val="00540928"/>
    <w:rsid w:val="00540D65"/>
    <w:rsid w:val="00540DB4"/>
    <w:rsid w:val="00540E2E"/>
    <w:rsid w:val="005411C5"/>
    <w:rsid w:val="005417C1"/>
    <w:rsid w:val="00541D6A"/>
    <w:rsid w:val="00542041"/>
    <w:rsid w:val="0054250B"/>
    <w:rsid w:val="005425E8"/>
    <w:rsid w:val="005426B0"/>
    <w:rsid w:val="00542A82"/>
    <w:rsid w:val="00542E07"/>
    <w:rsid w:val="00543265"/>
    <w:rsid w:val="00543940"/>
    <w:rsid w:val="005446AA"/>
    <w:rsid w:val="00544B99"/>
    <w:rsid w:val="00544C3F"/>
    <w:rsid w:val="00544C74"/>
    <w:rsid w:val="00544CEB"/>
    <w:rsid w:val="00544DE4"/>
    <w:rsid w:val="00545309"/>
    <w:rsid w:val="00545424"/>
    <w:rsid w:val="005458B7"/>
    <w:rsid w:val="005462BB"/>
    <w:rsid w:val="00546806"/>
    <w:rsid w:val="00546D93"/>
    <w:rsid w:val="005475B9"/>
    <w:rsid w:val="005501D6"/>
    <w:rsid w:val="005505BD"/>
    <w:rsid w:val="00550775"/>
    <w:rsid w:val="005509F7"/>
    <w:rsid w:val="00550DF9"/>
    <w:rsid w:val="00550E0F"/>
    <w:rsid w:val="00551059"/>
    <w:rsid w:val="00551281"/>
    <w:rsid w:val="00551312"/>
    <w:rsid w:val="0055140C"/>
    <w:rsid w:val="00551C29"/>
    <w:rsid w:val="00552293"/>
    <w:rsid w:val="00552670"/>
    <w:rsid w:val="005528CC"/>
    <w:rsid w:val="00554518"/>
    <w:rsid w:val="00554635"/>
    <w:rsid w:val="00554A7B"/>
    <w:rsid w:val="00554ED6"/>
    <w:rsid w:val="0055520B"/>
    <w:rsid w:val="00555379"/>
    <w:rsid w:val="00555683"/>
    <w:rsid w:val="0055572C"/>
    <w:rsid w:val="00556324"/>
    <w:rsid w:val="00556476"/>
    <w:rsid w:val="005567E6"/>
    <w:rsid w:val="00556EFB"/>
    <w:rsid w:val="0055742F"/>
    <w:rsid w:val="00557796"/>
    <w:rsid w:val="00557ECA"/>
    <w:rsid w:val="00560871"/>
    <w:rsid w:val="00560CF4"/>
    <w:rsid w:val="00560DEF"/>
    <w:rsid w:val="0056106A"/>
    <w:rsid w:val="005611FE"/>
    <w:rsid w:val="0056135C"/>
    <w:rsid w:val="005618C5"/>
    <w:rsid w:val="005619B2"/>
    <w:rsid w:val="00561A70"/>
    <w:rsid w:val="00561C43"/>
    <w:rsid w:val="00561EEA"/>
    <w:rsid w:val="00562096"/>
    <w:rsid w:val="005621CC"/>
    <w:rsid w:val="005627A4"/>
    <w:rsid w:val="005633FB"/>
    <w:rsid w:val="00563A02"/>
    <w:rsid w:val="00563E9A"/>
    <w:rsid w:val="005641FB"/>
    <w:rsid w:val="00564B06"/>
    <w:rsid w:val="00564BBE"/>
    <w:rsid w:val="005650C3"/>
    <w:rsid w:val="00565315"/>
    <w:rsid w:val="005666F4"/>
    <w:rsid w:val="00566C8A"/>
    <w:rsid w:val="00566FB0"/>
    <w:rsid w:val="005670BD"/>
    <w:rsid w:val="00567118"/>
    <w:rsid w:val="00567282"/>
    <w:rsid w:val="0057025F"/>
    <w:rsid w:val="005706F8"/>
    <w:rsid w:val="00571704"/>
    <w:rsid w:val="005719C8"/>
    <w:rsid w:val="00571B68"/>
    <w:rsid w:val="0057202B"/>
    <w:rsid w:val="005720AE"/>
    <w:rsid w:val="00572136"/>
    <w:rsid w:val="00572DA9"/>
    <w:rsid w:val="00572F1C"/>
    <w:rsid w:val="005736AD"/>
    <w:rsid w:val="00573C5B"/>
    <w:rsid w:val="00573D58"/>
    <w:rsid w:val="005741E6"/>
    <w:rsid w:val="00574899"/>
    <w:rsid w:val="00574E9D"/>
    <w:rsid w:val="00575081"/>
    <w:rsid w:val="00575459"/>
    <w:rsid w:val="0057588E"/>
    <w:rsid w:val="00575A86"/>
    <w:rsid w:val="00575B37"/>
    <w:rsid w:val="00575C0D"/>
    <w:rsid w:val="0057605E"/>
    <w:rsid w:val="0057635F"/>
    <w:rsid w:val="005763CF"/>
    <w:rsid w:val="0057675B"/>
    <w:rsid w:val="00576E19"/>
    <w:rsid w:val="00577153"/>
    <w:rsid w:val="00577555"/>
    <w:rsid w:val="00577C5C"/>
    <w:rsid w:val="00577F1D"/>
    <w:rsid w:val="0058007B"/>
    <w:rsid w:val="00580142"/>
    <w:rsid w:val="00580722"/>
    <w:rsid w:val="0058135B"/>
    <w:rsid w:val="005816B5"/>
    <w:rsid w:val="00581A5C"/>
    <w:rsid w:val="00581C7D"/>
    <w:rsid w:val="00581DBF"/>
    <w:rsid w:val="00581EDC"/>
    <w:rsid w:val="0058224C"/>
    <w:rsid w:val="005822DA"/>
    <w:rsid w:val="005826E8"/>
    <w:rsid w:val="005828F1"/>
    <w:rsid w:val="005829F6"/>
    <w:rsid w:val="00582BD0"/>
    <w:rsid w:val="00583DBD"/>
    <w:rsid w:val="00584119"/>
    <w:rsid w:val="0058429A"/>
    <w:rsid w:val="00584607"/>
    <w:rsid w:val="0058495D"/>
    <w:rsid w:val="0058528D"/>
    <w:rsid w:val="00585296"/>
    <w:rsid w:val="005858B1"/>
    <w:rsid w:val="00585ED4"/>
    <w:rsid w:val="005864F3"/>
    <w:rsid w:val="0058656F"/>
    <w:rsid w:val="0058693A"/>
    <w:rsid w:val="00587096"/>
    <w:rsid w:val="0058746A"/>
    <w:rsid w:val="005879CF"/>
    <w:rsid w:val="00587AC2"/>
    <w:rsid w:val="00590495"/>
    <w:rsid w:val="005906DD"/>
    <w:rsid w:val="00590DD0"/>
    <w:rsid w:val="0059102A"/>
    <w:rsid w:val="00591300"/>
    <w:rsid w:val="00591605"/>
    <w:rsid w:val="00591BDB"/>
    <w:rsid w:val="00591ED6"/>
    <w:rsid w:val="00591FC4"/>
    <w:rsid w:val="005922A1"/>
    <w:rsid w:val="0059264F"/>
    <w:rsid w:val="0059271C"/>
    <w:rsid w:val="00592774"/>
    <w:rsid w:val="00592BF0"/>
    <w:rsid w:val="0059327D"/>
    <w:rsid w:val="00593766"/>
    <w:rsid w:val="00594AAD"/>
    <w:rsid w:val="00594D77"/>
    <w:rsid w:val="00594EBB"/>
    <w:rsid w:val="00594FFF"/>
    <w:rsid w:val="0059501C"/>
    <w:rsid w:val="005953A7"/>
    <w:rsid w:val="005953F9"/>
    <w:rsid w:val="00595A80"/>
    <w:rsid w:val="00595F8E"/>
    <w:rsid w:val="005962C1"/>
    <w:rsid w:val="0059638F"/>
    <w:rsid w:val="005967DA"/>
    <w:rsid w:val="005969E4"/>
    <w:rsid w:val="005973BF"/>
    <w:rsid w:val="00597B11"/>
    <w:rsid w:val="00597C11"/>
    <w:rsid w:val="00597F5E"/>
    <w:rsid w:val="005A03B0"/>
    <w:rsid w:val="005A06B7"/>
    <w:rsid w:val="005A06CD"/>
    <w:rsid w:val="005A06F7"/>
    <w:rsid w:val="005A099D"/>
    <w:rsid w:val="005A0FB6"/>
    <w:rsid w:val="005A144B"/>
    <w:rsid w:val="005A1759"/>
    <w:rsid w:val="005A1914"/>
    <w:rsid w:val="005A2A75"/>
    <w:rsid w:val="005A2F44"/>
    <w:rsid w:val="005A31C7"/>
    <w:rsid w:val="005A366C"/>
    <w:rsid w:val="005A3B32"/>
    <w:rsid w:val="005A3E00"/>
    <w:rsid w:val="005A414A"/>
    <w:rsid w:val="005A435D"/>
    <w:rsid w:val="005A44B2"/>
    <w:rsid w:val="005A4684"/>
    <w:rsid w:val="005A496C"/>
    <w:rsid w:val="005A4DD5"/>
    <w:rsid w:val="005A505C"/>
    <w:rsid w:val="005A515E"/>
    <w:rsid w:val="005A537E"/>
    <w:rsid w:val="005A54F6"/>
    <w:rsid w:val="005A5B74"/>
    <w:rsid w:val="005A5FE9"/>
    <w:rsid w:val="005A63C1"/>
    <w:rsid w:val="005A68A7"/>
    <w:rsid w:val="005A68D9"/>
    <w:rsid w:val="005A7B47"/>
    <w:rsid w:val="005B0527"/>
    <w:rsid w:val="005B06D8"/>
    <w:rsid w:val="005B0DBE"/>
    <w:rsid w:val="005B106C"/>
    <w:rsid w:val="005B11DA"/>
    <w:rsid w:val="005B1965"/>
    <w:rsid w:val="005B1F87"/>
    <w:rsid w:val="005B23AF"/>
    <w:rsid w:val="005B23BF"/>
    <w:rsid w:val="005B2597"/>
    <w:rsid w:val="005B35D9"/>
    <w:rsid w:val="005B3784"/>
    <w:rsid w:val="005B3EE7"/>
    <w:rsid w:val="005B44C7"/>
    <w:rsid w:val="005B4A81"/>
    <w:rsid w:val="005B4C02"/>
    <w:rsid w:val="005B4F3B"/>
    <w:rsid w:val="005B52A8"/>
    <w:rsid w:val="005B54F3"/>
    <w:rsid w:val="005B5A35"/>
    <w:rsid w:val="005B5A63"/>
    <w:rsid w:val="005B5DA2"/>
    <w:rsid w:val="005B6381"/>
    <w:rsid w:val="005B6867"/>
    <w:rsid w:val="005B6D83"/>
    <w:rsid w:val="005B75D4"/>
    <w:rsid w:val="005B772B"/>
    <w:rsid w:val="005B7991"/>
    <w:rsid w:val="005B7ABE"/>
    <w:rsid w:val="005B7E08"/>
    <w:rsid w:val="005C0172"/>
    <w:rsid w:val="005C0257"/>
    <w:rsid w:val="005C0397"/>
    <w:rsid w:val="005C0418"/>
    <w:rsid w:val="005C08E6"/>
    <w:rsid w:val="005C0AA5"/>
    <w:rsid w:val="005C0BB2"/>
    <w:rsid w:val="005C0EB1"/>
    <w:rsid w:val="005C115C"/>
    <w:rsid w:val="005C1A9B"/>
    <w:rsid w:val="005C1E8A"/>
    <w:rsid w:val="005C1F24"/>
    <w:rsid w:val="005C2782"/>
    <w:rsid w:val="005C32B3"/>
    <w:rsid w:val="005C37E0"/>
    <w:rsid w:val="005C3A89"/>
    <w:rsid w:val="005C3C00"/>
    <w:rsid w:val="005C3C0F"/>
    <w:rsid w:val="005C3FDD"/>
    <w:rsid w:val="005C4632"/>
    <w:rsid w:val="005C4715"/>
    <w:rsid w:val="005C4D08"/>
    <w:rsid w:val="005C52DA"/>
    <w:rsid w:val="005C5BC7"/>
    <w:rsid w:val="005C5C2A"/>
    <w:rsid w:val="005C6140"/>
    <w:rsid w:val="005C666B"/>
    <w:rsid w:val="005C68B1"/>
    <w:rsid w:val="005C6BF6"/>
    <w:rsid w:val="005C74A1"/>
    <w:rsid w:val="005D07E9"/>
    <w:rsid w:val="005D0C5B"/>
    <w:rsid w:val="005D0C78"/>
    <w:rsid w:val="005D10DC"/>
    <w:rsid w:val="005D12F8"/>
    <w:rsid w:val="005D1436"/>
    <w:rsid w:val="005D198B"/>
    <w:rsid w:val="005D1CA7"/>
    <w:rsid w:val="005D1CF4"/>
    <w:rsid w:val="005D1CFC"/>
    <w:rsid w:val="005D1DF7"/>
    <w:rsid w:val="005D29B2"/>
    <w:rsid w:val="005D34ED"/>
    <w:rsid w:val="005D36AB"/>
    <w:rsid w:val="005D412E"/>
    <w:rsid w:val="005D41B7"/>
    <w:rsid w:val="005D468E"/>
    <w:rsid w:val="005D4A06"/>
    <w:rsid w:val="005D4AFA"/>
    <w:rsid w:val="005D4C1E"/>
    <w:rsid w:val="005D5639"/>
    <w:rsid w:val="005D56EC"/>
    <w:rsid w:val="005D588A"/>
    <w:rsid w:val="005D5FE3"/>
    <w:rsid w:val="005D6101"/>
    <w:rsid w:val="005D6761"/>
    <w:rsid w:val="005D7856"/>
    <w:rsid w:val="005D7969"/>
    <w:rsid w:val="005D7B85"/>
    <w:rsid w:val="005D7B9A"/>
    <w:rsid w:val="005E0090"/>
    <w:rsid w:val="005E0498"/>
    <w:rsid w:val="005E05AB"/>
    <w:rsid w:val="005E0660"/>
    <w:rsid w:val="005E0739"/>
    <w:rsid w:val="005E07DD"/>
    <w:rsid w:val="005E09B0"/>
    <w:rsid w:val="005E0B55"/>
    <w:rsid w:val="005E0B5E"/>
    <w:rsid w:val="005E0EA8"/>
    <w:rsid w:val="005E1012"/>
    <w:rsid w:val="005E1222"/>
    <w:rsid w:val="005E142A"/>
    <w:rsid w:val="005E145C"/>
    <w:rsid w:val="005E1A3A"/>
    <w:rsid w:val="005E20FB"/>
    <w:rsid w:val="005E25BF"/>
    <w:rsid w:val="005E25C3"/>
    <w:rsid w:val="005E279C"/>
    <w:rsid w:val="005E2BBD"/>
    <w:rsid w:val="005E2EBC"/>
    <w:rsid w:val="005E375A"/>
    <w:rsid w:val="005E3959"/>
    <w:rsid w:val="005E39AB"/>
    <w:rsid w:val="005E3C51"/>
    <w:rsid w:val="005E3C5F"/>
    <w:rsid w:val="005E3D68"/>
    <w:rsid w:val="005E4017"/>
    <w:rsid w:val="005E4515"/>
    <w:rsid w:val="005E4544"/>
    <w:rsid w:val="005E4A05"/>
    <w:rsid w:val="005E508D"/>
    <w:rsid w:val="005E510A"/>
    <w:rsid w:val="005E514B"/>
    <w:rsid w:val="005E531A"/>
    <w:rsid w:val="005E5581"/>
    <w:rsid w:val="005E581D"/>
    <w:rsid w:val="005E59AD"/>
    <w:rsid w:val="005E5A51"/>
    <w:rsid w:val="005E5DD5"/>
    <w:rsid w:val="005E62C1"/>
    <w:rsid w:val="005E6EA8"/>
    <w:rsid w:val="005E70E5"/>
    <w:rsid w:val="005E715D"/>
    <w:rsid w:val="005E7536"/>
    <w:rsid w:val="005E7878"/>
    <w:rsid w:val="005E7BC9"/>
    <w:rsid w:val="005E7C2C"/>
    <w:rsid w:val="005E7F4A"/>
    <w:rsid w:val="005F0318"/>
    <w:rsid w:val="005F045A"/>
    <w:rsid w:val="005F0A95"/>
    <w:rsid w:val="005F0F9F"/>
    <w:rsid w:val="005F0FE4"/>
    <w:rsid w:val="005F1422"/>
    <w:rsid w:val="005F19FE"/>
    <w:rsid w:val="005F1DC2"/>
    <w:rsid w:val="005F248A"/>
    <w:rsid w:val="005F3724"/>
    <w:rsid w:val="005F37AC"/>
    <w:rsid w:val="005F421E"/>
    <w:rsid w:val="005F43F8"/>
    <w:rsid w:val="005F4462"/>
    <w:rsid w:val="005F46FD"/>
    <w:rsid w:val="005F4FEA"/>
    <w:rsid w:val="005F550E"/>
    <w:rsid w:val="005F5AEC"/>
    <w:rsid w:val="005F5BCB"/>
    <w:rsid w:val="005F5DCD"/>
    <w:rsid w:val="005F5FC1"/>
    <w:rsid w:val="005F6C33"/>
    <w:rsid w:val="005F6CF9"/>
    <w:rsid w:val="005F7095"/>
    <w:rsid w:val="005F73FB"/>
    <w:rsid w:val="005F7409"/>
    <w:rsid w:val="005F7809"/>
    <w:rsid w:val="005F7A54"/>
    <w:rsid w:val="005F7DDC"/>
    <w:rsid w:val="005F7DEE"/>
    <w:rsid w:val="006003C2"/>
    <w:rsid w:val="00601094"/>
    <w:rsid w:val="00601405"/>
    <w:rsid w:val="00601866"/>
    <w:rsid w:val="00601D1E"/>
    <w:rsid w:val="00602450"/>
    <w:rsid w:val="006028BA"/>
    <w:rsid w:val="006032BA"/>
    <w:rsid w:val="006034EE"/>
    <w:rsid w:val="00603755"/>
    <w:rsid w:val="00603D94"/>
    <w:rsid w:val="00603EDD"/>
    <w:rsid w:val="00603EFB"/>
    <w:rsid w:val="006044FF"/>
    <w:rsid w:val="0060463D"/>
    <w:rsid w:val="006048DC"/>
    <w:rsid w:val="00605214"/>
    <w:rsid w:val="00605238"/>
    <w:rsid w:val="006053AE"/>
    <w:rsid w:val="006054BC"/>
    <w:rsid w:val="00605BAF"/>
    <w:rsid w:val="00605C92"/>
    <w:rsid w:val="00605F6A"/>
    <w:rsid w:val="0060685B"/>
    <w:rsid w:val="00606E99"/>
    <w:rsid w:val="006073D4"/>
    <w:rsid w:val="00607CA4"/>
    <w:rsid w:val="00610D39"/>
    <w:rsid w:val="00610E63"/>
    <w:rsid w:val="00611109"/>
    <w:rsid w:val="0061144A"/>
    <w:rsid w:val="00611646"/>
    <w:rsid w:val="00611B9F"/>
    <w:rsid w:val="00611CAD"/>
    <w:rsid w:val="00612125"/>
    <w:rsid w:val="00612355"/>
    <w:rsid w:val="00612A2A"/>
    <w:rsid w:val="00612D32"/>
    <w:rsid w:val="006138AA"/>
    <w:rsid w:val="00613947"/>
    <w:rsid w:val="00613CCE"/>
    <w:rsid w:val="0061438E"/>
    <w:rsid w:val="00614BEA"/>
    <w:rsid w:val="00614EFF"/>
    <w:rsid w:val="00615EEF"/>
    <w:rsid w:val="006165B1"/>
    <w:rsid w:val="00616770"/>
    <w:rsid w:val="00616B3F"/>
    <w:rsid w:val="00617183"/>
    <w:rsid w:val="0061739D"/>
    <w:rsid w:val="006179AF"/>
    <w:rsid w:val="00617CC3"/>
    <w:rsid w:val="00617D1B"/>
    <w:rsid w:val="00617F22"/>
    <w:rsid w:val="006204AF"/>
    <w:rsid w:val="006204C6"/>
    <w:rsid w:val="0062051B"/>
    <w:rsid w:val="0062056E"/>
    <w:rsid w:val="006205AD"/>
    <w:rsid w:val="006206C9"/>
    <w:rsid w:val="00620755"/>
    <w:rsid w:val="006207A5"/>
    <w:rsid w:val="00620EB6"/>
    <w:rsid w:val="006211A1"/>
    <w:rsid w:val="006212FD"/>
    <w:rsid w:val="006214AA"/>
    <w:rsid w:val="006217C5"/>
    <w:rsid w:val="00621A34"/>
    <w:rsid w:val="00621B9A"/>
    <w:rsid w:val="0062289B"/>
    <w:rsid w:val="00622C48"/>
    <w:rsid w:val="006239D2"/>
    <w:rsid w:val="00623CD7"/>
    <w:rsid w:val="006240B5"/>
    <w:rsid w:val="006245BE"/>
    <w:rsid w:val="00624740"/>
    <w:rsid w:val="006254B3"/>
    <w:rsid w:val="00625748"/>
    <w:rsid w:val="00625BCC"/>
    <w:rsid w:val="00625EBE"/>
    <w:rsid w:val="0062613E"/>
    <w:rsid w:val="00626401"/>
    <w:rsid w:val="006264C8"/>
    <w:rsid w:val="00626D21"/>
    <w:rsid w:val="00626D56"/>
    <w:rsid w:val="00626E83"/>
    <w:rsid w:val="00626EF7"/>
    <w:rsid w:val="00627352"/>
    <w:rsid w:val="00627554"/>
    <w:rsid w:val="0062791F"/>
    <w:rsid w:val="006305CE"/>
    <w:rsid w:val="00630B07"/>
    <w:rsid w:val="00630B67"/>
    <w:rsid w:val="00630B6C"/>
    <w:rsid w:val="00630F4E"/>
    <w:rsid w:val="00631197"/>
    <w:rsid w:val="006315E8"/>
    <w:rsid w:val="00631B0C"/>
    <w:rsid w:val="0063200E"/>
    <w:rsid w:val="0063251E"/>
    <w:rsid w:val="0063290A"/>
    <w:rsid w:val="0063299B"/>
    <w:rsid w:val="00632C88"/>
    <w:rsid w:val="00633046"/>
    <w:rsid w:val="006334CB"/>
    <w:rsid w:val="0063354C"/>
    <w:rsid w:val="00633D2E"/>
    <w:rsid w:val="0063405D"/>
    <w:rsid w:val="006343F5"/>
    <w:rsid w:val="0063454B"/>
    <w:rsid w:val="00634F52"/>
    <w:rsid w:val="00635992"/>
    <w:rsid w:val="00635A5F"/>
    <w:rsid w:val="00636032"/>
    <w:rsid w:val="006362C4"/>
    <w:rsid w:val="006365F1"/>
    <w:rsid w:val="006367DC"/>
    <w:rsid w:val="00636904"/>
    <w:rsid w:val="00636B15"/>
    <w:rsid w:val="00637001"/>
    <w:rsid w:val="006371A6"/>
    <w:rsid w:val="00637277"/>
    <w:rsid w:val="00637320"/>
    <w:rsid w:val="006377A6"/>
    <w:rsid w:val="00637A3D"/>
    <w:rsid w:val="00637D6F"/>
    <w:rsid w:val="00637E2E"/>
    <w:rsid w:val="00637F76"/>
    <w:rsid w:val="006405AB"/>
    <w:rsid w:val="00640DB7"/>
    <w:rsid w:val="00640E03"/>
    <w:rsid w:val="00640F74"/>
    <w:rsid w:val="006411EF"/>
    <w:rsid w:val="006419A5"/>
    <w:rsid w:val="00641F41"/>
    <w:rsid w:val="006426D4"/>
    <w:rsid w:val="00642BB5"/>
    <w:rsid w:val="00642CE7"/>
    <w:rsid w:val="006435F1"/>
    <w:rsid w:val="00643968"/>
    <w:rsid w:val="0064455F"/>
    <w:rsid w:val="00644713"/>
    <w:rsid w:val="00644D8A"/>
    <w:rsid w:val="006451F8"/>
    <w:rsid w:val="006455BE"/>
    <w:rsid w:val="0064578C"/>
    <w:rsid w:val="006458F6"/>
    <w:rsid w:val="00645EF2"/>
    <w:rsid w:val="00646550"/>
    <w:rsid w:val="0064661C"/>
    <w:rsid w:val="00646659"/>
    <w:rsid w:val="0064675B"/>
    <w:rsid w:val="0064690C"/>
    <w:rsid w:val="00646B00"/>
    <w:rsid w:val="00646BA5"/>
    <w:rsid w:val="00646BE4"/>
    <w:rsid w:val="00646EDA"/>
    <w:rsid w:val="00647196"/>
    <w:rsid w:val="00647E4E"/>
    <w:rsid w:val="00647E5E"/>
    <w:rsid w:val="006504B4"/>
    <w:rsid w:val="006512B0"/>
    <w:rsid w:val="006513D2"/>
    <w:rsid w:val="0065148E"/>
    <w:rsid w:val="006514C2"/>
    <w:rsid w:val="00651762"/>
    <w:rsid w:val="00651775"/>
    <w:rsid w:val="006518E2"/>
    <w:rsid w:val="00651C2C"/>
    <w:rsid w:val="00651C62"/>
    <w:rsid w:val="00652296"/>
    <w:rsid w:val="006529B9"/>
    <w:rsid w:val="00652E29"/>
    <w:rsid w:val="00652E9D"/>
    <w:rsid w:val="006534E7"/>
    <w:rsid w:val="006538B1"/>
    <w:rsid w:val="00653DE0"/>
    <w:rsid w:val="006543AA"/>
    <w:rsid w:val="0065476E"/>
    <w:rsid w:val="00654C65"/>
    <w:rsid w:val="0065509D"/>
    <w:rsid w:val="00655311"/>
    <w:rsid w:val="0065559A"/>
    <w:rsid w:val="00655AFC"/>
    <w:rsid w:val="00655E38"/>
    <w:rsid w:val="00656824"/>
    <w:rsid w:val="00656A2F"/>
    <w:rsid w:val="00656D7E"/>
    <w:rsid w:val="00657345"/>
    <w:rsid w:val="006578CD"/>
    <w:rsid w:val="00657D22"/>
    <w:rsid w:val="00660556"/>
    <w:rsid w:val="006606EA"/>
    <w:rsid w:val="00660D97"/>
    <w:rsid w:val="00660E45"/>
    <w:rsid w:val="00660F94"/>
    <w:rsid w:val="006613E9"/>
    <w:rsid w:val="0066193A"/>
    <w:rsid w:val="00661B32"/>
    <w:rsid w:val="0066240F"/>
    <w:rsid w:val="0066257B"/>
    <w:rsid w:val="00662E07"/>
    <w:rsid w:val="006635D9"/>
    <w:rsid w:val="006637A6"/>
    <w:rsid w:val="006637B7"/>
    <w:rsid w:val="00663AC8"/>
    <w:rsid w:val="00664132"/>
    <w:rsid w:val="00664175"/>
    <w:rsid w:val="00664CB8"/>
    <w:rsid w:val="00664F16"/>
    <w:rsid w:val="00665063"/>
    <w:rsid w:val="006650AD"/>
    <w:rsid w:val="0066547D"/>
    <w:rsid w:val="00665621"/>
    <w:rsid w:val="00665D05"/>
    <w:rsid w:val="006662DD"/>
    <w:rsid w:val="0066646C"/>
    <w:rsid w:val="00666520"/>
    <w:rsid w:val="00666523"/>
    <w:rsid w:val="006670BA"/>
    <w:rsid w:val="0066763D"/>
    <w:rsid w:val="00667A30"/>
    <w:rsid w:val="00667ADE"/>
    <w:rsid w:val="00667F25"/>
    <w:rsid w:val="006707B9"/>
    <w:rsid w:val="0067089F"/>
    <w:rsid w:val="00670A73"/>
    <w:rsid w:val="00671872"/>
    <w:rsid w:val="00671D31"/>
    <w:rsid w:val="00671FD5"/>
    <w:rsid w:val="0067216E"/>
    <w:rsid w:val="006728F3"/>
    <w:rsid w:val="00672D02"/>
    <w:rsid w:val="00672F4D"/>
    <w:rsid w:val="006730C5"/>
    <w:rsid w:val="0067379D"/>
    <w:rsid w:val="00673B9D"/>
    <w:rsid w:val="00674211"/>
    <w:rsid w:val="00674632"/>
    <w:rsid w:val="0067488F"/>
    <w:rsid w:val="006748B8"/>
    <w:rsid w:val="00675258"/>
    <w:rsid w:val="00675E16"/>
    <w:rsid w:val="00675EAF"/>
    <w:rsid w:val="006767F3"/>
    <w:rsid w:val="00676B64"/>
    <w:rsid w:val="00676D1A"/>
    <w:rsid w:val="00676E5A"/>
    <w:rsid w:val="006775C3"/>
    <w:rsid w:val="00681324"/>
    <w:rsid w:val="00681331"/>
    <w:rsid w:val="006817D7"/>
    <w:rsid w:val="00681907"/>
    <w:rsid w:val="00681DA6"/>
    <w:rsid w:val="00681E98"/>
    <w:rsid w:val="0068207E"/>
    <w:rsid w:val="0068212C"/>
    <w:rsid w:val="006823D1"/>
    <w:rsid w:val="0068254A"/>
    <w:rsid w:val="006826B8"/>
    <w:rsid w:val="00682A7F"/>
    <w:rsid w:val="00682FCA"/>
    <w:rsid w:val="006839B0"/>
    <w:rsid w:val="006846B7"/>
    <w:rsid w:val="006846C5"/>
    <w:rsid w:val="0068481E"/>
    <w:rsid w:val="00684CB3"/>
    <w:rsid w:val="00684ED2"/>
    <w:rsid w:val="0068530C"/>
    <w:rsid w:val="00685557"/>
    <w:rsid w:val="00685677"/>
    <w:rsid w:val="00685EE9"/>
    <w:rsid w:val="00686005"/>
    <w:rsid w:val="006862D6"/>
    <w:rsid w:val="006865D2"/>
    <w:rsid w:val="00686E3F"/>
    <w:rsid w:val="006870AC"/>
    <w:rsid w:val="006873A2"/>
    <w:rsid w:val="00687893"/>
    <w:rsid w:val="00687FD2"/>
    <w:rsid w:val="0069044F"/>
    <w:rsid w:val="00690FE3"/>
    <w:rsid w:val="006913F1"/>
    <w:rsid w:val="0069178A"/>
    <w:rsid w:val="00692030"/>
    <w:rsid w:val="006920D4"/>
    <w:rsid w:val="006921CD"/>
    <w:rsid w:val="006922F5"/>
    <w:rsid w:val="0069290A"/>
    <w:rsid w:val="00693264"/>
    <w:rsid w:val="0069357C"/>
    <w:rsid w:val="006935C5"/>
    <w:rsid w:val="00693AAB"/>
    <w:rsid w:val="00693E8F"/>
    <w:rsid w:val="00694378"/>
    <w:rsid w:val="00694612"/>
    <w:rsid w:val="006948A2"/>
    <w:rsid w:val="00694BF2"/>
    <w:rsid w:val="00694CB8"/>
    <w:rsid w:val="006950AF"/>
    <w:rsid w:val="00695B41"/>
    <w:rsid w:val="00696387"/>
    <w:rsid w:val="006969E9"/>
    <w:rsid w:val="0069711B"/>
    <w:rsid w:val="0069734B"/>
    <w:rsid w:val="0069775A"/>
    <w:rsid w:val="00697813"/>
    <w:rsid w:val="006A0E23"/>
    <w:rsid w:val="006A1EF3"/>
    <w:rsid w:val="006A1FBE"/>
    <w:rsid w:val="006A2313"/>
    <w:rsid w:val="006A2622"/>
    <w:rsid w:val="006A2A42"/>
    <w:rsid w:val="006A2D66"/>
    <w:rsid w:val="006A2E73"/>
    <w:rsid w:val="006A31C2"/>
    <w:rsid w:val="006A327E"/>
    <w:rsid w:val="006A35E4"/>
    <w:rsid w:val="006A3D58"/>
    <w:rsid w:val="006A3EE8"/>
    <w:rsid w:val="006A4046"/>
    <w:rsid w:val="006A422F"/>
    <w:rsid w:val="006A4285"/>
    <w:rsid w:val="006A43B0"/>
    <w:rsid w:val="006A4490"/>
    <w:rsid w:val="006A45A7"/>
    <w:rsid w:val="006A487D"/>
    <w:rsid w:val="006A492E"/>
    <w:rsid w:val="006A49D8"/>
    <w:rsid w:val="006A5311"/>
    <w:rsid w:val="006A53E7"/>
    <w:rsid w:val="006A5891"/>
    <w:rsid w:val="006A5C9E"/>
    <w:rsid w:val="006A5ED7"/>
    <w:rsid w:val="006A6A96"/>
    <w:rsid w:val="006A6B71"/>
    <w:rsid w:val="006A6EE0"/>
    <w:rsid w:val="006A72BF"/>
    <w:rsid w:val="006A774C"/>
    <w:rsid w:val="006B02CC"/>
    <w:rsid w:val="006B03F2"/>
    <w:rsid w:val="006B0430"/>
    <w:rsid w:val="006B0A79"/>
    <w:rsid w:val="006B0CC0"/>
    <w:rsid w:val="006B0F2F"/>
    <w:rsid w:val="006B17CB"/>
    <w:rsid w:val="006B1DC8"/>
    <w:rsid w:val="006B24E1"/>
    <w:rsid w:val="006B2B04"/>
    <w:rsid w:val="006B2EA6"/>
    <w:rsid w:val="006B37DC"/>
    <w:rsid w:val="006B397A"/>
    <w:rsid w:val="006B439D"/>
    <w:rsid w:val="006B4C59"/>
    <w:rsid w:val="006B4E4E"/>
    <w:rsid w:val="006B4F68"/>
    <w:rsid w:val="006B521C"/>
    <w:rsid w:val="006B5312"/>
    <w:rsid w:val="006B5592"/>
    <w:rsid w:val="006B6098"/>
    <w:rsid w:val="006B6917"/>
    <w:rsid w:val="006B6A2F"/>
    <w:rsid w:val="006B6B68"/>
    <w:rsid w:val="006B6CE3"/>
    <w:rsid w:val="006B6E5F"/>
    <w:rsid w:val="006B6EBE"/>
    <w:rsid w:val="006B6FAF"/>
    <w:rsid w:val="006B6FDD"/>
    <w:rsid w:val="006B7100"/>
    <w:rsid w:val="006B73BC"/>
    <w:rsid w:val="006B7952"/>
    <w:rsid w:val="006B7AE3"/>
    <w:rsid w:val="006B7F31"/>
    <w:rsid w:val="006C0592"/>
    <w:rsid w:val="006C05D0"/>
    <w:rsid w:val="006C0916"/>
    <w:rsid w:val="006C0DCB"/>
    <w:rsid w:val="006C0DFB"/>
    <w:rsid w:val="006C0E66"/>
    <w:rsid w:val="006C1AFD"/>
    <w:rsid w:val="006C1B4F"/>
    <w:rsid w:val="006C1BFF"/>
    <w:rsid w:val="006C1C3C"/>
    <w:rsid w:val="006C250A"/>
    <w:rsid w:val="006C272E"/>
    <w:rsid w:val="006C2B44"/>
    <w:rsid w:val="006C2DA1"/>
    <w:rsid w:val="006C2F94"/>
    <w:rsid w:val="006C2FFE"/>
    <w:rsid w:val="006C31E2"/>
    <w:rsid w:val="006C3BB7"/>
    <w:rsid w:val="006C3E78"/>
    <w:rsid w:val="006C42DB"/>
    <w:rsid w:val="006C4454"/>
    <w:rsid w:val="006C47C5"/>
    <w:rsid w:val="006C490D"/>
    <w:rsid w:val="006C4AF5"/>
    <w:rsid w:val="006C5479"/>
    <w:rsid w:val="006C575F"/>
    <w:rsid w:val="006C5C3E"/>
    <w:rsid w:val="006C5DC5"/>
    <w:rsid w:val="006C6A39"/>
    <w:rsid w:val="006C6CE0"/>
    <w:rsid w:val="006C7161"/>
    <w:rsid w:val="006C76E3"/>
    <w:rsid w:val="006C788B"/>
    <w:rsid w:val="006C79CE"/>
    <w:rsid w:val="006D0185"/>
    <w:rsid w:val="006D027C"/>
    <w:rsid w:val="006D02D4"/>
    <w:rsid w:val="006D03E2"/>
    <w:rsid w:val="006D0909"/>
    <w:rsid w:val="006D0FDF"/>
    <w:rsid w:val="006D11A3"/>
    <w:rsid w:val="006D13B5"/>
    <w:rsid w:val="006D1868"/>
    <w:rsid w:val="006D1F6E"/>
    <w:rsid w:val="006D2539"/>
    <w:rsid w:val="006D2550"/>
    <w:rsid w:val="006D2DD2"/>
    <w:rsid w:val="006D2EAE"/>
    <w:rsid w:val="006D31B4"/>
    <w:rsid w:val="006D33F5"/>
    <w:rsid w:val="006D3B6C"/>
    <w:rsid w:val="006D3BEA"/>
    <w:rsid w:val="006D3FCF"/>
    <w:rsid w:val="006D4286"/>
    <w:rsid w:val="006D495C"/>
    <w:rsid w:val="006D4BB6"/>
    <w:rsid w:val="006D4EC5"/>
    <w:rsid w:val="006D548E"/>
    <w:rsid w:val="006D6116"/>
    <w:rsid w:val="006D6565"/>
    <w:rsid w:val="006D6660"/>
    <w:rsid w:val="006D691D"/>
    <w:rsid w:val="006D6ECB"/>
    <w:rsid w:val="006D6F10"/>
    <w:rsid w:val="006D7304"/>
    <w:rsid w:val="006D76CA"/>
    <w:rsid w:val="006D79FC"/>
    <w:rsid w:val="006D7F45"/>
    <w:rsid w:val="006E0284"/>
    <w:rsid w:val="006E0CC7"/>
    <w:rsid w:val="006E0E49"/>
    <w:rsid w:val="006E12FF"/>
    <w:rsid w:val="006E1918"/>
    <w:rsid w:val="006E1C55"/>
    <w:rsid w:val="006E20A7"/>
    <w:rsid w:val="006E28B7"/>
    <w:rsid w:val="006E2B1A"/>
    <w:rsid w:val="006E30E2"/>
    <w:rsid w:val="006E35EC"/>
    <w:rsid w:val="006E37FB"/>
    <w:rsid w:val="006E394D"/>
    <w:rsid w:val="006E3F1B"/>
    <w:rsid w:val="006E424A"/>
    <w:rsid w:val="006E4268"/>
    <w:rsid w:val="006E4A8B"/>
    <w:rsid w:val="006E51E1"/>
    <w:rsid w:val="006E54E7"/>
    <w:rsid w:val="006E552B"/>
    <w:rsid w:val="006E5D04"/>
    <w:rsid w:val="006E5DA3"/>
    <w:rsid w:val="006E607E"/>
    <w:rsid w:val="006E6156"/>
    <w:rsid w:val="006E652C"/>
    <w:rsid w:val="006E7BD7"/>
    <w:rsid w:val="006F04CC"/>
    <w:rsid w:val="006F0E01"/>
    <w:rsid w:val="006F13D8"/>
    <w:rsid w:val="006F1440"/>
    <w:rsid w:val="006F23DC"/>
    <w:rsid w:val="006F276A"/>
    <w:rsid w:val="006F297A"/>
    <w:rsid w:val="006F2B88"/>
    <w:rsid w:val="006F3486"/>
    <w:rsid w:val="006F375F"/>
    <w:rsid w:val="006F38B1"/>
    <w:rsid w:val="006F3EFF"/>
    <w:rsid w:val="006F3F49"/>
    <w:rsid w:val="006F4366"/>
    <w:rsid w:val="006F4549"/>
    <w:rsid w:val="006F498A"/>
    <w:rsid w:val="006F561C"/>
    <w:rsid w:val="006F58F5"/>
    <w:rsid w:val="006F5F10"/>
    <w:rsid w:val="006F67E1"/>
    <w:rsid w:val="006F6813"/>
    <w:rsid w:val="006F6E24"/>
    <w:rsid w:val="006F6E5D"/>
    <w:rsid w:val="006F7E98"/>
    <w:rsid w:val="007005A9"/>
    <w:rsid w:val="00700CC6"/>
    <w:rsid w:val="00701126"/>
    <w:rsid w:val="0070116C"/>
    <w:rsid w:val="0070125F"/>
    <w:rsid w:val="00701394"/>
    <w:rsid w:val="00701642"/>
    <w:rsid w:val="0070188C"/>
    <w:rsid w:val="00701945"/>
    <w:rsid w:val="00701B88"/>
    <w:rsid w:val="00701DCD"/>
    <w:rsid w:val="0070209C"/>
    <w:rsid w:val="007024F6"/>
    <w:rsid w:val="00702545"/>
    <w:rsid w:val="00702DC1"/>
    <w:rsid w:val="00702E9E"/>
    <w:rsid w:val="0070316B"/>
    <w:rsid w:val="007035DB"/>
    <w:rsid w:val="00703766"/>
    <w:rsid w:val="007037C2"/>
    <w:rsid w:val="00703ACC"/>
    <w:rsid w:val="00703D80"/>
    <w:rsid w:val="00703DC0"/>
    <w:rsid w:val="00704FA9"/>
    <w:rsid w:val="00705224"/>
    <w:rsid w:val="007055B9"/>
    <w:rsid w:val="00705FC2"/>
    <w:rsid w:val="0070613E"/>
    <w:rsid w:val="0070623C"/>
    <w:rsid w:val="007067FA"/>
    <w:rsid w:val="007068F7"/>
    <w:rsid w:val="00706C5D"/>
    <w:rsid w:val="00706CCF"/>
    <w:rsid w:val="00707482"/>
    <w:rsid w:val="00707A37"/>
    <w:rsid w:val="00707E44"/>
    <w:rsid w:val="0071014D"/>
    <w:rsid w:val="00710203"/>
    <w:rsid w:val="0071046F"/>
    <w:rsid w:val="00710ACB"/>
    <w:rsid w:val="00710D53"/>
    <w:rsid w:val="00710FF4"/>
    <w:rsid w:val="007112CD"/>
    <w:rsid w:val="007114A2"/>
    <w:rsid w:val="007114EF"/>
    <w:rsid w:val="00711EF2"/>
    <w:rsid w:val="00712382"/>
    <w:rsid w:val="00712504"/>
    <w:rsid w:val="0071278F"/>
    <w:rsid w:val="007129CB"/>
    <w:rsid w:val="00712A43"/>
    <w:rsid w:val="00712A6A"/>
    <w:rsid w:val="0071385D"/>
    <w:rsid w:val="0071434E"/>
    <w:rsid w:val="007146EE"/>
    <w:rsid w:val="00714820"/>
    <w:rsid w:val="007148F8"/>
    <w:rsid w:val="00714A0B"/>
    <w:rsid w:val="00715550"/>
    <w:rsid w:val="00715605"/>
    <w:rsid w:val="00715B79"/>
    <w:rsid w:val="00715DEB"/>
    <w:rsid w:val="00715E0E"/>
    <w:rsid w:val="00715F15"/>
    <w:rsid w:val="0071660C"/>
    <w:rsid w:val="00717065"/>
    <w:rsid w:val="00717BB5"/>
    <w:rsid w:val="00720374"/>
    <w:rsid w:val="00720637"/>
    <w:rsid w:val="007206EB"/>
    <w:rsid w:val="007207DE"/>
    <w:rsid w:val="00720A38"/>
    <w:rsid w:val="00720AB7"/>
    <w:rsid w:val="00720E9A"/>
    <w:rsid w:val="00721439"/>
    <w:rsid w:val="007219E0"/>
    <w:rsid w:val="00721D41"/>
    <w:rsid w:val="00721FAC"/>
    <w:rsid w:val="007223AC"/>
    <w:rsid w:val="00722426"/>
    <w:rsid w:val="00722AD0"/>
    <w:rsid w:val="00722F93"/>
    <w:rsid w:val="00723110"/>
    <w:rsid w:val="00724326"/>
    <w:rsid w:val="00724595"/>
    <w:rsid w:val="00724F8D"/>
    <w:rsid w:val="0072533E"/>
    <w:rsid w:val="007255F7"/>
    <w:rsid w:val="00725633"/>
    <w:rsid w:val="007257F5"/>
    <w:rsid w:val="00725A49"/>
    <w:rsid w:val="007266E6"/>
    <w:rsid w:val="0072689C"/>
    <w:rsid w:val="007268B3"/>
    <w:rsid w:val="0072698A"/>
    <w:rsid w:val="00726CCC"/>
    <w:rsid w:val="0072700F"/>
    <w:rsid w:val="00727ADC"/>
    <w:rsid w:val="00727CF4"/>
    <w:rsid w:val="00730047"/>
    <w:rsid w:val="0073050B"/>
    <w:rsid w:val="00730904"/>
    <w:rsid w:val="00730A4C"/>
    <w:rsid w:val="0073193B"/>
    <w:rsid w:val="00731C23"/>
    <w:rsid w:val="0073220A"/>
    <w:rsid w:val="00732231"/>
    <w:rsid w:val="00732922"/>
    <w:rsid w:val="00732A6B"/>
    <w:rsid w:val="00732C5B"/>
    <w:rsid w:val="007332B0"/>
    <w:rsid w:val="00733545"/>
    <w:rsid w:val="00733682"/>
    <w:rsid w:val="00733B1F"/>
    <w:rsid w:val="00733C1B"/>
    <w:rsid w:val="00733D52"/>
    <w:rsid w:val="00734118"/>
    <w:rsid w:val="00734655"/>
    <w:rsid w:val="007346A2"/>
    <w:rsid w:val="007347BC"/>
    <w:rsid w:val="0073491B"/>
    <w:rsid w:val="00734DCB"/>
    <w:rsid w:val="00734F39"/>
    <w:rsid w:val="007350ED"/>
    <w:rsid w:val="00735133"/>
    <w:rsid w:val="0073524B"/>
    <w:rsid w:val="0073541D"/>
    <w:rsid w:val="007359AC"/>
    <w:rsid w:val="00735D56"/>
    <w:rsid w:val="00735ED1"/>
    <w:rsid w:val="00735FC3"/>
    <w:rsid w:val="007363D7"/>
    <w:rsid w:val="00736ACB"/>
    <w:rsid w:val="00736E9F"/>
    <w:rsid w:val="0073703C"/>
    <w:rsid w:val="00737728"/>
    <w:rsid w:val="00737F13"/>
    <w:rsid w:val="007401E4"/>
    <w:rsid w:val="0074028A"/>
    <w:rsid w:val="00740461"/>
    <w:rsid w:val="0074065D"/>
    <w:rsid w:val="00740CAC"/>
    <w:rsid w:val="00740D4E"/>
    <w:rsid w:val="00741413"/>
    <w:rsid w:val="00741548"/>
    <w:rsid w:val="0074155D"/>
    <w:rsid w:val="007416D7"/>
    <w:rsid w:val="00741BA9"/>
    <w:rsid w:val="00741CD4"/>
    <w:rsid w:val="00742302"/>
    <w:rsid w:val="0074283C"/>
    <w:rsid w:val="00742A56"/>
    <w:rsid w:val="007431A6"/>
    <w:rsid w:val="0074349E"/>
    <w:rsid w:val="0074357B"/>
    <w:rsid w:val="007437D3"/>
    <w:rsid w:val="00743B9D"/>
    <w:rsid w:val="00744394"/>
    <w:rsid w:val="007444FE"/>
    <w:rsid w:val="0074452A"/>
    <w:rsid w:val="00744672"/>
    <w:rsid w:val="00744815"/>
    <w:rsid w:val="0074495A"/>
    <w:rsid w:val="00744A1E"/>
    <w:rsid w:val="00744E4F"/>
    <w:rsid w:val="007459C4"/>
    <w:rsid w:val="00745FFD"/>
    <w:rsid w:val="00746CA7"/>
    <w:rsid w:val="00747098"/>
    <w:rsid w:val="007470AA"/>
    <w:rsid w:val="00747163"/>
    <w:rsid w:val="0074754E"/>
    <w:rsid w:val="00747980"/>
    <w:rsid w:val="00747F57"/>
    <w:rsid w:val="00747FBE"/>
    <w:rsid w:val="0075050B"/>
    <w:rsid w:val="00750BC2"/>
    <w:rsid w:val="0075162E"/>
    <w:rsid w:val="0075181D"/>
    <w:rsid w:val="007518FF"/>
    <w:rsid w:val="00751AC3"/>
    <w:rsid w:val="00752456"/>
    <w:rsid w:val="00752912"/>
    <w:rsid w:val="00752C4A"/>
    <w:rsid w:val="00752CC4"/>
    <w:rsid w:val="0075301E"/>
    <w:rsid w:val="007534D9"/>
    <w:rsid w:val="0075363B"/>
    <w:rsid w:val="00753713"/>
    <w:rsid w:val="00754034"/>
    <w:rsid w:val="00754F1F"/>
    <w:rsid w:val="00754FDB"/>
    <w:rsid w:val="00755212"/>
    <w:rsid w:val="0075617A"/>
    <w:rsid w:val="00756520"/>
    <w:rsid w:val="00756556"/>
    <w:rsid w:val="00756EC0"/>
    <w:rsid w:val="00757269"/>
    <w:rsid w:val="007572BE"/>
    <w:rsid w:val="007575C6"/>
    <w:rsid w:val="0075795D"/>
    <w:rsid w:val="007579D8"/>
    <w:rsid w:val="00757FF7"/>
    <w:rsid w:val="00760E7F"/>
    <w:rsid w:val="007611E3"/>
    <w:rsid w:val="007613AA"/>
    <w:rsid w:val="0076172A"/>
    <w:rsid w:val="007617C8"/>
    <w:rsid w:val="007618C4"/>
    <w:rsid w:val="00761EFB"/>
    <w:rsid w:val="00763191"/>
    <w:rsid w:val="0076355F"/>
    <w:rsid w:val="00763A47"/>
    <w:rsid w:val="00764199"/>
    <w:rsid w:val="0076475B"/>
    <w:rsid w:val="00764F0D"/>
    <w:rsid w:val="007657FA"/>
    <w:rsid w:val="00765A77"/>
    <w:rsid w:val="00765E79"/>
    <w:rsid w:val="00765F84"/>
    <w:rsid w:val="00765FF2"/>
    <w:rsid w:val="0076638B"/>
    <w:rsid w:val="00766407"/>
    <w:rsid w:val="0076696A"/>
    <w:rsid w:val="00766BAE"/>
    <w:rsid w:val="00767980"/>
    <w:rsid w:val="00770273"/>
    <w:rsid w:val="007709BC"/>
    <w:rsid w:val="00770A1B"/>
    <w:rsid w:val="00770B19"/>
    <w:rsid w:val="00770F2C"/>
    <w:rsid w:val="007728E5"/>
    <w:rsid w:val="00772B78"/>
    <w:rsid w:val="00772D47"/>
    <w:rsid w:val="00772E4F"/>
    <w:rsid w:val="007731F7"/>
    <w:rsid w:val="007734D4"/>
    <w:rsid w:val="00773CBF"/>
    <w:rsid w:val="007745E8"/>
    <w:rsid w:val="0077463F"/>
    <w:rsid w:val="00774D9E"/>
    <w:rsid w:val="00774FC6"/>
    <w:rsid w:val="007750F3"/>
    <w:rsid w:val="0077517D"/>
    <w:rsid w:val="0077566F"/>
    <w:rsid w:val="007757D9"/>
    <w:rsid w:val="00775BEF"/>
    <w:rsid w:val="00775F94"/>
    <w:rsid w:val="00776722"/>
    <w:rsid w:val="00776800"/>
    <w:rsid w:val="00776BBA"/>
    <w:rsid w:val="00776D33"/>
    <w:rsid w:val="007772CF"/>
    <w:rsid w:val="00777C5D"/>
    <w:rsid w:val="007800D0"/>
    <w:rsid w:val="00780591"/>
    <w:rsid w:val="00780930"/>
    <w:rsid w:val="007809A8"/>
    <w:rsid w:val="00781371"/>
    <w:rsid w:val="00781577"/>
    <w:rsid w:val="00781A62"/>
    <w:rsid w:val="00781D56"/>
    <w:rsid w:val="00781F94"/>
    <w:rsid w:val="007835B7"/>
    <w:rsid w:val="007836EA"/>
    <w:rsid w:val="007837B0"/>
    <w:rsid w:val="0078388B"/>
    <w:rsid w:val="00783E2D"/>
    <w:rsid w:val="00783EC5"/>
    <w:rsid w:val="00783F4C"/>
    <w:rsid w:val="00783FDB"/>
    <w:rsid w:val="00784B27"/>
    <w:rsid w:val="00784BD1"/>
    <w:rsid w:val="00784CDA"/>
    <w:rsid w:val="00785445"/>
    <w:rsid w:val="00785620"/>
    <w:rsid w:val="00785920"/>
    <w:rsid w:val="00785947"/>
    <w:rsid w:val="00785D50"/>
    <w:rsid w:val="00787057"/>
    <w:rsid w:val="00787455"/>
    <w:rsid w:val="0078794B"/>
    <w:rsid w:val="00787A4A"/>
    <w:rsid w:val="00787B67"/>
    <w:rsid w:val="007902A1"/>
    <w:rsid w:val="00790419"/>
    <w:rsid w:val="007904BE"/>
    <w:rsid w:val="007906C4"/>
    <w:rsid w:val="00790B68"/>
    <w:rsid w:val="0079108E"/>
    <w:rsid w:val="00791304"/>
    <w:rsid w:val="00791671"/>
    <w:rsid w:val="0079182B"/>
    <w:rsid w:val="007918EE"/>
    <w:rsid w:val="007919CD"/>
    <w:rsid w:val="00791BA7"/>
    <w:rsid w:val="00793E15"/>
    <w:rsid w:val="00794005"/>
    <w:rsid w:val="007940EA"/>
    <w:rsid w:val="0079419D"/>
    <w:rsid w:val="00794244"/>
    <w:rsid w:val="00794258"/>
    <w:rsid w:val="00794CF1"/>
    <w:rsid w:val="00795235"/>
    <w:rsid w:val="00795328"/>
    <w:rsid w:val="00795372"/>
    <w:rsid w:val="00795417"/>
    <w:rsid w:val="0079576C"/>
    <w:rsid w:val="0079600B"/>
    <w:rsid w:val="007967E8"/>
    <w:rsid w:val="007967EA"/>
    <w:rsid w:val="00796A6C"/>
    <w:rsid w:val="0079717B"/>
    <w:rsid w:val="007971A0"/>
    <w:rsid w:val="007976C7"/>
    <w:rsid w:val="00797DC9"/>
    <w:rsid w:val="007A02DC"/>
    <w:rsid w:val="007A04F3"/>
    <w:rsid w:val="007A0520"/>
    <w:rsid w:val="007A0ACB"/>
    <w:rsid w:val="007A0C46"/>
    <w:rsid w:val="007A1A1F"/>
    <w:rsid w:val="007A2170"/>
    <w:rsid w:val="007A22BF"/>
    <w:rsid w:val="007A2409"/>
    <w:rsid w:val="007A2466"/>
    <w:rsid w:val="007A2B35"/>
    <w:rsid w:val="007A3117"/>
    <w:rsid w:val="007A31DF"/>
    <w:rsid w:val="007A32C6"/>
    <w:rsid w:val="007A3323"/>
    <w:rsid w:val="007A3999"/>
    <w:rsid w:val="007A39B9"/>
    <w:rsid w:val="007A3DAC"/>
    <w:rsid w:val="007A3E58"/>
    <w:rsid w:val="007A43E4"/>
    <w:rsid w:val="007A4F2C"/>
    <w:rsid w:val="007A5DDE"/>
    <w:rsid w:val="007A613D"/>
    <w:rsid w:val="007A625A"/>
    <w:rsid w:val="007A65D4"/>
    <w:rsid w:val="007A68E2"/>
    <w:rsid w:val="007A7416"/>
    <w:rsid w:val="007A74A9"/>
    <w:rsid w:val="007B097B"/>
    <w:rsid w:val="007B183A"/>
    <w:rsid w:val="007B1B6D"/>
    <w:rsid w:val="007B1D15"/>
    <w:rsid w:val="007B1DB5"/>
    <w:rsid w:val="007B1DBD"/>
    <w:rsid w:val="007B1E9E"/>
    <w:rsid w:val="007B1F40"/>
    <w:rsid w:val="007B2170"/>
    <w:rsid w:val="007B252B"/>
    <w:rsid w:val="007B3ACD"/>
    <w:rsid w:val="007B3C3D"/>
    <w:rsid w:val="007B3E5B"/>
    <w:rsid w:val="007B4A17"/>
    <w:rsid w:val="007B4A8C"/>
    <w:rsid w:val="007B4B41"/>
    <w:rsid w:val="007B53E3"/>
    <w:rsid w:val="007B5603"/>
    <w:rsid w:val="007B56A6"/>
    <w:rsid w:val="007B56C9"/>
    <w:rsid w:val="007B655C"/>
    <w:rsid w:val="007B72B8"/>
    <w:rsid w:val="007B76BD"/>
    <w:rsid w:val="007B77DA"/>
    <w:rsid w:val="007B786F"/>
    <w:rsid w:val="007B7A58"/>
    <w:rsid w:val="007B7EA9"/>
    <w:rsid w:val="007C02EB"/>
    <w:rsid w:val="007C0778"/>
    <w:rsid w:val="007C098C"/>
    <w:rsid w:val="007C0CAB"/>
    <w:rsid w:val="007C1235"/>
    <w:rsid w:val="007C1347"/>
    <w:rsid w:val="007C17DF"/>
    <w:rsid w:val="007C19DE"/>
    <w:rsid w:val="007C215E"/>
    <w:rsid w:val="007C21B5"/>
    <w:rsid w:val="007C2537"/>
    <w:rsid w:val="007C257E"/>
    <w:rsid w:val="007C2B7E"/>
    <w:rsid w:val="007C2DD1"/>
    <w:rsid w:val="007C2F6A"/>
    <w:rsid w:val="007C30B8"/>
    <w:rsid w:val="007C3DB4"/>
    <w:rsid w:val="007C3EFE"/>
    <w:rsid w:val="007C40C2"/>
    <w:rsid w:val="007C4514"/>
    <w:rsid w:val="007C49C6"/>
    <w:rsid w:val="007C4BDA"/>
    <w:rsid w:val="007C4C68"/>
    <w:rsid w:val="007C4E46"/>
    <w:rsid w:val="007C59CF"/>
    <w:rsid w:val="007C6246"/>
    <w:rsid w:val="007C6ED9"/>
    <w:rsid w:val="007C6FE5"/>
    <w:rsid w:val="007C71B8"/>
    <w:rsid w:val="007C724D"/>
    <w:rsid w:val="007C72E2"/>
    <w:rsid w:val="007C76E8"/>
    <w:rsid w:val="007C78E0"/>
    <w:rsid w:val="007C7C79"/>
    <w:rsid w:val="007C7C94"/>
    <w:rsid w:val="007D0303"/>
    <w:rsid w:val="007D0558"/>
    <w:rsid w:val="007D08C7"/>
    <w:rsid w:val="007D2A80"/>
    <w:rsid w:val="007D2FEF"/>
    <w:rsid w:val="007D332C"/>
    <w:rsid w:val="007D384B"/>
    <w:rsid w:val="007D456B"/>
    <w:rsid w:val="007D4587"/>
    <w:rsid w:val="007D479C"/>
    <w:rsid w:val="007D4F93"/>
    <w:rsid w:val="007D53CB"/>
    <w:rsid w:val="007D5B4D"/>
    <w:rsid w:val="007D5C3E"/>
    <w:rsid w:val="007D5D20"/>
    <w:rsid w:val="007D5E39"/>
    <w:rsid w:val="007D6018"/>
    <w:rsid w:val="007D6062"/>
    <w:rsid w:val="007D613B"/>
    <w:rsid w:val="007D68F8"/>
    <w:rsid w:val="007D6B6D"/>
    <w:rsid w:val="007D6DA0"/>
    <w:rsid w:val="007D722B"/>
    <w:rsid w:val="007D74E1"/>
    <w:rsid w:val="007D7729"/>
    <w:rsid w:val="007D7BE8"/>
    <w:rsid w:val="007E04BA"/>
    <w:rsid w:val="007E06FE"/>
    <w:rsid w:val="007E07CE"/>
    <w:rsid w:val="007E0862"/>
    <w:rsid w:val="007E2282"/>
    <w:rsid w:val="007E2411"/>
    <w:rsid w:val="007E26CD"/>
    <w:rsid w:val="007E27C6"/>
    <w:rsid w:val="007E3174"/>
    <w:rsid w:val="007E3239"/>
    <w:rsid w:val="007E3FC8"/>
    <w:rsid w:val="007E4545"/>
    <w:rsid w:val="007E4553"/>
    <w:rsid w:val="007E4558"/>
    <w:rsid w:val="007E4707"/>
    <w:rsid w:val="007E4738"/>
    <w:rsid w:val="007E4BD2"/>
    <w:rsid w:val="007E5095"/>
    <w:rsid w:val="007E526A"/>
    <w:rsid w:val="007E56E8"/>
    <w:rsid w:val="007E668C"/>
    <w:rsid w:val="007E675A"/>
    <w:rsid w:val="007E6AA6"/>
    <w:rsid w:val="007E7AB0"/>
    <w:rsid w:val="007E7AF5"/>
    <w:rsid w:val="007E7B29"/>
    <w:rsid w:val="007E7E7C"/>
    <w:rsid w:val="007F011B"/>
    <w:rsid w:val="007F0BE7"/>
    <w:rsid w:val="007F0D23"/>
    <w:rsid w:val="007F0FDF"/>
    <w:rsid w:val="007F184A"/>
    <w:rsid w:val="007F1DBD"/>
    <w:rsid w:val="007F2170"/>
    <w:rsid w:val="007F2326"/>
    <w:rsid w:val="007F26FB"/>
    <w:rsid w:val="007F2A85"/>
    <w:rsid w:val="007F2D23"/>
    <w:rsid w:val="007F393D"/>
    <w:rsid w:val="007F42CB"/>
    <w:rsid w:val="007F473B"/>
    <w:rsid w:val="007F4912"/>
    <w:rsid w:val="007F4AE4"/>
    <w:rsid w:val="007F4E64"/>
    <w:rsid w:val="007F51FF"/>
    <w:rsid w:val="007F5FE8"/>
    <w:rsid w:val="007F61B6"/>
    <w:rsid w:val="007F631C"/>
    <w:rsid w:val="007F6CBA"/>
    <w:rsid w:val="007F6D64"/>
    <w:rsid w:val="007F6E8E"/>
    <w:rsid w:val="007F77B1"/>
    <w:rsid w:val="007F7A25"/>
    <w:rsid w:val="007F7F79"/>
    <w:rsid w:val="00801393"/>
    <w:rsid w:val="0080159B"/>
    <w:rsid w:val="008017E9"/>
    <w:rsid w:val="00802226"/>
    <w:rsid w:val="008028D3"/>
    <w:rsid w:val="00802990"/>
    <w:rsid w:val="00802BFD"/>
    <w:rsid w:val="00802F0C"/>
    <w:rsid w:val="00802F88"/>
    <w:rsid w:val="00803687"/>
    <w:rsid w:val="008036E5"/>
    <w:rsid w:val="00803F12"/>
    <w:rsid w:val="008042F2"/>
    <w:rsid w:val="00804E2A"/>
    <w:rsid w:val="00805359"/>
    <w:rsid w:val="0080538F"/>
    <w:rsid w:val="00805BF8"/>
    <w:rsid w:val="008062E0"/>
    <w:rsid w:val="008063A6"/>
    <w:rsid w:val="008063B7"/>
    <w:rsid w:val="0080646B"/>
    <w:rsid w:val="0080655E"/>
    <w:rsid w:val="0080682C"/>
    <w:rsid w:val="00806AA9"/>
    <w:rsid w:val="00806AC4"/>
    <w:rsid w:val="00806C6E"/>
    <w:rsid w:val="008072CD"/>
    <w:rsid w:val="00807EBC"/>
    <w:rsid w:val="0081033D"/>
    <w:rsid w:val="008103A4"/>
    <w:rsid w:val="008103B3"/>
    <w:rsid w:val="00810B08"/>
    <w:rsid w:val="00810F4F"/>
    <w:rsid w:val="008112E7"/>
    <w:rsid w:val="00811408"/>
    <w:rsid w:val="00811EFB"/>
    <w:rsid w:val="008125E9"/>
    <w:rsid w:val="00812925"/>
    <w:rsid w:val="0081293E"/>
    <w:rsid w:val="00812943"/>
    <w:rsid w:val="0081298B"/>
    <w:rsid w:val="00812D7E"/>
    <w:rsid w:val="0081305E"/>
    <w:rsid w:val="0081333D"/>
    <w:rsid w:val="00813879"/>
    <w:rsid w:val="00813C2B"/>
    <w:rsid w:val="00813E2D"/>
    <w:rsid w:val="00813F76"/>
    <w:rsid w:val="00814479"/>
    <w:rsid w:val="0081458E"/>
    <w:rsid w:val="00814DB1"/>
    <w:rsid w:val="008152EE"/>
    <w:rsid w:val="00815465"/>
    <w:rsid w:val="00815BE8"/>
    <w:rsid w:val="0081631F"/>
    <w:rsid w:val="00816563"/>
    <w:rsid w:val="008165FB"/>
    <w:rsid w:val="008166D1"/>
    <w:rsid w:val="0081702C"/>
    <w:rsid w:val="00817BD7"/>
    <w:rsid w:val="00817E25"/>
    <w:rsid w:val="00817E9A"/>
    <w:rsid w:val="00817EC3"/>
    <w:rsid w:val="00817FB3"/>
    <w:rsid w:val="00817FE0"/>
    <w:rsid w:val="00817FFB"/>
    <w:rsid w:val="00820191"/>
    <w:rsid w:val="0082040A"/>
    <w:rsid w:val="0082071B"/>
    <w:rsid w:val="00820A53"/>
    <w:rsid w:val="00820E41"/>
    <w:rsid w:val="00820F80"/>
    <w:rsid w:val="0082143E"/>
    <w:rsid w:val="008215C7"/>
    <w:rsid w:val="008220AF"/>
    <w:rsid w:val="00822A2F"/>
    <w:rsid w:val="00822AFE"/>
    <w:rsid w:val="00822CFF"/>
    <w:rsid w:val="00822DB5"/>
    <w:rsid w:val="0082338F"/>
    <w:rsid w:val="00824D07"/>
    <w:rsid w:val="00824E16"/>
    <w:rsid w:val="00824F1B"/>
    <w:rsid w:val="0082544C"/>
    <w:rsid w:val="008260C6"/>
    <w:rsid w:val="00826A56"/>
    <w:rsid w:val="00826F26"/>
    <w:rsid w:val="0082703F"/>
    <w:rsid w:val="008272E2"/>
    <w:rsid w:val="0082737E"/>
    <w:rsid w:val="00827D42"/>
    <w:rsid w:val="00827DC2"/>
    <w:rsid w:val="00827F90"/>
    <w:rsid w:val="00830105"/>
    <w:rsid w:val="0083039B"/>
    <w:rsid w:val="008306BD"/>
    <w:rsid w:val="00830BA5"/>
    <w:rsid w:val="0083109A"/>
    <w:rsid w:val="00831719"/>
    <w:rsid w:val="00831977"/>
    <w:rsid w:val="00831A80"/>
    <w:rsid w:val="00831CAB"/>
    <w:rsid w:val="00831E50"/>
    <w:rsid w:val="00831E95"/>
    <w:rsid w:val="008320CD"/>
    <w:rsid w:val="00832312"/>
    <w:rsid w:val="00832352"/>
    <w:rsid w:val="0083235F"/>
    <w:rsid w:val="00832500"/>
    <w:rsid w:val="00832DE1"/>
    <w:rsid w:val="00833140"/>
    <w:rsid w:val="0083332F"/>
    <w:rsid w:val="008334B6"/>
    <w:rsid w:val="00833704"/>
    <w:rsid w:val="00833743"/>
    <w:rsid w:val="0083387C"/>
    <w:rsid w:val="008338E2"/>
    <w:rsid w:val="00833F49"/>
    <w:rsid w:val="008340A4"/>
    <w:rsid w:val="008344E3"/>
    <w:rsid w:val="008346F2"/>
    <w:rsid w:val="00834882"/>
    <w:rsid w:val="008352CD"/>
    <w:rsid w:val="00835487"/>
    <w:rsid w:val="008358F1"/>
    <w:rsid w:val="008358F7"/>
    <w:rsid w:val="00835B32"/>
    <w:rsid w:val="00835C0A"/>
    <w:rsid w:val="00835C0E"/>
    <w:rsid w:val="00835F82"/>
    <w:rsid w:val="0083600D"/>
    <w:rsid w:val="0083615C"/>
    <w:rsid w:val="00836AD6"/>
    <w:rsid w:val="00836BB0"/>
    <w:rsid w:val="008374A4"/>
    <w:rsid w:val="00841774"/>
    <w:rsid w:val="00841C37"/>
    <w:rsid w:val="00841D73"/>
    <w:rsid w:val="008439EF"/>
    <w:rsid w:val="00843BB8"/>
    <w:rsid w:val="00843D87"/>
    <w:rsid w:val="00843F92"/>
    <w:rsid w:val="0084446F"/>
    <w:rsid w:val="00844733"/>
    <w:rsid w:val="00844A0E"/>
    <w:rsid w:val="00844D15"/>
    <w:rsid w:val="00844E2B"/>
    <w:rsid w:val="00845120"/>
    <w:rsid w:val="0084577C"/>
    <w:rsid w:val="00845AE9"/>
    <w:rsid w:val="00845C53"/>
    <w:rsid w:val="00846545"/>
    <w:rsid w:val="0084683E"/>
    <w:rsid w:val="00846D65"/>
    <w:rsid w:val="00846F76"/>
    <w:rsid w:val="008474DE"/>
    <w:rsid w:val="00850384"/>
    <w:rsid w:val="0085067A"/>
    <w:rsid w:val="00850B61"/>
    <w:rsid w:val="00851BF2"/>
    <w:rsid w:val="00852302"/>
    <w:rsid w:val="00852792"/>
    <w:rsid w:val="0085340A"/>
    <w:rsid w:val="00853415"/>
    <w:rsid w:val="0085360B"/>
    <w:rsid w:val="00853721"/>
    <w:rsid w:val="008546CC"/>
    <w:rsid w:val="00855248"/>
    <w:rsid w:val="008553F8"/>
    <w:rsid w:val="0085599C"/>
    <w:rsid w:val="00855C86"/>
    <w:rsid w:val="00855CE2"/>
    <w:rsid w:val="00855F25"/>
    <w:rsid w:val="00856461"/>
    <w:rsid w:val="008564B8"/>
    <w:rsid w:val="0085695C"/>
    <w:rsid w:val="00856E6F"/>
    <w:rsid w:val="00860CC5"/>
    <w:rsid w:val="00861293"/>
    <w:rsid w:val="00861D1A"/>
    <w:rsid w:val="00861E14"/>
    <w:rsid w:val="00861F3E"/>
    <w:rsid w:val="008623FA"/>
    <w:rsid w:val="00862538"/>
    <w:rsid w:val="00862834"/>
    <w:rsid w:val="008630A9"/>
    <w:rsid w:val="00863830"/>
    <w:rsid w:val="0086388F"/>
    <w:rsid w:val="008639F9"/>
    <w:rsid w:val="00863D46"/>
    <w:rsid w:val="00863E3C"/>
    <w:rsid w:val="00863F1D"/>
    <w:rsid w:val="00863FFF"/>
    <w:rsid w:val="008640DF"/>
    <w:rsid w:val="0086439E"/>
    <w:rsid w:val="00864BBE"/>
    <w:rsid w:val="00865131"/>
    <w:rsid w:val="008655DE"/>
    <w:rsid w:val="0086561A"/>
    <w:rsid w:val="00865652"/>
    <w:rsid w:val="00865B90"/>
    <w:rsid w:val="00865D32"/>
    <w:rsid w:val="00865DDB"/>
    <w:rsid w:val="00866202"/>
    <w:rsid w:val="008662A1"/>
    <w:rsid w:val="0086693E"/>
    <w:rsid w:val="00866C28"/>
    <w:rsid w:val="00866DB2"/>
    <w:rsid w:val="008678AB"/>
    <w:rsid w:val="008700B8"/>
    <w:rsid w:val="00870103"/>
    <w:rsid w:val="00870917"/>
    <w:rsid w:val="0087135F"/>
    <w:rsid w:val="008716D8"/>
    <w:rsid w:val="008717BF"/>
    <w:rsid w:val="00871C24"/>
    <w:rsid w:val="00871DD5"/>
    <w:rsid w:val="00872257"/>
    <w:rsid w:val="008724BE"/>
    <w:rsid w:val="00872721"/>
    <w:rsid w:val="00872996"/>
    <w:rsid w:val="00872C79"/>
    <w:rsid w:val="00872D94"/>
    <w:rsid w:val="008734A2"/>
    <w:rsid w:val="00873844"/>
    <w:rsid w:val="008739D3"/>
    <w:rsid w:val="00873F67"/>
    <w:rsid w:val="00874231"/>
    <w:rsid w:val="00874293"/>
    <w:rsid w:val="00874744"/>
    <w:rsid w:val="008749ED"/>
    <w:rsid w:val="00874C17"/>
    <w:rsid w:val="008751EB"/>
    <w:rsid w:val="00875C0F"/>
    <w:rsid w:val="00875E8F"/>
    <w:rsid w:val="00875F54"/>
    <w:rsid w:val="008760ED"/>
    <w:rsid w:val="008764D7"/>
    <w:rsid w:val="00876661"/>
    <w:rsid w:val="00876A5A"/>
    <w:rsid w:val="00876A9D"/>
    <w:rsid w:val="00876F34"/>
    <w:rsid w:val="00877497"/>
    <w:rsid w:val="00877590"/>
    <w:rsid w:val="00877C24"/>
    <w:rsid w:val="00877C99"/>
    <w:rsid w:val="00877C9A"/>
    <w:rsid w:val="00877DB8"/>
    <w:rsid w:val="008802B1"/>
    <w:rsid w:val="008802C5"/>
    <w:rsid w:val="00880364"/>
    <w:rsid w:val="008803D9"/>
    <w:rsid w:val="008803E7"/>
    <w:rsid w:val="00880468"/>
    <w:rsid w:val="008804AA"/>
    <w:rsid w:val="0088054E"/>
    <w:rsid w:val="00880E68"/>
    <w:rsid w:val="00881118"/>
    <w:rsid w:val="008812D6"/>
    <w:rsid w:val="00881586"/>
    <w:rsid w:val="008816B5"/>
    <w:rsid w:val="008816D9"/>
    <w:rsid w:val="00881D51"/>
    <w:rsid w:val="00881E00"/>
    <w:rsid w:val="0088242E"/>
    <w:rsid w:val="0088261D"/>
    <w:rsid w:val="0088363C"/>
    <w:rsid w:val="0088363E"/>
    <w:rsid w:val="00883D22"/>
    <w:rsid w:val="00883E49"/>
    <w:rsid w:val="008842D3"/>
    <w:rsid w:val="00884D8D"/>
    <w:rsid w:val="0088567C"/>
    <w:rsid w:val="008856D5"/>
    <w:rsid w:val="00885852"/>
    <w:rsid w:val="00886ED8"/>
    <w:rsid w:val="00887A26"/>
    <w:rsid w:val="00887E45"/>
    <w:rsid w:val="0089010D"/>
    <w:rsid w:val="008907D4"/>
    <w:rsid w:val="008909D5"/>
    <w:rsid w:val="00890CD3"/>
    <w:rsid w:val="00890D5C"/>
    <w:rsid w:val="00890F25"/>
    <w:rsid w:val="008910DC"/>
    <w:rsid w:val="008911EC"/>
    <w:rsid w:val="00891222"/>
    <w:rsid w:val="00891505"/>
    <w:rsid w:val="00891592"/>
    <w:rsid w:val="00891643"/>
    <w:rsid w:val="00891872"/>
    <w:rsid w:val="00891A4F"/>
    <w:rsid w:val="00891E9E"/>
    <w:rsid w:val="008924EE"/>
    <w:rsid w:val="00892671"/>
    <w:rsid w:val="00892905"/>
    <w:rsid w:val="00892D80"/>
    <w:rsid w:val="00892FA4"/>
    <w:rsid w:val="0089524E"/>
    <w:rsid w:val="00895608"/>
    <w:rsid w:val="0089575D"/>
    <w:rsid w:val="008959B5"/>
    <w:rsid w:val="00895AD2"/>
    <w:rsid w:val="00895D68"/>
    <w:rsid w:val="00896C3F"/>
    <w:rsid w:val="00896C80"/>
    <w:rsid w:val="00896CE6"/>
    <w:rsid w:val="00896DBA"/>
    <w:rsid w:val="00897008"/>
    <w:rsid w:val="00897438"/>
    <w:rsid w:val="00897C08"/>
    <w:rsid w:val="00897E1E"/>
    <w:rsid w:val="00897FF1"/>
    <w:rsid w:val="008A078D"/>
    <w:rsid w:val="008A0851"/>
    <w:rsid w:val="008A0E5D"/>
    <w:rsid w:val="008A1452"/>
    <w:rsid w:val="008A1D6D"/>
    <w:rsid w:val="008A200D"/>
    <w:rsid w:val="008A20AA"/>
    <w:rsid w:val="008A2692"/>
    <w:rsid w:val="008A28F4"/>
    <w:rsid w:val="008A2D4F"/>
    <w:rsid w:val="008A2F68"/>
    <w:rsid w:val="008A3435"/>
    <w:rsid w:val="008A3D9E"/>
    <w:rsid w:val="008A3D9F"/>
    <w:rsid w:val="008A43E4"/>
    <w:rsid w:val="008A4BE4"/>
    <w:rsid w:val="008A4F5E"/>
    <w:rsid w:val="008A5569"/>
    <w:rsid w:val="008A62EF"/>
    <w:rsid w:val="008A645D"/>
    <w:rsid w:val="008A690D"/>
    <w:rsid w:val="008A6B12"/>
    <w:rsid w:val="008A6B8C"/>
    <w:rsid w:val="008A783E"/>
    <w:rsid w:val="008A7869"/>
    <w:rsid w:val="008A7F4D"/>
    <w:rsid w:val="008B01FE"/>
    <w:rsid w:val="008B03BE"/>
    <w:rsid w:val="008B051B"/>
    <w:rsid w:val="008B0608"/>
    <w:rsid w:val="008B0D5D"/>
    <w:rsid w:val="008B0ED3"/>
    <w:rsid w:val="008B1A1E"/>
    <w:rsid w:val="008B1B4C"/>
    <w:rsid w:val="008B1B73"/>
    <w:rsid w:val="008B2472"/>
    <w:rsid w:val="008B269C"/>
    <w:rsid w:val="008B28A3"/>
    <w:rsid w:val="008B2BFB"/>
    <w:rsid w:val="008B33DC"/>
    <w:rsid w:val="008B3558"/>
    <w:rsid w:val="008B375D"/>
    <w:rsid w:val="008B3892"/>
    <w:rsid w:val="008B3B14"/>
    <w:rsid w:val="008B4408"/>
    <w:rsid w:val="008B4972"/>
    <w:rsid w:val="008B4DC4"/>
    <w:rsid w:val="008B4FA6"/>
    <w:rsid w:val="008B4FA9"/>
    <w:rsid w:val="008B5282"/>
    <w:rsid w:val="008B582E"/>
    <w:rsid w:val="008B5D6C"/>
    <w:rsid w:val="008B6410"/>
    <w:rsid w:val="008B6D3C"/>
    <w:rsid w:val="008B6DA1"/>
    <w:rsid w:val="008B7196"/>
    <w:rsid w:val="008B7C17"/>
    <w:rsid w:val="008B7DEB"/>
    <w:rsid w:val="008C0292"/>
    <w:rsid w:val="008C07BF"/>
    <w:rsid w:val="008C0D6C"/>
    <w:rsid w:val="008C156C"/>
    <w:rsid w:val="008C16D9"/>
    <w:rsid w:val="008C18A6"/>
    <w:rsid w:val="008C1990"/>
    <w:rsid w:val="008C1B95"/>
    <w:rsid w:val="008C1C91"/>
    <w:rsid w:val="008C2D01"/>
    <w:rsid w:val="008C302A"/>
    <w:rsid w:val="008C310C"/>
    <w:rsid w:val="008C31A4"/>
    <w:rsid w:val="008C33AA"/>
    <w:rsid w:val="008C33FD"/>
    <w:rsid w:val="008C34E9"/>
    <w:rsid w:val="008C36D9"/>
    <w:rsid w:val="008C36FC"/>
    <w:rsid w:val="008C376C"/>
    <w:rsid w:val="008C3960"/>
    <w:rsid w:val="008C3E03"/>
    <w:rsid w:val="008C3EEA"/>
    <w:rsid w:val="008C40E6"/>
    <w:rsid w:val="008C40E7"/>
    <w:rsid w:val="008C428F"/>
    <w:rsid w:val="008C42C2"/>
    <w:rsid w:val="008C4A63"/>
    <w:rsid w:val="008C4D93"/>
    <w:rsid w:val="008C4E7E"/>
    <w:rsid w:val="008C50B6"/>
    <w:rsid w:val="008C5BD8"/>
    <w:rsid w:val="008C64AC"/>
    <w:rsid w:val="008C653D"/>
    <w:rsid w:val="008C6734"/>
    <w:rsid w:val="008C69E8"/>
    <w:rsid w:val="008C7931"/>
    <w:rsid w:val="008C7C46"/>
    <w:rsid w:val="008C7D2B"/>
    <w:rsid w:val="008D0536"/>
    <w:rsid w:val="008D0686"/>
    <w:rsid w:val="008D08B1"/>
    <w:rsid w:val="008D0F7A"/>
    <w:rsid w:val="008D233F"/>
    <w:rsid w:val="008D2415"/>
    <w:rsid w:val="008D2858"/>
    <w:rsid w:val="008D2E17"/>
    <w:rsid w:val="008D3087"/>
    <w:rsid w:val="008D4279"/>
    <w:rsid w:val="008D431B"/>
    <w:rsid w:val="008D4442"/>
    <w:rsid w:val="008D4D01"/>
    <w:rsid w:val="008D4FFE"/>
    <w:rsid w:val="008D5505"/>
    <w:rsid w:val="008D556E"/>
    <w:rsid w:val="008D56B0"/>
    <w:rsid w:val="008D5DF4"/>
    <w:rsid w:val="008D615B"/>
    <w:rsid w:val="008D6771"/>
    <w:rsid w:val="008D68E4"/>
    <w:rsid w:val="008D6E90"/>
    <w:rsid w:val="008D7229"/>
    <w:rsid w:val="008D77CE"/>
    <w:rsid w:val="008D7A79"/>
    <w:rsid w:val="008E0506"/>
    <w:rsid w:val="008E0CFF"/>
    <w:rsid w:val="008E1B25"/>
    <w:rsid w:val="008E1DD5"/>
    <w:rsid w:val="008E26E8"/>
    <w:rsid w:val="008E2796"/>
    <w:rsid w:val="008E28DD"/>
    <w:rsid w:val="008E2970"/>
    <w:rsid w:val="008E2A5B"/>
    <w:rsid w:val="008E2E23"/>
    <w:rsid w:val="008E2F2A"/>
    <w:rsid w:val="008E4222"/>
    <w:rsid w:val="008E464F"/>
    <w:rsid w:val="008E47B4"/>
    <w:rsid w:val="008E4D0D"/>
    <w:rsid w:val="008E4E2F"/>
    <w:rsid w:val="008E5051"/>
    <w:rsid w:val="008E5550"/>
    <w:rsid w:val="008E563A"/>
    <w:rsid w:val="008E56E5"/>
    <w:rsid w:val="008E5984"/>
    <w:rsid w:val="008E5D02"/>
    <w:rsid w:val="008E5D6B"/>
    <w:rsid w:val="008E7129"/>
    <w:rsid w:val="008E7301"/>
    <w:rsid w:val="008E7373"/>
    <w:rsid w:val="008E76F0"/>
    <w:rsid w:val="008E78B4"/>
    <w:rsid w:val="008F00A8"/>
    <w:rsid w:val="008F0D56"/>
    <w:rsid w:val="008F1056"/>
    <w:rsid w:val="008F15FE"/>
    <w:rsid w:val="008F1656"/>
    <w:rsid w:val="008F2114"/>
    <w:rsid w:val="008F2405"/>
    <w:rsid w:val="008F26EF"/>
    <w:rsid w:val="008F2D29"/>
    <w:rsid w:val="008F2E2D"/>
    <w:rsid w:val="008F2FAF"/>
    <w:rsid w:val="008F3EBE"/>
    <w:rsid w:val="008F4ECA"/>
    <w:rsid w:val="008F5187"/>
    <w:rsid w:val="008F58C8"/>
    <w:rsid w:val="008F593E"/>
    <w:rsid w:val="008F60D8"/>
    <w:rsid w:val="008F63D2"/>
    <w:rsid w:val="008F65E3"/>
    <w:rsid w:val="008F6859"/>
    <w:rsid w:val="008F6890"/>
    <w:rsid w:val="008F7181"/>
    <w:rsid w:val="008F727F"/>
    <w:rsid w:val="008F730D"/>
    <w:rsid w:val="008F7DE3"/>
    <w:rsid w:val="0090057B"/>
    <w:rsid w:val="00900623"/>
    <w:rsid w:val="00900CE7"/>
    <w:rsid w:val="00901DB3"/>
    <w:rsid w:val="00902544"/>
    <w:rsid w:val="00902727"/>
    <w:rsid w:val="00902B32"/>
    <w:rsid w:val="00902C04"/>
    <w:rsid w:val="00902C1B"/>
    <w:rsid w:val="0090312B"/>
    <w:rsid w:val="0090367B"/>
    <w:rsid w:val="009044E0"/>
    <w:rsid w:val="009047B7"/>
    <w:rsid w:val="009047EB"/>
    <w:rsid w:val="00904BDE"/>
    <w:rsid w:val="00905187"/>
    <w:rsid w:val="009051B0"/>
    <w:rsid w:val="009053EE"/>
    <w:rsid w:val="009060FF"/>
    <w:rsid w:val="00906514"/>
    <w:rsid w:val="00906DD9"/>
    <w:rsid w:val="00906E26"/>
    <w:rsid w:val="00907980"/>
    <w:rsid w:val="00907ADE"/>
    <w:rsid w:val="00907C7A"/>
    <w:rsid w:val="00907CD2"/>
    <w:rsid w:val="00907D20"/>
    <w:rsid w:val="0091049C"/>
    <w:rsid w:val="00910FB1"/>
    <w:rsid w:val="00911462"/>
    <w:rsid w:val="009116F2"/>
    <w:rsid w:val="00911842"/>
    <w:rsid w:val="009119BB"/>
    <w:rsid w:val="00912070"/>
    <w:rsid w:val="00912870"/>
    <w:rsid w:val="009129BC"/>
    <w:rsid w:val="00913229"/>
    <w:rsid w:val="009135BE"/>
    <w:rsid w:val="00913707"/>
    <w:rsid w:val="00913747"/>
    <w:rsid w:val="00914414"/>
    <w:rsid w:val="0091483D"/>
    <w:rsid w:val="009148A7"/>
    <w:rsid w:val="00914C87"/>
    <w:rsid w:val="00915589"/>
    <w:rsid w:val="009155EB"/>
    <w:rsid w:val="00915672"/>
    <w:rsid w:val="00915708"/>
    <w:rsid w:val="00915C7C"/>
    <w:rsid w:val="00915E02"/>
    <w:rsid w:val="00915E6A"/>
    <w:rsid w:val="00915FE6"/>
    <w:rsid w:val="009167F3"/>
    <w:rsid w:val="00916DD9"/>
    <w:rsid w:val="0091736D"/>
    <w:rsid w:val="00917662"/>
    <w:rsid w:val="0091767F"/>
    <w:rsid w:val="009176DE"/>
    <w:rsid w:val="009176EE"/>
    <w:rsid w:val="009177F6"/>
    <w:rsid w:val="00917C4E"/>
    <w:rsid w:val="00917CE7"/>
    <w:rsid w:val="00917D0E"/>
    <w:rsid w:val="0092000E"/>
    <w:rsid w:val="0092016F"/>
    <w:rsid w:val="009202A0"/>
    <w:rsid w:val="009203ED"/>
    <w:rsid w:val="0092078A"/>
    <w:rsid w:val="00921383"/>
    <w:rsid w:val="00921717"/>
    <w:rsid w:val="00921A8F"/>
    <w:rsid w:val="00921B57"/>
    <w:rsid w:val="00921C39"/>
    <w:rsid w:val="0092224B"/>
    <w:rsid w:val="00922442"/>
    <w:rsid w:val="00922506"/>
    <w:rsid w:val="00922675"/>
    <w:rsid w:val="0092280E"/>
    <w:rsid w:val="00922AA2"/>
    <w:rsid w:val="00922B40"/>
    <w:rsid w:val="00922D41"/>
    <w:rsid w:val="00922E2C"/>
    <w:rsid w:val="009232D4"/>
    <w:rsid w:val="00923AA6"/>
    <w:rsid w:val="00923B39"/>
    <w:rsid w:val="00923B62"/>
    <w:rsid w:val="009242ED"/>
    <w:rsid w:val="009244B0"/>
    <w:rsid w:val="0092498C"/>
    <w:rsid w:val="00924BB3"/>
    <w:rsid w:val="00924DCB"/>
    <w:rsid w:val="00924EF7"/>
    <w:rsid w:val="009250CA"/>
    <w:rsid w:val="009251F5"/>
    <w:rsid w:val="00925AF3"/>
    <w:rsid w:val="009261C9"/>
    <w:rsid w:val="00927762"/>
    <w:rsid w:val="00927AB4"/>
    <w:rsid w:val="00927E84"/>
    <w:rsid w:val="0093037A"/>
    <w:rsid w:val="00930919"/>
    <w:rsid w:val="00930DC0"/>
    <w:rsid w:val="0093108F"/>
    <w:rsid w:val="009312C5"/>
    <w:rsid w:val="00931991"/>
    <w:rsid w:val="00931D4B"/>
    <w:rsid w:val="009320E4"/>
    <w:rsid w:val="0093274D"/>
    <w:rsid w:val="00932CA3"/>
    <w:rsid w:val="009332E3"/>
    <w:rsid w:val="0093341E"/>
    <w:rsid w:val="009344A1"/>
    <w:rsid w:val="00934ED1"/>
    <w:rsid w:val="0093524C"/>
    <w:rsid w:val="0093571C"/>
    <w:rsid w:val="00936288"/>
    <w:rsid w:val="00936C87"/>
    <w:rsid w:val="009371CA"/>
    <w:rsid w:val="009374C3"/>
    <w:rsid w:val="00937DD5"/>
    <w:rsid w:val="00940797"/>
    <w:rsid w:val="00940A4D"/>
    <w:rsid w:val="00940A64"/>
    <w:rsid w:val="00940FB5"/>
    <w:rsid w:val="009411D4"/>
    <w:rsid w:val="0094140C"/>
    <w:rsid w:val="0094144E"/>
    <w:rsid w:val="0094154D"/>
    <w:rsid w:val="009419EC"/>
    <w:rsid w:val="009426B0"/>
    <w:rsid w:val="00942C20"/>
    <w:rsid w:val="00942E67"/>
    <w:rsid w:val="00944E34"/>
    <w:rsid w:val="00945772"/>
    <w:rsid w:val="009457EE"/>
    <w:rsid w:val="00945C57"/>
    <w:rsid w:val="00945F18"/>
    <w:rsid w:val="00946294"/>
    <w:rsid w:val="00946623"/>
    <w:rsid w:val="009468C5"/>
    <w:rsid w:val="009468F4"/>
    <w:rsid w:val="00946B08"/>
    <w:rsid w:val="00947C03"/>
    <w:rsid w:val="00947C2C"/>
    <w:rsid w:val="00947FF2"/>
    <w:rsid w:val="009508B9"/>
    <w:rsid w:val="00950A9A"/>
    <w:rsid w:val="00950AA0"/>
    <w:rsid w:val="00950B24"/>
    <w:rsid w:val="00950F27"/>
    <w:rsid w:val="009511FC"/>
    <w:rsid w:val="0095126D"/>
    <w:rsid w:val="0095155F"/>
    <w:rsid w:val="00952053"/>
    <w:rsid w:val="0095209D"/>
    <w:rsid w:val="00952948"/>
    <w:rsid w:val="0095313F"/>
    <w:rsid w:val="009537E8"/>
    <w:rsid w:val="00954429"/>
    <w:rsid w:val="00954761"/>
    <w:rsid w:val="009552C5"/>
    <w:rsid w:val="0095564E"/>
    <w:rsid w:val="00955D09"/>
    <w:rsid w:val="009563CE"/>
    <w:rsid w:val="00956572"/>
    <w:rsid w:val="0095679E"/>
    <w:rsid w:val="00956882"/>
    <w:rsid w:val="009569DD"/>
    <w:rsid w:val="00956DDD"/>
    <w:rsid w:val="00956E2E"/>
    <w:rsid w:val="009576D2"/>
    <w:rsid w:val="009577F6"/>
    <w:rsid w:val="00957BC7"/>
    <w:rsid w:val="00957CE2"/>
    <w:rsid w:val="00960107"/>
    <w:rsid w:val="0096019F"/>
    <w:rsid w:val="0096051D"/>
    <w:rsid w:val="009606E9"/>
    <w:rsid w:val="0096072A"/>
    <w:rsid w:val="00960740"/>
    <w:rsid w:val="00960DB9"/>
    <w:rsid w:val="00961498"/>
    <w:rsid w:val="00961B5E"/>
    <w:rsid w:val="00961C28"/>
    <w:rsid w:val="00962001"/>
    <w:rsid w:val="009621A1"/>
    <w:rsid w:val="009626D9"/>
    <w:rsid w:val="009629A1"/>
    <w:rsid w:val="00963393"/>
    <w:rsid w:val="00963B03"/>
    <w:rsid w:val="0096466B"/>
    <w:rsid w:val="00964728"/>
    <w:rsid w:val="00964871"/>
    <w:rsid w:val="00964B49"/>
    <w:rsid w:val="00964BFC"/>
    <w:rsid w:val="00964C9C"/>
    <w:rsid w:val="00965200"/>
    <w:rsid w:val="009659E7"/>
    <w:rsid w:val="00965F57"/>
    <w:rsid w:val="00965F59"/>
    <w:rsid w:val="009660EA"/>
    <w:rsid w:val="009662C8"/>
    <w:rsid w:val="00966989"/>
    <w:rsid w:val="009669B4"/>
    <w:rsid w:val="00966DBE"/>
    <w:rsid w:val="00967473"/>
    <w:rsid w:val="00967700"/>
    <w:rsid w:val="00967731"/>
    <w:rsid w:val="009677A2"/>
    <w:rsid w:val="00967B9C"/>
    <w:rsid w:val="00967BEE"/>
    <w:rsid w:val="00967DB6"/>
    <w:rsid w:val="00967E6A"/>
    <w:rsid w:val="00967F7B"/>
    <w:rsid w:val="00970076"/>
    <w:rsid w:val="00971934"/>
    <w:rsid w:val="00971B23"/>
    <w:rsid w:val="009725E4"/>
    <w:rsid w:val="009732D4"/>
    <w:rsid w:val="0097334E"/>
    <w:rsid w:val="00973813"/>
    <w:rsid w:val="00973ACE"/>
    <w:rsid w:val="00973F59"/>
    <w:rsid w:val="0097417A"/>
    <w:rsid w:val="00974260"/>
    <w:rsid w:val="00975D1F"/>
    <w:rsid w:val="00975D66"/>
    <w:rsid w:val="00976328"/>
    <w:rsid w:val="0097680D"/>
    <w:rsid w:val="00976D41"/>
    <w:rsid w:val="00976DD9"/>
    <w:rsid w:val="009771A3"/>
    <w:rsid w:val="00977229"/>
    <w:rsid w:val="00977353"/>
    <w:rsid w:val="0097745B"/>
    <w:rsid w:val="00977D75"/>
    <w:rsid w:val="00980438"/>
    <w:rsid w:val="00980DD0"/>
    <w:rsid w:val="00980DE2"/>
    <w:rsid w:val="00980F33"/>
    <w:rsid w:val="009815B6"/>
    <w:rsid w:val="00982438"/>
    <w:rsid w:val="0098255B"/>
    <w:rsid w:val="009825D3"/>
    <w:rsid w:val="00982871"/>
    <w:rsid w:val="009828EC"/>
    <w:rsid w:val="00982C26"/>
    <w:rsid w:val="00982DBC"/>
    <w:rsid w:val="00982F05"/>
    <w:rsid w:val="009837B0"/>
    <w:rsid w:val="00983EC2"/>
    <w:rsid w:val="0098404C"/>
    <w:rsid w:val="00984E8C"/>
    <w:rsid w:val="00984FB7"/>
    <w:rsid w:val="00985283"/>
    <w:rsid w:val="00985466"/>
    <w:rsid w:val="009858C7"/>
    <w:rsid w:val="00985B1B"/>
    <w:rsid w:val="00985CDC"/>
    <w:rsid w:val="00985EA2"/>
    <w:rsid w:val="00985F63"/>
    <w:rsid w:val="00985FEC"/>
    <w:rsid w:val="009870F0"/>
    <w:rsid w:val="009873E4"/>
    <w:rsid w:val="009900D2"/>
    <w:rsid w:val="009902FA"/>
    <w:rsid w:val="00990703"/>
    <w:rsid w:val="009908A2"/>
    <w:rsid w:val="009909CC"/>
    <w:rsid w:val="00990B52"/>
    <w:rsid w:val="00990DAC"/>
    <w:rsid w:val="00990FE8"/>
    <w:rsid w:val="009910AA"/>
    <w:rsid w:val="009910B9"/>
    <w:rsid w:val="00991687"/>
    <w:rsid w:val="00992300"/>
    <w:rsid w:val="009924BE"/>
    <w:rsid w:val="009927F8"/>
    <w:rsid w:val="00992EA4"/>
    <w:rsid w:val="00993324"/>
    <w:rsid w:val="0099332E"/>
    <w:rsid w:val="00993482"/>
    <w:rsid w:val="0099380C"/>
    <w:rsid w:val="009939C2"/>
    <w:rsid w:val="009939F7"/>
    <w:rsid w:val="00993BFA"/>
    <w:rsid w:val="00993BFB"/>
    <w:rsid w:val="00993E0D"/>
    <w:rsid w:val="00994240"/>
    <w:rsid w:val="009952D8"/>
    <w:rsid w:val="0099544A"/>
    <w:rsid w:val="0099549C"/>
    <w:rsid w:val="00995992"/>
    <w:rsid w:val="009963E1"/>
    <w:rsid w:val="00996AFB"/>
    <w:rsid w:val="0099704E"/>
    <w:rsid w:val="00997989"/>
    <w:rsid w:val="00997ABF"/>
    <w:rsid w:val="009A03E5"/>
    <w:rsid w:val="009A05C9"/>
    <w:rsid w:val="009A06DF"/>
    <w:rsid w:val="009A0F3B"/>
    <w:rsid w:val="009A0FE8"/>
    <w:rsid w:val="009A1492"/>
    <w:rsid w:val="009A1507"/>
    <w:rsid w:val="009A175F"/>
    <w:rsid w:val="009A1B4E"/>
    <w:rsid w:val="009A1BB4"/>
    <w:rsid w:val="009A1EA1"/>
    <w:rsid w:val="009A2241"/>
    <w:rsid w:val="009A23C4"/>
    <w:rsid w:val="009A2501"/>
    <w:rsid w:val="009A2557"/>
    <w:rsid w:val="009A2628"/>
    <w:rsid w:val="009A26A2"/>
    <w:rsid w:val="009A275E"/>
    <w:rsid w:val="009A2D0C"/>
    <w:rsid w:val="009A3200"/>
    <w:rsid w:val="009A33C3"/>
    <w:rsid w:val="009A383C"/>
    <w:rsid w:val="009A3F25"/>
    <w:rsid w:val="009A4347"/>
    <w:rsid w:val="009A4434"/>
    <w:rsid w:val="009A478A"/>
    <w:rsid w:val="009A47CE"/>
    <w:rsid w:val="009A4913"/>
    <w:rsid w:val="009A4C31"/>
    <w:rsid w:val="009A51F7"/>
    <w:rsid w:val="009A5CF7"/>
    <w:rsid w:val="009A5EFF"/>
    <w:rsid w:val="009A60F3"/>
    <w:rsid w:val="009A6760"/>
    <w:rsid w:val="009A6A5E"/>
    <w:rsid w:val="009A6A94"/>
    <w:rsid w:val="009A6BB0"/>
    <w:rsid w:val="009A71A9"/>
    <w:rsid w:val="009A7608"/>
    <w:rsid w:val="009A7DCA"/>
    <w:rsid w:val="009B0046"/>
    <w:rsid w:val="009B0897"/>
    <w:rsid w:val="009B096F"/>
    <w:rsid w:val="009B1350"/>
    <w:rsid w:val="009B157F"/>
    <w:rsid w:val="009B17D3"/>
    <w:rsid w:val="009B1CE1"/>
    <w:rsid w:val="009B2540"/>
    <w:rsid w:val="009B25CE"/>
    <w:rsid w:val="009B2908"/>
    <w:rsid w:val="009B2A85"/>
    <w:rsid w:val="009B32BE"/>
    <w:rsid w:val="009B345F"/>
    <w:rsid w:val="009B357D"/>
    <w:rsid w:val="009B36BA"/>
    <w:rsid w:val="009B3C41"/>
    <w:rsid w:val="009B478F"/>
    <w:rsid w:val="009B4904"/>
    <w:rsid w:val="009B49CD"/>
    <w:rsid w:val="009B49DB"/>
    <w:rsid w:val="009B4A01"/>
    <w:rsid w:val="009B62F3"/>
    <w:rsid w:val="009B6447"/>
    <w:rsid w:val="009B6927"/>
    <w:rsid w:val="009B6A8D"/>
    <w:rsid w:val="009B71FE"/>
    <w:rsid w:val="009B7279"/>
    <w:rsid w:val="009B7575"/>
    <w:rsid w:val="009B7BD9"/>
    <w:rsid w:val="009C032A"/>
    <w:rsid w:val="009C04BF"/>
    <w:rsid w:val="009C04FC"/>
    <w:rsid w:val="009C0879"/>
    <w:rsid w:val="009C0AC4"/>
    <w:rsid w:val="009C0EC1"/>
    <w:rsid w:val="009C1C1D"/>
    <w:rsid w:val="009C3263"/>
    <w:rsid w:val="009C35B8"/>
    <w:rsid w:val="009C3E3B"/>
    <w:rsid w:val="009C41C7"/>
    <w:rsid w:val="009C451A"/>
    <w:rsid w:val="009C4C9C"/>
    <w:rsid w:val="009C4F32"/>
    <w:rsid w:val="009C50FD"/>
    <w:rsid w:val="009C5121"/>
    <w:rsid w:val="009C52C4"/>
    <w:rsid w:val="009C53BF"/>
    <w:rsid w:val="009C5649"/>
    <w:rsid w:val="009C574E"/>
    <w:rsid w:val="009C5868"/>
    <w:rsid w:val="009C5A1F"/>
    <w:rsid w:val="009C5BA6"/>
    <w:rsid w:val="009C5EBB"/>
    <w:rsid w:val="009C604E"/>
    <w:rsid w:val="009C6385"/>
    <w:rsid w:val="009C64C1"/>
    <w:rsid w:val="009C6675"/>
    <w:rsid w:val="009C69C0"/>
    <w:rsid w:val="009C71CE"/>
    <w:rsid w:val="009C7247"/>
    <w:rsid w:val="009C7487"/>
    <w:rsid w:val="009C7733"/>
    <w:rsid w:val="009C7DD5"/>
    <w:rsid w:val="009D00D8"/>
    <w:rsid w:val="009D01A1"/>
    <w:rsid w:val="009D02E5"/>
    <w:rsid w:val="009D0822"/>
    <w:rsid w:val="009D11CB"/>
    <w:rsid w:val="009D151A"/>
    <w:rsid w:val="009D191E"/>
    <w:rsid w:val="009D2592"/>
    <w:rsid w:val="009D2751"/>
    <w:rsid w:val="009D2777"/>
    <w:rsid w:val="009D2B3E"/>
    <w:rsid w:val="009D3440"/>
    <w:rsid w:val="009D3D73"/>
    <w:rsid w:val="009D3E21"/>
    <w:rsid w:val="009D40A9"/>
    <w:rsid w:val="009D4C00"/>
    <w:rsid w:val="009D504F"/>
    <w:rsid w:val="009D5245"/>
    <w:rsid w:val="009D5553"/>
    <w:rsid w:val="009D5803"/>
    <w:rsid w:val="009D5820"/>
    <w:rsid w:val="009D66CF"/>
    <w:rsid w:val="009D6883"/>
    <w:rsid w:val="009D68E3"/>
    <w:rsid w:val="009D6A80"/>
    <w:rsid w:val="009D6DEA"/>
    <w:rsid w:val="009D7399"/>
    <w:rsid w:val="009D7521"/>
    <w:rsid w:val="009D789C"/>
    <w:rsid w:val="009E0189"/>
    <w:rsid w:val="009E0517"/>
    <w:rsid w:val="009E1139"/>
    <w:rsid w:val="009E15C3"/>
    <w:rsid w:val="009E227D"/>
    <w:rsid w:val="009E2845"/>
    <w:rsid w:val="009E28B1"/>
    <w:rsid w:val="009E2B45"/>
    <w:rsid w:val="009E2F08"/>
    <w:rsid w:val="009E3452"/>
    <w:rsid w:val="009E3848"/>
    <w:rsid w:val="009E3B80"/>
    <w:rsid w:val="009E428C"/>
    <w:rsid w:val="009E46D1"/>
    <w:rsid w:val="009E4A8E"/>
    <w:rsid w:val="009E4CCB"/>
    <w:rsid w:val="009E5019"/>
    <w:rsid w:val="009E50DE"/>
    <w:rsid w:val="009E5172"/>
    <w:rsid w:val="009E5200"/>
    <w:rsid w:val="009E543F"/>
    <w:rsid w:val="009E59C2"/>
    <w:rsid w:val="009E5AB1"/>
    <w:rsid w:val="009E5CA7"/>
    <w:rsid w:val="009E6CDA"/>
    <w:rsid w:val="009E760E"/>
    <w:rsid w:val="009E77E4"/>
    <w:rsid w:val="009F00E8"/>
    <w:rsid w:val="009F0125"/>
    <w:rsid w:val="009F0388"/>
    <w:rsid w:val="009F0788"/>
    <w:rsid w:val="009F0A31"/>
    <w:rsid w:val="009F0D1E"/>
    <w:rsid w:val="009F1039"/>
    <w:rsid w:val="009F1435"/>
    <w:rsid w:val="009F14E9"/>
    <w:rsid w:val="009F14FF"/>
    <w:rsid w:val="009F221F"/>
    <w:rsid w:val="009F2E13"/>
    <w:rsid w:val="009F33E7"/>
    <w:rsid w:val="009F3C52"/>
    <w:rsid w:val="009F3EE3"/>
    <w:rsid w:val="009F4315"/>
    <w:rsid w:val="009F43E7"/>
    <w:rsid w:val="009F4C3D"/>
    <w:rsid w:val="009F56FB"/>
    <w:rsid w:val="009F6730"/>
    <w:rsid w:val="009F6887"/>
    <w:rsid w:val="009F6F7A"/>
    <w:rsid w:val="009F7415"/>
    <w:rsid w:val="009F7736"/>
    <w:rsid w:val="009F7CB1"/>
    <w:rsid w:val="009F7F13"/>
    <w:rsid w:val="00A00333"/>
    <w:rsid w:val="00A00425"/>
    <w:rsid w:val="00A0071A"/>
    <w:rsid w:val="00A00872"/>
    <w:rsid w:val="00A010BF"/>
    <w:rsid w:val="00A01A43"/>
    <w:rsid w:val="00A01DEE"/>
    <w:rsid w:val="00A022B4"/>
    <w:rsid w:val="00A0235E"/>
    <w:rsid w:val="00A02C44"/>
    <w:rsid w:val="00A03688"/>
    <w:rsid w:val="00A03709"/>
    <w:rsid w:val="00A04552"/>
    <w:rsid w:val="00A047A3"/>
    <w:rsid w:val="00A04F1B"/>
    <w:rsid w:val="00A0501B"/>
    <w:rsid w:val="00A059BE"/>
    <w:rsid w:val="00A05D44"/>
    <w:rsid w:val="00A067E5"/>
    <w:rsid w:val="00A0797C"/>
    <w:rsid w:val="00A10AF2"/>
    <w:rsid w:val="00A10C65"/>
    <w:rsid w:val="00A11504"/>
    <w:rsid w:val="00A119BD"/>
    <w:rsid w:val="00A11E15"/>
    <w:rsid w:val="00A1213A"/>
    <w:rsid w:val="00A12356"/>
    <w:rsid w:val="00A125CE"/>
    <w:rsid w:val="00A12E4B"/>
    <w:rsid w:val="00A136A1"/>
    <w:rsid w:val="00A13801"/>
    <w:rsid w:val="00A13C08"/>
    <w:rsid w:val="00A13DD6"/>
    <w:rsid w:val="00A13E55"/>
    <w:rsid w:val="00A13EB2"/>
    <w:rsid w:val="00A14165"/>
    <w:rsid w:val="00A14308"/>
    <w:rsid w:val="00A144FB"/>
    <w:rsid w:val="00A14947"/>
    <w:rsid w:val="00A14B88"/>
    <w:rsid w:val="00A14EFA"/>
    <w:rsid w:val="00A15144"/>
    <w:rsid w:val="00A1554E"/>
    <w:rsid w:val="00A15BB1"/>
    <w:rsid w:val="00A15E77"/>
    <w:rsid w:val="00A1614A"/>
    <w:rsid w:val="00A162F7"/>
    <w:rsid w:val="00A16685"/>
    <w:rsid w:val="00A1682B"/>
    <w:rsid w:val="00A16FF9"/>
    <w:rsid w:val="00A17746"/>
    <w:rsid w:val="00A178A0"/>
    <w:rsid w:val="00A17D32"/>
    <w:rsid w:val="00A209C7"/>
    <w:rsid w:val="00A20A5A"/>
    <w:rsid w:val="00A20B1F"/>
    <w:rsid w:val="00A20C6D"/>
    <w:rsid w:val="00A214E8"/>
    <w:rsid w:val="00A216DF"/>
    <w:rsid w:val="00A217F6"/>
    <w:rsid w:val="00A219DF"/>
    <w:rsid w:val="00A21B29"/>
    <w:rsid w:val="00A21D15"/>
    <w:rsid w:val="00A220EB"/>
    <w:rsid w:val="00A22415"/>
    <w:rsid w:val="00A226D1"/>
    <w:rsid w:val="00A226FC"/>
    <w:rsid w:val="00A2276F"/>
    <w:rsid w:val="00A22AF8"/>
    <w:rsid w:val="00A22F6C"/>
    <w:rsid w:val="00A23328"/>
    <w:rsid w:val="00A234CA"/>
    <w:rsid w:val="00A238DD"/>
    <w:rsid w:val="00A23C38"/>
    <w:rsid w:val="00A2474E"/>
    <w:rsid w:val="00A24942"/>
    <w:rsid w:val="00A2560F"/>
    <w:rsid w:val="00A256E8"/>
    <w:rsid w:val="00A2572A"/>
    <w:rsid w:val="00A257EE"/>
    <w:rsid w:val="00A26017"/>
    <w:rsid w:val="00A2620D"/>
    <w:rsid w:val="00A26242"/>
    <w:rsid w:val="00A26322"/>
    <w:rsid w:val="00A26D2E"/>
    <w:rsid w:val="00A271D1"/>
    <w:rsid w:val="00A2753B"/>
    <w:rsid w:val="00A277FB"/>
    <w:rsid w:val="00A27A6D"/>
    <w:rsid w:val="00A27C02"/>
    <w:rsid w:val="00A27C91"/>
    <w:rsid w:val="00A27D36"/>
    <w:rsid w:val="00A27E9C"/>
    <w:rsid w:val="00A27F67"/>
    <w:rsid w:val="00A3034E"/>
    <w:rsid w:val="00A30554"/>
    <w:rsid w:val="00A30EF9"/>
    <w:rsid w:val="00A311EA"/>
    <w:rsid w:val="00A312A2"/>
    <w:rsid w:val="00A315F6"/>
    <w:rsid w:val="00A31740"/>
    <w:rsid w:val="00A3175E"/>
    <w:rsid w:val="00A317A7"/>
    <w:rsid w:val="00A31C76"/>
    <w:rsid w:val="00A3215C"/>
    <w:rsid w:val="00A32602"/>
    <w:rsid w:val="00A3282F"/>
    <w:rsid w:val="00A32977"/>
    <w:rsid w:val="00A32A1E"/>
    <w:rsid w:val="00A32A83"/>
    <w:rsid w:val="00A32D49"/>
    <w:rsid w:val="00A32F9D"/>
    <w:rsid w:val="00A33CB5"/>
    <w:rsid w:val="00A34626"/>
    <w:rsid w:val="00A34732"/>
    <w:rsid w:val="00A34AB9"/>
    <w:rsid w:val="00A34EAD"/>
    <w:rsid w:val="00A35203"/>
    <w:rsid w:val="00A358C2"/>
    <w:rsid w:val="00A35963"/>
    <w:rsid w:val="00A35CE0"/>
    <w:rsid w:val="00A35F72"/>
    <w:rsid w:val="00A36036"/>
    <w:rsid w:val="00A3628C"/>
    <w:rsid w:val="00A368DB"/>
    <w:rsid w:val="00A368E4"/>
    <w:rsid w:val="00A36930"/>
    <w:rsid w:val="00A3704A"/>
    <w:rsid w:val="00A371C4"/>
    <w:rsid w:val="00A371FF"/>
    <w:rsid w:val="00A372E4"/>
    <w:rsid w:val="00A402A5"/>
    <w:rsid w:val="00A405FD"/>
    <w:rsid w:val="00A4067B"/>
    <w:rsid w:val="00A41295"/>
    <w:rsid w:val="00A41DE5"/>
    <w:rsid w:val="00A423AA"/>
    <w:rsid w:val="00A42D26"/>
    <w:rsid w:val="00A42D9B"/>
    <w:rsid w:val="00A43193"/>
    <w:rsid w:val="00A43DF2"/>
    <w:rsid w:val="00A440D2"/>
    <w:rsid w:val="00A44477"/>
    <w:rsid w:val="00A445C3"/>
    <w:rsid w:val="00A447A8"/>
    <w:rsid w:val="00A44B07"/>
    <w:rsid w:val="00A44C06"/>
    <w:rsid w:val="00A4503C"/>
    <w:rsid w:val="00A4519D"/>
    <w:rsid w:val="00A454C9"/>
    <w:rsid w:val="00A45740"/>
    <w:rsid w:val="00A4585E"/>
    <w:rsid w:val="00A45A12"/>
    <w:rsid w:val="00A462FA"/>
    <w:rsid w:val="00A46579"/>
    <w:rsid w:val="00A46C01"/>
    <w:rsid w:val="00A4796D"/>
    <w:rsid w:val="00A50161"/>
    <w:rsid w:val="00A5064D"/>
    <w:rsid w:val="00A508A6"/>
    <w:rsid w:val="00A50ABE"/>
    <w:rsid w:val="00A51576"/>
    <w:rsid w:val="00A5216B"/>
    <w:rsid w:val="00A521CE"/>
    <w:rsid w:val="00A5237F"/>
    <w:rsid w:val="00A5254D"/>
    <w:rsid w:val="00A5362B"/>
    <w:rsid w:val="00A537D8"/>
    <w:rsid w:val="00A537DE"/>
    <w:rsid w:val="00A53B09"/>
    <w:rsid w:val="00A53C66"/>
    <w:rsid w:val="00A53EC6"/>
    <w:rsid w:val="00A53FD8"/>
    <w:rsid w:val="00A54263"/>
    <w:rsid w:val="00A5430D"/>
    <w:rsid w:val="00A5487E"/>
    <w:rsid w:val="00A548D5"/>
    <w:rsid w:val="00A549C2"/>
    <w:rsid w:val="00A54DC1"/>
    <w:rsid w:val="00A5562E"/>
    <w:rsid w:val="00A55C0F"/>
    <w:rsid w:val="00A5684B"/>
    <w:rsid w:val="00A56C1F"/>
    <w:rsid w:val="00A56C2A"/>
    <w:rsid w:val="00A56CA6"/>
    <w:rsid w:val="00A570FB"/>
    <w:rsid w:val="00A57449"/>
    <w:rsid w:val="00A5773E"/>
    <w:rsid w:val="00A57823"/>
    <w:rsid w:val="00A578AF"/>
    <w:rsid w:val="00A6032F"/>
    <w:rsid w:val="00A605DC"/>
    <w:rsid w:val="00A608A6"/>
    <w:rsid w:val="00A610DF"/>
    <w:rsid w:val="00A6112A"/>
    <w:rsid w:val="00A62186"/>
    <w:rsid w:val="00A6249F"/>
    <w:rsid w:val="00A62B1D"/>
    <w:rsid w:val="00A62DF6"/>
    <w:rsid w:val="00A62E73"/>
    <w:rsid w:val="00A62F24"/>
    <w:rsid w:val="00A64986"/>
    <w:rsid w:val="00A650BD"/>
    <w:rsid w:val="00A65900"/>
    <w:rsid w:val="00A6644D"/>
    <w:rsid w:val="00A6655B"/>
    <w:rsid w:val="00A67119"/>
    <w:rsid w:val="00A6730B"/>
    <w:rsid w:val="00A678A7"/>
    <w:rsid w:val="00A67CCA"/>
    <w:rsid w:val="00A70028"/>
    <w:rsid w:val="00A701E0"/>
    <w:rsid w:val="00A70A2A"/>
    <w:rsid w:val="00A70BCA"/>
    <w:rsid w:val="00A70C4B"/>
    <w:rsid w:val="00A7106C"/>
    <w:rsid w:val="00A7138E"/>
    <w:rsid w:val="00A7232B"/>
    <w:rsid w:val="00A726F5"/>
    <w:rsid w:val="00A72848"/>
    <w:rsid w:val="00A734B6"/>
    <w:rsid w:val="00A734CD"/>
    <w:rsid w:val="00A73536"/>
    <w:rsid w:val="00A73B7C"/>
    <w:rsid w:val="00A73E20"/>
    <w:rsid w:val="00A74255"/>
    <w:rsid w:val="00A7454E"/>
    <w:rsid w:val="00A74747"/>
    <w:rsid w:val="00A74A36"/>
    <w:rsid w:val="00A756D2"/>
    <w:rsid w:val="00A758C3"/>
    <w:rsid w:val="00A75DD1"/>
    <w:rsid w:val="00A76193"/>
    <w:rsid w:val="00A765B0"/>
    <w:rsid w:val="00A768A9"/>
    <w:rsid w:val="00A76D02"/>
    <w:rsid w:val="00A77175"/>
    <w:rsid w:val="00A771CD"/>
    <w:rsid w:val="00A7776B"/>
    <w:rsid w:val="00A80416"/>
    <w:rsid w:val="00A806D4"/>
    <w:rsid w:val="00A809B4"/>
    <w:rsid w:val="00A809E7"/>
    <w:rsid w:val="00A80A81"/>
    <w:rsid w:val="00A81599"/>
    <w:rsid w:val="00A8173F"/>
    <w:rsid w:val="00A81B2E"/>
    <w:rsid w:val="00A81F36"/>
    <w:rsid w:val="00A823B3"/>
    <w:rsid w:val="00A82BAA"/>
    <w:rsid w:val="00A82BC9"/>
    <w:rsid w:val="00A82E7F"/>
    <w:rsid w:val="00A82F92"/>
    <w:rsid w:val="00A83424"/>
    <w:rsid w:val="00A83655"/>
    <w:rsid w:val="00A83E10"/>
    <w:rsid w:val="00A83EB7"/>
    <w:rsid w:val="00A84329"/>
    <w:rsid w:val="00A84874"/>
    <w:rsid w:val="00A8497E"/>
    <w:rsid w:val="00A85274"/>
    <w:rsid w:val="00A857C4"/>
    <w:rsid w:val="00A8622E"/>
    <w:rsid w:val="00A8713F"/>
    <w:rsid w:val="00A87402"/>
    <w:rsid w:val="00A876A2"/>
    <w:rsid w:val="00A87E53"/>
    <w:rsid w:val="00A87F74"/>
    <w:rsid w:val="00A909D2"/>
    <w:rsid w:val="00A90BA1"/>
    <w:rsid w:val="00A90D21"/>
    <w:rsid w:val="00A90E27"/>
    <w:rsid w:val="00A91675"/>
    <w:rsid w:val="00A91F03"/>
    <w:rsid w:val="00A91FDE"/>
    <w:rsid w:val="00A92026"/>
    <w:rsid w:val="00A9233D"/>
    <w:rsid w:val="00A92543"/>
    <w:rsid w:val="00A9311E"/>
    <w:rsid w:val="00A9399F"/>
    <w:rsid w:val="00A93A9B"/>
    <w:rsid w:val="00A93D61"/>
    <w:rsid w:val="00A9400B"/>
    <w:rsid w:val="00A9415D"/>
    <w:rsid w:val="00A94A0A"/>
    <w:rsid w:val="00A94BCD"/>
    <w:rsid w:val="00A94E0F"/>
    <w:rsid w:val="00A950E5"/>
    <w:rsid w:val="00A95420"/>
    <w:rsid w:val="00A961F9"/>
    <w:rsid w:val="00A96205"/>
    <w:rsid w:val="00A963A9"/>
    <w:rsid w:val="00A966B9"/>
    <w:rsid w:val="00A966FD"/>
    <w:rsid w:val="00A96A6E"/>
    <w:rsid w:val="00A96C8C"/>
    <w:rsid w:val="00A96D9C"/>
    <w:rsid w:val="00A9747A"/>
    <w:rsid w:val="00A97727"/>
    <w:rsid w:val="00A978E0"/>
    <w:rsid w:val="00A97916"/>
    <w:rsid w:val="00A97A9A"/>
    <w:rsid w:val="00AA0437"/>
    <w:rsid w:val="00AA0671"/>
    <w:rsid w:val="00AA0A20"/>
    <w:rsid w:val="00AA0B08"/>
    <w:rsid w:val="00AA10ED"/>
    <w:rsid w:val="00AA11AC"/>
    <w:rsid w:val="00AA1289"/>
    <w:rsid w:val="00AA162D"/>
    <w:rsid w:val="00AA17B0"/>
    <w:rsid w:val="00AA1BC6"/>
    <w:rsid w:val="00AA1C1A"/>
    <w:rsid w:val="00AA20C1"/>
    <w:rsid w:val="00AA20EC"/>
    <w:rsid w:val="00AA24EB"/>
    <w:rsid w:val="00AA2531"/>
    <w:rsid w:val="00AA274B"/>
    <w:rsid w:val="00AA27E0"/>
    <w:rsid w:val="00AA2B2A"/>
    <w:rsid w:val="00AA3187"/>
    <w:rsid w:val="00AA3273"/>
    <w:rsid w:val="00AA37E9"/>
    <w:rsid w:val="00AA3C7D"/>
    <w:rsid w:val="00AA412D"/>
    <w:rsid w:val="00AA495B"/>
    <w:rsid w:val="00AA4C4B"/>
    <w:rsid w:val="00AA4DB0"/>
    <w:rsid w:val="00AA5C8C"/>
    <w:rsid w:val="00AA6569"/>
    <w:rsid w:val="00AA6778"/>
    <w:rsid w:val="00AA6A94"/>
    <w:rsid w:val="00AA6B51"/>
    <w:rsid w:val="00AA6B5C"/>
    <w:rsid w:val="00AA6D7B"/>
    <w:rsid w:val="00AA6EF8"/>
    <w:rsid w:val="00AA72EF"/>
    <w:rsid w:val="00AA7442"/>
    <w:rsid w:val="00AA7547"/>
    <w:rsid w:val="00AA79CE"/>
    <w:rsid w:val="00AA7E49"/>
    <w:rsid w:val="00AB07CE"/>
    <w:rsid w:val="00AB0D9D"/>
    <w:rsid w:val="00AB1382"/>
    <w:rsid w:val="00AB1462"/>
    <w:rsid w:val="00AB18B2"/>
    <w:rsid w:val="00AB1A42"/>
    <w:rsid w:val="00AB1ABC"/>
    <w:rsid w:val="00AB1E09"/>
    <w:rsid w:val="00AB1F29"/>
    <w:rsid w:val="00AB24C2"/>
    <w:rsid w:val="00AB2AA5"/>
    <w:rsid w:val="00AB3204"/>
    <w:rsid w:val="00AB3525"/>
    <w:rsid w:val="00AB35C0"/>
    <w:rsid w:val="00AB3A90"/>
    <w:rsid w:val="00AB3FFE"/>
    <w:rsid w:val="00AB414A"/>
    <w:rsid w:val="00AB4473"/>
    <w:rsid w:val="00AB4C2C"/>
    <w:rsid w:val="00AB4DFB"/>
    <w:rsid w:val="00AB5330"/>
    <w:rsid w:val="00AB5A24"/>
    <w:rsid w:val="00AB61D5"/>
    <w:rsid w:val="00AB6A23"/>
    <w:rsid w:val="00AB70A5"/>
    <w:rsid w:val="00AB73B4"/>
    <w:rsid w:val="00AB758D"/>
    <w:rsid w:val="00AB7747"/>
    <w:rsid w:val="00AB7A9C"/>
    <w:rsid w:val="00AB7E1E"/>
    <w:rsid w:val="00AB7FF3"/>
    <w:rsid w:val="00AC0679"/>
    <w:rsid w:val="00AC0A38"/>
    <w:rsid w:val="00AC0F4C"/>
    <w:rsid w:val="00AC12E0"/>
    <w:rsid w:val="00AC1350"/>
    <w:rsid w:val="00AC14CE"/>
    <w:rsid w:val="00AC1501"/>
    <w:rsid w:val="00AC18F1"/>
    <w:rsid w:val="00AC1B60"/>
    <w:rsid w:val="00AC21A1"/>
    <w:rsid w:val="00AC2A16"/>
    <w:rsid w:val="00AC2A56"/>
    <w:rsid w:val="00AC2C7F"/>
    <w:rsid w:val="00AC2C8F"/>
    <w:rsid w:val="00AC2E4D"/>
    <w:rsid w:val="00AC2F67"/>
    <w:rsid w:val="00AC3ACF"/>
    <w:rsid w:val="00AC3E53"/>
    <w:rsid w:val="00AC4066"/>
    <w:rsid w:val="00AC4188"/>
    <w:rsid w:val="00AC4BB6"/>
    <w:rsid w:val="00AC4DA2"/>
    <w:rsid w:val="00AC504A"/>
    <w:rsid w:val="00AC5170"/>
    <w:rsid w:val="00AC5B98"/>
    <w:rsid w:val="00AC5FA3"/>
    <w:rsid w:val="00AC6260"/>
    <w:rsid w:val="00AC639E"/>
    <w:rsid w:val="00AC67FE"/>
    <w:rsid w:val="00AC70B3"/>
    <w:rsid w:val="00AC72AA"/>
    <w:rsid w:val="00AC7665"/>
    <w:rsid w:val="00AC7899"/>
    <w:rsid w:val="00AC799E"/>
    <w:rsid w:val="00AD04A2"/>
    <w:rsid w:val="00AD055E"/>
    <w:rsid w:val="00AD084C"/>
    <w:rsid w:val="00AD0CA3"/>
    <w:rsid w:val="00AD0D85"/>
    <w:rsid w:val="00AD1556"/>
    <w:rsid w:val="00AD1D64"/>
    <w:rsid w:val="00AD220E"/>
    <w:rsid w:val="00AD26F8"/>
    <w:rsid w:val="00AD2730"/>
    <w:rsid w:val="00AD2D75"/>
    <w:rsid w:val="00AD2DE6"/>
    <w:rsid w:val="00AD2EF4"/>
    <w:rsid w:val="00AD3443"/>
    <w:rsid w:val="00AD3786"/>
    <w:rsid w:val="00AD47A7"/>
    <w:rsid w:val="00AD4CE3"/>
    <w:rsid w:val="00AD4CEF"/>
    <w:rsid w:val="00AD5259"/>
    <w:rsid w:val="00AD5402"/>
    <w:rsid w:val="00AD5852"/>
    <w:rsid w:val="00AD633B"/>
    <w:rsid w:val="00AD665B"/>
    <w:rsid w:val="00AD68B7"/>
    <w:rsid w:val="00AD6EC4"/>
    <w:rsid w:val="00AD7C08"/>
    <w:rsid w:val="00AE02C8"/>
    <w:rsid w:val="00AE137F"/>
    <w:rsid w:val="00AE1584"/>
    <w:rsid w:val="00AE15F9"/>
    <w:rsid w:val="00AE1BFE"/>
    <w:rsid w:val="00AE2BC1"/>
    <w:rsid w:val="00AE2F87"/>
    <w:rsid w:val="00AE3242"/>
    <w:rsid w:val="00AE3418"/>
    <w:rsid w:val="00AE3AD9"/>
    <w:rsid w:val="00AE4382"/>
    <w:rsid w:val="00AE45FC"/>
    <w:rsid w:val="00AE4AEE"/>
    <w:rsid w:val="00AE546F"/>
    <w:rsid w:val="00AE5F24"/>
    <w:rsid w:val="00AE6129"/>
    <w:rsid w:val="00AE694D"/>
    <w:rsid w:val="00AE6988"/>
    <w:rsid w:val="00AE6A85"/>
    <w:rsid w:val="00AE7052"/>
    <w:rsid w:val="00AE7111"/>
    <w:rsid w:val="00AE72EB"/>
    <w:rsid w:val="00AE733D"/>
    <w:rsid w:val="00AE76D7"/>
    <w:rsid w:val="00AE7762"/>
    <w:rsid w:val="00AE7BDE"/>
    <w:rsid w:val="00AE7C21"/>
    <w:rsid w:val="00AF0947"/>
    <w:rsid w:val="00AF09A9"/>
    <w:rsid w:val="00AF0CBF"/>
    <w:rsid w:val="00AF11C8"/>
    <w:rsid w:val="00AF16FD"/>
    <w:rsid w:val="00AF1BA7"/>
    <w:rsid w:val="00AF1E29"/>
    <w:rsid w:val="00AF1F13"/>
    <w:rsid w:val="00AF1F64"/>
    <w:rsid w:val="00AF23C1"/>
    <w:rsid w:val="00AF23FE"/>
    <w:rsid w:val="00AF257F"/>
    <w:rsid w:val="00AF2789"/>
    <w:rsid w:val="00AF2FB7"/>
    <w:rsid w:val="00AF2FEA"/>
    <w:rsid w:val="00AF33CF"/>
    <w:rsid w:val="00AF3448"/>
    <w:rsid w:val="00AF3C4D"/>
    <w:rsid w:val="00AF3C63"/>
    <w:rsid w:val="00AF434B"/>
    <w:rsid w:val="00AF46AC"/>
    <w:rsid w:val="00AF4D50"/>
    <w:rsid w:val="00AF4E7F"/>
    <w:rsid w:val="00AF4F6F"/>
    <w:rsid w:val="00AF5309"/>
    <w:rsid w:val="00AF5FDC"/>
    <w:rsid w:val="00AF6179"/>
    <w:rsid w:val="00AF6467"/>
    <w:rsid w:val="00AF6E98"/>
    <w:rsid w:val="00AF6F85"/>
    <w:rsid w:val="00AF6F9E"/>
    <w:rsid w:val="00AF7647"/>
    <w:rsid w:val="00B001BD"/>
    <w:rsid w:val="00B002B3"/>
    <w:rsid w:val="00B0088A"/>
    <w:rsid w:val="00B00971"/>
    <w:rsid w:val="00B00996"/>
    <w:rsid w:val="00B025FD"/>
    <w:rsid w:val="00B02971"/>
    <w:rsid w:val="00B0309A"/>
    <w:rsid w:val="00B03357"/>
    <w:rsid w:val="00B037AE"/>
    <w:rsid w:val="00B038EA"/>
    <w:rsid w:val="00B03921"/>
    <w:rsid w:val="00B03AC9"/>
    <w:rsid w:val="00B0420F"/>
    <w:rsid w:val="00B0599C"/>
    <w:rsid w:val="00B06627"/>
    <w:rsid w:val="00B06641"/>
    <w:rsid w:val="00B0664A"/>
    <w:rsid w:val="00B06B52"/>
    <w:rsid w:val="00B06CC8"/>
    <w:rsid w:val="00B06FB5"/>
    <w:rsid w:val="00B07C1B"/>
    <w:rsid w:val="00B07E13"/>
    <w:rsid w:val="00B07E7D"/>
    <w:rsid w:val="00B1055A"/>
    <w:rsid w:val="00B11174"/>
    <w:rsid w:val="00B11176"/>
    <w:rsid w:val="00B11837"/>
    <w:rsid w:val="00B122FD"/>
    <w:rsid w:val="00B12332"/>
    <w:rsid w:val="00B12800"/>
    <w:rsid w:val="00B1295A"/>
    <w:rsid w:val="00B12B66"/>
    <w:rsid w:val="00B13276"/>
    <w:rsid w:val="00B136E0"/>
    <w:rsid w:val="00B1370B"/>
    <w:rsid w:val="00B13A89"/>
    <w:rsid w:val="00B13B0D"/>
    <w:rsid w:val="00B13F60"/>
    <w:rsid w:val="00B14F78"/>
    <w:rsid w:val="00B14FA8"/>
    <w:rsid w:val="00B155AD"/>
    <w:rsid w:val="00B15B4C"/>
    <w:rsid w:val="00B16627"/>
    <w:rsid w:val="00B16735"/>
    <w:rsid w:val="00B16A99"/>
    <w:rsid w:val="00B1738B"/>
    <w:rsid w:val="00B174B0"/>
    <w:rsid w:val="00B1773B"/>
    <w:rsid w:val="00B17A26"/>
    <w:rsid w:val="00B17FC7"/>
    <w:rsid w:val="00B2069B"/>
    <w:rsid w:val="00B20A45"/>
    <w:rsid w:val="00B2100E"/>
    <w:rsid w:val="00B2131F"/>
    <w:rsid w:val="00B21686"/>
    <w:rsid w:val="00B216BE"/>
    <w:rsid w:val="00B222C0"/>
    <w:rsid w:val="00B222CD"/>
    <w:rsid w:val="00B22684"/>
    <w:rsid w:val="00B22C5C"/>
    <w:rsid w:val="00B2316E"/>
    <w:rsid w:val="00B231A2"/>
    <w:rsid w:val="00B232A1"/>
    <w:rsid w:val="00B23945"/>
    <w:rsid w:val="00B23E6F"/>
    <w:rsid w:val="00B23F9C"/>
    <w:rsid w:val="00B24F30"/>
    <w:rsid w:val="00B2525D"/>
    <w:rsid w:val="00B25695"/>
    <w:rsid w:val="00B256DA"/>
    <w:rsid w:val="00B2576A"/>
    <w:rsid w:val="00B25F9E"/>
    <w:rsid w:val="00B26727"/>
    <w:rsid w:val="00B26769"/>
    <w:rsid w:val="00B26C88"/>
    <w:rsid w:val="00B27DB0"/>
    <w:rsid w:val="00B30A43"/>
    <w:rsid w:val="00B30CC8"/>
    <w:rsid w:val="00B310D8"/>
    <w:rsid w:val="00B31930"/>
    <w:rsid w:val="00B31ABF"/>
    <w:rsid w:val="00B321C6"/>
    <w:rsid w:val="00B324BE"/>
    <w:rsid w:val="00B3282C"/>
    <w:rsid w:val="00B32C47"/>
    <w:rsid w:val="00B32EA9"/>
    <w:rsid w:val="00B331D6"/>
    <w:rsid w:val="00B33602"/>
    <w:rsid w:val="00B336E0"/>
    <w:rsid w:val="00B33BE3"/>
    <w:rsid w:val="00B3463A"/>
    <w:rsid w:val="00B354C4"/>
    <w:rsid w:val="00B356A4"/>
    <w:rsid w:val="00B35760"/>
    <w:rsid w:val="00B3586D"/>
    <w:rsid w:val="00B3595F"/>
    <w:rsid w:val="00B3603C"/>
    <w:rsid w:val="00B36278"/>
    <w:rsid w:val="00B36344"/>
    <w:rsid w:val="00B36567"/>
    <w:rsid w:val="00B367A9"/>
    <w:rsid w:val="00B369CD"/>
    <w:rsid w:val="00B36C5E"/>
    <w:rsid w:val="00B36F43"/>
    <w:rsid w:val="00B37302"/>
    <w:rsid w:val="00B373D6"/>
    <w:rsid w:val="00B37AF4"/>
    <w:rsid w:val="00B37E01"/>
    <w:rsid w:val="00B40136"/>
    <w:rsid w:val="00B4043D"/>
    <w:rsid w:val="00B4073A"/>
    <w:rsid w:val="00B41438"/>
    <w:rsid w:val="00B415B2"/>
    <w:rsid w:val="00B41703"/>
    <w:rsid w:val="00B41955"/>
    <w:rsid w:val="00B4279D"/>
    <w:rsid w:val="00B42B85"/>
    <w:rsid w:val="00B43209"/>
    <w:rsid w:val="00B43F05"/>
    <w:rsid w:val="00B43F0A"/>
    <w:rsid w:val="00B43F10"/>
    <w:rsid w:val="00B440FA"/>
    <w:rsid w:val="00B44253"/>
    <w:rsid w:val="00B44710"/>
    <w:rsid w:val="00B449AA"/>
    <w:rsid w:val="00B44CB8"/>
    <w:rsid w:val="00B44F87"/>
    <w:rsid w:val="00B45594"/>
    <w:rsid w:val="00B4599F"/>
    <w:rsid w:val="00B461C6"/>
    <w:rsid w:val="00B46C71"/>
    <w:rsid w:val="00B4759A"/>
    <w:rsid w:val="00B50710"/>
    <w:rsid w:val="00B507F9"/>
    <w:rsid w:val="00B50C6C"/>
    <w:rsid w:val="00B50E03"/>
    <w:rsid w:val="00B51AF0"/>
    <w:rsid w:val="00B528A5"/>
    <w:rsid w:val="00B52E4D"/>
    <w:rsid w:val="00B535A9"/>
    <w:rsid w:val="00B53B5D"/>
    <w:rsid w:val="00B53F41"/>
    <w:rsid w:val="00B5400D"/>
    <w:rsid w:val="00B54096"/>
    <w:rsid w:val="00B540B2"/>
    <w:rsid w:val="00B54457"/>
    <w:rsid w:val="00B54A67"/>
    <w:rsid w:val="00B555FA"/>
    <w:rsid w:val="00B556FA"/>
    <w:rsid w:val="00B559F7"/>
    <w:rsid w:val="00B55AB8"/>
    <w:rsid w:val="00B560BD"/>
    <w:rsid w:val="00B561B5"/>
    <w:rsid w:val="00B5682C"/>
    <w:rsid w:val="00B569F9"/>
    <w:rsid w:val="00B570C7"/>
    <w:rsid w:val="00B570E4"/>
    <w:rsid w:val="00B57952"/>
    <w:rsid w:val="00B57C5A"/>
    <w:rsid w:val="00B60165"/>
    <w:rsid w:val="00B60338"/>
    <w:rsid w:val="00B603B2"/>
    <w:rsid w:val="00B6055E"/>
    <w:rsid w:val="00B61336"/>
    <w:rsid w:val="00B619C6"/>
    <w:rsid w:val="00B61ED0"/>
    <w:rsid w:val="00B62192"/>
    <w:rsid w:val="00B623D7"/>
    <w:rsid w:val="00B623DE"/>
    <w:rsid w:val="00B62EB6"/>
    <w:rsid w:val="00B6317D"/>
    <w:rsid w:val="00B6320F"/>
    <w:rsid w:val="00B63854"/>
    <w:rsid w:val="00B64123"/>
    <w:rsid w:val="00B6437F"/>
    <w:rsid w:val="00B64AAB"/>
    <w:rsid w:val="00B64D9F"/>
    <w:rsid w:val="00B6507B"/>
    <w:rsid w:val="00B6525C"/>
    <w:rsid w:val="00B65651"/>
    <w:rsid w:val="00B6603C"/>
    <w:rsid w:val="00B66C6D"/>
    <w:rsid w:val="00B66F25"/>
    <w:rsid w:val="00B670AA"/>
    <w:rsid w:val="00B674ED"/>
    <w:rsid w:val="00B67FF4"/>
    <w:rsid w:val="00B70DD0"/>
    <w:rsid w:val="00B70FB3"/>
    <w:rsid w:val="00B71DDD"/>
    <w:rsid w:val="00B71ECB"/>
    <w:rsid w:val="00B721C3"/>
    <w:rsid w:val="00B7242A"/>
    <w:rsid w:val="00B727D6"/>
    <w:rsid w:val="00B7294E"/>
    <w:rsid w:val="00B72ABE"/>
    <w:rsid w:val="00B72CF7"/>
    <w:rsid w:val="00B72DBA"/>
    <w:rsid w:val="00B739D9"/>
    <w:rsid w:val="00B73A1A"/>
    <w:rsid w:val="00B73C03"/>
    <w:rsid w:val="00B742C2"/>
    <w:rsid w:val="00B7475A"/>
    <w:rsid w:val="00B7481E"/>
    <w:rsid w:val="00B74925"/>
    <w:rsid w:val="00B74958"/>
    <w:rsid w:val="00B754AE"/>
    <w:rsid w:val="00B755F4"/>
    <w:rsid w:val="00B7578D"/>
    <w:rsid w:val="00B75914"/>
    <w:rsid w:val="00B75930"/>
    <w:rsid w:val="00B75B95"/>
    <w:rsid w:val="00B760DA"/>
    <w:rsid w:val="00B767FC"/>
    <w:rsid w:val="00B76849"/>
    <w:rsid w:val="00B76904"/>
    <w:rsid w:val="00B76D75"/>
    <w:rsid w:val="00B7723F"/>
    <w:rsid w:val="00B7754B"/>
    <w:rsid w:val="00B80130"/>
    <w:rsid w:val="00B80534"/>
    <w:rsid w:val="00B80797"/>
    <w:rsid w:val="00B8092E"/>
    <w:rsid w:val="00B80DD1"/>
    <w:rsid w:val="00B80F53"/>
    <w:rsid w:val="00B812A4"/>
    <w:rsid w:val="00B813C0"/>
    <w:rsid w:val="00B81589"/>
    <w:rsid w:val="00B81D98"/>
    <w:rsid w:val="00B8201C"/>
    <w:rsid w:val="00B82026"/>
    <w:rsid w:val="00B824DA"/>
    <w:rsid w:val="00B82823"/>
    <w:rsid w:val="00B82AEE"/>
    <w:rsid w:val="00B83053"/>
    <w:rsid w:val="00B83070"/>
    <w:rsid w:val="00B83312"/>
    <w:rsid w:val="00B8351C"/>
    <w:rsid w:val="00B837C7"/>
    <w:rsid w:val="00B83B06"/>
    <w:rsid w:val="00B840F4"/>
    <w:rsid w:val="00B8433C"/>
    <w:rsid w:val="00B844FE"/>
    <w:rsid w:val="00B8456C"/>
    <w:rsid w:val="00B84B61"/>
    <w:rsid w:val="00B85087"/>
    <w:rsid w:val="00B85860"/>
    <w:rsid w:val="00B85A4E"/>
    <w:rsid w:val="00B85FDE"/>
    <w:rsid w:val="00B861B4"/>
    <w:rsid w:val="00B864FF"/>
    <w:rsid w:val="00B86771"/>
    <w:rsid w:val="00B86AC1"/>
    <w:rsid w:val="00B86B8E"/>
    <w:rsid w:val="00B86DD0"/>
    <w:rsid w:val="00B87184"/>
    <w:rsid w:val="00B87201"/>
    <w:rsid w:val="00B87319"/>
    <w:rsid w:val="00B87491"/>
    <w:rsid w:val="00B8749E"/>
    <w:rsid w:val="00B87E8F"/>
    <w:rsid w:val="00B900F6"/>
    <w:rsid w:val="00B902F7"/>
    <w:rsid w:val="00B9032B"/>
    <w:rsid w:val="00B90A3D"/>
    <w:rsid w:val="00B90C61"/>
    <w:rsid w:val="00B90D82"/>
    <w:rsid w:val="00B91232"/>
    <w:rsid w:val="00B912D8"/>
    <w:rsid w:val="00B91484"/>
    <w:rsid w:val="00B9158D"/>
    <w:rsid w:val="00B916E0"/>
    <w:rsid w:val="00B9173F"/>
    <w:rsid w:val="00B91C12"/>
    <w:rsid w:val="00B91DF5"/>
    <w:rsid w:val="00B92181"/>
    <w:rsid w:val="00B921EB"/>
    <w:rsid w:val="00B92A3A"/>
    <w:rsid w:val="00B92D52"/>
    <w:rsid w:val="00B933C2"/>
    <w:rsid w:val="00B938B0"/>
    <w:rsid w:val="00B93D53"/>
    <w:rsid w:val="00B94615"/>
    <w:rsid w:val="00B94D59"/>
    <w:rsid w:val="00B94FCF"/>
    <w:rsid w:val="00B955F4"/>
    <w:rsid w:val="00B95E6C"/>
    <w:rsid w:val="00B9628A"/>
    <w:rsid w:val="00B96966"/>
    <w:rsid w:val="00B97394"/>
    <w:rsid w:val="00B97652"/>
    <w:rsid w:val="00B97EA8"/>
    <w:rsid w:val="00B97FA5"/>
    <w:rsid w:val="00BA0030"/>
    <w:rsid w:val="00BA0554"/>
    <w:rsid w:val="00BA0C47"/>
    <w:rsid w:val="00BA0E94"/>
    <w:rsid w:val="00BA1A6C"/>
    <w:rsid w:val="00BA29DE"/>
    <w:rsid w:val="00BA29E9"/>
    <w:rsid w:val="00BA2ACD"/>
    <w:rsid w:val="00BA38EB"/>
    <w:rsid w:val="00BA4932"/>
    <w:rsid w:val="00BA4EFF"/>
    <w:rsid w:val="00BA5024"/>
    <w:rsid w:val="00BA516F"/>
    <w:rsid w:val="00BA52DC"/>
    <w:rsid w:val="00BA55A2"/>
    <w:rsid w:val="00BA58F2"/>
    <w:rsid w:val="00BA5921"/>
    <w:rsid w:val="00BA5C50"/>
    <w:rsid w:val="00BA5E0E"/>
    <w:rsid w:val="00BA67EE"/>
    <w:rsid w:val="00BA690B"/>
    <w:rsid w:val="00BA6A0D"/>
    <w:rsid w:val="00BA6F9C"/>
    <w:rsid w:val="00BA708B"/>
    <w:rsid w:val="00BA7142"/>
    <w:rsid w:val="00BA7EAB"/>
    <w:rsid w:val="00BB055E"/>
    <w:rsid w:val="00BB0761"/>
    <w:rsid w:val="00BB119F"/>
    <w:rsid w:val="00BB15AC"/>
    <w:rsid w:val="00BB16F5"/>
    <w:rsid w:val="00BB19B7"/>
    <w:rsid w:val="00BB237C"/>
    <w:rsid w:val="00BB279D"/>
    <w:rsid w:val="00BB2B2A"/>
    <w:rsid w:val="00BB2F3F"/>
    <w:rsid w:val="00BB335C"/>
    <w:rsid w:val="00BB397D"/>
    <w:rsid w:val="00BB41A3"/>
    <w:rsid w:val="00BB41CC"/>
    <w:rsid w:val="00BB458E"/>
    <w:rsid w:val="00BB4831"/>
    <w:rsid w:val="00BB4D3E"/>
    <w:rsid w:val="00BB4DA4"/>
    <w:rsid w:val="00BB4DC5"/>
    <w:rsid w:val="00BB4E60"/>
    <w:rsid w:val="00BB5999"/>
    <w:rsid w:val="00BB5B14"/>
    <w:rsid w:val="00BB5F08"/>
    <w:rsid w:val="00BB6237"/>
    <w:rsid w:val="00BB641E"/>
    <w:rsid w:val="00BB6BD9"/>
    <w:rsid w:val="00BB74E0"/>
    <w:rsid w:val="00BB75DA"/>
    <w:rsid w:val="00BB7853"/>
    <w:rsid w:val="00BB78A5"/>
    <w:rsid w:val="00BB7A90"/>
    <w:rsid w:val="00BB7C28"/>
    <w:rsid w:val="00BB7F98"/>
    <w:rsid w:val="00BC043A"/>
    <w:rsid w:val="00BC046C"/>
    <w:rsid w:val="00BC0656"/>
    <w:rsid w:val="00BC0BB1"/>
    <w:rsid w:val="00BC0E32"/>
    <w:rsid w:val="00BC0FAB"/>
    <w:rsid w:val="00BC13F7"/>
    <w:rsid w:val="00BC16EB"/>
    <w:rsid w:val="00BC18A2"/>
    <w:rsid w:val="00BC1FC0"/>
    <w:rsid w:val="00BC26C6"/>
    <w:rsid w:val="00BC32DC"/>
    <w:rsid w:val="00BC3420"/>
    <w:rsid w:val="00BC356B"/>
    <w:rsid w:val="00BC35B6"/>
    <w:rsid w:val="00BC43AA"/>
    <w:rsid w:val="00BC4604"/>
    <w:rsid w:val="00BC48EC"/>
    <w:rsid w:val="00BC5BB0"/>
    <w:rsid w:val="00BC5C79"/>
    <w:rsid w:val="00BC6593"/>
    <w:rsid w:val="00BC6F06"/>
    <w:rsid w:val="00BC7224"/>
    <w:rsid w:val="00BC7312"/>
    <w:rsid w:val="00BC7316"/>
    <w:rsid w:val="00BC78F0"/>
    <w:rsid w:val="00BD020D"/>
    <w:rsid w:val="00BD1225"/>
    <w:rsid w:val="00BD1240"/>
    <w:rsid w:val="00BD15B5"/>
    <w:rsid w:val="00BD1853"/>
    <w:rsid w:val="00BD1ADB"/>
    <w:rsid w:val="00BD1B51"/>
    <w:rsid w:val="00BD1EB3"/>
    <w:rsid w:val="00BD1EEF"/>
    <w:rsid w:val="00BD2069"/>
    <w:rsid w:val="00BD2426"/>
    <w:rsid w:val="00BD26C5"/>
    <w:rsid w:val="00BD36A1"/>
    <w:rsid w:val="00BD3CCD"/>
    <w:rsid w:val="00BD42EC"/>
    <w:rsid w:val="00BD4596"/>
    <w:rsid w:val="00BD5383"/>
    <w:rsid w:val="00BD54FB"/>
    <w:rsid w:val="00BD5873"/>
    <w:rsid w:val="00BD5BAB"/>
    <w:rsid w:val="00BD5D2A"/>
    <w:rsid w:val="00BD5D5C"/>
    <w:rsid w:val="00BD68A9"/>
    <w:rsid w:val="00BD6CE5"/>
    <w:rsid w:val="00BD6EA1"/>
    <w:rsid w:val="00BD7081"/>
    <w:rsid w:val="00BD736C"/>
    <w:rsid w:val="00BD78E9"/>
    <w:rsid w:val="00BD7AB5"/>
    <w:rsid w:val="00BD7DFB"/>
    <w:rsid w:val="00BD7F97"/>
    <w:rsid w:val="00BE1405"/>
    <w:rsid w:val="00BE1557"/>
    <w:rsid w:val="00BE2111"/>
    <w:rsid w:val="00BE2260"/>
    <w:rsid w:val="00BE2461"/>
    <w:rsid w:val="00BE2A6D"/>
    <w:rsid w:val="00BE2F38"/>
    <w:rsid w:val="00BE2F46"/>
    <w:rsid w:val="00BE312D"/>
    <w:rsid w:val="00BE350F"/>
    <w:rsid w:val="00BE3C63"/>
    <w:rsid w:val="00BE3CBB"/>
    <w:rsid w:val="00BE557F"/>
    <w:rsid w:val="00BE58A9"/>
    <w:rsid w:val="00BE5B92"/>
    <w:rsid w:val="00BE66E6"/>
    <w:rsid w:val="00BE66F1"/>
    <w:rsid w:val="00BE66F3"/>
    <w:rsid w:val="00BE6719"/>
    <w:rsid w:val="00BE68DA"/>
    <w:rsid w:val="00BE6CED"/>
    <w:rsid w:val="00BE6EFC"/>
    <w:rsid w:val="00BE7773"/>
    <w:rsid w:val="00BE7B4B"/>
    <w:rsid w:val="00BE7FF9"/>
    <w:rsid w:val="00BF004E"/>
    <w:rsid w:val="00BF047E"/>
    <w:rsid w:val="00BF0721"/>
    <w:rsid w:val="00BF0815"/>
    <w:rsid w:val="00BF19DF"/>
    <w:rsid w:val="00BF1C20"/>
    <w:rsid w:val="00BF1CEB"/>
    <w:rsid w:val="00BF1EDD"/>
    <w:rsid w:val="00BF26EE"/>
    <w:rsid w:val="00BF2CA2"/>
    <w:rsid w:val="00BF2E5A"/>
    <w:rsid w:val="00BF304D"/>
    <w:rsid w:val="00BF3174"/>
    <w:rsid w:val="00BF448C"/>
    <w:rsid w:val="00BF461F"/>
    <w:rsid w:val="00BF4A12"/>
    <w:rsid w:val="00BF4FC1"/>
    <w:rsid w:val="00BF53FA"/>
    <w:rsid w:val="00BF578B"/>
    <w:rsid w:val="00BF5802"/>
    <w:rsid w:val="00BF65C4"/>
    <w:rsid w:val="00BF6694"/>
    <w:rsid w:val="00BF683C"/>
    <w:rsid w:val="00BF6ED8"/>
    <w:rsid w:val="00BF6FA8"/>
    <w:rsid w:val="00BF7062"/>
    <w:rsid w:val="00C000A5"/>
    <w:rsid w:val="00C0040D"/>
    <w:rsid w:val="00C0086F"/>
    <w:rsid w:val="00C0099C"/>
    <w:rsid w:val="00C00D51"/>
    <w:rsid w:val="00C01D21"/>
    <w:rsid w:val="00C020C9"/>
    <w:rsid w:val="00C022DD"/>
    <w:rsid w:val="00C023DC"/>
    <w:rsid w:val="00C02BED"/>
    <w:rsid w:val="00C030CD"/>
    <w:rsid w:val="00C03DBF"/>
    <w:rsid w:val="00C0411C"/>
    <w:rsid w:val="00C043E8"/>
    <w:rsid w:val="00C0480B"/>
    <w:rsid w:val="00C048E1"/>
    <w:rsid w:val="00C054C5"/>
    <w:rsid w:val="00C057E7"/>
    <w:rsid w:val="00C05BB6"/>
    <w:rsid w:val="00C05BDA"/>
    <w:rsid w:val="00C062C2"/>
    <w:rsid w:val="00C062D8"/>
    <w:rsid w:val="00C06D63"/>
    <w:rsid w:val="00C06EAC"/>
    <w:rsid w:val="00C06F6C"/>
    <w:rsid w:val="00C06FCB"/>
    <w:rsid w:val="00C07E90"/>
    <w:rsid w:val="00C07FA4"/>
    <w:rsid w:val="00C10337"/>
    <w:rsid w:val="00C10463"/>
    <w:rsid w:val="00C10578"/>
    <w:rsid w:val="00C106A6"/>
    <w:rsid w:val="00C1083E"/>
    <w:rsid w:val="00C10CC0"/>
    <w:rsid w:val="00C11738"/>
    <w:rsid w:val="00C11864"/>
    <w:rsid w:val="00C11A19"/>
    <w:rsid w:val="00C11F1B"/>
    <w:rsid w:val="00C12129"/>
    <w:rsid w:val="00C12464"/>
    <w:rsid w:val="00C12EE1"/>
    <w:rsid w:val="00C1336F"/>
    <w:rsid w:val="00C135BC"/>
    <w:rsid w:val="00C13EDC"/>
    <w:rsid w:val="00C1448E"/>
    <w:rsid w:val="00C14862"/>
    <w:rsid w:val="00C14D5F"/>
    <w:rsid w:val="00C14DBA"/>
    <w:rsid w:val="00C14FFA"/>
    <w:rsid w:val="00C1514D"/>
    <w:rsid w:val="00C1525F"/>
    <w:rsid w:val="00C1538B"/>
    <w:rsid w:val="00C155CF"/>
    <w:rsid w:val="00C15C95"/>
    <w:rsid w:val="00C161E9"/>
    <w:rsid w:val="00C16688"/>
    <w:rsid w:val="00C16A05"/>
    <w:rsid w:val="00C16E61"/>
    <w:rsid w:val="00C17121"/>
    <w:rsid w:val="00C171DE"/>
    <w:rsid w:val="00C17224"/>
    <w:rsid w:val="00C1773B"/>
    <w:rsid w:val="00C202EF"/>
    <w:rsid w:val="00C20A0B"/>
    <w:rsid w:val="00C20A4C"/>
    <w:rsid w:val="00C20E04"/>
    <w:rsid w:val="00C21BE8"/>
    <w:rsid w:val="00C22039"/>
    <w:rsid w:val="00C224FD"/>
    <w:rsid w:val="00C22AEF"/>
    <w:rsid w:val="00C22D78"/>
    <w:rsid w:val="00C23286"/>
    <w:rsid w:val="00C2412C"/>
    <w:rsid w:val="00C245BF"/>
    <w:rsid w:val="00C24DC1"/>
    <w:rsid w:val="00C24F8D"/>
    <w:rsid w:val="00C25207"/>
    <w:rsid w:val="00C255A1"/>
    <w:rsid w:val="00C2596A"/>
    <w:rsid w:val="00C25FB1"/>
    <w:rsid w:val="00C2603B"/>
    <w:rsid w:val="00C261A1"/>
    <w:rsid w:val="00C262A4"/>
    <w:rsid w:val="00C26778"/>
    <w:rsid w:val="00C26809"/>
    <w:rsid w:val="00C27537"/>
    <w:rsid w:val="00C30C2B"/>
    <w:rsid w:val="00C30DA8"/>
    <w:rsid w:val="00C31160"/>
    <w:rsid w:val="00C3199C"/>
    <w:rsid w:val="00C32101"/>
    <w:rsid w:val="00C328FE"/>
    <w:rsid w:val="00C32EFD"/>
    <w:rsid w:val="00C33507"/>
    <w:rsid w:val="00C338DF"/>
    <w:rsid w:val="00C33D5A"/>
    <w:rsid w:val="00C340A8"/>
    <w:rsid w:val="00C34188"/>
    <w:rsid w:val="00C34F4B"/>
    <w:rsid w:val="00C35447"/>
    <w:rsid w:val="00C357BD"/>
    <w:rsid w:val="00C3580C"/>
    <w:rsid w:val="00C358BD"/>
    <w:rsid w:val="00C35D53"/>
    <w:rsid w:val="00C35E5F"/>
    <w:rsid w:val="00C36433"/>
    <w:rsid w:val="00C366F0"/>
    <w:rsid w:val="00C36BBB"/>
    <w:rsid w:val="00C36C8B"/>
    <w:rsid w:val="00C36D0B"/>
    <w:rsid w:val="00C37485"/>
    <w:rsid w:val="00C37FA0"/>
    <w:rsid w:val="00C40142"/>
    <w:rsid w:val="00C40876"/>
    <w:rsid w:val="00C41202"/>
    <w:rsid w:val="00C412D1"/>
    <w:rsid w:val="00C41C2E"/>
    <w:rsid w:val="00C41E12"/>
    <w:rsid w:val="00C41E83"/>
    <w:rsid w:val="00C41F7A"/>
    <w:rsid w:val="00C41F97"/>
    <w:rsid w:val="00C423FD"/>
    <w:rsid w:val="00C427C5"/>
    <w:rsid w:val="00C4332A"/>
    <w:rsid w:val="00C4349A"/>
    <w:rsid w:val="00C4369C"/>
    <w:rsid w:val="00C436B7"/>
    <w:rsid w:val="00C4388E"/>
    <w:rsid w:val="00C43CC7"/>
    <w:rsid w:val="00C4409D"/>
    <w:rsid w:val="00C44588"/>
    <w:rsid w:val="00C44E5F"/>
    <w:rsid w:val="00C44E72"/>
    <w:rsid w:val="00C44F86"/>
    <w:rsid w:val="00C45338"/>
    <w:rsid w:val="00C45A06"/>
    <w:rsid w:val="00C45CB5"/>
    <w:rsid w:val="00C45E2C"/>
    <w:rsid w:val="00C45F73"/>
    <w:rsid w:val="00C46268"/>
    <w:rsid w:val="00C46581"/>
    <w:rsid w:val="00C465F9"/>
    <w:rsid w:val="00C4683D"/>
    <w:rsid w:val="00C46C56"/>
    <w:rsid w:val="00C470BD"/>
    <w:rsid w:val="00C47152"/>
    <w:rsid w:val="00C47BC8"/>
    <w:rsid w:val="00C47E5B"/>
    <w:rsid w:val="00C50A7A"/>
    <w:rsid w:val="00C50D0E"/>
    <w:rsid w:val="00C50E60"/>
    <w:rsid w:val="00C51022"/>
    <w:rsid w:val="00C513E2"/>
    <w:rsid w:val="00C513F7"/>
    <w:rsid w:val="00C514BC"/>
    <w:rsid w:val="00C514D4"/>
    <w:rsid w:val="00C51714"/>
    <w:rsid w:val="00C5195E"/>
    <w:rsid w:val="00C51C83"/>
    <w:rsid w:val="00C5256D"/>
    <w:rsid w:val="00C527E3"/>
    <w:rsid w:val="00C528F3"/>
    <w:rsid w:val="00C52B93"/>
    <w:rsid w:val="00C52BBB"/>
    <w:rsid w:val="00C52C84"/>
    <w:rsid w:val="00C52D51"/>
    <w:rsid w:val="00C532C3"/>
    <w:rsid w:val="00C532D6"/>
    <w:rsid w:val="00C53B11"/>
    <w:rsid w:val="00C53C61"/>
    <w:rsid w:val="00C53D1A"/>
    <w:rsid w:val="00C54321"/>
    <w:rsid w:val="00C54376"/>
    <w:rsid w:val="00C547A9"/>
    <w:rsid w:val="00C5485A"/>
    <w:rsid w:val="00C54891"/>
    <w:rsid w:val="00C548C9"/>
    <w:rsid w:val="00C552F6"/>
    <w:rsid w:val="00C554EF"/>
    <w:rsid w:val="00C561C8"/>
    <w:rsid w:val="00C564FD"/>
    <w:rsid w:val="00C56740"/>
    <w:rsid w:val="00C56E28"/>
    <w:rsid w:val="00C5709E"/>
    <w:rsid w:val="00C57319"/>
    <w:rsid w:val="00C575D9"/>
    <w:rsid w:val="00C57B7B"/>
    <w:rsid w:val="00C57BE6"/>
    <w:rsid w:val="00C57CF3"/>
    <w:rsid w:val="00C60713"/>
    <w:rsid w:val="00C60B82"/>
    <w:rsid w:val="00C60C1F"/>
    <w:rsid w:val="00C61989"/>
    <w:rsid w:val="00C61A67"/>
    <w:rsid w:val="00C61E4B"/>
    <w:rsid w:val="00C61ED1"/>
    <w:rsid w:val="00C62239"/>
    <w:rsid w:val="00C623BF"/>
    <w:rsid w:val="00C62A5E"/>
    <w:rsid w:val="00C62B28"/>
    <w:rsid w:val="00C63D84"/>
    <w:rsid w:val="00C641EB"/>
    <w:rsid w:val="00C6468D"/>
    <w:rsid w:val="00C64BFF"/>
    <w:rsid w:val="00C65379"/>
    <w:rsid w:val="00C65627"/>
    <w:rsid w:val="00C65693"/>
    <w:rsid w:val="00C65B61"/>
    <w:rsid w:val="00C66B62"/>
    <w:rsid w:val="00C66BA9"/>
    <w:rsid w:val="00C66CA8"/>
    <w:rsid w:val="00C6722B"/>
    <w:rsid w:val="00C67AD4"/>
    <w:rsid w:val="00C67B78"/>
    <w:rsid w:val="00C67BBA"/>
    <w:rsid w:val="00C67BDE"/>
    <w:rsid w:val="00C67FBD"/>
    <w:rsid w:val="00C704E9"/>
    <w:rsid w:val="00C7067D"/>
    <w:rsid w:val="00C7070F"/>
    <w:rsid w:val="00C709E1"/>
    <w:rsid w:val="00C70BEB"/>
    <w:rsid w:val="00C71086"/>
    <w:rsid w:val="00C71090"/>
    <w:rsid w:val="00C7112D"/>
    <w:rsid w:val="00C719FE"/>
    <w:rsid w:val="00C720E0"/>
    <w:rsid w:val="00C721D7"/>
    <w:rsid w:val="00C722B9"/>
    <w:rsid w:val="00C72857"/>
    <w:rsid w:val="00C72C0E"/>
    <w:rsid w:val="00C72E5A"/>
    <w:rsid w:val="00C72FD7"/>
    <w:rsid w:val="00C737CF"/>
    <w:rsid w:val="00C73A8C"/>
    <w:rsid w:val="00C744D1"/>
    <w:rsid w:val="00C747FD"/>
    <w:rsid w:val="00C74CAF"/>
    <w:rsid w:val="00C75038"/>
    <w:rsid w:val="00C757A6"/>
    <w:rsid w:val="00C75874"/>
    <w:rsid w:val="00C75EC5"/>
    <w:rsid w:val="00C76143"/>
    <w:rsid w:val="00C763C9"/>
    <w:rsid w:val="00C76731"/>
    <w:rsid w:val="00C76959"/>
    <w:rsid w:val="00C76F68"/>
    <w:rsid w:val="00C77244"/>
    <w:rsid w:val="00C77FA4"/>
    <w:rsid w:val="00C80057"/>
    <w:rsid w:val="00C801CE"/>
    <w:rsid w:val="00C801D5"/>
    <w:rsid w:val="00C81213"/>
    <w:rsid w:val="00C8163C"/>
    <w:rsid w:val="00C81DA1"/>
    <w:rsid w:val="00C820BB"/>
    <w:rsid w:val="00C82232"/>
    <w:rsid w:val="00C82913"/>
    <w:rsid w:val="00C829C3"/>
    <w:rsid w:val="00C83602"/>
    <w:rsid w:val="00C8379D"/>
    <w:rsid w:val="00C83AD7"/>
    <w:rsid w:val="00C83DB7"/>
    <w:rsid w:val="00C83E96"/>
    <w:rsid w:val="00C84C01"/>
    <w:rsid w:val="00C84D9B"/>
    <w:rsid w:val="00C859E5"/>
    <w:rsid w:val="00C85B20"/>
    <w:rsid w:val="00C85B61"/>
    <w:rsid w:val="00C85CE1"/>
    <w:rsid w:val="00C85F61"/>
    <w:rsid w:val="00C8641B"/>
    <w:rsid w:val="00C8644C"/>
    <w:rsid w:val="00C86491"/>
    <w:rsid w:val="00C8691B"/>
    <w:rsid w:val="00C86FF7"/>
    <w:rsid w:val="00C87363"/>
    <w:rsid w:val="00C87478"/>
    <w:rsid w:val="00C90119"/>
    <w:rsid w:val="00C9039A"/>
    <w:rsid w:val="00C90492"/>
    <w:rsid w:val="00C90594"/>
    <w:rsid w:val="00C907D7"/>
    <w:rsid w:val="00C90BEE"/>
    <w:rsid w:val="00C9173B"/>
    <w:rsid w:val="00C91E9C"/>
    <w:rsid w:val="00C92456"/>
    <w:rsid w:val="00C927DA"/>
    <w:rsid w:val="00C92A64"/>
    <w:rsid w:val="00C92C38"/>
    <w:rsid w:val="00C93B6B"/>
    <w:rsid w:val="00C93DBE"/>
    <w:rsid w:val="00C94812"/>
    <w:rsid w:val="00C9481A"/>
    <w:rsid w:val="00C94C48"/>
    <w:rsid w:val="00C95AE1"/>
    <w:rsid w:val="00C96644"/>
    <w:rsid w:val="00C966F4"/>
    <w:rsid w:val="00C96994"/>
    <w:rsid w:val="00C972B1"/>
    <w:rsid w:val="00C97EB8"/>
    <w:rsid w:val="00CA05BB"/>
    <w:rsid w:val="00CA0E06"/>
    <w:rsid w:val="00CA1195"/>
    <w:rsid w:val="00CA1940"/>
    <w:rsid w:val="00CA22D5"/>
    <w:rsid w:val="00CA2377"/>
    <w:rsid w:val="00CA2CCE"/>
    <w:rsid w:val="00CA2EB0"/>
    <w:rsid w:val="00CA2F74"/>
    <w:rsid w:val="00CA32F1"/>
    <w:rsid w:val="00CA371A"/>
    <w:rsid w:val="00CA383B"/>
    <w:rsid w:val="00CA38DC"/>
    <w:rsid w:val="00CA43FD"/>
    <w:rsid w:val="00CA4F62"/>
    <w:rsid w:val="00CA517B"/>
    <w:rsid w:val="00CA5509"/>
    <w:rsid w:val="00CA5AD3"/>
    <w:rsid w:val="00CA6227"/>
    <w:rsid w:val="00CA646D"/>
    <w:rsid w:val="00CA6BC4"/>
    <w:rsid w:val="00CA782E"/>
    <w:rsid w:val="00CA7EE4"/>
    <w:rsid w:val="00CA7EF8"/>
    <w:rsid w:val="00CB0079"/>
    <w:rsid w:val="00CB1412"/>
    <w:rsid w:val="00CB16DC"/>
    <w:rsid w:val="00CB16F6"/>
    <w:rsid w:val="00CB17C9"/>
    <w:rsid w:val="00CB26C3"/>
    <w:rsid w:val="00CB28DC"/>
    <w:rsid w:val="00CB298A"/>
    <w:rsid w:val="00CB2B6F"/>
    <w:rsid w:val="00CB3189"/>
    <w:rsid w:val="00CB36FC"/>
    <w:rsid w:val="00CB379C"/>
    <w:rsid w:val="00CB37CD"/>
    <w:rsid w:val="00CB3CC6"/>
    <w:rsid w:val="00CB3DB6"/>
    <w:rsid w:val="00CB3DBC"/>
    <w:rsid w:val="00CB4055"/>
    <w:rsid w:val="00CB444F"/>
    <w:rsid w:val="00CB457F"/>
    <w:rsid w:val="00CB486B"/>
    <w:rsid w:val="00CB4A67"/>
    <w:rsid w:val="00CB4B7B"/>
    <w:rsid w:val="00CB5430"/>
    <w:rsid w:val="00CB5E9D"/>
    <w:rsid w:val="00CB622C"/>
    <w:rsid w:val="00CB65F7"/>
    <w:rsid w:val="00CB688B"/>
    <w:rsid w:val="00CB699F"/>
    <w:rsid w:val="00CB69F8"/>
    <w:rsid w:val="00CB6C06"/>
    <w:rsid w:val="00CB6EEF"/>
    <w:rsid w:val="00CB7079"/>
    <w:rsid w:val="00CB7A55"/>
    <w:rsid w:val="00CC0219"/>
    <w:rsid w:val="00CC02F5"/>
    <w:rsid w:val="00CC0372"/>
    <w:rsid w:val="00CC10FB"/>
    <w:rsid w:val="00CC13A3"/>
    <w:rsid w:val="00CC2009"/>
    <w:rsid w:val="00CC2121"/>
    <w:rsid w:val="00CC35A3"/>
    <w:rsid w:val="00CC35E6"/>
    <w:rsid w:val="00CC426C"/>
    <w:rsid w:val="00CC427A"/>
    <w:rsid w:val="00CC461E"/>
    <w:rsid w:val="00CC489B"/>
    <w:rsid w:val="00CC4C54"/>
    <w:rsid w:val="00CC5332"/>
    <w:rsid w:val="00CC5365"/>
    <w:rsid w:val="00CC53EF"/>
    <w:rsid w:val="00CC5D9F"/>
    <w:rsid w:val="00CC5E07"/>
    <w:rsid w:val="00CC5E46"/>
    <w:rsid w:val="00CC679D"/>
    <w:rsid w:val="00CC67E4"/>
    <w:rsid w:val="00CC6D74"/>
    <w:rsid w:val="00CC6F18"/>
    <w:rsid w:val="00CC7190"/>
    <w:rsid w:val="00CD00C0"/>
    <w:rsid w:val="00CD0F62"/>
    <w:rsid w:val="00CD1000"/>
    <w:rsid w:val="00CD103C"/>
    <w:rsid w:val="00CD1094"/>
    <w:rsid w:val="00CD121F"/>
    <w:rsid w:val="00CD1788"/>
    <w:rsid w:val="00CD1C89"/>
    <w:rsid w:val="00CD1E15"/>
    <w:rsid w:val="00CD2BC5"/>
    <w:rsid w:val="00CD2BCD"/>
    <w:rsid w:val="00CD3179"/>
    <w:rsid w:val="00CD3613"/>
    <w:rsid w:val="00CD37AD"/>
    <w:rsid w:val="00CD3A4C"/>
    <w:rsid w:val="00CD3C00"/>
    <w:rsid w:val="00CD3D7B"/>
    <w:rsid w:val="00CD4158"/>
    <w:rsid w:val="00CD424E"/>
    <w:rsid w:val="00CD4395"/>
    <w:rsid w:val="00CD4818"/>
    <w:rsid w:val="00CD4A15"/>
    <w:rsid w:val="00CD4B37"/>
    <w:rsid w:val="00CD4BD1"/>
    <w:rsid w:val="00CD4DB0"/>
    <w:rsid w:val="00CD4DEA"/>
    <w:rsid w:val="00CD505D"/>
    <w:rsid w:val="00CD55EC"/>
    <w:rsid w:val="00CD5B91"/>
    <w:rsid w:val="00CD6294"/>
    <w:rsid w:val="00CD6C1B"/>
    <w:rsid w:val="00CD7325"/>
    <w:rsid w:val="00CE02D4"/>
    <w:rsid w:val="00CE0478"/>
    <w:rsid w:val="00CE063C"/>
    <w:rsid w:val="00CE10E9"/>
    <w:rsid w:val="00CE2910"/>
    <w:rsid w:val="00CE2A1F"/>
    <w:rsid w:val="00CE31F7"/>
    <w:rsid w:val="00CE3383"/>
    <w:rsid w:val="00CE3396"/>
    <w:rsid w:val="00CE34E9"/>
    <w:rsid w:val="00CE3C81"/>
    <w:rsid w:val="00CE430C"/>
    <w:rsid w:val="00CE4E15"/>
    <w:rsid w:val="00CE4FA9"/>
    <w:rsid w:val="00CE5393"/>
    <w:rsid w:val="00CE5A0D"/>
    <w:rsid w:val="00CE5ADF"/>
    <w:rsid w:val="00CE5AFC"/>
    <w:rsid w:val="00CE628C"/>
    <w:rsid w:val="00CE686D"/>
    <w:rsid w:val="00CE68F4"/>
    <w:rsid w:val="00CE6ADF"/>
    <w:rsid w:val="00CE6C92"/>
    <w:rsid w:val="00CE7252"/>
    <w:rsid w:val="00CE742D"/>
    <w:rsid w:val="00CE7A4F"/>
    <w:rsid w:val="00CE7CFD"/>
    <w:rsid w:val="00CE7D3E"/>
    <w:rsid w:val="00CE7DB1"/>
    <w:rsid w:val="00CE7F7A"/>
    <w:rsid w:val="00CF03AD"/>
    <w:rsid w:val="00CF0533"/>
    <w:rsid w:val="00CF06F9"/>
    <w:rsid w:val="00CF0784"/>
    <w:rsid w:val="00CF0A4B"/>
    <w:rsid w:val="00CF0C6D"/>
    <w:rsid w:val="00CF12A0"/>
    <w:rsid w:val="00CF12E4"/>
    <w:rsid w:val="00CF15AB"/>
    <w:rsid w:val="00CF1613"/>
    <w:rsid w:val="00CF1A65"/>
    <w:rsid w:val="00CF1AD6"/>
    <w:rsid w:val="00CF1D2D"/>
    <w:rsid w:val="00CF23CB"/>
    <w:rsid w:val="00CF28D4"/>
    <w:rsid w:val="00CF28DD"/>
    <w:rsid w:val="00CF29C1"/>
    <w:rsid w:val="00CF30EF"/>
    <w:rsid w:val="00CF3194"/>
    <w:rsid w:val="00CF3625"/>
    <w:rsid w:val="00CF36BE"/>
    <w:rsid w:val="00CF3756"/>
    <w:rsid w:val="00CF388F"/>
    <w:rsid w:val="00CF38EA"/>
    <w:rsid w:val="00CF397D"/>
    <w:rsid w:val="00CF3A15"/>
    <w:rsid w:val="00CF4031"/>
    <w:rsid w:val="00CF44CF"/>
    <w:rsid w:val="00CF4DB1"/>
    <w:rsid w:val="00CF52D4"/>
    <w:rsid w:val="00CF578E"/>
    <w:rsid w:val="00CF5886"/>
    <w:rsid w:val="00CF59FB"/>
    <w:rsid w:val="00CF5E7E"/>
    <w:rsid w:val="00CF6000"/>
    <w:rsid w:val="00CF62B2"/>
    <w:rsid w:val="00CF673C"/>
    <w:rsid w:val="00CF6860"/>
    <w:rsid w:val="00CF75FD"/>
    <w:rsid w:val="00CF7601"/>
    <w:rsid w:val="00CF7F16"/>
    <w:rsid w:val="00D003F3"/>
    <w:rsid w:val="00D00565"/>
    <w:rsid w:val="00D00721"/>
    <w:rsid w:val="00D0080A"/>
    <w:rsid w:val="00D010C8"/>
    <w:rsid w:val="00D016C8"/>
    <w:rsid w:val="00D01A99"/>
    <w:rsid w:val="00D01B32"/>
    <w:rsid w:val="00D01C53"/>
    <w:rsid w:val="00D02027"/>
    <w:rsid w:val="00D0226E"/>
    <w:rsid w:val="00D023A1"/>
    <w:rsid w:val="00D0242E"/>
    <w:rsid w:val="00D02522"/>
    <w:rsid w:val="00D027D9"/>
    <w:rsid w:val="00D02C09"/>
    <w:rsid w:val="00D03094"/>
    <w:rsid w:val="00D0352E"/>
    <w:rsid w:val="00D0364F"/>
    <w:rsid w:val="00D03805"/>
    <w:rsid w:val="00D0381F"/>
    <w:rsid w:val="00D03AB0"/>
    <w:rsid w:val="00D0444A"/>
    <w:rsid w:val="00D0536F"/>
    <w:rsid w:val="00D05CC4"/>
    <w:rsid w:val="00D06551"/>
    <w:rsid w:val="00D06615"/>
    <w:rsid w:val="00D06834"/>
    <w:rsid w:val="00D07C1A"/>
    <w:rsid w:val="00D07EF4"/>
    <w:rsid w:val="00D107BD"/>
    <w:rsid w:val="00D11AAD"/>
    <w:rsid w:val="00D11C75"/>
    <w:rsid w:val="00D12029"/>
    <w:rsid w:val="00D12108"/>
    <w:rsid w:val="00D121E4"/>
    <w:rsid w:val="00D135A2"/>
    <w:rsid w:val="00D135AD"/>
    <w:rsid w:val="00D137CA"/>
    <w:rsid w:val="00D13B71"/>
    <w:rsid w:val="00D143C5"/>
    <w:rsid w:val="00D1455C"/>
    <w:rsid w:val="00D14E67"/>
    <w:rsid w:val="00D1550F"/>
    <w:rsid w:val="00D15A57"/>
    <w:rsid w:val="00D15D38"/>
    <w:rsid w:val="00D1630A"/>
    <w:rsid w:val="00D1644B"/>
    <w:rsid w:val="00D16752"/>
    <w:rsid w:val="00D1757D"/>
    <w:rsid w:val="00D1759D"/>
    <w:rsid w:val="00D1788B"/>
    <w:rsid w:val="00D178D7"/>
    <w:rsid w:val="00D17E0D"/>
    <w:rsid w:val="00D17E63"/>
    <w:rsid w:val="00D20292"/>
    <w:rsid w:val="00D20E14"/>
    <w:rsid w:val="00D213FC"/>
    <w:rsid w:val="00D215A1"/>
    <w:rsid w:val="00D2167F"/>
    <w:rsid w:val="00D218FB"/>
    <w:rsid w:val="00D2190C"/>
    <w:rsid w:val="00D2203E"/>
    <w:rsid w:val="00D22185"/>
    <w:rsid w:val="00D223B8"/>
    <w:rsid w:val="00D22626"/>
    <w:rsid w:val="00D229C5"/>
    <w:rsid w:val="00D22B35"/>
    <w:rsid w:val="00D2302B"/>
    <w:rsid w:val="00D2358E"/>
    <w:rsid w:val="00D23D5C"/>
    <w:rsid w:val="00D24BBE"/>
    <w:rsid w:val="00D2564B"/>
    <w:rsid w:val="00D26398"/>
    <w:rsid w:val="00D2660F"/>
    <w:rsid w:val="00D26865"/>
    <w:rsid w:val="00D268BA"/>
    <w:rsid w:val="00D268EE"/>
    <w:rsid w:val="00D27334"/>
    <w:rsid w:val="00D27480"/>
    <w:rsid w:val="00D2765F"/>
    <w:rsid w:val="00D278BF"/>
    <w:rsid w:val="00D27960"/>
    <w:rsid w:val="00D27C4B"/>
    <w:rsid w:val="00D27FDB"/>
    <w:rsid w:val="00D3068B"/>
    <w:rsid w:val="00D3068F"/>
    <w:rsid w:val="00D308ED"/>
    <w:rsid w:val="00D30B4B"/>
    <w:rsid w:val="00D30E1F"/>
    <w:rsid w:val="00D31445"/>
    <w:rsid w:val="00D31532"/>
    <w:rsid w:val="00D31752"/>
    <w:rsid w:val="00D318A8"/>
    <w:rsid w:val="00D31ADF"/>
    <w:rsid w:val="00D31C40"/>
    <w:rsid w:val="00D32729"/>
    <w:rsid w:val="00D32D2F"/>
    <w:rsid w:val="00D32D4C"/>
    <w:rsid w:val="00D332B1"/>
    <w:rsid w:val="00D337F4"/>
    <w:rsid w:val="00D3384F"/>
    <w:rsid w:val="00D33B39"/>
    <w:rsid w:val="00D3423B"/>
    <w:rsid w:val="00D3433D"/>
    <w:rsid w:val="00D349B0"/>
    <w:rsid w:val="00D3529C"/>
    <w:rsid w:val="00D35502"/>
    <w:rsid w:val="00D357AA"/>
    <w:rsid w:val="00D35E7E"/>
    <w:rsid w:val="00D36688"/>
    <w:rsid w:val="00D36884"/>
    <w:rsid w:val="00D36C5F"/>
    <w:rsid w:val="00D36D86"/>
    <w:rsid w:val="00D36F9A"/>
    <w:rsid w:val="00D37FE2"/>
    <w:rsid w:val="00D407B8"/>
    <w:rsid w:val="00D40C57"/>
    <w:rsid w:val="00D4198C"/>
    <w:rsid w:val="00D41B00"/>
    <w:rsid w:val="00D41D42"/>
    <w:rsid w:val="00D41EF5"/>
    <w:rsid w:val="00D41F83"/>
    <w:rsid w:val="00D420F6"/>
    <w:rsid w:val="00D422D6"/>
    <w:rsid w:val="00D42620"/>
    <w:rsid w:val="00D428AA"/>
    <w:rsid w:val="00D42FD6"/>
    <w:rsid w:val="00D4300E"/>
    <w:rsid w:val="00D4334C"/>
    <w:rsid w:val="00D43796"/>
    <w:rsid w:val="00D43957"/>
    <w:rsid w:val="00D43BA4"/>
    <w:rsid w:val="00D43BAB"/>
    <w:rsid w:val="00D43F6C"/>
    <w:rsid w:val="00D440B8"/>
    <w:rsid w:val="00D44290"/>
    <w:rsid w:val="00D44385"/>
    <w:rsid w:val="00D44B81"/>
    <w:rsid w:val="00D44BB3"/>
    <w:rsid w:val="00D4510D"/>
    <w:rsid w:val="00D4574F"/>
    <w:rsid w:val="00D457C9"/>
    <w:rsid w:val="00D45B68"/>
    <w:rsid w:val="00D45D81"/>
    <w:rsid w:val="00D45DF4"/>
    <w:rsid w:val="00D4693D"/>
    <w:rsid w:val="00D46D88"/>
    <w:rsid w:val="00D475B2"/>
    <w:rsid w:val="00D475D2"/>
    <w:rsid w:val="00D47617"/>
    <w:rsid w:val="00D477EB"/>
    <w:rsid w:val="00D4792F"/>
    <w:rsid w:val="00D47B0E"/>
    <w:rsid w:val="00D47D6B"/>
    <w:rsid w:val="00D47E70"/>
    <w:rsid w:val="00D50906"/>
    <w:rsid w:val="00D50A34"/>
    <w:rsid w:val="00D50EF1"/>
    <w:rsid w:val="00D517A6"/>
    <w:rsid w:val="00D51B1E"/>
    <w:rsid w:val="00D51DCE"/>
    <w:rsid w:val="00D51FD2"/>
    <w:rsid w:val="00D527A8"/>
    <w:rsid w:val="00D52950"/>
    <w:rsid w:val="00D5341D"/>
    <w:rsid w:val="00D53439"/>
    <w:rsid w:val="00D53763"/>
    <w:rsid w:val="00D53B27"/>
    <w:rsid w:val="00D53EFA"/>
    <w:rsid w:val="00D5423E"/>
    <w:rsid w:val="00D545C5"/>
    <w:rsid w:val="00D550D7"/>
    <w:rsid w:val="00D55401"/>
    <w:rsid w:val="00D554B9"/>
    <w:rsid w:val="00D56332"/>
    <w:rsid w:val="00D563F3"/>
    <w:rsid w:val="00D56608"/>
    <w:rsid w:val="00D572BF"/>
    <w:rsid w:val="00D576F0"/>
    <w:rsid w:val="00D578B8"/>
    <w:rsid w:val="00D57C1F"/>
    <w:rsid w:val="00D57D07"/>
    <w:rsid w:val="00D60383"/>
    <w:rsid w:val="00D606ED"/>
    <w:rsid w:val="00D61651"/>
    <w:rsid w:val="00D61A96"/>
    <w:rsid w:val="00D62078"/>
    <w:rsid w:val="00D620B4"/>
    <w:rsid w:val="00D6242A"/>
    <w:rsid w:val="00D634CD"/>
    <w:rsid w:val="00D6366E"/>
    <w:rsid w:val="00D63D0F"/>
    <w:rsid w:val="00D64003"/>
    <w:rsid w:val="00D6434D"/>
    <w:rsid w:val="00D64B39"/>
    <w:rsid w:val="00D65158"/>
    <w:rsid w:val="00D65B00"/>
    <w:rsid w:val="00D65EA2"/>
    <w:rsid w:val="00D66685"/>
    <w:rsid w:val="00D6675D"/>
    <w:rsid w:val="00D667E6"/>
    <w:rsid w:val="00D66A2F"/>
    <w:rsid w:val="00D67344"/>
    <w:rsid w:val="00D6795A"/>
    <w:rsid w:val="00D67B73"/>
    <w:rsid w:val="00D67F29"/>
    <w:rsid w:val="00D70859"/>
    <w:rsid w:val="00D70A98"/>
    <w:rsid w:val="00D715C1"/>
    <w:rsid w:val="00D71622"/>
    <w:rsid w:val="00D71A43"/>
    <w:rsid w:val="00D71C67"/>
    <w:rsid w:val="00D7233E"/>
    <w:rsid w:val="00D72752"/>
    <w:rsid w:val="00D72AE4"/>
    <w:rsid w:val="00D72D8A"/>
    <w:rsid w:val="00D72DB8"/>
    <w:rsid w:val="00D72E6E"/>
    <w:rsid w:val="00D73929"/>
    <w:rsid w:val="00D73A61"/>
    <w:rsid w:val="00D73C62"/>
    <w:rsid w:val="00D74D90"/>
    <w:rsid w:val="00D74EF8"/>
    <w:rsid w:val="00D756BF"/>
    <w:rsid w:val="00D75BC0"/>
    <w:rsid w:val="00D75F0E"/>
    <w:rsid w:val="00D76286"/>
    <w:rsid w:val="00D76613"/>
    <w:rsid w:val="00D77609"/>
    <w:rsid w:val="00D8003C"/>
    <w:rsid w:val="00D8147C"/>
    <w:rsid w:val="00D82CA2"/>
    <w:rsid w:val="00D83038"/>
    <w:rsid w:val="00D830A5"/>
    <w:rsid w:val="00D83B9A"/>
    <w:rsid w:val="00D84156"/>
    <w:rsid w:val="00D845CC"/>
    <w:rsid w:val="00D848E8"/>
    <w:rsid w:val="00D849AB"/>
    <w:rsid w:val="00D84B29"/>
    <w:rsid w:val="00D85523"/>
    <w:rsid w:val="00D859EE"/>
    <w:rsid w:val="00D85B34"/>
    <w:rsid w:val="00D85D32"/>
    <w:rsid w:val="00D85F7B"/>
    <w:rsid w:val="00D86140"/>
    <w:rsid w:val="00D86527"/>
    <w:rsid w:val="00D86670"/>
    <w:rsid w:val="00D86688"/>
    <w:rsid w:val="00D8772F"/>
    <w:rsid w:val="00D87C4A"/>
    <w:rsid w:val="00D87D40"/>
    <w:rsid w:val="00D90490"/>
    <w:rsid w:val="00D9074D"/>
    <w:rsid w:val="00D90758"/>
    <w:rsid w:val="00D912AA"/>
    <w:rsid w:val="00D9139B"/>
    <w:rsid w:val="00D917EE"/>
    <w:rsid w:val="00D9186D"/>
    <w:rsid w:val="00D9189C"/>
    <w:rsid w:val="00D91B82"/>
    <w:rsid w:val="00D92182"/>
    <w:rsid w:val="00D921DD"/>
    <w:rsid w:val="00D92459"/>
    <w:rsid w:val="00D92DEF"/>
    <w:rsid w:val="00D939A6"/>
    <w:rsid w:val="00D93E3B"/>
    <w:rsid w:val="00D94092"/>
    <w:rsid w:val="00D9422B"/>
    <w:rsid w:val="00D942DB"/>
    <w:rsid w:val="00D9481E"/>
    <w:rsid w:val="00D94861"/>
    <w:rsid w:val="00D94A7C"/>
    <w:rsid w:val="00D94DC2"/>
    <w:rsid w:val="00D94E14"/>
    <w:rsid w:val="00D94F0C"/>
    <w:rsid w:val="00D94F86"/>
    <w:rsid w:val="00D95896"/>
    <w:rsid w:val="00D9626D"/>
    <w:rsid w:val="00D96503"/>
    <w:rsid w:val="00D96728"/>
    <w:rsid w:val="00D969F4"/>
    <w:rsid w:val="00D96D2C"/>
    <w:rsid w:val="00D9742E"/>
    <w:rsid w:val="00D977A6"/>
    <w:rsid w:val="00D9797A"/>
    <w:rsid w:val="00DA0584"/>
    <w:rsid w:val="00DA12D5"/>
    <w:rsid w:val="00DA13D4"/>
    <w:rsid w:val="00DA1F9E"/>
    <w:rsid w:val="00DA2420"/>
    <w:rsid w:val="00DA28CB"/>
    <w:rsid w:val="00DA2D86"/>
    <w:rsid w:val="00DA304C"/>
    <w:rsid w:val="00DA32F3"/>
    <w:rsid w:val="00DA335C"/>
    <w:rsid w:val="00DA36EE"/>
    <w:rsid w:val="00DA3926"/>
    <w:rsid w:val="00DA3D69"/>
    <w:rsid w:val="00DA3DEC"/>
    <w:rsid w:val="00DA3F08"/>
    <w:rsid w:val="00DA40C3"/>
    <w:rsid w:val="00DA41C0"/>
    <w:rsid w:val="00DA497B"/>
    <w:rsid w:val="00DA4A48"/>
    <w:rsid w:val="00DA4DF2"/>
    <w:rsid w:val="00DA51C2"/>
    <w:rsid w:val="00DA51F4"/>
    <w:rsid w:val="00DA5331"/>
    <w:rsid w:val="00DA5C53"/>
    <w:rsid w:val="00DA5DBC"/>
    <w:rsid w:val="00DA5E06"/>
    <w:rsid w:val="00DA6790"/>
    <w:rsid w:val="00DA691B"/>
    <w:rsid w:val="00DA692B"/>
    <w:rsid w:val="00DA69C0"/>
    <w:rsid w:val="00DB0384"/>
    <w:rsid w:val="00DB047F"/>
    <w:rsid w:val="00DB062B"/>
    <w:rsid w:val="00DB06F1"/>
    <w:rsid w:val="00DB0933"/>
    <w:rsid w:val="00DB0AA3"/>
    <w:rsid w:val="00DB0F92"/>
    <w:rsid w:val="00DB0F9F"/>
    <w:rsid w:val="00DB14B0"/>
    <w:rsid w:val="00DB151B"/>
    <w:rsid w:val="00DB2749"/>
    <w:rsid w:val="00DB2983"/>
    <w:rsid w:val="00DB2A53"/>
    <w:rsid w:val="00DB2AD1"/>
    <w:rsid w:val="00DB3029"/>
    <w:rsid w:val="00DB372B"/>
    <w:rsid w:val="00DB4421"/>
    <w:rsid w:val="00DB4E77"/>
    <w:rsid w:val="00DB5532"/>
    <w:rsid w:val="00DB5762"/>
    <w:rsid w:val="00DB588D"/>
    <w:rsid w:val="00DB6082"/>
    <w:rsid w:val="00DB6687"/>
    <w:rsid w:val="00DB66E3"/>
    <w:rsid w:val="00DB6C0B"/>
    <w:rsid w:val="00DB6DF8"/>
    <w:rsid w:val="00DB72F7"/>
    <w:rsid w:val="00DB774E"/>
    <w:rsid w:val="00DB7CCA"/>
    <w:rsid w:val="00DC006E"/>
    <w:rsid w:val="00DC0253"/>
    <w:rsid w:val="00DC03CD"/>
    <w:rsid w:val="00DC0519"/>
    <w:rsid w:val="00DC0D9B"/>
    <w:rsid w:val="00DC1084"/>
    <w:rsid w:val="00DC1089"/>
    <w:rsid w:val="00DC1257"/>
    <w:rsid w:val="00DC144F"/>
    <w:rsid w:val="00DC15BD"/>
    <w:rsid w:val="00DC1864"/>
    <w:rsid w:val="00DC20BD"/>
    <w:rsid w:val="00DC2A18"/>
    <w:rsid w:val="00DC30A0"/>
    <w:rsid w:val="00DC3217"/>
    <w:rsid w:val="00DC37BA"/>
    <w:rsid w:val="00DC3DC0"/>
    <w:rsid w:val="00DC4187"/>
    <w:rsid w:val="00DC42E5"/>
    <w:rsid w:val="00DC4A7B"/>
    <w:rsid w:val="00DC4C44"/>
    <w:rsid w:val="00DC4D77"/>
    <w:rsid w:val="00DC4FB0"/>
    <w:rsid w:val="00DC54B0"/>
    <w:rsid w:val="00DC5692"/>
    <w:rsid w:val="00DC57EA"/>
    <w:rsid w:val="00DC5B2B"/>
    <w:rsid w:val="00DC5B64"/>
    <w:rsid w:val="00DC5B9B"/>
    <w:rsid w:val="00DC6769"/>
    <w:rsid w:val="00DC6DB2"/>
    <w:rsid w:val="00DC74FF"/>
    <w:rsid w:val="00DC7B68"/>
    <w:rsid w:val="00DD020A"/>
    <w:rsid w:val="00DD044D"/>
    <w:rsid w:val="00DD04E7"/>
    <w:rsid w:val="00DD06D7"/>
    <w:rsid w:val="00DD0B7E"/>
    <w:rsid w:val="00DD0FEC"/>
    <w:rsid w:val="00DD1372"/>
    <w:rsid w:val="00DD1D90"/>
    <w:rsid w:val="00DD24CD"/>
    <w:rsid w:val="00DD2B1C"/>
    <w:rsid w:val="00DD318D"/>
    <w:rsid w:val="00DD328A"/>
    <w:rsid w:val="00DD35B4"/>
    <w:rsid w:val="00DD3CFC"/>
    <w:rsid w:val="00DD3D63"/>
    <w:rsid w:val="00DD49AD"/>
    <w:rsid w:val="00DD4C63"/>
    <w:rsid w:val="00DD5555"/>
    <w:rsid w:val="00DD61DC"/>
    <w:rsid w:val="00DD667E"/>
    <w:rsid w:val="00DD7113"/>
    <w:rsid w:val="00DD755D"/>
    <w:rsid w:val="00DD7C75"/>
    <w:rsid w:val="00DD7C99"/>
    <w:rsid w:val="00DE0BCE"/>
    <w:rsid w:val="00DE0CBA"/>
    <w:rsid w:val="00DE12AE"/>
    <w:rsid w:val="00DE17DE"/>
    <w:rsid w:val="00DE1A4F"/>
    <w:rsid w:val="00DE222E"/>
    <w:rsid w:val="00DE278A"/>
    <w:rsid w:val="00DE2D63"/>
    <w:rsid w:val="00DE3028"/>
    <w:rsid w:val="00DE445F"/>
    <w:rsid w:val="00DE4597"/>
    <w:rsid w:val="00DE46B5"/>
    <w:rsid w:val="00DE49DE"/>
    <w:rsid w:val="00DE6657"/>
    <w:rsid w:val="00DE6A1D"/>
    <w:rsid w:val="00DF0210"/>
    <w:rsid w:val="00DF0579"/>
    <w:rsid w:val="00DF087E"/>
    <w:rsid w:val="00DF08DF"/>
    <w:rsid w:val="00DF0B35"/>
    <w:rsid w:val="00DF12C1"/>
    <w:rsid w:val="00DF16CD"/>
    <w:rsid w:val="00DF17CE"/>
    <w:rsid w:val="00DF1EF6"/>
    <w:rsid w:val="00DF20B2"/>
    <w:rsid w:val="00DF231A"/>
    <w:rsid w:val="00DF24DB"/>
    <w:rsid w:val="00DF2668"/>
    <w:rsid w:val="00DF2792"/>
    <w:rsid w:val="00DF2E12"/>
    <w:rsid w:val="00DF34E7"/>
    <w:rsid w:val="00DF439D"/>
    <w:rsid w:val="00DF43D1"/>
    <w:rsid w:val="00DF498D"/>
    <w:rsid w:val="00DF514A"/>
    <w:rsid w:val="00DF5B16"/>
    <w:rsid w:val="00DF6690"/>
    <w:rsid w:val="00DF6804"/>
    <w:rsid w:val="00DF6815"/>
    <w:rsid w:val="00DF6BF4"/>
    <w:rsid w:val="00DF6EE9"/>
    <w:rsid w:val="00DF7ADD"/>
    <w:rsid w:val="00E0009C"/>
    <w:rsid w:val="00E00184"/>
    <w:rsid w:val="00E002D2"/>
    <w:rsid w:val="00E017E2"/>
    <w:rsid w:val="00E026EE"/>
    <w:rsid w:val="00E027C1"/>
    <w:rsid w:val="00E0358D"/>
    <w:rsid w:val="00E0379C"/>
    <w:rsid w:val="00E039DB"/>
    <w:rsid w:val="00E0408B"/>
    <w:rsid w:val="00E04323"/>
    <w:rsid w:val="00E04801"/>
    <w:rsid w:val="00E048B0"/>
    <w:rsid w:val="00E04C9E"/>
    <w:rsid w:val="00E04ED3"/>
    <w:rsid w:val="00E0520E"/>
    <w:rsid w:val="00E0553A"/>
    <w:rsid w:val="00E05715"/>
    <w:rsid w:val="00E06324"/>
    <w:rsid w:val="00E067F9"/>
    <w:rsid w:val="00E06952"/>
    <w:rsid w:val="00E070A2"/>
    <w:rsid w:val="00E0770D"/>
    <w:rsid w:val="00E07D2B"/>
    <w:rsid w:val="00E1074F"/>
    <w:rsid w:val="00E1075F"/>
    <w:rsid w:val="00E10D0D"/>
    <w:rsid w:val="00E10F42"/>
    <w:rsid w:val="00E113D2"/>
    <w:rsid w:val="00E119D1"/>
    <w:rsid w:val="00E11F82"/>
    <w:rsid w:val="00E12449"/>
    <w:rsid w:val="00E12A86"/>
    <w:rsid w:val="00E12E5B"/>
    <w:rsid w:val="00E13117"/>
    <w:rsid w:val="00E133A8"/>
    <w:rsid w:val="00E13686"/>
    <w:rsid w:val="00E13712"/>
    <w:rsid w:val="00E13A9D"/>
    <w:rsid w:val="00E13C3B"/>
    <w:rsid w:val="00E13FE6"/>
    <w:rsid w:val="00E14487"/>
    <w:rsid w:val="00E14B0D"/>
    <w:rsid w:val="00E14FAC"/>
    <w:rsid w:val="00E1568C"/>
    <w:rsid w:val="00E157CC"/>
    <w:rsid w:val="00E16041"/>
    <w:rsid w:val="00E1615A"/>
    <w:rsid w:val="00E161D7"/>
    <w:rsid w:val="00E1628E"/>
    <w:rsid w:val="00E16CB3"/>
    <w:rsid w:val="00E172E4"/>
    <w:rsid w:val="00E17459"/>
    <w:rsid w:val="00E17982"/>
    <w:rsid w:val="00E202A3"/>
    <w:rsid w:val="00E205DB"/>
    <w:rsid w:val="00E207E0"/>
    <w:rsid w:val="00E20919"/>
    <w:rsid w:val="00E20AA9"/>
    <w:rsid w:val="00E2188D"/>
    <w:rsid w:val="00E22361"/>
    <w:rsid w:val="00E2242E"/>
    <w:rsid w:val="00E22853"/>
    <w:rsid w:val="00E2325F"/>
    <w:rsid w:val="00E2348B"/>
    <w:rsid w:val="00E238DD"/>
    <w:rsid w:val="00E23B46"/>
    <w:rsid w:val="00E23E2F"/>
    <w:rsid w:val="00E24238"/>
    <w:rsid w:val="00E24353"/>
    <w:rsid w:val="00E24438"/>
    <w:rsid w:val="00E2483A"/>
    <w:rsid w:val="00E24A02"/>
    <w:rsid w:val="00E24E84"/>
    <w:rsid w:val="00E25141"/>
    <w:rsid w:val="00E251E9"/>
    <w:rsid w:val="00E253BA"/>
    <w:rsid w:val="00E25506"/>
    <w:rsid w:val="00E258A2"/>
    <w:rsid w:val="00E25AFB"/>
    <w:rsid w:val="00E25EDF"/>
    <w:rsid w:val="00E2656A"/>
    <w:rsid w:val="00E265B2"/>
    <w:rsid w:val="00E26A74"/>
    <w:rsid w:val="00E270FC"/>
    <w:rsid w:val="00E27B19"/>
    <w:rsid w:val="00E27E90"/>
    <w:rsid w:val="00E301BA"/>
    <w:rsid w:val="00E304D0"/>
    <w:rsid w:val="00E3054C"/>
    <w:rsid w:val="00E30987"/>
    <w:rsid w:val="00E31052"/>
    <w:rsid w:val="00E3111F"/>
    <w:rsid w:val="00E3147D"/>
    <w:rsid w:val="00E315AC"/>
    <w:rsid w:val="00E315C8"/>
    <w:rsid w:val="00E319D0"/>
    <w:rsid w:val="00E322E9"/>
    <w:rsid w:val="00E32307"/>
    <w:rsid w:val="00E32363"/>
    <w:rsid w:val="00E32506"/>
    <w:rsid w:val="00E32A7D"/>
    <w:rsid w:val="00E32E05"/>
    <w:rsid w:val="00E331D1"/>
    <w:rsid w:val="00E3365F"/>
    <w:rsid w:val="00E33EAF"/>
    <w:rsid w:val="00E34165"/>
    <w:rsid w:val="00E342C6"/>
    <w:rsid w:val="00E346F8"/>
    <w:rsid w:val="00E34783"/>
    <w:rsid w:val="00E34C59"/>
    <w:rsid w:val="00E351BF"/>
    <w:rsid w:val="00E35FC2"/>
    <w:rsid w:val="00E36600"/>
    <w:rsid w:val="00E3697B"/>
    <w:rsid w:val="00E37072"/>
    <w:rsid w:val="00E37695"/>
    <w:rsid w:val="00E37786"/>
    <w:rsid w:val="00E3782F"/>
    <w:rsid w:val="00E40585"/>
    <w:rsid w:val="00E410F3"/>
    <w:rsid w:val="00E412D0"/>
    <w:rsid w:val="00E417D5"/>
    <w:rsid w:val="00E41EBE"/>
    <w:rsid w:val="00E4219F"/>
    <w:rsid w:val="00E43124"/>
    <w:rsid w:val="00E43CDC"/>
    <w:rsid w:val="00E43DE2"/>
    <w:rsid w:val="00E43ECA"/>
    <w:rsid w:val="00E44007"/>
    <w:rsid w:val="00E440BE"/>
    <w:rsid w:val="00E44156"/>
    <w:rsid w:val="00E447F8"/>
    <w:rsid w:val="00E44B70"/>
    <w:rsid w:val="00E451E7"/>
    <w:rsid w:val="00E452D5"/>
    <w:rsid w:val="00E45378"/>
    <w:rsid w:val="00E45490"/>
    <w:rsid w:val="00E4565D"/>
    <w:rsid w:val="00E4575C"/>
    <w:rsid w:val="00E462C2"/>
    <w:rsid w:val="00E465B2"/>
    <w:rsid w:val="00E4660A"/>
    <w:rsid w:val="00E46913"/>
    <w:rsid w:val="00E473C6"/>
    <w:rsid w:val="00E47631"/>
    <w:rsid w:val="00E47C4F"/>
    <w:rsid w:val="00E50088"/>
    <w:rsid w:val="00E503D1"/>
    <w:rsid w:val="00E50B0F"/>
    <w:rsid w:val="00E50B37"/>
    <w:rsid w:val="00E50E17"/>
    <w:rsid w:val="00E51310"/>
    <w:rsid w:val="00E51387"/>
    <w:rsid w:val="00E51450"/>
    <w:rsid w:val="00E51D5F"/>
    <w:rsid w:val="00E52180"/>
    <w:rsid w:val="00E52674"/>
    <w:rsid w:val="00E52F76"/>
    <w:rsid w:val="00E5336C"/>
    <w:rsid w:val="00E53681"/>
    <w:rsid w:val="00E53815"/>
    <w:rsid w:val="00E5391E"/>
    <w:rsid w:val="00E539AC"/>
    <w:rsid w:val="00E53DC2"/>
    <w:rsid w:val="00E5590F"/>
    <w:rsid w:val="00E55CE3"/>
    <w:rsid w:val="00E55F0F"/>
    <w:rsid w:val="00E55F97"/>
    <w:rsid w:val="00E56322"/>
    <w:rsid w:val="00E56809"/>
    <w:rsid w:val="00E56F00"/>
    <w:rsid w:val="00E56F42"/>
    <w:rsid w:val="00E56FC0"/>
    <w:rsid w:val="00E57085"/>
    <w:rsid w:val="00E5751F"/>
    <w:rsid w:val="00E57587"/>
    <w:rsid w:val="00E57E5E"/>
    <w:rsid w:val="00E57F9E"/>
    <w:rsid w:val="00E60837"/>
    <w:rsid w:val="00E608C1"/>
    <w:rsid w:val="00E60982"/>
    <w:rsid w:val="00E609EA"/>
    <w:rsid w:val="00E60E40"/>
    <w:rsid w:val="00E6157B"/>
    <w:rsid w:val="00E617CC"/>
    <w:rsid w:val="00E61BD9"/>
    <w:rsid w:val="00E61F04"/>
    <w:rsid w:val="00E61F92"/>
    <w:rsid w:val="00E62309"/>
    <w:rsid w:val="00E62334"/>
    <w:rsid w:val="00E623CB"/>
    <w:rsid w:val="00E62755"/>
    <w:rsid w:val="00E62B94"/>
    <w:rsid w:val="00E62C62"/>
    <w:rsid w:val="00E630C1"/>
    <w:rsid w:val="00E631F5"/>
    <w:rsid w:val="00E633E5"/>
    <w:rsid w:val="00E63579"/>
    <w:rsid w:val="00E635F0"/>
    <w:rsid w:val="00E636EB"/>
    <w:rsid w:val="00E63817"/>
    <w:rsid w:val="00E638D3"/>
    <w:rsid w:val="00E63A08"/>
    <w:rsid w:val="00E63CE0"/>
    <w:rsid w:val="00E63D01"/>
    <w:rsid w:val="00E640F8"/>
    <w:rsid w:val="00E6417A"/>
    <w:rsid w:val="00E64BDE"/>
    <w:rsid w:val="00E64D9E"/>
    <w:rsid w:val="00E65167"/>
    <w:rsid w:val="00E653AB"/>
    <w:rsid w:val="00E654C1"/>
    <w:rsid w:val="00E657F5"/>
    <w:rsid w:val="00E65D97"/>
    <w:rsid w:val="00E65EEB"/>
    <w:rsid w:val="00E6652C"/>
    <w:rsid w:val="00E6668F"/>
    <w:rsid w:val="00E67B11"/>
    <w:rsid w:val="00E67CFB"/>
    <w:rsid w:val="00E67E1B"/>
    <w:rsid w:val="00E70064"/>
    <w:rsid w:val="00E7152B"/>
    <w:rsid w:val="00E7156D"/>
    <w:rsid w:val="00E72626"/>
    <w:rsid w:val="00E728E8"/>
    <w:rsid w:val="00E72A5A"/>
    <w:rsid w:val="00E72A5C"/>
    <w:rsid w:val="00E72CDA"/>
    <w:rsid w:val="00E72F5F"/>
    <w:rsid w:val="00E73354"/>
    <w:rsid w:val="00E74054"/>
    <w:rsid w:val="00E748BF"/>
    <w:rsid w:val="00E7493F"/>
    <w:rsid w:val="00E749D9"/>
    <w:rsid w:val="00E74D45"/>
    <w:rsid w:val="00E76A85"/>
    <w:rsid w:val="00E76EDB"/>
    <w:rsid w:val="00E7736A"/>
    <w:rsid w:val="00E77B02"/>
    <w:rsid w:val="00E77E90"/>
    <w:rsid w:val="00E80306"/>
    <w:rsid w:val="00E80570"/>
    <w:rsid w:val="00E80C8B"/>
    <w:rsid w:val="00E80EE3"/>
    <w:rsid w:val="00E8156E"/>
    <w:rsid w:val="00E81A2C"/>
    <w:rsid w:val="00E82009"/>
    <w:rsid w:val="00E82D75"/>
    <w:rsid w:val="00E830D8"/>
    <w:rsid w:val="00E83972"/>
    <w:rsid w:val="00E83A43"/>
    <w:rsid w:val="00E841BA"/>
    <w:rsid w:val="00E84EDB"/>
    <w:rsid w:val="00E8516B"/>
    <w:rsid w:val="00E8522F"/>
    <w:rsid w:val="00E8577D"/>
    <w:rsid w:val="00E857B0"/>
    <w:rsid w:val="00E85867"/>
    <w:rsid w:val="00E85B75"/>
    <w:rsid w:val="00E85CB2"/>
    <w:rsid w:val="00E85E20"/>
    <w:rsid w:val="00E85FD7"/>
    <w:rsid w:val="00E86485"/>
    <w:rsid w:val="00E864F6"/>
    <w:rsid w:val="00E865C2"/>
    <w:rsid w:val="00E86BE8"/>
    <w:rsid w:val="00E86C4B"/>
    <w:rsid w:val="00E87976"/>
    <w:rsid w:val="00E87DC2"/>
    <w:rsid w:val="00E9089B"/>
    <w:rsid w:val="00E90D0A"/>
    <w:rsid w:val="00E90D30"/>
    <w:rsid w:val="00E917BC"/>
    <w:rsid w:val="00E917BD"/>
    <w:rsid w:val="00E918F3"/>
    <w:rsid w:val="00E92248"/>
    <w:rsid w:val="00E9242D"/>
    <w:rsid w:val="00E9262E"/>
    <w:rsid w:val="00E927ED"/>
    <w:rsid w:val="00E927FD"/>
    <w:rsid w:val="00E92D91"/>
    <w:rsid w:val="00E93058"/>
    <w:rsid w:val="00E9334B"/>
    <w:rsid w:val="00E9335F"/>
    <w:rsid w:val="00E93AD2"/>
    <w:rsid w:val="00E94076"/>
    <w:rsid w:val="00E946AA"/>
    <w:rsid w:val="00E94AC5"/>
    <w:rsid w:val="00E94B49"/>
    <w:rsid w:val="00E94E9D"/>
    <w:rsid w:val="00E951E5"/>
    <w:rsid w:val="00E956E7"/>
    <w:rsid w:val="00E95A56"/>
    <w:rsid w:val="00E95B87"/>
    <w:rsid w:val="00E95FA7"/>
    <w:rsid w:val="00E9633E"/>
    <w:rsid w:val="00E964D4"/>
    <w:rsid w:val="00E965FE"/>
    <w:rsid w:val="00E969E5"/>
    <w:rsid w:val="00E96A29"/>
    <w:rsid w:val="00E96CF9"/>
    <w:rsid w:val="00E97545"/>
    <w:rsid w:val="00E97734"/>
    <w:rsid w:val="00E97979"/>
    <w:rsid w:val="00E97A1A"/>
    <w:rsid w:val="00EA0108"/>
    <w:rsid w:val="00EA163E"/>
    <w:rsid w:val="00EA1BAC"/>
    <w:rsid w:val="00EA1D22"/>
    <w:rsid w:val="00EA23E4"/>
    <w:rsid w:val="00EA281A"/>
    <w:rsid w:val="00EA28C3"/>
    <w:rsid w:val="00EA2D38"/>
    <w:rsid w:val="00EA35D1"/>
    <w:rsid w:val="00EA3CCE"/>
    <w:rsid w:val="00EA3ECF"/>
    <w:rsid w:val="00EA4137"/>
    <w:rsid w:val="00EA4614"/>
    <w:rsid w:val="00EA499D"/>
    <w:rsid w:val="00EA53E5"/>
    <w:rsid w:val="00EA560C"/>
    <w:rsid w:val="00EA5678"/>
    <w:rsid w:val="00EA5B0F"/>
    <w:rsid w:val="00EA6394"/>
    <w:rsid w:val="00EA665E"/>
    <w:rsid w:val="00EA6954"/>
    <w:rsid w:val="00EA7507"/>
    <w:rsid w:val="00EA7E6E"/>
    <w:rsid w:val="00EB01BF"/>
    <w:rsid w:val="00EB1A63"/>
    <w:rsid w:val="00EB1D92"/>
    <w:rsid w:val="00EB20E3"/>
    <w:rsid w:val="00EB267F"/>
    <w:rsid w:val="00EB2838"/>
    <w:rsid w:val="00EB360C"/>
    <w:rsid w:val="00EB3FF2"/>
    <w:rsid w:val="00EB41C8"/>
    <w:rsid w:val="00EB5255"/>
    <w:rsid w:val="00EB5AD9"/>
    <w:rsid w:val="00EB5B02"/>
    <w:rsid w:val="00EB5C47"/>
    <w:rsid w:val="00EB5E2B"/>
    <w:rsid w:val="00EB6B33"/>
    <w:rsid w:val="00EB6C34"/>
    <w:rsid w:val="00EB6E80"/>
    <w:rsid w:val="00EB6E91"/>
    <w:rsid w:val="00EB719A"/>
    <w:rsid w:val="00EB7442"/>
    <w:rsid w:val="00EB794B"/>
    <w:rsid w:val="00EB798A"/>
    <w:rsid w:val="00EB7EF6"/>
    <w:rsid w:val="00EB7F38"/>
    <w:rsid w:val="00EC1269"/>
    <w:rsid w:val="00EC13F0"/>
    <w:rsid w:val="00EC1E15"/>
    <w:rsid w:val="00EC251B"/>
    <w:rsid w:val="00EC29FB"/>
    <w:rsid w:val="00EC3158"/>
    <w:rsid w:val="00EC322F"/>
    <w:rsid w:val="00EC36D8"/>
    <w:rsid w:val="00EC377F"/>
    <w:rsid w:val="00EC3D93"/>
    <w:rsid w:val="00EC3DD1"/>
    <w:rsid w:val="00EC3E67"/>
    <w:rsid w:val="00EC3FE1"/>
    <w:rsid w:val="00EC43A4"/>
    <w:rsid w:val="00EC4469"/>
    <w:rsid w:val="00EC48CB"/>
    <w:rsid w:val="00EC4909"/>
    <w:rsid w:val="00EC5045"/>
    <w:rsid w:val="00EC5A3F"/>
    <w:rsid w:val="00EC5BDA"/>
    <w:rsid w:val="00EC5EC6"/>
    <w:rsid w:val="00EC5ED2"/>
    <w:rsid w:val="00EC61F3"/>
    <w:rsid w:val="00EC6712"/>
    <w:rsid w:val="00EC6815"/>
    <w:rsid w:val="00EC6998"/>
    <w:rsid w:val="00EC6A64"/>
    <w:rsid w:val="00EC6FC0"/>
    <w:rsid w:val="00EC744E"/>
    <w:rsid w:val="00EC75AD"/>
    <w:rsid w:val="00EC79C2"/>
    <w:rsid w:val="00EC79C4"/>
    <w:rsid w:val="00EC7E39"/>
    <w:rsid w:val="00ED03FC"/>
    <w:rsid w:val="00ED0639"/>
    <w:rsid w:val="00ED087A"/>
    <w:rsid w:val="00ED0FBA"/>
    <w:rsid w:val="00ED1EA9"/>
    <w:rsid w:val="00ED1FAD"/>
    <w:rsid w:val="00ED2299"/>
    <w:rsid w:val="00ED2C55"/>
    <w:rsid w:val="00ED3CA8"/>
    <w:rsid w:val="00ED3CEE"/>
    <w:rsid w:val="00ED3D1E"/>
    <w:rsid w:val="00ED3F47"/>
    <w:rsid w:val="00ED4144"/>
    <w:rsid w:val="00ED45AD"/>
    <w:rsid w:val="00ED465C"/>
    <w:rsid w:val="00ED46EB"/>
    <w:rsid w:val="00ED49DE"/>
    <w:rsid w:val="00ED4E33"/>
    <w:rsid w:val="00ED53DB"/>
    <w:rsid w:val="00ED590C"/>
    <w:rsid w:val="00ED5D22"/>
    <w:rsid w:val="00ED5F78"/>
    <w:rsid w:val="00ED68D8"/>
    <w:rsid w:val="00ED6DD4"/>
    <w:rsid w:val="00ED6E2C"/>
    <w:rsid w:val="00ED6ED9"/>
    <w:rsid w:val="00ED6FC6"/>
    <w:rsid w:val="00ED71B0"/>
    <w:rsid w:val="00ED73B2"/>
    <w:rsid w:val="00ED7833"/>
    <w:rsid w:val="00ED7A4F"/>
    <w:rsid w:val="00ED7D59"/>
    <w:rsid w:val="00ED7E67"/>
    <w:rsid w:val="00ED7F82"/>
    <w:rsid w:val="00EE0227"/>
    <w:rsid w:val="00EE06A2"/>
    <w:rsid w:val="00EE1089"/>
    <w:rsid w:val="00EE111A"/>
    <w:rsid w:val="00EE116E"/>
    <w:rsid w:val="00EE1EF2"/>
    <w:rsid w:val="00EE235F"/>
    <w:rsid w:val="00EE2421"/>
    <w:rsid w:val="00EE249C"/>
    <w:rsid w:val="00EE2669"/>
    <w:rsid w:val="00EE2799"/>
    <w:rsid w:val="00EE29E4"/>
    <w:rsid w:val="00EE2C4E"/>
    <w:rsid w:val="00EE2DD2"/>
    <w:rsid w:val="00EE2F73"/>
    <w:rsid w:val="00EE318F"/>
    <w:rsid w:val="00EE35DD"/>
    <w:rsid w:val="00EE3BCE"/>
    <w:rsid w:val="00EE3D0C"/>
    <w:rsid w:val="00EE3D49"/>
    <w:rsid w:val="00EE3F16"/>
    <w:rsid w:val="00EE3F33"/>
    <w:rsid w:val="00EE42FD"/>
    <w:rsid w:val="00EE44E3"/>
    <w:rsid w:val="00EE4947"/>
    <w:rsid w:val="00EE4A00"/>
    <w:rsid w:val="00EE5286"/>
    <w:rsid w:val="00EE6757"/>
    <w:rsid w:val="00EE6E8A"/>
    <w:rsid w:val="00EE6FFA"/>
    <w:rsid w:val="00EE7D89"/>
    <w:rsid w:val="00EF04AE"/>
    <w:rsid w:val="00EF0C8C"/>
    <w:rsid w:val="00EF0D7C"/>
    <w:rsid w:val="00EF0F53"/>
    <w:rsid w:val="00EF1354"/>
    <w:rsid w:val="00EF1AF4"/>
    <w:rsid w:val="00EF2633"/>
    <w:rsid w:val="00EF337D"/>
    <w:rsid w:val="00EF346F"/>
    <w:rsid w:val="00EF38D9"/>
    <w:rsid w:val="00EF3B52"/>
    <w:rsid w:val="00EF4755"/>
    <w:rsid w:val="00EF4857"/>
    <w:rsid w:val="00EF53C0"/>
    <w:rsid w:val="00EF5DCC"/>
    <w:rsid w:val="00EF649F"/>
    <w:rsid w:val="00EF6F1C"/>
    <w:rsid w:val="00EF702F"/>
    <w:rsid w:val="00EF7135"/>
    <w:rsid w:val="00EF713F"/>
    <w:rsid w:val="00EF7D2B"/>
    <w:rsid w:val="00EF7E37"/>
    <w:rsid w:val="00F00B7E"/>
    <w:rsid w:val="00F00D16"/>
    <w:rsid w:val="00F00D5E"/>
    <w:rsid w:val="00F01145"/>
    <w:rsid w:val="00F01331"/>
    <w:rsid w:val="00F0140A"/>
    <w:rsid w:val="00F0145A"/>
    <w:rsid w:val="00F024DF"/>
    <w:rsid w:val="00F0270C"/>
    <w:rsid w:val="00F02731"/>
    <w:rsid w:val="00F027DB"/>
    <w:rsid w:val="00F02DE4"/>
    <w:rsid w:val="00F0308A"/>
    <w:rsid w:val="00F03183"/>
    <w:rsid w:val="00F031CC"/>
    <w:rsid w:val="00F036C9"/>
    <w:rsid w:val="00F04528"/>
    <w:rsid w:val="00F0485F"/>
    <w:rsid w:val="00F048BC"/>
    <w:rsid w:val="00F049E2"/>
    <w:rsid w:val="00F04D01"/>
    <w:rsid w:val="00F04D4F"/>
    <w:rsid w:val="00F04F98"/>
    <w:rsid w:val="00F0662F"/>
    <w:rsid w:val="00F066B5"/>
    <w:rsid w:val="00F067D6"/>
    <w:rsid w:val="00F06BB4"/>
    <w:rsid w:val="00F0721D"/>
    <w:rsid w:val="00F07324"/>
    <w:rsid w:val="00F07619"/>
    <w:rsid w:val="00F076CB"/>
    <w:rsid w:val="00F077D7"/>
    <w:rsid w:val="00F078F7"/>
    <w:rsid w:val="00F07B5D"/>
    <w:rsid w:val="00F1033B"/>
    <w:rsid w:val="00F107A8"/>
    <w:rsid w:val="00F11354"/>
    <w:rsid w:val="00F115D3"/>
    <w:rsid w:val="00F11870"/>
    <w:rsid w:val="00F11D95"/>
    <w:rsid w:val="00F12153"/>
    <w:rsid w:val="00F12258"/>
    <w:rsid w:val="00F12368"/>
    <w:rsid w:val="00F12390"/>
    <w:rsid w:val="00F124FE"/>
    <w:rsid w:val="00F1263D"/>
    <w:rsid w:val="00F1436D"/>
    <w:rsid w:val="00F14A7A"/>
    <w:rsid w:val="00F14FA4"/>
    <w:rsid w:val="00F153D4"/>
    <w:rsid w:val="00F15C98"/>
    <w:rsid w:val="00F16BCD"/>
    <w:rsid w:val="00F16E6B"/>
    <w:rsid w:val="00F1732B"/>
    <w:rsid w:val="00F176A8"/>
    <w:rsid w:val="00F177C6"/>
    <w:rsid w:val="00F17BA1"/>
    <w:rsid w:val="00F17BDB"/>
    <w:rsid w:val="00F17C7E"/>
    <w:rsid w:val="00F22217"/>
    <w:rsid w:val="00F22985"/>
    <w:rsid w:val="00F2299F"/>
    <w:rsid w:val="00F22B71"/>
    <w:rsid w:val="00F22B76"/>
    <w:rsid w:val="00F22D07"/>
    <w:rsid w:val="00F22D16"/>
    <w:rsid w:val="00F22F0C"/>
    <w:rsid w:val="00F22F94"/>
    <w:rsid w:val="00F22F9D"/>
    <w:rsid w:val="00F2337A"/>
    <w:rsid w:val="00F239C3"/>
    <w:rsid w:val="00F24D1C"/>
    <w:rsid w:val="00F257E9"/>
    <w:rsid w:val="00F25870"/>
    <w:rsid w:val="00F25AF3"/>
    <w:rsid w:val="00F25D18"/>
    <w:rsid w:val="00F25D65"/>
    <w:rsid w:val="00F25D80"/>
    <w:rsid w:val="00F26649"/>
    <w:rsid w:val="00F26C16"/>
    <w:rsid w:val="00F26EAD"/>
    <w:rsid w:val="00F27521"/>
    <w:rsid w:val="00F27A73"/>
    <w:rsid w:val="00F27F22"/>
    <w:rsid w:val="00F30499"/>
    <w:rsid w:val="00F3053D"/>
    <w:rsid w:val="00F30963"/>
    <w:rsid w:val="00F30AA2"/>
    <w:rsid w:val="00F31547"/>
    <w:rsid w:val="00F31639"/>
    <w:rsid w:val="00F3171F"/>
    <w:rsid w:val="00F319DC"/>
    <w:rsid w:val="00F31E55"/>
    <w:rsid w:val="00F32014"/>
    <w:rsid w:val="00F32103"/>
    <w:rsid w:val="00F329BD"/>
    <w:rsid w:val="00F32D38"/>
    <w:rsid w:val="00F32DB0"/>
    <w:rsid w:val="00F33354"/>
    <w:rsid w:val="00F336DA"/>
    <w:rsid w:val="00F3383E"/>
    <w:rsid w:val="00F33B60"/>
    <w:rsid w:val="00F34283"/>
    <w:rsid w:val="00F34756"/>
    <w:rsid w:val="00F347B3"/>
    <w:rsid w:val="00F34838"/>
    <w:rsid w:val="00F35296"/>
    <w:rsid w:val="00F35870"/>
    <w:rsid w:val="00F35A2E"/>
    <w:rsid w:val="00F35E81"/>
    <w:rsid w:val="00F36100"/>
    <w:rsid w:val="00F36CB4"/>
    <w:rsid w:val="00F36E04"/>
    <w:rsid w:val="00F37227"/>
    <w:rsid w:val="00F37337"/>
    <w:rsid w:val="00F37A8C"/>
    <w:rsid w:val="00F37B9B"/>
    <w:rsid w:val="00F37F35"/>
    <w:rsid w:val="00F400FD"/>
    <w:rsid w:val="00F41AEF"/>
    <w:rsid w:val="00F41CAA"/>
    <w:rsid w:val="00F42580"/>
    <w:rsid w:val="00F42BFB"/>
    <w:rsid w:val="00F43003"/>
    <w:rsid w:val="00F43272"/>
    <w:rsid w:val="00F432A8"/>
    <w:rsid w:val="00F432A9"/>
    <w:rsid w:val="00F43CC7"/>
    <w:rsid w:val="00F43DA4"/>
    <w:rsid w:val="00F43DE3"/>
    <w:rsid w:val="00F43F63"/>
    <w:rsid w:val="00F44118"/>
    <w:rsid w:val="00F44122"/>
    <w:rsid w:val="00F4421F"/>
    <w:rsid w:val="00F4486C"/>
    <w:rsid w:val="00F44F18"/>
    <w:rsid w:val="00F44FDB"/>
    <w:rsid w:val="00F450F7"/>
    <w:rsid w:val="00F4528F"/>
    <w:rsid w:val="00F45332"/>
    <w:rsid w:val="00F45C91"/>
    <w:rsid w:val="00F45CB6"/>
    <w:rsid w:val="00F465A7"/>
    <w:rsid w:val="00F4667D"/>
    <w:rsid w:val="00F47421"/>
    <w:rsid w:val="00F47E34"/>
    <w:rsid w:val="00F500DE"/>
    <w:rsid w:val="00F501CA"/>
    <w:rsid w:val="00F50759"/>
    <w:rsid w:val="00F50B7C"/>
    <w:rsid w:val="00F50BD3"/>
    <w:rsid w:val="00F511D3"/>
    <w:rsid w:val="00F512BB"/>
    <w:rsid w:val="00F51559"/>
    <w:rsid w:val="00F5181A"/>
    <w:rsid w:val="00F5199E"/>
    <w:rsid w:val="00F5253B"/>
    <w:rsid w:val="00F529B9"/>
    <w:rsid w:val="00F52AC8"/>
    <w:rsid w:val="00F52ED0"/>
    <w:rsid w:val="00F539D9"/>
    <w:rsid w:val="00F53FBB"/>
    <w:rsid w:val="00F5405D"/>
    <w:rsid w:val="00F54A46"/>
    <w:rsid w:val="00F54B17"/>
    <w:rsid w:val="00F550E6"/>
    <w:rsid w:val="00F55289"/>
    <w:rsid w:val="00F555B3"/>
    <w:rsid w:val="00F55742"/>
    <w:rsid w:val="00F55A68"/>
    <w:rsid w:val="00F55F9F"/>
    <w:rsid w:val="00F561BD"/>
    <w:rsid w:val="00F56C86"/>
    <w:rsid w:val="00F56E9F"/>
    <w:rsid w:val="00F56FF2"/>
    <w:rsid w:val="00F5761B"/>
    <w:rsid w:val="00F5766F"/>
    <w:rsid w:val="00F57759"/>
    <w:rsid w:val="00F577C6"/>
    <w:rsid w:val="00F578D2"/>
    <w:rsid w:val="00F5791A"/>
    <w:rsid w:val="00F579F3"/>
    <w:rsid w:val="00F600D1"/>
    <w:rsid w:val="00F600EE"/>
    <w:rsid w:val="00F60142"/>
    <w:rsid w:val="00F603F6"/>
    <w:rsid w:val="00F609C0"/>
    <w:rsid w:val="00F61341"/>
    <w:rsid w:val="00F615D3"/>
    <w:rsid w:val="00F61964"/>
    <w:rsid w:val="00F61E1A"/>
    <w:rsid w:val="00F62596"/>
    <w:rsid w:val="00F63263"/>
    <w:rsid w:val="00F63583"/>
    <w:rsid w:val="00F638E9"/>
    <w:rsid w:val="00F639AA"/>
    <w:rsid w:val="00F63DE0"/>
    <w:rsid w:val="00F64410"/>
    <w:rsid w:val="00F6454A"/>
    <w:rsid w:val="00F647DF"/>
    <w:rsid w:val="00F64C94"/>
    <w:rsid w:val="00F650D9"/>
    <w:rsid w:val="00F6548C"/>
    <w:rsid w:val="00F65605"/>
    <w:rsid w:val="00F6618F"/>
    <w:rsid w:val="00F66450"/>
    <w:rsid w:val="00F66732"/>
    <w:rsid w:val="00F67123"/>
    <w:rsid w:val="00F6713C"/>
    <w:rsid w:val="00F6731D"/>
    <w:rsid w:val="00F6757B"/>
    <w:rsid w:val="00F67940"/>
    <w:rsid w:val="00F67AA3"/>
    <w:rsid w:val="00F67D78"/>
    <w:rsid w:val="00F708C4"/>
    <w:rsid w:val="00F70CE8"/>
    <w:rsid w:val="00F70ECD"/>
    <w:rsid w:val="00F71260"/>
    <w:rsid w:val="00F712F9"/>
    <w:rsid w:val="00F7133C"/>
    <w:rsid w:val="00F7182F"/>
    <w:rsid w:val="00F719D5"/>
    <w:rsid w:val="00F71EEC"/>
    <w:rsid w:val="00F71F5E"/>
    <w:rsid w:val="00F72414"/>
    <w:rsid w:val="00F72E4B"/>
    <w:rsid w:val="00F72E90"/>
    <w:rsid w:val="00F732D5"/>
    <w:rsid w:val="00F732FE"/>
    <w:rsid w:val="00F73AF1"/>
    <w:rsid w:val="00F73FD4"/>
    <w:rsid w:val="00F74345"/>
    <w:rsid w:val="00F74ABA"/>
    <w:rsid w:val="00F75120"/>
    <w:rsid w:val="00F75177"/>
    <w:rsid w:val="00F75744"/>
    <w:rsid w:val="00F75889"/>
    <w:rsid w:val="00F75C79"/>
    <w:rsid w:val="00F75D20"/>
    <w:rsid w:val="00F75E4B"/>
    <w:rsid w:val="00F760D8"/>
    <w:rsid w:val="00F7675A"/>
    <w:rsid w:val="00F76807"/>
    <w:rsid w:val="00F76BE5"/>
    <w:rsid w:val="00F77144"/>
    <w:rsid w:val="00F771AC"/>
    <w:rsid w:val="00F7725C"/>
    <w:rsid w:val="00F77528"/>
    <w:rsid w:val="00F7755C"/>
    <w:rsid w:val="00F778D1"/>
    <w:rsid w:val="00F77BC3"/>
    <w:rsid w:val="00F80068"/>
    <w:rsid w:val="00F801DA"/>
    <w:rsid w:val="00F80A0A"/>
    <w:rsid w:val="00F80CD8"/>
    <w:rsid w:val="00F81206"/>
    <w:rsid w:val="00F81731"/>
    <w:rsid w:val="00F818A7"/>
    <w:rsid w:val="00F81942"/>
    <w:rsid w:val="00F8198C"/>
    <w:rsid w:val="00F81AF1"/>
    <w:rsid w:val="00F81E39"/>
    <w:rsid w:val="00F82183"/>
    <w:rsid w:val="00F821D8"/>
    <w:rsid w:val="00F8236F"/>
    <w:rsid w:val="00F825EA"/>
    <w:rsid w:val="00F82B19"/>
    <w:rsid w:val="00F82C93"/>
    <w:rsid w:val="00F82D50"/>
    <w:rsid w:val="00F82E47"/>
    <w:rsid w:val="00F8305D"/>
    <w:rsid w:val="00F8365E"/>
    <w:rsid w:val="00F83C85"/>
    <w:rsid w:val="00F84368"/>
    <w:rsid w:val="00F852F7"/>
    <w:rsid w:val="00F855FC"/>
    <w:rsid w:val="00F8571C"/>
    <w:rsid w:val="00F86676"/>
    <w:rsid w:val="00F8674F"/>
    <w:rsid w:val="00F86837"/>
    <w:rsid w:val="00F86ADE"/>
    <w:rsid w:val="00F87498"/>
    <w:rsid w:val="00F907A7"/>
    <w:rsid w:val="00F907CF"/>
    <w:rsid w:val="00F90AEB"/>
    <w:rsid w:val="00F914A0"/>
    <w:rsid w:val="00F91515"/>
    <w:rsid w:val="00F91736"/>
    <w:rsid w:val="00F9212D"/>
    <w:rsid w:val="00F9213E"/>
    <w:rsid w:val="00F926A8"/>
    <w:rsid w:val="00F927BB"/>
    <w:rsid w:val="00F927E0"/>
    <w:rsid w:val="00F927EB"/>
    <w:rsid w:val="00F92800"/>
    <w:rsid w:val="00F930D7"/>
    <w:rsid w:val="00F93358"/>
    <w:rsid w:val="00F9345B"/>
    <w:rsid w:val="00F937DF"/>
    <w:rsid w:val="00F93F51"/>
    <w:rsid w:val="00F94097"/>
    <w:rsid w:val="00F94383"/>
    <w:rsid w:val="00F948D4"/>
    <w:rsid w:val="00F94A3A"/>
    <w:rsid w:val="00F95A9E"/>
    <w:rsid w:val="00F960B9"/>
    <w:rsid w:val="00F9634E"/>
    <w:rsid w:val="00F965DA"/>
    <w:rsid w:val="00F96756"/>
    <w:rsid w:val="00F968D2"/>
    <w:rsid w:val="00F96914"/>
    <w:rsid w:val="00F969CA"/>
    <w:rsid w:val="00F96ACD"/>
    <w:rsid w:val="00F96C0A"/>
    <w:rsid w:val="00F96C1B"/>
    <w:rsid w:val="00F96E14"/>
    <w:rsid w:val="00F9723E"/>
    <w:rsid w:val="00FA060A"/>
    <w:rsid w:val="00FA14AB"/>
    <w:rsid w:val="00FA14D6"/>
    <w:rsid w:val="00FA19AD"/>
    <w:rsid w:val="00FA1D71"/>
    <w:rsid w:val="00FA1EEC"/>
    <w:rsid w:val="00FA1F59"/>
    <w:rsid w:val="00FA212C"/>
    <w:rsid w:val="00FA2907"/>
    <w:rsid w:val="00FA2E1D"/>
    <w:rsid w:val="00FA2ED4"/>
    <w:rsid w:val="00FA2F37"/>
    <w:rsid w:val="00FA320A"/>
    <w:rsid w:val="00FA3817"/>
    <w:rsid w:val="00FA406A"/>
    <w:rsid w:val="00FA4290"/>
    <w:rsid w:val="00FA439F"/>
    <w:rsid w:val="00FA461A"/>
    <w:rsid w:val="00FA4C8B"/>
    <w:rsid w:val="00FA4DA6"/>
    <w:rsid w:val="00FA4FF4"/>
    <w:rsid w:val="00FA5356"/>
    <w:rsid w:val="00FA556C"/>
    <w:rsid w:val="00FA56F9"/>
    <w:rsid w:val="00FA5853"/>
    <w:rsid w:val="00FA5D65"/>
    <w:rsid w:val="00FA6B5C"/>
    <w:rsid w:val="00FA6D7F"/>
    <w:rsid w:val="00FA73FE"/>
    <w:rsid w:val="00FA7417"/>
    <w:rsid w:val="00FA7821"/>
    <w:rsid w:val="00FA7908"/>
    <w:rsid w:val="00FA7966"/>
    <w:rsid w:val="00FA7BA3"/>
    <w:rsid w:val="00FA7D98"/>
    <w:rsid w:val="00FA7EBA"/>
    <w:rsid w:val="00FA7FB1"/>
    <w:rsid w:val="00FB0983"/>
    <w:rsid w:val="00FB0DFF"/>
    <w:rsid w:val="00FB12D1"/>
    <w:rsid w:val="00FB13F4"/>
    <w:rsid w:val="00FB1711"/>
    <w:rsid w:val="00FB1B8F"/>
    <w:rsid w:val="00FB1D1E"/>
    <w:rsid w:val="00FB1D5B"/>
    <w:rsid w:val="00FB20F8"/>
    <w:rsid w:val="00FB21B6"/>
    <w:rsid w:val="00FB23A1"/>
    <w:rsid w:val="00FB26E9"/>
    <w:rsid w:val="00FB2ED3"/>
    <w:rsid w:val="00FB3396"/>
    <w:rsid w:val="00FB368A"/>
    <w:rsid w:val="00FB3865"/>
    <w:rsid w:val="00FB3B09"/>
    <w:rsid w:val="00FB40A1"/>
    <w:rsid w:val="00FB40ED"/>
    <w:rsid w:val="00FB4590"/>
    <w:rsid w:val="00FB4C4C"/>
    <w:rsid w:val="00FB4DF5"/>
    <w:rsid w:val="00FB503A"/>
    <w:rsid w:val="00FB5121"/>
    <w:rsid w:val="00FB516C"/>
    <w:rsid w:val="00FB5B7B"/>
    <w:rsid w:val="00FB5C32"/>
    <w:rsid w:val="00FB69FD"/>
    <w:rsid w:val="00FB6CBE"/>
    <w:rsid w:val="00FB6D70"/>
    <w:rsid w:val="00FB6EAF"/>
    <w:rsid w:val="00FB7589"/>
    <w:rsid w:val="00FC0096"/>
    <w:rsid w:val="00FC036E"/>
    <w:rsid w:val="00FC05BF"/>
    <w:rsid w:val="00FC0F63"/>
    <w:rsid w:val="00FC1518"/>
    <w:rsid w:val="00FC163F"/>
    <w:rsid w:val="00FC1974"/>
    <w:rsid w:val="00FC1CAE"/>
    <w:rsid w:val="00FC204B"/>
    <w:rsid w:val="00FC22F4"/>
    <w:rsid w:val="00FC268B"/>
    <w:rsid w:val="00FC26BD"/>
    <w:rsid w:val="00FC36AE"/>
    <w:rsid w:val="00FC3783"/>
    <w:rsid w:val="00FC3A41"/>
    <w:rsid w:val="00FC3BCE"/>
    <w:rsid w:val="00FC3C58"/>
    <w:rsid w:val="00FC3DE2"/>
    <w:rsid w:val="00FC4073"/>
    <w:rsid w:val="00FC41A2"/>
    <w:rsid w:val="00FC4444"/>
    <w:rsid w:val="00FC47FB"/>
    <w:rsid w:val="00FC5621"/>
    <w:rsid w:val="00FC5E46"/>
    <w:rsid w:val="00FC69F8"/>
    <w:rsid w:val="00FC71B5"/>
    <w:rsid w:val="00FC7448"/>
    <w:rsid w:val="00FC744A"/>
    <w:rsid w:val="00FC75C3"/>
    <w:rsid w:val="00FC795C"/>
    <w:rsid w:val="00FC7B11"/>
    <w:rsid w:val="00FC7FC4"/>
    <w:rsid w:val="00FD0236"/>
    <w:rsid w:val="00FD07BB"/>
    <w:rsid w:val="00FD0C76"/>
    <w:rsid w:val="00FD0D3E"/>
    <w:rsid w:val="00FD13A4"/>
    <w:rsid w:val="00FD1495"/>
    <w:rsid w:val="00FD18F4"/>
    <w:rsid w:val="00FD1930"/>
    <w:rsid w:val="00FD1EF3"/>
    <w:rsid w:val="00FD21C1"/>
    <w:rsid w:val="00FD23BA"/>
    <w:rsid w:val="00FD24AF"/>
    <w:rsid w:val="00FD255B"/>
    <w:rsid w:val="00FD2AA5"/>
    <w:rsid w:val="00FD3448"/>
    <w:rsid w:val="00FD37C4"/>
    <w:rsid w:val="00FD3A84"/>
    <w:rsid w:val="00FD476C"/>
    <w:rsid w:val="00FD4994"/>
    <w:rsid w:val="00FD4FDD"/>
    <w:rsid w:val="00FD54DB"/>
    <w:rsid w:val="00FD56E5"/>
    <w:rsid w:val="00FD6069"/>
    <w:rsid w:val="00FD6088"/>
    <w:rsid w:val="00FD619F"/>
    <w:rsid w:val="00FD6324"/>
    <w:rsid w:val="00FD6413"/>
    <w:rsid w:val="00FD655C"/>
    <w:rsid w:val="00FD68D5"/>
    <w:rsid w:val="00FD6B5A"/>
    <w:rsid w:val="00FD71C9"/>
    <w:rsid w:val="00FD7588"/>
    <w:rsid w:val="00FD7C99"/>
    <w:rsid w:val="00FD7E23"/>
    <w:rsid w:val="00FE007C"/>
    <w:rsid w:val="00FE0202"/>
    <w:rsid w:val="00FE022E"/>
    <w:rsid w:val="00FE02D2"/>
    <w:rsid w:val="00FE03E4"/>
    <w:rsid w:val="00FE045E"/>
    <w:rsid w:val="00FE1514"/>
    <w:rsid w:val="00FE1BF2"/>
    <w:rsid w:val="00FE2168"/>
    <w:rsid w:val="00FE2176"/>
    <w:rsid w:val="00FE271F"/>
    <w:rsid w:val="00FE2724"/>
    <w:rsid w:val="00FE2D0B"/>
    <w:rsid w:val="00FE3323"/>
    <w:rsid w:val="00FE370E"/>
    <w:rsid w:val="00FE3C73"/>
    <w:rsid w:val="00FE3F01"/>
    <w:rsid w:val="00FE437C"/>
    <w:rsid w:val="00FE47BC"/>
    <w:rsid w:val="00FE4B54"/>
    <w:rsid w:val="00FE4CB8"/>
    <w:rsid w:val="00FE51E4"/>
    <w:rsid w:val="00FE52B8"/>
    <w:rsid w:val="00FE52FE"/>
    <w:rsid w:val="00FE566F"/>
    <w:rsid w:val="00FE58ED"/>
    <w:rsid w:val="00FE5C3F"/>
    <w:rsid w:val="00FE5F39"/>
    <w:rsid w:val="00FE602B"/>
    <w:rsid w:val="00FE62A7"/>
    <w:rsid w:val="00FE66A1"/>
    <w:rsid w:val="00FE68E9"/>
    <w:rsid w:val="00FE6B87"/>
    <w:rsid w:val="00FE6DB5"/>
    <w:rsid w:val="00FE7353"/>
    <w:rsid w:val="00FE7980"/>
    <w:rsid w:val="00FE7A5B"/>
    <w:rsid w:val="00FE7AE7"/>
    <w:rsid w:val="00FE7B74"/>
    <w:rsid w:val="00FF009A"/>
    <w:rsid w:val="00FF0166"/>
    <w:rsid w:val="00FF030B"/>
    <w:rsid w:val="00FF143C"/>
    <w:rsid w:val="00FF1678"/>
    <w:rsid w:val="00FF175B"/>
    <w:rsid w:val="00FF1908"/>
    <w:rsid w:val="00FF1DEA"/>
    <w:rsid w:val="00FF2776"/>
    <w:rsid w:val="00FF2B8D"/>
    <w:rsid w:val="00FF2F8B"/>
    <w:rsid w:val="00FF3818"/>
    <w:rsid w:val="00FF382C"/>
    <w:rsid w:val="00FF4362"/>
    <w:rsid w:val="00FF498C"/>
    <w:rsid w:val="00FF4A54"/>
    <w:rsid w:val="00FF5262"/>
    <w:rsid w:val="00FF5A60"/>
    <w:rsid w:val="00FF5E43"/>
    <w:rsid w:val="00FF5FC4"/>
    <w:rsid w:val="00FF65D3"/>
    <w:rsid w:val="00FF67E7"/>
    <w:rsid w:val="00FF6828"/>
    <w:rsid w:val="00FF6E58"/>
    <w:rsid w:val="00FF6FE0"/>
    <w:rsid w:val="00FF7254"/>
    <w:rsid w:val="00FF7CAD"/>
    <w:rsid w:val="010351AA"/>
    <w:rsid w:val="01064C9A"/>
    <w:rsid w:val="011027CE"/>
    <w:rsid w:val="01253AED"/>
    <w:rsid w:val="01290F7E"/>
    <w:rsid w:val="014C4DA3"/>
    <w:rsid w:val="014F4893"/>
    <w:rsid w:val="01545A05"/>
    <w:rsid w:val="015D1E09"/>
    <w:rsid w:val="016519C1"/>
    <w:rsid w:val="017D4F5C"/>
    <w:rsid w:val="018F4C90"/>
    <w:rsid w:val="01AC5842"/>
    <w:rsid w:val="01B21972"/>
    <w:rsid w:val="01B51FD9"/>
    <w:rsid w:val="01CC7C92"/>
    <w:rsid w:val="01CE57B8"/>
    <w:rsid w:val="01D152A8"/>
    <w:rsid w:val="01D32DCE"/>
    <w:rsid w:val="01D52994"/>
    <w:rsid w:val="01F80A87"/>
    <w:rsid w:val="01FC41B7"/>
    <w:rsid w:val="0202183B"/>
    <w:rsid w:val="020B07BA"/>
    <w:rsid w:val="020C3074"/>
    <w:rsid w:val="020C4532"/>
    <w:rsid w:val="02160F0D"/>
    <w:rsid w:val="0234420F"/>
    <w:rsid w:val="023D0B8F"/>
    <w:rsid w:val="024A27EA"/>
    <w:rsid w:val="024D62B8"/>
    <w:rsid w:val="02541D22"/>
    <w:rsid w:val="02571C51"/>
    <w:rsid w:val="025739FF"/>
    <w:rsid w:val="02697903"/>
    <w:rsid w:val="026B1259"/>
    <w:rsid w:val="02775E4F"/>
    <w:rsid w:val="02781BC8"/>
    <w:rsid w:val="0279313E"/>
    <w:rsid w:val="0293255D"/>
    <w:rsid w:val="0295277A"/>
    <w:rsid w:val="02966B2D"/>
    <w:rsid w:val="02A14C7A"/>
    <w:rsid w:val="02BE583F"/>
    <w:rsid w:val="02C46BBB"/>
    <w:rsid w:val="02C941D1"/>
    <w:rsid w:val="02D74B40"/>
    <w:rsid w:val="02E35293"/>
    <w:rsid w:val="02E903CF"/>
    <w:rsid w:val="02EB292B"/>
    <w:rsid w:val="02EE3C38"/>
    <w:rsid w:val="02F96569"/>
    <w:rsid w:val="0301396B"/>
    <w:rsid w:val="03044F9B"/>
    <w:rsid w:val="03045209"/>
    <w:rsid w:val="030D0562"/>
    <w:rsid w:val="030F42DA"/>
    <w:rsid w:val="0314369E"/>
    <w:rsid w:val="031511C4"/>
    <w:rsid w:val="031C07A5"/>
    <w:rsid w:val="03261624"/>
    <w:rsid w:val="032D4F3C"/>
    <w:rsid w:val="03457CFC"/>
    <w:rsid w:val="03463A74"/>
    <w:rsid w:val="03547F3F"/>
    <w:rsid w:val="03681C3C"/>
    <w:rsid w:val="036B5288"/>
    <w:rsid w:val="03887BE8"/>
    <w:rsid w:val="03912F41"/>
    <w:rsid w:val="03A569EC"/>
    <w:rsid w:val="03AD764F"/>
    <w:rsid w:val="03D1333D"/>
    <w:rsid w:val="03D33559"/>
    <w:rsid w:val="03D90444"/>
    <w:rsid w:val="03DB0660"/>
    <w:rsid w:val="03DB2583"/>
    <w:rsid w:val="03E2409E"/>
    <w:rsid w:val="03E72B61"/>
    <w:rsid w:val="03EA7B21"/>
    <w:rsid w:val="03EB50FA"/>
    <w:rsid w:val="03EC0177"/>
    <w:rsid w:val="03F139E0"/>
    <w:rsid w:val="03FB485E"/>
    <w:rsid w:val="040000C7"/>
    <w:rsid w:val="04071455"/>
    <w:rsid w:val="04100F5F"/>
    <w:rsid w:val="042C0EBC"/>
    <w:rsid w:val="04310280"/>
    <w:rsid w:val="043164D2"/>
    <w:rsid w:val="04477AA3"/>
    <w:rsid w:val="04536448"/>
    <w:rsid w:val="04583A5F"/>
    <w:rsid w:val="045B70AB"/>
    <w:rsid w:val="045D2E23"/>
    <w:rsid w:val="04671EF4"/>
    <w:rsid w:val="046C12B8"/>
    <w:rsid w:val="04844854"/>
    <w:rsid w:val="048900BC"/>
    <w:rsid w:val="048E0A3A"/>
    <w:rsid w:val="04A42800"/>
    <w:rsid w:val="04AB0032"/>
    <w:rsid w:val="04AB1DE0"/>
    <w:rsid w:val="04AF5742"/>
    <w:rsid w:val="04CE5ACF"/>
    <w:rsid w:val="04DE58C9"/>
    <w:rsid w:val="04FC263C"/>
    <w:rsid w:val="050369E9"/>
    <w:rsid w:val="05151950"/>
    <w:rsid w:val="052676B9"/>
    <w:rsid w:val="054E70C3"/>
    <w:rsid w:val="055A7363"/>
    <w:rsid w:val="056D353A"/>
    <w:rsid w:val="05706E5C"/>
    <w:rsid w:val="05790131"/>
    <w:rsid w:val="0599432F"/>
    <w:rsid w:val="05A30D0A"/>
    <w:rsid w:val="05AC4062"/>
    <w:rsid w:val="05B9677F"/>
    <w:rsid w:val="05DD06BF"/>
    <w:rsid w:val="05DE7F94"/>
    <w:rsid w:val="05F83EAE"/>
    <w:rsid w:val="05FB28F4"/>
    <w:rsid w:val="05FD666C"/>
    <w:rsid w:val="060A0D89"/>
    <w:rsid w:val="0616772D"/>
    <w:rsid w:val="062956B3"/>
    <w:rsid w:val="063522A9"/>
    <w:rsid w:val="0636392C"/>
    <w:rsid w:val="06383B48"/>
    <w:rsid w:val="063D115E"/>
    <w:rsid w:val="063E7D85"/>
    <w:rsid w:val="064222D0"/>
    <w:rsid w:val="06426774"/>
    <w:rsid w:val="0661309E"/>
    <w:rsid w:val="0671705A"/>
    <w:rsid w:val="067508F8"/>
    <w:rsid w:val="068E5516"/>
    <w:rsid w:val="0696261C"/>
    <w:rsid w:val="069761AE"/>
    <w:rsid w:val="06984EF8"/>
    <w:rsid w:val="069A65B0"/>
    <w:rsid w:val="06A27213"/>
    <w:rsid w:val="06A66D03"/>
    <w:rsid w:val="06A7401A"/>
    <w:rsid w:val="06B31420"/>
    <w:rsid w:val="06B74A9B"/>
    <w:rsid w:val="06C74ECC"/>
    <w:rsid w:val="06D80E87"/>
    <w:rsid w:val="06DD649D"/>
    <w:rsid w:val="06E25862"/>
    <w:rsid w:val="06E415DA"/>
    <w:rsid w:val="06EE64D1"/>
    <w:rsid w:val="06F86E33"/>
    <w:rsid w:val="06FC2DC7"/>
    <w:rsid w:val="07000CCC"/>
    <w:rsid w:val="070E2AFA"/>
    <w:rsid w:val="07293586"/>
    <w:rsid w:val="07295285"/>
    <w:rsid w:val="073C31C4"/>
    <w:rsid w:val="075449B1"/>
    <w:rsid w:val="075C5614"/>
    <w:rsid w:val="07622C2C"/>
    <w:rsid w:val="07636392"/>
    <w:rsid w:val="0764271A"/>
    <w:rsid w:val="07660241"/>
    <w:rsid w:val="076646E5"/>
    <w:rsid w:val="0768520B"/>
    <w:rsid w:val="076F3599"/>
    <w:rsid w:val="07770C56"/>
    <w:rsid w:val="07881516"/>
    <w:rsid w:val="07911761"/>
    <w:rsid w:val="07943000"/>
    <w:rsid w:val="079D563B"/>
    <w:rsid w:val="07AC659B"/>
    <w:rsid w:val="07BB67DE"/>
    <w:rsid w:val="07BC4304"/>
    <w:rsid w:val="07BE1E2B"/>
    <w:rsid w:val="07C07FA5"/>
    <w:rsid w:val="07C84A57"/>
    <w:rsid w:val="07DC0503"/>
    <w:rsid w:val="07E13D6B"/>
    <w:rsid w:val="07E21FBD"/>
    <w:rsid w:val="07E82049"/>
    <w:rsid w:val="07E96AD2"/>
    <w:rsid w:val="07F7358F"/>
    <w:rsid w:val="07F7533D"/>
    <w:rsid w:val="07F817E1"/>
    <w:rsid w:val="08145EEF"/>
    <w:rsid w:val="08292CEE"/>
    <w:rsid w:val="082F0F7A"/>
    <w:rsid w:val="083245C7"/>
    <w:rsid w:val="084A1910"/>
    <w:rsid w:val="084E7652"/>
    <w:rsid w:val="08534C69"/>
    <w:rsid w:val="0858227F"/>
    <w:rsid w:val="085F360E"/>
    <w:rsid w:val="08626C5A"/>
    <w:rsid w:val="08634780"/>
    <w:rsid w:val="08640C24"/>
    <w:rsid w:val="0869448C"/>
    <w:rsid w:val="087A654B"/>
    <w:rsid w:val="08836BD0"/>
    <w:rsid w:val="08850F01"/>
    <w:rsid w:val="08887718"/>
    <w:rsid w:val="089A2898"/>
    <w:rsid w:val="08C56A9F"/>
    <w:rsid w:val="08CC0577"/>
    <w:rsid w:val="08DA2C94"/>
    <w:rsid w:val="08DC4C5E"/>
    <w:rsid w:val="08F24482"/>
    <w:rsid w:val="08F55D20"/>
    <w:rsid w:val="08F63846"/>
    <w:rsid w:val="08FC0FA3"/>
    <w:rsid w:val="091A5787"/>
    <w:rsid w:val="091B505B"/>
    <w:rsid w:val="092217DD"/>
    <w:rsid w:val="09243FC8"/>
    <w:rsid w:val="09265ED9"/>
    <w:rsid w:val="092E1232"/>
    <w:rsid w:val="093A7294"/>
    <w:rsid w:val="09414AC1"/>
    <w:rsid w:val="09442803"/>
    <w:rsid w:val="094445B2"/>
    <w:rsid w:val="0945457B"/>
    <w:rsid w:val="09502F56"/>
    <w:rsid w:val="095F763D"/>
    <w:rsid w:val="09623EB9"/>
    <w:rsid w:val="09627EE0"/>
    <w:rsid w:val="097F383C"/>
    <w:rsid w:val="098B0788"/>
    <w:rsid w:val="099B4C93"/>
    <w:rsid w:val="09AF4121"/>
    <w:rsid w:val="09BA2AC6"/>
    <w:rsid w:val="09C83435"/>
    <w:rsid w:val="09D122E9"/>
    <w:rsid w:val="09D16F5E"/>
    <w:rsid w:val="09D65B51"/>
    <w:rsid w:val="09F14739"/>
    <w:rsid w:val="09F76B63"/>
    <w:rsid w:val="09FE29B2"/>
    <w:rsid w:val="0A116422"/>
    <w:rsid w:val="0A154B18"/>
    <w:rsid w:val="0A1B3F65"/>
    <w:rsid w:val="0A1E12A6"/>
    <w:rsid w:val="0A263993"/>
    <w:rsid w:val="0A2D3AC2"/>
    <w:rsid w:val="0A2E773B"/>
    <w:rsid w:val="0A2F7010"/>
    <w:rsid w:val="0A344626"/>
    <w:rsid w:val="0A3B170E"/>
    <w:rsid w:val="0A40121D"/>
    <w:rsid w:val="0A424F95"/>
    <w:rsid w:val="0A440A5C"/>
    <w:rsid w:val="0A4800D1"/>
    <w:rsid w:val="0A560A40"/>
    <w:rsid w:val="0A5A09F9"/>
    <w:rsid w:val="0A60366D"/>
    <w:rsid w:val="0A6767AA"/>
    <w:rsid w:val="0A6842D0"/>
    <w:rsid w:val="0A6C2012"/>
    <w:rsid w:val="0A7F7F97"/>
    <w:rsid w:val="0A856C30"/>
    <w:rsid w:val="0A8A06EA"/>
    <w:rsid w:val="0A9357F1"/>
    <w:rsid w:val="0A9D041D"/>
    <w:rsid w:val="0AA755DF"/>
    <w:rsid w:val="0AAE2130"/>
    <w:rsid w:val="0AB2719C"/>
    <w:rsid w:val="0AC0235E"/>
    <w:rsid w:val="0ACC0D02"/>
    <w:rsid w:val="0ACD44B5"/>
    <w:rsid w:val="0AD7716B"/>
    <w:rsid w:val="0AE042E0"/>
    <w:rsid w:val="0B0C7351"/>
    <w:rsid w:val="0B120D44"/>
    <w:rsid w:val="0B1772F5"/>
    <w:rsid w:val="0B2226D0"/>
    <w:rsid w:val="0B2E72C7"/>
    <w:rsid w:val="0B325009"/>
    <w:rsid w:val="0B3A2110"/>
    <w:rsid w:val="0B5C5D5C"/>
    <w:rsid w:val="0B633415"/>
    <w:rsid w:val="0B6C7DF0"/>
    <w:rsid w:val="0B70168E"/>
    <w:rsid w:val="0B745622"/>
    <w:rsid w:val="0B7E024F"/>
    <w:rsid w:val="0B813B06"/>
    <w:rsid w:val="0B8909A2"/>
    <w:rsid w:val="0B927856"/>
    <w:rsid w:val="0B941820"/>
    <w:rsid w:val="0B9510F4"/>
    <w:rsid w:val="0BB238BC"/>
    <w:rsid w:val="0BB377CC"/>
    <w:rsid w:val="0BC1638D"/>
    <w:rsid w:val="0BC47C2C"/>
    <w:rsid w:val="0BC62BD9"/>
    <w:rsid w:val="0BC639A4"/>
    <w:rsid w:val="0BD27BF6"/>
    <w:rsid w:val="0BD936D7"/>
    <w:rsid w:val="0BE107DE"/>
    <w:rsid w:val="0BE91440"/>
    <w:rsid w:val="0BEB340A"/>
    <w:rsid w:val="0BEE3B84"/>
    <w:rsid w:val="0C0D3381"/>
    <w:rsid w:val="0C1741FF"/>
    <w:rsid w:val="0C1C35C4"/>
    <w:rsid w:val="0C3B3C7D"/>
    <w:rsid w:val="0C3E79DE"/>
    <w:rsid w:val="0C47064F"/>
    <w:rsid w:val="0C5745FC"/>
    <w:rsid w:val="0C684A5B"/>
    <w:rsid w:val="0C7704BC"/>
    <w:rsid w:val="0C8E2F62"/>
    <w:rsid w:val="0C943AA2"/>
    <w:rsid w:val="0C972DB0"/>
    <w:rsid w:val="0C9B098C"/>
    <w:rsid w:val="0CA041F5"/>
    <w:rsid w:val="0CA72E4E"/>
    <w:rsid w:val="0CA94B6C"/>
    <w:rsid w:val="0CAB2EAE"/>
    <w:rsid w:val="0CAF61E6"/>
    <w:rsid w:val="0CB97065"/>
    <w:rsid w:val="0CD12600"/>
    <w:rsid w:val="0CF85DDF"/>
    <w:rsid w:val="0CFD51A3"/>
    <w:rsid w:val="0D0C53E6"/>
    <w:rsid w:val="0D15073F"/>
    <w:rsid w:val="0D166265"/>
    <w:rsid w:val="0D1C7D1F"/>
    <w:rsid w:val="0D2A1D10"/>
    <w:rsid w:val="0D2E1801"/>
    <w:rsid w:val="0D436541"/>
    <w:rsid w:val="0D480A9C"/>
    <w:rsid w:val="0D4903E8"/>
    <w:rsid w:val="0D4A5F0F"/>
    <w:rsid w:val="0D4E3C51"/>
    <w:rsid w:val="0D570D57"/>
    <w:rsid w:val="0D621C7D"/>
    <w:rsid w:val="0D674D12"/>
    <w:rsid w:val="0D703BC7"/>
    <w:rsid w:val="0D842492"/>
    <w:rsid w:val="0D8853B5"/>
    <w:rsid w:val="0D8C6527"/>
    <w:rsid w:val="0D906017"/>
    <w:rsid w:val="0D961154"/>
    <w:rsid w:val="0DA33F9D"/>
    <w:rsid w:val="0DAD6BC9"/>
    <w:rsid w:val="0DC45CC1"/>
    <w:rsid w:val="0DCF4D92"/>
    <w:rsid w:val="0DD423A8"/>
    <w:rsid w:val="0DDA1988"/>
    <w:rsid w:val="0DDE0A5F"/>
    <w:rsid w:val="0DED5218"/>
    <w:rsid w:val="0DFF24C2"/>
    <w:rsid w:val="0E0216F3"/>
    <w:rsid w:val="0E0A401C"/>
    <w:rsid w:val="0E0D6FCA"/>
    <w:rsid w:val="0E0D7668"/>
    <w:rsid w:val="0E1103D6"/>
    <w:rsid w:val="0E312CD7"/>
    <w:rsid w:val="0E4B63E2"/>
    <w:rsid w:val="0E5057A7"/>
    <w:rsid w:val="0E574D87"/>
    <w:rsid w:val="0E5B6625"/>
    <w:rsid w:val="0E686875"/>
    <w:rsid w:val="0E6A4ABA"/>
    <w:rsid w:val="0E73034D"/>
    <w:rsid w:val="0E7E2314"/>
    <w:rsid w:val="0E8536A2"/>
    <w:rsid w:val="0E87741A"/>
    <w:rsid w:val="0E884F40"/>
    <w:rsid w:val="0E891452"/>
    <w:rsid w:val="0E9C09EC"/>
    <w:rsid w:val="0E9D6C3E"/>
    <w:rsid w:val="0E9E4764"/>
    <w:rsid w:val="0EA03B31"/>
    <w:rsid w:val="0EAA4EB7"/>
    <w:rsid w:val="0EE859DF"/>
    <w:rsid w:val="0F000F7B"/>
    <w:rsid w:val="0F026AA1"/>
    <w:rsid w:val="0F0767AD"/>
    <w:rsid w:val="0F0E7B3C"/>
    <w:rsid w:val="0F135152"/>
    <w:rsid w:val="0F13775A"/>
    <w:rsid w:val="0F39623B"/>
    <w:rsid w:val="0F3F7CF5"/>
    <w:rsid w:val="0F403A6D"/>
    <w:rsid w:val="0F4075C9"/>
    <w:rsid w:val="0F451083"/>
    <w:rsid w:val="0F4B669A"/>
    <w:rsid w:val="0F5C551E"/>
    <w:rsid w:val="0F5F45FE"/>
    <w:rsid w:val="0F692FC4"/>
    <w:rsid w:val="0F7A6F7F"/>
    <w:rsid w:val="0F7F00F1"/>
    <w:rsid w:val="0F916077"/>
    <w:rsid w:val="0F96368D"/>
    <w:rsid w:val="0F9A112B"/>
    <w:rsid w:val="0F9E2333"/>
    <w:rsid w:val="0FA22032"/>
    <w:rsid w:val="0FB00BF3"/>
    <w:rsid w:val="0FB81855"/>
    <w:rsid w:val="0FBA381F"/>
    <w:rsid w:val="0FBC30F4"/>
    <w:rsid w:val="0FD04DF1"/>
    <w:rsid w:val="0FE663C2"/>
    <w:rsid w:val="0FE73EE9"/>
    <w:rsid w:val="0FE95EB3"/>
    <w:rsid w:val="0FF07241"/>
    <w:rsid w:val="0FFD54BA"/>
    <w:rsid w:val="1005790A"/>
    <w:rsid w:val="100827DD"/>
    <w:rsid w:val="101C1DE4"/>
    <w:rsid w:val="102F7D69"/>
    <w:rsid w:val="10323BA0"/>
    <w:rsid w:val="103C4234"/>
    <w:rsid w:val="10507CE0"/>
    <w:rsid w:val="105C1028"/>
    <w:rsid w:val="106D2F64"/>
    <w:rsid w:val="107939AD"/>
    <w:rsid w:val="107B4D5D"/>
    <w:rsid w:val="108160EB"/>
    <w:rsid w:val="10841B6C"/>
    <w:rsid w:val="109E0A4B"/>
    <w:rsid w:val="10A67900"/>
    <w:rsid w:val="10A73DA4"/>
    <w:rsid w:val="10A818CA"/>
    <w:rsid w:val="10B464C1"/>
    <w:rsid w:val="10B63710"/>
    <w:rsid w:val="10C81F6C"/>
    <w:rsid w:val="10DD77C5"/>
    <w:rsid w:val="10DE64AA"/>
    <w:rsid w:val="10F10820"/>
    <w:rsid w:val="10F32C7A"/>
    <w:rsid w:val="10FE14EA"/>
    <w:rsid w:val="10FE598E"/>
    <w:rsid w:val="111807FE"/>
    <w:rsid w:val="11186A50"/>
    <w:rsid w:val="111C2F7A"/>
    <w:rsid w:val="111D76A0"/>
    <w:rsid w:val="111E393A"/>
    <w:rsid w:val="112371A2"/>
    <w:rsid w:val="112E1DCF"/>
    <w:rsid w:val="1135387C"/>
    <w:rsid w:val="113F222E"/>
    <w:rsid w:val="114D39E4"/>
    <w:rsid w:val="114F61E9"/>
    <w:rsid w:val="11553800"/>
    <w:rsid w:val="115630D4"/>
    <w:rsid w:val="1158509E"/>
    <w:rsid w:val="11661393"/>
    <w:rsid w:val="11665CA1"/>
    <w:rsid w:val="116E48C1"/>
    <w:rsid w:val="11811EAE"/>
    <w:rsid w:val="118A3AC3"/>
    <w:rsid w:val="11950ECF"/>
    <w:rsid w:val="11963E18"/>
    <w:rsid w:val="1198193E"/>
    <w:rsid w:val="11AE1162"/>
    <w:rsid w:val="11B83D8F"/>
    <w:rsid w:val="11C91AF8"/>
    <w:rsid w:val="11CB5870"/>
    <w:rsid w:val="11CE5360"/>
    <w:rsid w:val="11DA3D05"/>
    <w:rsid w:val="11ED4CAA"/>
    <w:rsid w:val="11F34DC7"/>
    <w:rsid w:val="11FD5C45"/>
    <w:rsid w:val="11FF551A"/>
    <w:rsid w:val="12072620"/>
    <w:rsid w:val="121B639E"/>
    <w:rsid w:val="12244F80"/>
    <w:rsid w:val="12274A70"/>
    <w:rsid w:val="122D02D9"/>
    <w:rsid w:val="123B0393"/>
    <w:rsid w:val="123C051C"/>
    <w:rsid w:val="12577104"/>
    <w:rsid w:val="125E2C10"/>
    <w:rsid w:val="12635AA8"/>
    <w:rsid w:val="12687563"/>
    <w:rsid w:val="126B7053"/>
    <w:rsid w:val="127203E1"/>
    <w:rsid w:val="127D13D9"/>
    <w:rsid w:val="12837EF9"/>
    <w:rsid w:val="12847AFA"/>
    <w:rsid w:val="12883907"/>
    <w:rsid w:val="128E091C"/>
    <w:rsid w:val="128F2D41"/>
    <w:rsid w:val="128F4AEF"/>
    <w:rsid w:val="12A52565"/>
    <w:rsid w:val="12BC340B"/>
    <w:rsid w:val="12C30C3D"/>
    <w:rsid w:val="12CA5B28"/>
    <w:rsid w:val="12CE1941"/>
    <w:rsid w:val="12D50B2C"/>
    <w:rsid w:val="12F9465F"/>
    <w:rsid w:val="12FD414F"/>
    <w:rsid w:val="13001549"/>
    <w:rsid w:val="130059ED"/>
    <w:rsid w:val="13080DA0"/>
    <w:rsid w:val="130F3E82"/>
    <w:rsid w:val="13201BEB"/>
    <w:rsid w:val="13345697"/>
    <w:rsid w:val="1336140F"/>
    <w:rsid w:val="13390EFF"/>
    <w:rsid w:val="13482EF0"/>
    <w:rsid w:val="1356385F"/>
    <w:rsid w:val="135A334F"/>
    <w:rsid w:val="135E44C2"/>
    <w:rsid w:val="137F4B64"/>
    <w:rsid w:val="138360D8"/>
    <w:rsid w:val="13951726"/>
    <w:rsid w:val="13A700DF"/>
    <w:rsid w:val="13AD4D1A"/>
    <w:rsid w:val="13B50586"/>
    <w:rsid w:val="13CA1519"/>
    <w:rsid w:val="13DA623E"/>
    <w:rsid w:val="13EE3A98"/>
    <w:rsid w:val="13FB7F63"/>
    <w:rsid w:val="14091D88"/>
    <w:rsid w:val="14193032"/>
    <w:rsid w:val="142010AE"/>
    <w:rsid w:val="142179C9"/>
    <w:rsid w:val="143516C6"/>
    <w:rsid w:val="14396509"/>
    <w:rsid w:val="144D6A10"/>
    <w:rsid w:val="145E6E6F"/>
    <w:rsid w:val="146855F8"/>
    <w:rsid w:val="146B50E8"/>
    <w:rsid w:val="14A14FAE"/>
    <w:rsid w:val="14A405FA"/>
    <w:rsid w:val="14A679A9"/>
    <w:rsid w:val="14AA20B4"/>
    <w:rsid w:val="14B95E54"/>
    <w:rsid w:val="14BE346A"/>
    <w:rsid w:val="14C32C02"/>
    <w:rsid w:val="14D902A4"/>
    <w:rsid w:val="14DD2C3C"/>
    <w:rsid w:val="14E07884"/>
    <w:rsid w:val="14E426FB"/>
    <w:rsid w:val="14F64A0B"/>
    <w:rsid w:val="15023C9F"/>
    <w:rsid w:val="15194B44"/>
    <w:rsid w:val="151E65FF"/>
    <w:rsid w:val="15211C4B"/>
    <w:rsid w:val="153151ED"/>
    <w:rsid w:val="15436065"/>
    <w:rsid w:val="15510782"/>
    <w:rsid w:val="155C1757"/>
    <w:rsid w:val="15673B02"/>
    <w:rsid w:val="15745BF8"/>
    <w:rsid w:val="158C3568"/>
    <w:rsid w:val="159266A5"/>
    <w:rsid w:val="159348F7"/>
    <w:rsid w:val="15997A33"/>
    <w:rsid w:val="15A50A7A"/>
    <w:rsid w:val="15A72150"/>
    <w:rsid w:val="15AE1730"/>
    <w:rsid w:val="15B324FD"/>
    <w:rsid w:val="15D1541F"/>
    <w:rsid w:val="15EF3AF7"/>
    <w:rsid w:val="15F5735F"/>
    <w:rsid w:val="16087E1D"/>
    <w:rsid w:val="16161084"/>
    <w:rsid w:val="16175528"/>
    <w:rsid w:val="161B13E4"/>
    <w:rsid w:val="161D3399"/>
    <w:rsid w:val="16266269"/>
    <w:rsid w:val="164B3423"/>
    <w:rsid w:val="164D1414"/>
    <w:rsid w:val="165322D8"/>
    <w:rsid w:val="16551BAC"/>
    <w:rsid w:val="165B2F3A"/>
    <w:rsid w:val="165C73DE"/>
    <w:rsid w:val="165C7A79"/>
    <w:rsid w:val="166418B6"/>
    <w:rsid w:val="16781D3E"/>
    <w:rsid w:val="16872F1D"/>
    <w:rsid w:val="169528F0"/>
    <w:rsid w:val="1695644C"/>
    <w:rsid w:val="16AF0E7C"/>
    <w:rsid w:val="16BF171B"/>
    <w:rsid w:val="16BF1B00"/>
    <w:rsid w:val="16D90A2F"/>
    <w:rsid w:val="16DE6045"/>
    <w:rsid w:val="16EF0253"/>
    <w:rsid w:val="1700420E"/>
    <w:rsid w:val="171B1048"/>
    <w:rsid w:val="172024A5"/>
    <w:rsid w:val="173043C7"/>
    <w:rsid w:val="17487963"/>
    <w:rsid w:val="174D31CB"/>
    <w:rsid w:val="174E2B58"/>
    <w:rsid w:val="174F2A9F"/>
    <w:rsid w:val="1762368A"/>
    <w:rsid w:val="17701D14"/>
    <w:rsid w:val="17710C68"/>
    <w:rsid w:val="17735226"/>
    <w:rsid w:val="177B7D38"/>
    <w:rsid w:val="17980067"/>
    <w:rsid w:val="17985C71"/>
    <w:rsid w:val="17AD77C6"/>
    <w:rsid w:val="17AE4A18"/>
    <w:rsid w:val="17B2302E"/>
    <w:rsid w:val="17BD3E21"/>
    <w:rsid w:val="17C0399D"/>
    <w:rsid w:val="17C2010E"/>
    <w:rsid w:val="17C93704"/>
    <w:rsid w:val="17D17958"/>
    <w:rsid w:val="17D336D0"/>
    <w:rsid w:val="17D80CE7"/>
    <w:rsid w:val="17D905BB"/>
    <w:rsid w:val="17E84F5F"/>
    <w:rsid w:val="17EB1D36"/>
    <w:rsid w:val="1807337A"/>
    <w:rsid w:val="18147845"/>
    <w:rsid w:val="1821268E"/>
    <w:rsid w:val="182B350C"/>
    <w:rsid w:val="182B52BA"/>
    <w:rsid w:val="18357EE7"/>
    <w:rsid w:val="18377CB8"/>
    <w:rsid w:val="184E2ACD"/>
    <w:rsid w:val="184F200D"/>
    <w:rsid w:val="1856215D"/>
    <w:rsid w:val="18616F2E"/>
    <w:rsid w:val="18636D79"/>
    <w:rsid w:val="189F624C"/>
    <w:rsid w:val="18A137CE"/>
    <w:rsid w:val="18A63301"/>
    <w:rsid w:val="18C64E24"/>
    <w:rsid w:val="18C87F64"/>
    <w:rsid w:val="18E35B95"/>
    <w:rsid w:val="18F03E0E"/>
    <w:rsid w:val="18F953B8"/>
    <w:rsid w:val="190855FC"/>
    <w:rsid w:val="190F0738"/>
    <w:rsid w:val="191775ED"/>
    <w:rsid w:val="192F0512"/>
    <w:rsid w:val="1941466A"/>
    <w:rsid w:val="195B19B9"/>
    <w:rsid w:val="195E346D"/>
    <w:rsid w:val="195E521C"/>
    <w:rsid w:val="19662322"/>
    <w:rsid w:val="1968609A"/>
    <w:rsid w:val="19687E48"/>
    <w:rsid w:val="196D1903"/>
    <w:rsid w:val="196F7429"/>
    <w:rsid w:val="19734E4A"/>
    <w:rsid w:val="19842055"/>
    <w:rsid w:val="19961AD4"/>
    <w:rsid w:val="199944A6"/>
    <w:rsid w:val="199D21E8"/>
    <w:rsid w:val="19A14390"/>
    <w:rsid w:val="19BB441C"/>
    <w:rsid w:val="19C239FC"/>
    <w:rsid w:val="19C77265"/>
    <w:rsid w:val="1A09162B"/>
    <w:rsid w:val="1A1168AB"/>
    <w:rsid w:val="1A1C66C0"/>
    <w:rsid w:val="1A241393"/>
    <w:rsid w:val="1A2B77F4"/>
    <w:rsid w:val="1A3B555D"/>
    <w:rsid w:val="1A3B6503"/>
    <w:rsid w:val="1A42393B"/>
    <w:rsid w:val="1A444411"/>
    <w:rsid w:val="1A57746B"/>
    <w:rsid w:val="1A662CCE"/>
    <w:rsid w:val="1A78055F"/>
    <w:rsid w:val="1A7C004F"/>
    <w:rsid w:val="1A824F3A"/>
    <w:rsid w:val="1A937147"/>
    <w:rsid w:val="1A9609E5"/>
    <w:rsid w:val="1A9A70D5"/>
    <w:rsid w:val="1A9D7FC6"/>
    <w:rsid w:val="1AA72BF2"/>
    <w:rsid w:val="1AAD45DE"/>
    <w:rsid w:val="1ABA2925"/>
    <w:rsid w:val="1AD31C39"/>
    <w:rsid w:val="1AD8708E"/>
    <w:rsid w:val="1ADA332E"/>
    <w:rsid w:val="1ADF05DE"/>
    <w:rsid w:val="1AE3657B"/>
    <w:rsid w:val="1AED4AA9"/>
    <w:rsid w:val="1AF51BB0"/>
    <w:rsid w:val="1B026CFF"/>
    <w:rsid w:val="1B030EBA"/>
    <w:rsid w:val="1B046F80"/>
    <w:rsid w:val="1B067919"/>
    <w:rsid w:val="1B1E1106"/>
    <w:rsid w:val="1B3267B5"/>
    <w:rsid w:val="1B347EAC"/>
    <w:rsid w:val="1B3B1CD0"/>
    <w:rsid w:val="1B40161D"/>
    <w:rsid w:val="1B441859"/>
    <w:rsid w:val="1B4D19EC"/>
    <w:rsid w:val="1B5A1A13"/>
    <w:rsid w:val="1B6034CD"/>
    <w:rsid w:val="1B6606B1"/>
    <w:rsid w:val="1B697EA8"/>
    <w:rsid w:val="1B7A20B5"/>
    <w:rsid w:val="1B83540D"/>
    <w:rsid w:val="1B8371BB"/>
    <w:rsid w:val="1B8B42C2"/>
    <w:rsid w:val="1B8D29CC"/>
    <w:rsid w:val="1B93689C"/>
    <w:rsid w:val="1BAD248A"/>
    <w:rsid w:val="1BD17F27"/>
    <w:rsid w:val="1BD27189"/>
    <w:rsid w:val="1BEF34A9"/>
    <w:rsid w:val="1C0302FC"/>
    <w:rsid w:val="1C0876C1"/>
    <w:rsid w:val="1C1B73F4"/>
    <w:rsid w:val="1C1D3957"/>
    <w:rsid w:val="1C2269D4"/>
    <w:rsid w:val="1C2C1601"/>
    <w:rsid w:val="1C330BE1"/>
    <w:rsid w:val="1C4617A8"/>
    <w:rsid w:val="1C4A7CD9"/>
    <w:rsid w:val="1C556DAA"/>
    <w:rsid w:val="1C56667E"/>
    <w:rsid w:val="1C5747DF"/>
    <w:rsid w:val="1C5D5C5E"/>
    <w:rsid w:val="1C5E7925"/>
    <w:rsid w:val="1C833CE3"/>
    <w:rsid w:val="1C8E7BC6"/>
    <w:rsid w:val="1C9A5D29"/>
    <w:rsid w:val="1C9F0BA5"/>
    <w:rsid w:val="1CA473E9"/>
    <w:rsid w:val="1CA86EA0"/>
    <w:rsid w:val="1CA92C52"/>
    <w:rsid w:val="1CAE64BA"/>
    <w:rsid w:val="1CBA09BB"/>
    <w:rsid w:val="1CBE55B6"/>
    <w:rsid w:val="1CC17F9B"/>
    <w:rsid w:val="1CD53A47"/>
    <w:rsid w:val="1CF94725"/>
    <w:rsid w:val="1CFD070F"/>
    <w:rsid w:val="1D0600A4"/>
    <w:rsid w:val="1D1537EC"/>
    <w:rsid w:val="1D1C1676"/>
    <w:rsid w:val="1D271DC8"/>
    <w:rsid w:val="1D3544E5"/>
    <w:rsid w:val="1D3D530A"/>
    <w:rsid w:val="1D44297A"/>
    <w:rsid w:val="1D444728"/>
    <w:rsid w:val="1D570900"/>
    <w:rsid w:val="1D5E1C8E"/>
    <w:rsid w:val="1D5F6196"/>
    <w:rsid w:val="1D6132A5"/>
    <w:rsid w:val="1D644DCB"/>
    <w:rsid w:val="1D725739"/>
    <w:rsid w:val="1D886D0B"/>
    <w:rsid w:val="1D8B05A9"/>
    <w:rsid w:val="1D8E56D5"/>
    <w:rsid w:val="1D943902"/>
    <w:rsid w:val="1DBE44DB"/>
    <w:rsid w:val="1DD74A08"/>
    <w:rsid w:val="1DD90774"/>
    <w:rsid w:val="1DE008F5"/>
    <w:rsid w:val="1DF3687A"/>
    <w:rsid w:val="1E1B192D"/>
    <w:rsid w:val="1E1E5103"/>
    <w:rsid w:val="1E2702D2"/>
    <w:rsid w:val="1E2C7696"/>
    <w:rsid w:val="1E473A42"/>
    <w:rsid w:val="1E4A3FC0"/>
    <w:rsid w:val="1E560BB7"/>
    <w:rsid w:val="1E5B61CE"/>
    <w:rsid w:val="1E7A43DA"/>
    <w:rsid w:val="1E7E1EBC"/>
    <w:rsid w:val="1EA305EF"/>
    <w:rsid w:val="1EB678A8"/>
    <w:rsid w:val="1EC117B6"/>
    <w:rsid w:val="1ED41ADC"/>
    <w:rsid w:val="1ED85A70"/>
    <w:rsid w:val="1EE537BF"/>
    <w:rsid w:val="1EEC5078"/>
    <w:rsid w:val="1EF1268E"/>
    <w:rsid w:val="1EF53F2C"/>
    <w:rsid w:val="1EFA7794"/>
    <w:rsid w:val="1F014188"/>
    <w:rsid w:val="1F066139"/>
    <w:rsid w:val="1F073C5F"/>
    <w:rsid w:val="1F106FB8"/>
    <w:rsid w:val="1F1C3BAF"/>
    <w:rsid w:val="1F291E28"/>
    <w:rsid w:val="1F2C36C6"/>
    <w:rsid w:val="1F2E5690"/>
    <w:rsid w:val="1F301408"/>
    <w:rsid w:val="1F332CA6"/>
    <w:rsid w:val="1F372797"/>
    <w:rsid w:val="1F4D1FBA"/>
    <w:rsid w:val="1F502B79"/>
    <w:rsid w:val="1F505606"/>
    <w:rsid w:val="1F51312D"/>
    <w:rsid w:val="1F5C044F"/>
    <w:rsid w:val="1F5F1CED"/>
    <w:rsid w:val="1F66307C"/>
    <w:rsid w:val="1F9359CA"/>
    <w:rsid w:val="1F947BE9"/>
    <w:rsid w:val="1F9C0C06"/>
    <w:rsid w:val="1FA31BDA"/>
    <w:rsid w:val="1FA871F0"/>
    <w:rsid w:val="1FAA11BB"/>
    <w:rsid w:val="1FCA360B"/>
    <w:rsid w:val="1FD71884"/>
    <w:rsid w:val="1FDC333E"/>
    <w:rsid w:val="1FE3647B"/>
    <w:rsid w:val="1FE44638"/>
    <w:rsid w:val="1FE7539E"/>
    <w:rsid w:val="1FEA7809"/>
    <w:rsid w:val="1FF16DE9"/>
    <w:rsid w:val="20176124"/>
    <w:rsid w:val="2020147D"/>
    <w:rsid w:val="202F5449"/>
    <w:rsid w:val="20671BE0"/>
    <w:rsid w:val="20827970"/>
    <w:rsid w:val="208D63E6"/>
    <w:rsid w:val="20963CB8"/>
    <w:rsid w:val="20A420AE"/>
    <w:rsid w:val="20A81A1B"/>
    <w:rsid w:val="20AA6F98"/>
    <w:rsid w:val="20B07FB6"/>
    <w:rsid w:val="20B646FB"/>
    <w:rsid w:val="20C462AC"/>
    <w:rsid w:val="20CC6275"/>
    <w:rsid w:val="20D44A5E"/>
    <w:rsid w:val="20D9162C"/>
    <w:rsid w:val="20F554BA"/>
    <w:rsid w:val="2100305C"/>
    <w:rsid w:val="21020B82"/>
    <w:rsid w:val="211E7A7D"/>
    <w:rsid w:val="21316F3F"/>
    <w:rsid w:val="213845A4"/>
    <w:rsid w:val="213961F5"/>
    <w:rsid w:val="213B74B1"/>
    <w:rsid w:val="213D1AC6"/>
    <w:rsid w:val="21493215"/>
    <w:rsid w:val="214E201A"/>
    <w:rsid w:val="215313DE"/>
    <w:rsid w:val="21537630"/>
    <w:rsid w:val="215A1951"/>
    <w:rsid w:val="215A2310"/>
    <w:rsid w:val="215E4EE8"/>
    <w:rsid w:val="217952E8"/>
    <w:rsid w:val="217A5A6F"/>
    <w:rsid w:val="219A700D"/>
    <w:rsid w:val="21A25EC1"/>
    <w:rsid w:val="21B207FA"/>
    <w:rsid w:val="21B23D50"/>
    <w:rsid w:val="21C422DC"/>
    <w:rsid w:val="21D02A2F"/>
    <w:rsid w:val="21DE318A"/>
    <w:rsid w:val="21EB5ABA"/>
    <w:rsid w:val="21EF5B80"/>
    <w:rsid w:val="220A4192"/>
    <w:rsid w:val="22235254"/>
    <w:rsid w:val="2241392C"/>
    <w:rsid w:val="22475131"/>
    <w:rsid w:val="22576990"/>
    <w:rsid w:val="22656C65"/>
    <w:rsid w:val="2275654A"/>
    <w:rsid w:val="227948DB"/>
    <w:rsid w:val="22853819"/>
    <w:rsid w:val="229677D4"/>
    <w:rsid w:val="229879F0"/>
    <w:rsid w:val="22A9614B"/>
    <w:rsid w:val="22AA5B91"/>
    <w:rsid w:val="22AD2D70"/>
    <w:rsid w:val="22C24A6D"/>
    <w:rsid w:val="22C73E32"/>
    <w:rsid w:val="22CC769A"/>
    <w:rsid w:val="22F10EAE"/>
    <w:rsid w:val="22F47480"/>
    <w:rsid w:val="22F56BF1"/>
    <w:rsid w:val="22F8048F"/>
    <w:rsid w:val="231B23CF"/>
    <w:rsid w:val="23203542"/>
    <w:rsid w:val="232C2EB2"/>
    <w:rsid w:val="23377209"/>
    <w:rsid w:val="233B037C"/>
    <w:rsid w:val="233E26E5"/>
    <w:rsid w:val="234731C4"/>
    <w:rsid w:val="234809A7"/>
    <w:rsid w:val="2358717F"/>
    <w:rsid w:val="23865A9B"/>
    <w:rsid w:val="23A06908"/>
    <w:rsid w:val="23B51416"/>
    <w:rsid w:val="23C7544D"/>
    <w:rsid w:val="23D43982"/>
    <w:rsid w:val="23DE1C48"/>
    <w:rsid w:val="23ED6978"/>
    <w:rsid w:val="23EE3640"/>
    <w:rsid w:val="23F24EDE"/>
    <w:rsid w:val="23FA0237"/>
    <w:rsid w:val="23FF584D"/>
    <w:rsid w:val="240210CD"/>
    <w:rsid w:val="240A66CC"/>
    <w:rsid w:val="242F69A3"/>
    <w:rsid w:val="24390D5F"/>
    <w:rsid w:val="243E0123"/>
    <w:rsid w:val="24417C14"/>
    <w:rsid w:val="2446522A"/>
    <w:rsid w:val="24482D50"/>
    <w:rsid w:val="245D4738"/>
    <w:rsid w:val="24637B8A"/>
    <w:rsid w:val="246C2EE2"/>
    <w:rsid w:val="24747D4C"/>
    <w:rsid w:val="247B4ED4"/>
    <w:rsid w:val="2480698E"/>
    <w:rsid w:val="24816262"/>
    <w:rsid w:val="2483647E"/>
    <w:rsid w:val="24861ACA"/>
    <w:rsid w:val="248F097F"/>
    <w:rsid w:val="248F6BD1"/>
    <w:rsid w:val="24912949"/>
    <w:rsid w:val="249146F7"/>
    <w:rsid w:val="24A51F50"/>
    <w:rsid w:val="24AD7057"/>
    <w:rsid w:val="24B85289"/>
    <w:rsid w:val="24BF09F7"/>
    <w:rsid w:val="24C3687B"/>
    <w:rsid w:val="24C83E91"/>
    <w:rsid w:val="24CD2E70"/>
    <w:rsid w:val="24CE594B"/>
    <w:rsid w:val="24E94DF7"/>
    <w:rsid w:val="24EE7D9B"/>
    <w:rsid w:val="24EF29EC"/>
    <w:rsid w:val="252D53FE"/>
    <w:rsid w:val="253D487F"/>
    <w:rsid w:val="25416367"/>
    <w:rsid w:val="25493224"/>
    <w:rsid w:val="25525AF8"/>
    <w:rsid w:val="257B0F03"/>
    <w:rsid w:val="25987D07"/>
    <w:rsid w:val="259D0E7A"/>
    <w:rsid w:val="25A0096A"/>
    <w:rsid w:val="25A16BBC"/>
    <w:rsid w:val="25AB17E9"/>
    <w:rsid w:val="25AD37B3"/>
    <w:rsid w:val="25C64874"/>
    <w:rsid w:val="25C94365"/>
    <w:rsid w:val="25EC2D81"/>
    <w:rsid w:val="26034B6D"/>
    <w:rsid w:val="26040EF9"/>
    <w:rsid w:val="26064C71"/>
    <w:rsid w:val="260809E9"/>
    <w:rsid w:val="2609454D"/>
    <w:rsid w:val="260F621B"/>
    <w:rsid w:val="26151358"/>
    <w:rsid w:val="262477ED"/>
    <w:rsid w:val="262E24B2"/>
    <w:rsid w:val="26321F6C"/>
    <w:rsid w:val="26336079"/>
    <w:rsid w:val="26347A30"/>
    <w:rsid w:val="263D1CFC"/>
    <w:rsid w:val="264A7253"/>
    <w:rsid w:val="265E685B"/>
    <w:rsid w:val="266320C3"/>
    <w:rsid w:val="267F786F"/>
    <w:rsid w:val="268362C1"/>
    <w:rsid w:val="268B161A"/>
    <w:rsid w:val="268D0EEE"/>
    <w:rsid w:val="268F110A"/>
    <w:rsid w:val="26906C30"/>
    <w:rsid w:val="269C593E"/>
    <w:rsid w:val="26BE6B98"/>
    <w:rsid w:val="26C80178"/>
    <w:rsid w:val="26CF7759"/>
    <w:rsid w:val="26E1123A"/>
    <w:rsid w:val="26E52AD8"/>
    <w:rsid w:val="26EA4592"/>
    <w:rsid w:val="26F40F6D"/>
    <w:rsid w:val="270D3E41"/>
    <w:rsid w:val="271E248E"/>
    <w:rsid w:val="272950BB"/>
    <w:rsid w:val="273A72C8"/>
    <w:rsid w:val="273B6B9C"/>
    <w:rsid w:val="273E043A"/>
    <w:rsid w:val="27545EB0"/>
    <w:rsid w:val="27602AA7"/>
    <w:rsid w:val="27655CDB"/>
    <w:rsid w:val="276A3393"/>
    <w:rsid w:val="276E51C4"/>
    <w:rsid w:val="277057A2"/>
    <w:rsid w:val="277F21C5"/>
    <w:rsid w:val="2786250D"/>
    <w:rsid w:val="27960276"/>
    <w:rsid w:val="279664C8"/>
    <w:rsid w:val="27B5694E"/>
    <w:rsid w:val="27BF157B"/>
    <w:rsid w:val="27C272BD"/>
    <w:rsid w:val="27C5274E"/>
    <w:rsid w:val="27CA353C"/>
    <w:rsid w:val="27CB43C4"/>
    <w:rsid w:val="27CE6EE6"/>
    <w:rsid w:val="27D717B7"/>
    <w:rsid w:val="27F362D2"/>
    <w:rsid w:val="27FC632B"/>
    <w:rsid w:val="28000855"/>
    <w:rsid w:val="2807212A"/>
    <w:rsid w:val="280B656E"/>
    <w:rsid w:val="284877C3"/>
    <w:rsid w:val="284B1061"/>
    <w:rsid w:val="28697739"/>
    <w:rsid w:val="288A18A7"/>
    <w:rsid w:val="28981F1C"/>
    <w:rsid w:val="28A95D87"/>
    <w:rsid w:val="28B210E0"/>
    <w:rsid w:val="28B44E58"/>
    <w:rsid w:val="28BA1D43"/>
    <w:rsid w:val="28C013B8"/>
    <w:rsid w:val="28C8445F"/>
    <w:rsid w:val="28E40359"/>
    <w:rsid w:val="28E55011"/>
    <w:rsid w:val="28EA2628"/>
    <w:rsid w:val="28EC1F83"/>
    <w:rsid w:val="28EF7C3E"/>
    <w:rsid w:val="28F11C08"/>
    <w:rsid w:val="28FC235B"/>
    <w:rsid w:val="2903193C"/>
    <w:rsid w:val="290A2CCA"/>
    <w:rsid w:val="29116591"/>
    <w:rsid w:val="29144808"/>
    <w:rsid w:val="29206EB8"/>
    <w:rsid w:val="293164A9"/>
    <w:rsid w:val="29493649"/>
    <w:rsid w:val="29595666"/>
    <w:rsid w:val="295B52D4"/>
    <w:rsid w:val="29736AC1"/>
    <w:rsid w:val="297B7724"/>
    <w:rsid w:val="298732F7"/>
    <w:rsid w:val="29874881"/>
    <w:rsid w:val="29891CAC"/>
    <w:rsid w:val="29945C1B"/>
    <w:rsid w:val="29A46C7B"/>
    <w:rsid w:val="29A50C45"/>
    <w:rsid w:val="29CE3CF8"/>
    <w:rsid w:val="29DB6414"/>
    <w:rsid w:val="29E1168E"/>
    <w:rsid w:val="29E325E0"/>
    <w:rsid w:val="29E67293"/>
    <w:rsid w:val="29EE6148"/>
    <w:rsid w:val="29FF65A7"/>
    <w:rsid w:val="2A104310"/>
    <w:rsid w:val="2A1536D4"/>
    <w:rsid w:val="2A16744D"/>
    <w:rsid w:val="2A36189D"/>
    <w:rsid w:val="2A452503"/>
    <w:rsid w:val="2A47716F"/>
    <w:rsid w:val="2A570191"/>
    <w:rsid w:val="2A5E151F"/>
    <w:rsid w:val="2A6603D4"/>
    <w:rsid w:val="2A810D6A"/>
    <w:rsid w:val="2A816FBC"/>
    <w:rsid w:val="2A862824"/>
    <w:rsid w:val="2A8B7E3A"/>
    <w:rsid w:val="2AAF11D9"/>
    <w:rsid w:val="2AAF63FE"/>
    <w:rsid w:val="2ABE1FBE"/>
    <w:rsid w:val="2AC375D4"/>
    <w:rsid w:val="2AC866B6"/>
    <w:rsid w:val="2AFB6D6E"/>
    <w:rsid w:val="2AFE685E"/>
    <w:rsid w:val="2B035C23"/>
    <w:rsid w:val="2B084FE7"/>
    <w:rsid w:val="2B0F45C8"/>
    <w:rsid w:val="2B1A4D1A"/>
    <w:rsid w:val="2B2142FB"/>
    <w:rsid w:val="2B2F4C6A"/>
    <w:rsid w:val="2B345DDC"/>
    <w:rsid w:val="2B3F4C14"/>
    <w:rsid w:val="2B4D50F0"/>
    <w:rsid w:val="2B5D612B"/>
    <w:rsid w:val="2B5E10AB"/>
    <w:rsid w:val="2B667F60"/>
    <w:rsid w:val="2B6C2FF3"/>
    <w:rsid w:val="2B732DA8"/>
    <w:rsid w:val="2B801021"/>
    <w:rsid w:val="2B856638"/>
    <w:rsid w:val="2B8C3E6A"/>
    <w:rsid w:val="2BA56CDA"/>
    <w:rsid w:val="2BA936A8"/>
    <w:rsid w:val="2BBC5615"/>
    <w:rsid w:val="2BC01D66"/>
    <w:rsid w:val="2BE772F2"/>
    <w:rsid w:val="2BEC2B5B"/>
    <w:rsid w:val="2BEC4909"/>
    <w:rsid w:val="2C073FBF"/>
    <w:rsid w:val="2C1D0F66"/>
    <w:rsid w:val="2C315A5A"/>
    <w:rsid w:val="2C385DA0"/>
    <w:rsid w:val="2C4B1C25"/>
    <w:rsid w:val="2C575A56"/>
    <w:rsid w:val="2C583D4C"/>
    <w:rsid w:val="2C626979"/>
    <w:rsid w:val="2C6941AB"/>
    <w:rsid w:val="2CA23219"/>
    <w:rsid w:val="2CA37CF9"/>
    <w:rsid w:val="2CA86A82"/>
    <w:rsid w:val="2CB847EB"/>
    <w:rsid w:val="2CC65BF1"/>
    <w:rsid w:val="2CC969F8"/>
    <w:rsid w:val="2CD71115"/>
    <w:rsid w:val="2CF55A3F"/>
    <w:rsid w:val="2CFA4E04"/>
    <w:rsid w:val="2D0B0DBF"/>
    <w:rsid w:val="2D113FD1"/>
    <w:rsid w:val="2D1C7470"/>
    <w:rsid w:val="2D22320F"/>
    <w:rsid w:val="2D241E80"/>
    <w:rsid w:val="2D3227EF"/>
    <w:rsid w:val="2D345679"/>
    <w:rsid w:val="2D3D3D49"/>
    <w:rsid w:val="2D3E2F42"/>
    <w:rsid w:val="2D4D13D7"/>
    <w:rsid w:val="2D614E83"/>
    <w:rsid w:val="2D6D7CCB"/>
    <w:rsid w:val="2D76092E"/>
    <w:rsid w:val="2D79581B"/>
    <w:rsid w:val="2D917516"/>
    <w:rsid w:val="2D9B65E7"/>
    <w:rsid w:val="2D9D410D"/>
    <w:rsid w:val="2D9E56F5"/>
    <w:rsid w:val="2DA74F8B"/>
    <w:rsid w:val="2DCE2518"/>
    <w:rsid w:val="2DFE0923"/>
    <w:rsid w:val="2E0025AF"/>
    <w:rsid w:val="2E051CB2"/>
    <w:rsid w:val="2E053A60"/>
    <w:rsid w:val="2E070A5D"/>
    <w:rsid w:val="2E1B3283"/>
    <w:rsid w:val="2E1D6FFC"/>
    <w:rsid w:val="2E1F6294"/>
    <w:rsid w:val="2E304F81"/>
    <w:rsid w:val="2E431036"/>
    <w:rsid w:val="2E47276C"/>
    <w:rsid w:val="2E507CF4"/>
    <w:rsid w:val="2E541F88"/>
    <w:rsid w:val="2E5D564A"/>
    <w:rsid w:val="2E5D77E1"/>
    <w:rsid w:val="2E667F96"/>
    <w:rsid w:val="2E6E3F01"/>
    <w:rsid w:val="2E750BE6"/>
    <w:rsid w:val="2E8226AB"/>
    <w:rsid w:val="2E823302"/>
    <w:rsid w:val="2E9B6172"/>
    <w:rsid w:val="2EA66FF1"/>
    <w:rsid w:val="2EA96AE1"/>
    <w:rsid w:val="2EAB2859"/>
    <w:rsid w:val="2EB536D8"/>
    <w:rsid w:val="2EBD258D"/>
    <w:rsid w:val="2EC146D8"/>
    <w:rsid w:val="2EC21951"/>
    <w:rsid w:val="2EC22C00"/>
    <w:rsid w:val="2ECD0A22"/>
    <w:rsid w:val="2ECE479A"/>
    <w:rsid w:val="2ED7364E"/>
    <w:rsid w:val="2EDA4EED"/>
    <w:rsid w:val="2EE30245"/>
    <w:rsid w:val="2EEF6BEA"/>
    <w:rsid w:val="2EF37D5C"/>
    <w:rsid w:val="2EF51D26"/>
    <w:rsid w:val="2F0401BB"/>
    <w:rsid w:val="2F0D3F98"/>
    <w:rsid w:val="2F397563"/>
    <w:rsid w:val="2F3F2FA2"/>
    <w:rsid w:val="2F5922B5"/>
    <w:rsid w:val="2F5E5B1E"/>
    <w:rsid w:val="2F61116A"/>
    <w:rsid w:val="2F662C24"/>
    <w:rsid w:val="2F6A6270"/>
    <w:rsid w:val="2F6D7B0F"/>
    <w:rsid w:val="2F77098D"/>
    <w:rsid w:val="2F8337D6"/>
    <w:rsid w:val="2F880DEC"/>
    <w:rsid w:val="2FA200FA"/>
    <w:rsid w:val="2FA379D4"/>
    <w:rsid w:val="2FAA2B11"/>
    <w:rsid w:val="2FB27C17"/>
    <w:rsid w:val="2FB67708"/>
    <w:rsid w:val="2FB8323B"/>
    <w:rsid w:val="2FC31E25"/>
    <w:rsid w:val="2FC760EE"/>
    <w:rsid w:val="2FD065E6"/>
    <w:rsid w:val="2FD7142C"/>
    <w:rsid w:val="2FD96870"/>
    <w:rsid w:val="2FDE577C"/>
    <w:rsid w:val="2FE149E3"/>
    <w:rsid w:val="2FF40230"/>
    <w:rsid w:val="2FF63FA8"/>
    <w:rsid w:val="2FF90CA8"/>
    <w:rsid w:val="30077F63"/>
    <w:rsid w:val="30100D8D"/>
    <w:rsid w:val="30134B5A"/>
    <w:rsid w:val="301937F3"/>
    <w:rsid w:val="301A5EE8"/>
    <w:rsid w:val="302F1268"/>
    <w:rsid w:val="30316D8E"/>
    <w:rsid w:val="305331A8"/>
    <w:rsid w:val="30580BC9"/>
    <w:rsid w:val="30625155"/>
    <w:rsid w:val="30640F12"/>
    <w:rsid w:val="307F3F9D"/>
    <w:rsid w:val="30890978"/>
    <w:rsid w:val="30913CD1"/>
    <w:rsid w:val="30A051E6"/>
    <w:rsid w:val="30BD4AC6"/>
    <w:rsid w:val="30E12562"/>
    <w:rsid w:val="30F027A5"/>
    <w:rsid w:val="30F229C1"/>
    <w:rsid w:val="30FF0C3A"/>
    <w:rsid w:val="31045716"/>
    <w:rsid w:val="310C5925"/>
    <w:rsid w:val="310D15A9"/>
    <w:rsid w:val="31124E12"/>
    <w:rsid w:val="311E2ED7"/>
    <w:rsid w:val="31271F3F"/>
    <w:rsid w:val="314A64F7"/>
    <w:rsid w:val="314B3E80"/>
    <w:rsid w:val="31512B94"/>
    <w:rsid w:val="31556AAC"/>
    <w:rsid w:val="315619EE"/>
    <w:rsid w:val="315C449C"/>
    <w:rsid w:val="316C61B0"/>
    <w:rsid w:val="317A6513"/>
    <w:rsid w:val="3186135C"/>
    <w:rsid w:val="318C4BC4"/>
    <w:rsid w:val="319B66CB"/>
    <w:rsid w:val="31B82709"/>
    <w:rsid w:val="31B934DF"/>
    <w:rsid w:val="31BE4652"/>
    <w:rsid w:val="31C53C32"/>
    <w:rsid w:val="31D05482"/>
    <w:rsid w:val="31D67BED"/>
    <w:rsid w:val="31D75713"/>
    <w:rsid w:val="31DA7D89"/>
    <w:rsid w:val="31DE1576"/>
    <w:rsid w:val="32097FFD"/>
    <w:rsid w:val="320F1351"/>
    <w:rsid w:val="32132BEF"/>
    <w:rsid w:val="3216623C"/>
    <w:rsid w:val="321B5F48"/>
    <w:rsid w:val="322A7F39"/>
    <w:rsid w:val="32400B34"/>
    <w:rsid w:val="324F5BF1"/>
    <w:rsid w:val="32582CF8"/>
    <w:rsid w:val="3264169D"/>
    <w:rsid w:val="32717916"/>
    <w:rsid w:val="32902492"/>
    <w:rsid w:val="329E6876"/>
    <w:rsid w:val="32AC094E"/>
    <w:rsid w:val="32BD4817"/>
    <w:rsid w:val="32C07AD8"/>
    <w:rsid w:val="32C51A10"/>
    <w:rsid w:val="32CC0FF0"/>
    <w:rsid w:val="32CE6B16"/>
    <w:rsid w:val="32D3237F"/>
    <w:rsid w:val="32E6415C"/>
    <w:rsid w:val="33042538"/>
    <w:rsid w:val="33044C2E"/>
    <w:rsid w:val="330662B0"/>
    <w:rsid w:val="3317670F"/>
    <w:rsid w:val="331B7BCF"/>
    <w:rsid w:val="333015F2"/>
    <w:rsid w:val="33357F01"/>
    <w:rsid w:val="33492641"/>
    <w:rsid w:val="334B6320"/>
    <w:rsid w:val="33574D5E"/>
    <w:rsid w:val="337640FF"/>
    <w:rsid w:val="33775400"/>
    <w:rsid w:val="33857B1D"/>
    <w:rsid w:val="338673F1"/>
    <w:rsid w:val="338813BB"/>
    <w:rsid w:val="33923FE8"/>
    <w:rsid w:val="33A87367"/>
    <w:rsid w:val="33A930DF"/>
    <w:rsid w:val="33CF6FEA"/>
    <w:rsid w:val="33D934D4"/>
    <w:rsid w:val="33F425AD"/>
    <w:rsid w:val="33FE2F6A"/>
    <w:rsid w:val="340E07E5"/>
    <w:rsid w:val="34235BF7"/>
    <w:rsid w:val="34254E5C"/>
    <w:rsid w:val="34321327"/>
    <w:rsid w:val="343230D5"/>
    <w:rsid w:val="3437693D"/>
    <w:rsid w:val="344835C0"/>
    <w:rsid w:val="345319C9"/>
    <w:rsid w:val="34586FDF"/>
    <w:rsid w:val="345D3677"/>
    <w:rsid w:val="346C2A8B"/>
    <w:rsid w:val="346C65E7"/>
    <w:rsid w:val="346D235F"/>
    <w:rsid w:val="34711E4F"/>
    <w:rsid w:val="348C4512"/>
    <w:rsid w:val="34A35D81"/>
    <w:rsid w:val="34A75871"/>
    <w:rsid w:val="34B41D3C"/>
    <w:rsid w:val="34BD3B92"/>
    <w:rsid w:val="34DD74E5"/>
    <w:rsid w:val="34E846A5"/>
    <w:rsid w:val="34EB62E7"/>
    <w:rsid w:val="34F14D3E"/>
    <w:rsid w:val="34F62354"/>
    <w:rsid w:val="34F75C5C"/>
    <w:rsid w:val="34F767F8"/>
    <w:rsid w:val="34F860CC"/>
    <w:rsid w:val="34FB796B"/>
    <w:rsid w:val="3502519D"/>
    <w:rsid w:val="35092088"/>
    <w:rsid w:val="35150A2C"/>
    <w:rsid w:val="3518676F"/>
    <w:rsid w:val="351A24E7"/>
    <w:rsid w:val="353510CF"/>
    <w:rsid w:val="353C420B"/>
    <w:rsid w:val="35491DB9"/>
    <w:rsid w:val="354E3F3E"/>
    <w:rsid w:val="354F1D05"/>
    <w:rsid w:val="355359F9"/>
    <w:rsid w:val="35647C06"/>
    <w:rsid w:val="356579BA"/>
    <w:rsid w:val="357D4824"/>
    <w:rsid w:val="3586192A"/>
    <w:rsid w:val="358838F4"/>
    <w:rsid w:val="35884863"/>
    <w:rsid w:val="358C5FA8"/>
    <w:rsid w:val="359F0C3E"/>
    <w:rsid w:val="35A10512"/>
    <w:rsid w:val="35A20E03"/>
    <w:rsid w:val="35B244CD"/>
    <w:rsid w:val="35BC17F0"/>
    <w:rsid w:val="35C15DF1"/>
    <w:rsid w:val="35CA5CBB"/>
    <w:rsid w:val="35D24B6F"/>
    <w:rsid w:val="35E30B2B"/>
    <w:rsid w:val="35EB3E83"/>
    <w:rsid w:val="35F1149A"/>
    <w:rsid w:val="35F72828"/>
    <w:rsid w:val="36064819"/>
    <w:rsid w:val="36074A7F"/>
    <w:rsid w:val="36095D6E"/>
    <w:rsid w:val="36097A13"/>
    <w:rsid w:val="361909F0"/>
    <w:rsid w:val="3623361D"/>
    <w:rsid w:val="36280C33"/>
    <w:rsid w:val="364610BA"/>
    <w:rsid w:val="36533F02"/>
    <w:rsid w:val="365B6913"/>
    <w:rsid w:val="3679148F"/>
    <w:rsid w:val="36883480"/>
    <w:rsid w:val="368D6CE8"/>
    <w:rsid w:val="36923549"/>
    <w:rsid w:val="369342FF"/>
    <w:rsid w:val="369462C9"/>
    <w:rsid w:val="36A71B58"/>
    <w:rsid w:val="36AE1139"/>
    <w:rsid w:val="36B349A1"/>
    <w:rsid w:val="36B75FBF"/>
    <w:rsid w:val="36BD0C45"/>
    <w:rsid w:val="36D466C5"/>
    <w:rsid w:val="36D93CDC"/>
    <w:rsid w:val="36DD37CC"/>
    <w:rsid w:val="36E2258A"/>
    <w:rsid w:val="36E44B5A"/>
    <w:rsid w:val="36EA5EE9"/>
    <w:rsid w:val="36F01751"/>
    <w:rsid w:val="36F154C9"/>
    <w:rsid w:val="37227C6E"/>
    <w:rsid w:val="3756532C"/>
    <w:rsid w:val="37607F59"/>
    <w:rsid w:val="376637C1"/>
    <w:rsid w:val="376D2DA2"/>
    <w:rsid w:val="37781747"/>
    <w:rsid w:val="377E4FAF"/>
    <w:rsid w:val="37871B41"/>
    <w:rsid w:val="378E0F6A"/>
    <w:rsid w:val="379A790F"/>
    <w:rsid w:val="379E11AD"/>
    <w:rsid w:val="37A8202C"/>
    <w:rsid w:val="37B60B8E"/>
    <w:rsid w:val="37C14E9C"/>
    <w:rsid w:val="37C84922"/>
    <w:rsid w:val="37D90437"/>
    <w:rsid w:val="37DE6A62"/>
    <w:rsid w:val="37E00298"/>
    <w:rsid w:val="37FF7772"/>
    <w:rsid w:val="38082ACA"/>
    <w:rsid w:val="381551E7"/>
    <w:rsid w:val="38156F95"/>
    <w:rsid w:val="38170F5F"/>
    <w:rsid w:val="38262F51"/>
    <w:rsid w:val="382A2A41"/>
    <w:rsid w:val="38376F0C"/>
    <w:rsid w:val="38404012"/>
    <w:rsid w:val="38451629"/>
    <w:rsid w:val="384635F3"/>
    <w:rsid w:val="384653A1"/>
    <w:rsid w:val="384C4F68"/>
    <w:rsid w:val="384F06F9"/>
    <w:rsid w:val="38575800"/>
    <w:rsid w:val="385C2E16"/>
    <w:rsid w:val="385E6B8E"/>
    <w:rsid w:val="386046B4"/>
    <w:rsid w:val="38653A79"/>
    <w:rsid w:val="387A586E"/>
    <w:rsid w:val="38811DC0"/>
    <w:rsid w:val="38941AE2"/>
    <w:rsid w:val="38975BFC"/>
    <w:rsid w:val="38997A93"/>
    <w:rsid w:val="38A128E9"/>
    <w:rsid w:val="38A81BB8"/>
    <w:rsid w:val="38B302F9"/>
    <w:rsid w:val="38BD5663"/>
    <w:rsid w:val="38C42E95"/>
    <w:rsid w:val="38DD49CB"/>
    <w:rsid w:val="38E54BBA"/>
    <w:rsid w:val="38E835C7"/>
    <w:rsid w:val="38EA21D0"/>
    <w:rsid w:val="38EC419A"/>
    <w:rsid w:val="38ED3A6E"/>
    <w:rsid w:val="38F12CD3"/>
    <w:rsid w:val="38F60B75"/>
    <w:rsid w:val="38F94775"/>
    <w:rsid w:val="38FB3F9D"/>
    <w:rsid w:val="39007C46"/>
    <w:rsid w:val="39161217"/>
    <w:rsid w:val="39205BF2"/>
    <w:rsid w:val="392971ED"/>
    <w:rsid w:val="39325651"/>
    <w:rsid w:val="393C288A"/>
    <w:rsid w:val="394C4C39"/>
    <w:rsid w:val="39507C18"/>
    <w:rsid w:val="395C1320"/>
    <w:rsid w:val="39700927"/>
    <w:rsid w:val="39A405D1"/>
    <w:rsid w:val="39A86313"/>
    <w:rsid w:val="39B85C3D"/>
    <w:rsid w:val="39C72511"/>
    <w:rsid w:val="39CB4C31"/>
    <w:rsid w:val="39D72754"/>
    <w:rsid w:val="39D9355A"/>
    <w:rsid w:val="39DE1D35"/>
    <w:rsid w:val="39DE7F87"/>
    <w:rsid w:val="39E2046D"/>
    <w:rsid w:val="39E66E3B"/>
    <w:rsid w:val="39EF3F42"/>
    <w:rsid w:val="39F552D0"/>
    <w:rsid w:val="39F94DC1"/>
    <w:rsid w:val="39FF7EFD"/>
    <w:rsid w:val="3A086DB2"/>
    <w:rsid w:val="3A5C0EAC"/>
    <w:rsid w:val="3A685AA2"/>
    <w:rsid w:val="3A6D130B"/>
    <w:rsid w:val="3A6D4E67"/>
    <w:rsid w:val="3A6E55C5"/>
    <w:rsid w:val="3A773F37"/>
    <w:rsid w:val="3A7A72A7"/>
    <w:rsid w:val="3A872856"/>
    <w:rsid w:val="3A976388"/>
    <w:rsid w:val="3AB111F7"/>
    <w:rsid w:val="3AB224E9"/>
    <w:rsid w:val="3AB72586"/>
    <w:rsid w:val="3ABC7B9C"/>
    <w:rsid w:val="3AC0768C"/>
    <w:rsid w:val="3AC54CA3"/>
    <w:rsid w:val="3AD82C28"/>
    <w:rsid w:val="3AE80991"/>
    <w:rsid w:val="3AEA64B7"/>
    <w:rsid w:val="3AF550E9"/>
    <w:rsid w:val="3AF92329"/>
    <w:rsid w:val="3B0F4170"/>
    <w:rsid w:val="3B150767"/>
    <w:rsid w:val="3B163750"/>
    <w:rsid w:val="3B20637D"/>
    <w:rsid w:val="3B2D2B25"/>
    <w:rsid w:val="3B3763D1"/>
    <w:rsid w:val="3B3A743F"/>
    <w:rsid w:val="3B441E7E"/>
    <w:rsid w:val="3B544EC3"/>
    <w:rsid w:val="3B5953EB"/>
    <w:rsid w:val="3B651FE2"/>
    <w:rsid w:val="3B7566C9"/>
    <w:rsid w:val="3B781D15"/>
    <w:rsid w:val="3B7B35B3"/>
    <w:rsid w:val="3BA50630"/>
    <w:rsid w:val="3BAE5737"/>
    <w:rsid w:val="3BB07701"/>
    <w:rsid w:val="3BB16FD5"/>
    <w:rsid w:val="3BD553B9"/>
    <w:rsid w:val="3BD94643"/>
    <w:rsid w:val="3BE70C49"/>
    <w:rsid w:val="3BF07AFD"/>
    <w:rsid w:val="3BF515B8"/>
    <w:rsid w:val="3BF7789C"/>
    <w:rsid w:val="3BFC46F4"/>
    <w:rsid w:val="3C1063F2"/>
    <w:rsid w:val="3C1C4D96"/>
    <w:rsid w:val="3C2F6E1E"/>
    <w:rsid w:val="3C4F64BA"/>
    <w:rsid w:val="3C504A40"/>
    <w:rsid w:val="3C522566"/>
    <w:rsid w:val="3C57142A"/>
    <w:rsid w:val="3C601127"/>
    <w:rsid w:val="3C687FDC"/>
    <w:rsid w:val="3C7E0BCA"/>
    <w:rsid w:val="3C8347C6"/>
    <w:rsid w:val="3C88701C"/>
    <w:rsid w:val="3C89024E"/>
    <w:rsid w:val="3C89159E"/>
    <w:rsid w:val="3C926E07"/>
    <w:rsid w:val="3C942904"/>
    <w:rsid w:val="3CA1529C"/>
    <w:rsid w:val="3CA32DC2"/>
    <w:rsid w:val="3CA47F8C"/>
    <w:rsid w:val="3CAD3C40"/>
    <w:rsid w:val="3CB94393"/>
    <w:rsid w:val="3CC01BC6"/>
    <w:rsid w:val="3CDA245A"/>
    <w:rsid w:val="3CE358B4"/>
    <w:rsid w:val="3CEC364C"/>
    <w:rsid w:val="3CF67395"/>
    <w:rsid w:val="3CF74EBC"/>
    <w:rsid w:val="3D0C4E0B"/>
    <w:rsid w:val="3D143CBF"/>
    <w:rsid w:val="3D1837B0"/>
    <w:rsid w:val="3D197528"/>
    <w:rsid w:val="3D1E06B7"/>
    <w:rsid w:val="3D271C45"/>
    <w:rsid w:val="3D2D6B2F"/>
    <w:rsid w:val="3D3F0AB4"/>
    <w:rsid w:val="3D6111DC"/>
    <w:rsid w:val="3D7B5AED"/>
    <w:rsid w:val="3D8250CD"/>
    <w:rsid w:val="3D8E3A72"/>
    <w:rsid w:val="3D9A7CCE"/>
    <w:rsid w:val="3D9B7F3D"/>
    <w:rsid w:val="3DA037A5"/>
    <w:rsid w:val="3DB1150E"/>
    <w:rsid w:val="3DBF00CF"/>
    <w:rsid w:val="3DD35929"/>
    <w:rsid w:val="3DE47B36"/>
    <w:rsid w:val="3DFD29A6"/>
    <w:rsid w:val="3E0755D2"/>
    <w:rsid w:val="3E1C36C8"/>
    <w:rsid w:val="3E284D79"/>
    <w:rsid w:val="3E3143FD"/>
    <w:rsid w:val="3E3A1504"/>
    <w:rsid w:val="3E432AAE"/>
    <w:rsid w:val="3E4B3711"/>
    <w:rsid w:val="3E554590"/>
    <w:rsid w:val="3E570308"/>
    <w:rsid w:val="3E622809"/>
    <w:rsid w:val="3E75253C"/>
    <w:rsid w:val="3E7569E0"/>
    <w:rsid w:val="3E7E3AE6"/>
    <w:rsid w:val="3E823B0A"/>
    <w:rsid w:val="3E8E35FE"/>
    <w:rsid w:val="3E9230EE"/>
    <w:rsid w:val="3E9B5F83"/>
    <w:rsid w:val="3EA03A5D"/>
    <w:rsid w:val="3EB43826"/>
    <w:rsid w:val="3ED2798E"/>
    <w:rsid w:val="3ED414EE"/>
    <w:rsid w:val="3EDA0523"/>
    <w:rsid w:val="3EE6343A"/>
    <w:rsid w:val="3EEB27FE"/>
    <w:rsid w:val="3EF30DD2"/>
    <w:rsid w:val="3F081602"/>
    <w:rsid w:val="3F1955BD"/>
    <w:rsid w:val="3F220D4B"/>
    <w:rsid w:val="3F253D28"/>
    <w:rsid w:val="3F2A5A1C"/>
    <w:rsid w:val="3F3423F7"/>
    <w:rsid w:val="3F3C12AC"/>
    <w:rsid w:val="3F3D402D"/>
    <w:rsid w:val="3F400D9C"/>
    <w:rsid w:val="3F5860E5"/>
    <w:rsid w:val="3F5C70EB"/>
    <w:rsid w:val="3F696545"/>
    <w:rsid w:val="3F6A7BC7"/>
    <w:rsid w:val="3F892743"/>
    <w:rsid w:val="3F8C5D8F"/>
    <w:rsid w:val="3F9115F7"/>
    <w:rsid w:val="3F925675"/>
    <w:rsid w:val="3FAF7CCF"/>
    <w:rsid w:val="3FC574F3"/>
    <w:rsid w:val="3FD0640E"/>
    <w:rsid w:val="3FF102E8"/>
    <w:rsid w:val="3FF34060"/>
    <w:rsid w:val="3FFB3BF1"/>
    <w:rsid w:val="3FFF2A05"/>
    <w:rsid w:val="40081E6F"/>
    <w:rsid w:val="40152228"/>
    <w:rsid w:val="40297A82"/>
    <w:rsid w:val="40322DDA"/>
    <w:rsid w:val="40477F08"/>
    <w:rsid w:val="4056719A"/>
    <w:rsid w:val="405C39B3"/>
    <w:rsid w:val="405F34A4"/>
    <w:rsid w:val="40725A55"/>
    <w:rsid w:val="407A6407"/>
    <w:rsid w:val="407C5E04"/>
    <w:rsid w:val="40A84E4B"/>
    <w:rsid w:val="40A92971"/>
    <w:rsid w:val="40AE7F87"/>
    <w:rsid w:val="40D774DE"/>
    <w:rsid w:val="40DC68A2"/>
    <w:rsid w:val="40DE261A"/>
    <w:rsid w:val="40E045E4"/>
    <w:rsid w:val="40F63E08"/>
    <w:rsid w:val="40FE0F0E"/>
    <w:rsid w:val="41083B3B"/>
    <w:rsid w:val="410F4ECA"/>
    <w:rsid w:val="411B561D"/>
    <w:rsid w:val="41202C33"/>
    <w:rsid w:val="41240DA4"/>
    <w:rsid w:val="413B0414"/>
    <w:rsid w:val="413C37E5"/>
    <w:rsid w:val="41483F38"/>
    <w:rsid w:val="414C3A28"/>
    <w:rsid w:val="41523008"/>
    <w:rsid w:val="4185518C"/>
    <w:rsid w:val="41AA233E"/>
    <w:rsid w:val="41AA69A0"/>
    <w:rsid w:val="41AC096A"/>
    <w:rsid w:val="41AC44C7"/>
    <w:rsid w:val="41BD66D4"/>
    <w:rsid w:val="41E768B7"/>
    <w:rsid w:val="41E9571B"/>
    <w:rsid w:val="41FB58E5"/>
    <w:rsid w:val="4200449D"/>
    <w:rsid w:val="42024A2E"/>
    <w:rsid w:val="420E5181"/>
    <w:rsid w:val="421F2EEA"/>
    <w:rsid w:val="421F738E"/>
    <w:rsid w:val="42213106"/>
    <w:rsid w:val="422A188F"/>
    <w:rsid w:val="422B5D33"/>
    <w:rsid w:val="423A3BCC"/>
    <w:rsid w:val="424E57D2"/>
    <w:rsid w:val="42552DB0"/>
    <w:rsid w:val="42823479"/>
    <w:rsid w:val="42980EEF"/>
    <w:rsid w:val="42982F45"/>
    <w:rsid w:val="429A4C67"/>
    <w:rsid w:val="42A72EE0"/>
    <w:rsid w:val="42B26C49"/>
    <w:rsid w:val="42E44134"/>
    <w:rsid w:val="42F02AD9"/>
    <w:rsid w:val="42F41450"/>
    <w:rsid w:val="42F8373B"/>
    <w:rsid w:val="430A3B9B"/>
    <w:rsid w:val="430F595E"/>
    <w:rsid w:val="43120CA1"/>
    <w:rsid w:val="4315253F"/>
    <w:rsid w:val="43192030"/>
    <w:rsid w:val="43234C5C"/>
    <w:rsid w:val="43291B47"/>
    <w:rsid w:val="433A6FE6"/>
    <w:rsid w:val="43480868"/>
    <w:rsid w:val="43486471"/>
    <w:rsid w:val="434A21E9"/>
    <w:rsid w:val="4350713C"/>
    <w:rsid w:val="435505B0"/>
    <w:rsid w:val="436653E0"/>
    <w:rsid w:val="436A288B"/>
    <w:rsid w:val="437234EE"/>
    <w:rsid w:val="4386729B"/>
    <w:rsid w:val="438751EB"/>
    <w:rsid w:val="438A6A89"/>
    <w:rsid w:val="43A15B81"/>
    <w:rsid w:val="43A22025"/>
    <w:rsid w:val="43B8557D"/>
    <w:rsid w:val="43B9736F"/>
    <w:rsid w:val="43BD6E5F"/>
    <w:rsid w:val="43C24475"/>
    <w:rsid w:val="43C4431A"/>
    <w:rsid w:val="43D61CCF"/>
    <w:rsid w:val="43D917BF"/>
    <w:rsid w:val="43DD7542"/>
    <w:rsid w:val="43EF4B3E"/>
    <w:rsid w:val="43FA3C0F"/>
    <w:rsid w:val="441A7E0D"/>
    <w:rsid w:val="441D78FE"/>
    <w:rsid w:val="441F3676"/>
    <w:rsid w:val="442A3DC9"/>
    <w:rsid w:val="442E5667"/>
    <w:rsid w:val="44315157"/>
    <w:rsid w:val="443469F5"/>
    <w:rsid w:val="443F1622"/>
    <w:rsid w:val="444E5D09"/>
    <w:rsid w:val="445B21D4"/>
    <w:rsid w:val="445C09D8"/>
    <w:rsid w:val="446217B4"/>
    <w:rsid w:val="44692B43"/>
    <w:rsid w:val="447B2820"/>
    <w:rsid w:val="44823C05"/>
    <w:rsid w:val="44906321"/>
    <w:rsid w:val="44A678F3"/>
    <w:rsid w:val="44AE67A8"/>
    <w:rsid w:val="44B951CC"/>
    <w:rsid w:val="44BE2E8F"/>
    <w:rsid w:val="44CD14E0"/>
    <w:rsid w:val="44E64193"/>
    <w:rsid w:val="44E87F0C"/>
    <w:rsid w:val="44EB3558"/>
    <w:rsid w:val="44F00B6E"/>
    <w:rsid w:val="44F20B0B"/>
    <w:rsid w:val="44F468B0"/>
    <w:rsid w:val="44F87A23"/>
    <w:rsid w:val="44FA7C3F"/>
    <w:rsid w:val="451F1453"/>
    <w:rsid w:val="45252F0E"/>
    <w:rsid w:val="452E5F4C"/>
    <w:rsid w:val="45336CAD"/>
    <w:rsid w:val="45352A25"/>
    <w:rsid w:val="45435142"/>
    <w:rsid w:val="45482758"/>
    <w:rsid w:val="454A5DE1"/>
    <w:rsid w:val="455C4456"/>
    <w:rsid w:val="455E1F7C"/>
    <w:rsid w:val="45612018"/>
    <w:rsid w:val="456C546E"/>
    <w:rsid w:val="45806396"/>
    <w:rsid w:val="458946E9"/>
    <w:rsid w:val="459B6D2C"/>
    <w:rsid w:val="45A04342"/>
    <w:rsid w:val="45A13096"/>
    <w:rsid w:val="45A32084"/>
    <w:rsid w:val="45A47C0E"/>
    <w:rsid w:val="45BB73CE"/>
    <w:rsid w:val="45BD3146"/>
    <w:rsid w:val="45C053B5"/>
    <w:rsid w:val="45C06138"/>
    <w:rsid w:val="45C73FC5"/>
    <w:rsid w:val="45C868C6"/>
    <w:rsid w:val="45CF4C28"/>
    <w:rsid w:val="45D264C6"/>
    <w:rsid w:val="45D40490"/>
    <w:rsid w:val="45D67D64"/>
    <w:rsid w:val="45DD3A82"/>
    <w:rsid w:val="45E22BAD"/>
    <w:rsid w:val="45E561F9"/>
    <w:rsid w:val="45F66ABF"/>
    <w:rsid w:val="45F823D0"/>
    <w:rsid w:val="45FC573C"/>
    <w:rsid w:val="46004DE1"/>
    <w:rsid w:val="460E39A2"/>
    <w:rsid w:val="46236D21"/>
    <w:rsid w:val="46342CDD"/>
    <w:rsid w:val="46386C71"/>
    <w:rsid w:val="463A4797"/>
    <w:rsid w:val="4642189D"/>
    <w:rsid w:val="464E3D9E"/>
    <w:rsid w:val="4654512D"/>
    <w:rsid w:val="46577FD6"/>
    <w:rsid w:val="46715CDF"/>
    <w:rsid w:val="467F664E"/>
    <w:rsid w:val="4698770F"/>
    <w:rsid w:val="46AB11F1"/>
    <w:rsid w:val="46B0158A"/>
    <w:rsid w:val="46C83D2F"/>
    <w:rsid w:val="46CE4EDF"/>
    <w:rsid w:val="46CF23BF"/>
    <w:rsid w:val="46D324F5"/>
    <w:rsid w:val="46D57759"/>
    <w:rsid w:val="46D955A7"/>
    <w:rsid w:val="46DA3884"/>
    <w:rsid w:val="46E841F3"/>
    <w:rsid w:val="46F96DC1"/>
    <w:rsid w:val="47084895"/>
    <w:rsid w:val="47133957"/>
    <w:rsid w:val="47242D51"/>
    <w:rsid w:val="47363CE2"/>
    <w:rsid w:val="474451A1"/>
    <w:rsid w:val="47462CC7"/>
    <w:rsid w:val="474C2E23"/>
    <w:rsid w:val="474D04FA"/>
    <w:rsid w:val="47555600"/>
    <w:rsid w:val="476D294A"/>
    <w:rsid w:val="477B488F"/>
    <w:rsid w:val="477E06B3"/>
    <w:rsid w:val="47863A0C"/>
    <w:rsid w:val="479003E6"/>
    <w:rsid w:val="479E0D55"/>
    <w:rsid w:val="47A07E0C"/>
    <w:rsid w:val="47B642F1"/>
    <w:rsid w:val="47BB36B5"/>
    <w:rsid w:val="47CD33E9"/>
    <w:rsid w:val="47D579A6"/>
    <w:rsid w:val="47F06736"/>
    <w:rsid w:val="47F6649C"/>
    <w:rsid w:val="47F72214"/>
    <w:rsid w:val="47FB7F56"/>
    <w:rsid w:val="48050DD4"/>
    <w:rsid w:val="48117779"/>
    <w:rsid w:val="481728B6"/>
    <w:rsid w:val="48270D4B"/>
    <w:rsid w:val="484C255F"/>
    <w:rsid w:val="486A633B"/>
    <w:rsid w:val="486F44A0"/>
    <w:rsid w:val="4870272E"/>
    <w:rsid w:val="48757D08"/>
    <w:rsid w:val="487D096B"/>
    <w:rsid w:val="488F069E"/>
    <w:rsid w:val="48912668"/>
    <w:rsid w:val="489D100D"/>
    <w:rsid w:val="48A56114"/>
    <w:rsid w:val="48C447EC"/>
    <w:rsid w:val="48C82CB9"/>
    <w:rsid w:val="48C94013"/>
    <w:rsid w:val="48CB7092"/>
    <w:rsid w:val="48CE11C6"/>
    <w:rsid w:val="48CE5C79"/>
    <w:rsid w:val="48D03190"/>
    <w:rsid w:val="48D22491"/>
    <w:rsid w:val="48D41EFB"/>
    <w:rsid w:val="48E24C72"/>
    <w:rsid w:val="48E72288"/>
    <w:rsid w:val="48FA645F"/>
    <w:rsid w:val="48FC72B6"/>
    <w:rsid w:val="490270C2"/>
    <w:rsid w:val="490E3CB9"/>
    <w:rsid w:val="49172B6D"/>
    <w:rsid w:val="491C63D6"/>
    <w:rsid w:val="49284D7B"/>
    <w:rsid w:val="493373F1"/>
    <w:rsid w:val="49373210"/>
    <w:rsid w:val="49374FBE"/>
    <w:rsid w:val="494E2307"/>
    <w:rsid w:val="495414A2"/>
    <w:rsid w:val="495D254A"/>
    <w:rsid w:val="495E079C"/>
    <w:rsid w:val="496D6C31"/>
    <w:rsid w:val="49746212"/>
    <w:rsid w:val="497C6E74"/>
    <w:rsid w:val="49836455"/>
    <w:rsid w:val="49886A49"/>
    <w:rsid w:val="498B355B"/>
    <w:rsid w:val="49900B72"/>
    <w:rsid w:val="49A362C7"/>
    <w:rsid w:val="49A40179"/>
    <w:rsid w:val="49AC05F5"/>
    <w:rsid w:val="49AF724A"/>
    <w:rsid w:val="49B44860"/>
    <w:rsid w:val="49B900C8"/>
    <w:rsid w:val="49BC54C3"/>
    <w:rsid w:val="49C83E68"/>
    <w:rsid w:val="49DC5B65"/>
    <w:rsid w:val="49DC7715"/>
    <w:rsid w:val="49E24479"/>
    <w:rsid w:val="49FB32AA"/>
    <w:rsid w:val="4A023139"/>
    <w:rsid w:val="4A070E34"/>
    <w:rsid w:val="4A0A4480"/>
    <w:rsid w:val="4A111CB3"/>
    <w:rsid w:val="4A113742"/>
    <w:rsid w:val="4A1277D9"/>
    <w:rsid w:val="4A190B67"/>
    <w:rsid w:val="4A481A4D"/>
    <w:rsid w:val="4A4C2CEB"/>
    <w:rsid w:val="4A4F6337"/>
    <w:rsid w:val="4A5120AF"/>
    <w:rsid w:val="4A58343D"/>
    <w:rsid w:val="4A5E657A"/>
    <w:rsid w:val="4A633B90"/>
    <w:rsid w:val="4A643CC6"/>
    <w:rsid w:val="4A743FEF"/>
    <w:rsid w:val="4A7A7858"/>
    <w:rsid w:val="4A7B576F"/>
    <w:rsid w:val="4AA448D5"/>
    <w:rsid w:val="4AA46683"/>
    <w:rsid w:val="4AB253A0"/>
    <w:rsid w:val="4AC705C3"/>
    <w:rsid w:val="4AEA6060"/>
    <w:rsid w:val="4AF561A9"/>
    <w:rsid w:val="4AF57D24"/>
    <w:rsid w:val="4B047121"/>
    <w:rsid w:val="4B09298A"/>
    <w:rsid w:val="4B0E1D4E"/>
    <w:rsid w:val="4B125CE2"/>
    <w:rsid w:val="4B2E419E"/>
    <w:rsid w:val="4B337A07"/>
    <w:rsid w:val="4B3D2633"/>
    <w:rsid w:val="4B427C4A"/>
    <w:rsid w:val="4B441C14"/>
    <w:rsid w:val="4B46773A"/>
    <w:rsid w:val="4B4B11F4"/>
    <w:rsid w:val="4B4C0AC8"/>
    <w:rsid w:val="4B6202EC"/>
    <w:rsid w:val="4B6B53F2"/>
    <w:rsid w:val="4B7734E1"/>
    <w:rsid w:val="4B7A5635"/>
    <w:rsid w:val="4B897627"/>
    <w:rsid w:val="4B991F60"/>
    <w:rsid w:val="4BA75F4C"/>
    <w:rsid w:val="4BDB0732"/>
    <w:rsid w:val="4BDC1E4C"/>
    <w:rsid w:val="4C1B775E"/>
    <w:rsid w:val="4C2626E4"/>
    <w:rsid w:val="4C26756B"/>
    <w:rsid w:val="4C2832E3"/>
    <w:rsid w:val="4C2A0E0A"/>
    <w:rsid w:val="4C2D08FA"/>
    <w:rsid w:val="4C4A0649"/>
    <w:rsid w:val="4C5145E8"/>
    <w:rsid w:val="4C516396"/>
    <w:rsid w:val="4C577725"/>
    <w:rsid w:val="4C5916EF"/>
    <w:rsid w:val="4C673E0C"/>
    <w:rsid w:val="4C7E5ECA"/>
    <w:rsid w:val="4C83051A"/>
    <w:rsid w:val="4C87000A"/>
    <w:rsid w:val="4C876AA5"/>
    <w:rsid w:val="4C8E5CBE"/>
    <w:rsid w:val="4C910E89"/>
    <w:rsid w:val="4C922150"/>
    <w:rsid w:val="4CA268B2"/>
    <w:rsid w:val="4CA706AC"/>
    <w:rsid w:val="4CAE2595"/>
    <w:rsid w:val="4CAF57B3"/>
    <w:rsid w:val="4CB16E35"/>
    <w:rsid w:val="4CC254E6"/>
    <w:rsid w:val="4CCB138D"/>
    <w:rsid w:val="4CD3324F"/>
    <w:rsid w:val="4CF5766A"/>
    <w:rsid w:val="4CF976FD"/>
    <w:rsid w:val="4D021D86"/>
    <w:rsid w:val="4D094EC3"/>
    <w:rsid w:val="4D0E00FB"/>
    <w:rsid w:val="4D0F1DAD"/>
    <w:rsid w:val="4D176606"/>
    <w:rsid w:val="4D1940DC"/>
    <w:rsid w:val="4D317F76"/>
    <w:rsid w:val="4D391C6C"/>
    <w:rsid w:val="4D3A32CE"/>
    <w:rsid w:val="4D3A633C"/>
    <w:rsid w:val="4D41465D"/>
    <w:rsid w:val="4D44414D"/>
    <w:rsid w:val="4D8C33FE"/>
    <w:rsid w:val="4D9724CF"/>
    <w:rsid w:val="4DA93FB0"/>
    <w:rsid w:val="4DB36BDD"/>
    <w:rsid w:val="4DB766CD"/>
    <w:rsid w:val="4DC62DB4"/>
    <w:rsid w:val="4DCB03CA"/>
    <w:rsid w:val="4DCD21C7"/>
    <w:rsid w:val="4DD0778F"/>
    <w:rsid w:val="4DE17BEE"/>
    <w:rsid w:val="4DE44FE8"/>
    <w:rsid w:val="4DEA6AA2"/>
    <w:rsid w:val="4DEC4FB0"/>
    <w:rsid w:val="4DED434A"/>
    <w:rsid w:val="4DEF40B9"/>
    <w:rsid w:val="4DF55447"/>
    <w:rsid w:val="4DF97BDC"/>
    <w:rsid w:val="4E0062C6"/>
    <w:rsid w:val="4E037B64"/>
    <w:rsid w:val="4E061402"/>
    <w:rsid w:val="4E067654"/>
    <w:rsid w:val="4E075D8A"/>
    <w:rsid w:val="4E087DE7"/>
    <w:rsid w:val="4E0B07C7"/>
    <w:rsid w:val="4E1C2554"/>
    <w:rsid w:val="4E1F4272"/>
    <w:rsid w:val="4E217FEA"/>
    <w:rsid w:val="4E2875CB"/>
    <w:rsid w:val="4E41068C"/>
    <w:rsid w:val="4E437F61"/>
    <w:rsid w:val="4E683E6B"/>
    <w:rsid w:val="4E73608C"/>
    <w:rsid w:val="4E8011B5"/>
    <w:rsid w:val="4E9E163B"/>
    <w:rsid w:val="4EA36C51"/>
    <w:rsid w:val="4EC00FAD"/>
    <w:rsid w:val="4EC15329"/>
    <w:rsid w:val="4ECC7F56"/>
    <w:rsid w:val="4ED9579E"/>
    <w:rsid w:val="4EDE5EDB"/>
    <w:rsid w:val="4EEE4370"/>
    <w:rsid w:val="4F1B0EDE"/>
    <w:rsid w:val="4F304989"/>
    <w:rsid w:val="4F31425D"/>
    <w:rsid w:val="4F532425"/>
    <w:rsid w:val="4F624D5E"/>
    <w:rsid w:val="4F642884"/>
    <w:rsid w:val="4F6B59C1"/>
    <w:rsid w:val="4F924D5E"/>
    <w:rsid w:val="4F9843DC"/>
    <w:rsid w:val="4F9B5B7A"/>
    <w:rsid w:val="4FAD5FDA"/>
    <w:rsid w:val="4FC62A8C"/>
    <w:rsid w:val="4FD03A76"/>
    <w:rsid w:val="4FD52F5D"/>
    <w:rsid w:val="4FDA696B"/>
    <w:rsid w:val="4FDC2D4A"/>
    <w:rsid w:val="4FE20F0D"/>
    <w:rsid w:val="4FE37C4D"/>
    <w:rsid w:val="4FE51552"/>
    <w:rsid w:val="4FF05EC6"/>
    <w:rsid w:val="4FF534DD"/>
    <w:rsid w:val="4FF77255"/>
    <w:rsid w:val="4FFA5983"/>
    <w:rsid w:val="4FFE591C"/>
    <w:rsid w:val="50016325"/>
    <w:rsid w:val="5023629C"/>
    <w:rsid w:val="502B5150"/>
    <w:rsid w:val="50446212"/>
    <w:rsid w:val="50504C4B"/>
    <w:rsid w:val="505226DD"/>
    <w:rsid w:val="50610B72"/>
    <w:rsid w:val="506643DA"/>
    <w:rsid w:val="50812FC2"/>
    <w:rsid w:val="508F3931"/>
    <w:rsid w:val="509B0528"/>
    <w:rsid w:val="509C6E7C"/>
    <w:rsid w:val="509C7DFC"/>
    <w:rsid w:val="509E1DC6"/>
    <w:rsid w:val="50A03750"/>
    <w:rsid w:val="50AA42C7"/>
    <w:rsid w:val="50D15CF8"/>
    <w:rsid w:val="50E7551B"/>
    <w:rsid w:val="50E84DEF"/>
    <w:rsid w:val="50EA6DB9"/>
    <w:rsid w:val="50FE2865"/>
    <w:rsid w:val="5100482F"/>
    <w:rsid w:val="5107796B"/>
    <w:rsid w:val="51085492"/>
    <w:rsid w:val="510C31D4"/>
    <w:rsid w:val="5116195C"/>
    <w:rsid w:val="512857C1"/>
    <w:rsid w:val="5133250E"/>
    <w:rsid w:val="51383A19"/>
    <w:rsid w:val="5139389D"/>
    <w:rsid w:val="514975A6"/>
    <w:rsid w:val="514A5AAA"/>
    <w:rsid w:val="514A7858"/>
    <w:rsid w:val="514C35D0"/>
    <w:rsid w:val="5153495F"/>
    <w:rsid w:val="5162104E"/>
    <w:rsid w:val="51825244"/>
    <w:rsid w:val="51840FBC"/>
    <w:rsid w:val="51890380"/>
    <w:rsid w:val="518A40F8"/>
    <w:rsid w:val="519D207E"/>
    <w:rsid w:val="51B01DB1"/>
    <w:rsid w:val="51BD44CE"/>
    <w:rsid w:val="51CE0489"/>
    <w:rsid w:val="51D535C6"/>
    <w:rsid w:val="51E97071"/>
    <w:rsid w:val="520013C8"/>
    <w:rsid w:val="52075749"/>
    <w:rsid w:val="52096D27"/>
    <w:rsid w:val="52100AA2"/>
    <w:rsid w:val="523459F9"/>
    <w:rsid w:val="523E73BD"/>
    <w:rsid w:val="52481FEA"/>
    <w:rsid w:val="52546BE0"/>
    <w:rsid w:val="5257047F"/>
    <w:rsid w:val="52614E59"/>
    <w:rsid w:val="526D49E3"/>
    <w:rsid w:val="527032EE"/>
    <w:rsid w:val="52756B57"/>
    <w:rsid w:val="527821A3"/>
    <w:rsid w:val="527B410A"/>
    <w:rsid w:val="52942F07"/>
    <w:rsid w:val="529945F3"/>
    <w:rsid w:val="529956D6"/>
    <w:rsid w:val="529C2335"/>
    <w:rsid w:val="52A5743C"/>
    <w:rsid w:val="52D7336D"/>
    <w:rsid w:val="52D969EE"/>
    <w:rsid w:val="52EA12F3"/>
    <w:rsid w:val="52ED2B91"/>
    <w:rsid w:val="52F45CCD"/>
    <w:rsid w:val="53051C89"/>
    <w:rsid w:val="530A54F1"/>
    <w:rsid w:val="530F0D59"/>
    <w:rsid w:val="531243A6"/>
    <w:rsid w:val="5314011E"/>
    <w:rsid w:val="532C190B"/>
    <w:rsid w:val="532F31A9"/>
    <w:rsid w:val="53397B84"/>
    <w:rsid w:val="533D7674"/>
    <w:rsid w:val="533F163E"/>
    <w:rsid w:val="535248BD"/>
    <w:rsid w:val="535B3F9E"/>
    <w:rsid w:val="535D3873"/>
    <w:rsid w:val="5367649F"/>
    <w:rsid w:val="536D782E"/>
    <w:rsid w:val="536E5A80"/>
    <w:rsid w:val="53755060"/>
    <w:rsid w:val="53764934"/>
    <w:rsid w:val="537B019D"/>
    <w:rsid w:val="53807561"/>
    <w:rsid w:val="538C23AA"/>
    <w:rsid w:val="5394300C"/>
    <w:rsid w:val="53966B08"/>
    <w:rsid w:val="53966D85"/>
    <w:rsid w:val="53A039CC"/>
    <w:rsid w:val="53A07C03"/>
    <w:rsid w:val="53A1505A"/>
    <w:rsid w:val="53A72D40"/>
    <w:rsid w:val="53BD6A07"/>
    <w:rsid w:val="53CE651E"/>
    <w:rsid w:val="53D1690C"/>
    <w:rsid w:val="53DB6E8D"/>
    <w:rsid w:val="53FD2A5D"/>
    <w:rsid w:val="540168F4"/>
    <w:rsid w:val="540463E4"/>
    <w:rsid w:val="54063E08"/>
    <w:rsid w:val="540E2DBF"/>
    <w:rsid w:val="541F321E"/>
    <w:rsid w:val="541F4FCC"/>
    <w:rsid w:val="543071D9"/>
    <w:rsid w:val="543437E8"/>
    <w:rsid w:val="54522687"/>
    <w:rsid w:val="54542CF5"/>
    <w:rsid w:val="54556C40"/>
    <w:rsid w:val="54576514"/>
    <w:rsid w:val="54596730"/>
    <w:rsid w:val="5479100C"/>
    <w:rsid w:val="547B6ED9"/>
    <w:rsid w:val="54866DF9"/>
    <w:rsid w:val="54907C78"/>
    <w:rsid w:val="5495528E"/>
    <w:rsid w:val="54AD082A"/>
    <w:rsid w:val="54C2146D"/>
    <w:rsid w:val="54CC1486"/>
    <w:rsid w:val="54CD2C7A"/>
    <w:rsid w:val="54DB5397"/>
    <w:rsid w:val="54E65AEA"/>
    <w:rsid w:val="54F73313"/>
    <w:rsid w:val="54F80955"/>
    <w:rsid w:val="54F93A6F"/>
    <w:rsid w:val="550C37A2"/>
    <w:rsid w:val="55110DB9"/>
    <w:rsid w:val="552B209E"/>
    <w:rsid w:val="55313209"/>
    <w:rsid w:val="55322ADD"/>
    <w:rsid w:val="555170A7"/>
    <w:rsid w:val="55651104"/>
    <w:rsid w:val="5567225F"/>
    <w:rsid w:val="556829A3"/>
    <w:rsid w:val="557E645E"/>
    <w:rsid w:val="5587536D"/>
    <w:rsid w:val="558A2919"/>
    <w:rsid w:val="559317CE"/>
    <w:rsid w:val="55971D20"/>
    <w:rsid w:val="559B174B"/>
    <w:rsid w:val="559B4B26"/>
    <w:rsid w:val="559B68D4"/>
    <w:rsid w:val="55B94FAC"/>
    <w:rsid w:val="55BA31FE"/>
    <w:rsid w:val="55CA0F67"/>
    <w:rsid w:val="55CE0CF4"/>
    <w:rsid w:val="55D83684"/>
    <w:rsid w:val="55DA564E"/>
    <w:rsid w:val="55DC6F81"/>
    <w:rsid w:val="55E0078B"/>
    <w:rsid w:val="55EF09CE"/>
    <w:rsid w:val="55F06C20"/>
    <w:rsid w:val="5610333E"/>
    <w:rsid w:val="56163164"/>
    <w:rsid w:val="56195B27"/>
    <w:rsid w:val="561B17C3"/>
    <w:rsid w:val="561F5757"/>
    <w:rsid w:val="56290384"/>
    <w:rsid w:val="565F3DA6"/>
    <w:rsid w:val="566118CC"/>
    <w:rsid w:val="56665134"/>
    <w:rsid w:val="566B44F9"/>
    <w:rsid w:val="567535C9"/>
    <w:rsid w:val="569D042A"/>
    <w:rsid w:val="56A33C92"/>
    <w:rsid w:val="56B22A9C"/>
    <w:rsid w:val="56BC2FA6"/>
    <w:rsid w:val="56D06A51"/>
    <w:rsid w:val="56D77DE0"/>
    <w:rsid w:val="56E85B49"/>
    <w:rsid w:val="56E94DB9"/>
    <w:rsid w:val="570F757A"/>
    <w:rsid w:val="57266671"/>
    <w:rsid w:val="57430FD1"/>
    <w:rsid w:val="57462870"/>
    <w:rsid w:val="574E56BB"/>
    <w:rsid w:val="57541431"/>
    <w:rsid w:val="57790E97"/>
    <w:rsid w:val="578F4217"/>
    <w:rsid w:val="5794182D"/>
    <w:rsid w:val="57991EDF"/>
    <w:rsid w:val="579B2BBB"/>
    <w:rsid w:val="57B343A9"/>
    <w:rsid w:val="57B72A76"/>
    <w:rsid w:val="57B91294"/>
    <w:rsid w:val="57C3426C"/>
    <w:rsid w:val="57CC546B"/>
    <w:rsid w:val="57CE1F93"/>
    <w:rsid w:val="57CF2865"/>
    <w:rsid w:val="57CF6D09"/>
    <w:rsid w:val="57DE5C36"/>
    <w:rsid w:val="57DF519E"/>
    <w:rsid w:val="57E04A72"/>
    <w:rsid w:val="58093FC9"/>
    <w:rsid w:val="580B5F93"/>
    <w:rsid w:val="580C5867"/>
    <w:rsid w:val="58117322"/>
    <w:rsid w:val="58296419"/>
    <w:rsid w:val="582B2191"/>
    <w:rsid w:val="583B614D"/>
    <w:rsid w:val="58445001"/>
    <w:rsid w:val="58492617"/>
    <w:rsid w:val="58767185"/>
    <w:rsid w:val="5878114F"/>
    <w:rsid w:val="587A2935"/>
    <w:rsid w:val="587B479B"/>
    <w:rsid w:val="588743D1"/>
    <w:rsid w:val="5887701A"/>
    <w:rsid w:val="58900246"/>
    <w:rsid w:val="58920462"/>
    <w:rsid w:val="589715D5"/>
    <w:rsid w:val="589D2963"/>
    <w:rsid w:val="58A739D0"/>
    <w:rsid w:val="58AD704A"/>
    <w:rsid w:val="58BF6D7E"/>
    <w:rsid w:val="58D8399B"/>
    <w:rsid w:val="58E10AA2"/>
    <w:rsid w:val="58E42340"/>
    <w:rsid w:val="58E55DE4"/>
    <w:rsid w:val="58E74DA8"/>
    <w:rsid w:val="58F740AE"/>
    <w:rsid w:val="59017396"/>
    <w:rsid w:val="59084281"/>
    <w:rsid w:val="590E560F"/>
    <w:rsid w:val="591946E0"/>
    <w:rsid w:val="591D3134"/>
    <w:rsid w:val="592721AE"/>
    <w:rsid w:val="592B4413"/>
    <w:rsid w:val="592D1F39"/>
    <w:rsid w:val="593C03CE"/>
    <w:rsid w:val="59413C36"/>
    <w:rsid w:val="59513E7A"/>
    <w:rsid w:val="59590F80"/>
    <w:rsid w:val="596516D3"/>
    <w:rsid w:val="596811C3"/>
    <w:rsid w:val="596C6317"/>
    <w:rsid w:val="59934492"/>
    <w:rsid w:val="599B50F5"/>
    <w:rsid w:val="59AF294E"/>
    <w:rsid w:val="59B627D0"/>
    <w:rsid w:val="59BF5B67"/>
    <w:rsid w:val="59C0439F"/>
    <w:rsid w:val="59C06909"/>
    <w:rsid w:val="59DA7D8F"/>
    <w:rsid w:val="59EF5441"/>
    <w:rsid w:val="59FB5B93"/>
    <w:rsid w:val="59FE5684"/>
    <w:rsid w:val="5A00657E"/>
    <w:rsid w:val="5A094754"/>
    <w:rsid w:val="5A3F43BE"/>
    <w:rsid w:val="5A455061"/>
    <w:rsid w:val="5A533C21"/>
    <w:rsid w:val="5A53777D"/>
    <w:rsid w:val="5A557999"/>
    <w:rsid w:val="5A820063"/>
    <w:rsid w:val="5A93401E"/>
    <w:rsid w:val="5A9F29C3"/>
    <w:rsid w:val="5AA36B2A"/>
    <w:rsid w:val="5AAC50E0"/>
    <w:rsid w:val="5AB75F5E"/>
    <w:rsid w:val="5ABE2233"/>
    <w:rsid w:val="5AC27E88"/>
    <w:rsid w:val="5AD05B90"/>
    <w:rsid w:val="5AD066CA"/>
    <w:rsid w:val="5AF96577"/>
    <w:rsid w:val="5B060C94"/>
    <w:rsid w:val="5B070568"/>
    <w:rsid w:val="5B127639"/>
    <w:rsid w:val="5B280B1F"/>
    <w:rsid w:val="5B500161"/>
    <w:rsid w:val="5B5E462C"/>
    <w:rsid w:val="5B6836FC"/>
    <w:rsid w:val="5B6F6839"/>
    <w:rsid w:val="5B863B83"/>
    <w:rsid w:val="5B9A15AA"/>
    <w:rsid w:val="5B9E2C7A"/>
    <w:rsid w:val="5BA26C0E"/>
    <w:rsid w:val="5BB07937"/>
    <w:rsid w:val="5BB406F0"/>
    <w:rsid w:val="5BB701E0"/>
    <w:rsid w:val="5BB95D06"/>
    <w:rsid w:val="5BCC099F"/>
    <w:rsid w:val="5BCF552A"/>
    <w:rsid w:val="5BDF5D95"/>
    <w:rsid w:val="5BF3746A"/>
    <w:rsid w:val="5BFE7528"/>
    <w:rsid w:val="5BFE7BBD"/>
    <w:rsid w:val="5C0056E3"/>
    <w:rsid w:val="5C0460F4"/>
    <w:rsid w:val="5C0C052C"/>
    <w:rsid w:val="5C1E200D"/>
    <w:rsid w:val="5C4A4BB0"/>
    <w:rsid w:val="5C677510"/>
    <w:rsid w:val="5C7D4F86"/>
    <w:rsid w:val="5C8C33FB"/>
    <w:rsid w:val="5CA0086E"/>
    <w:rsid w:val="5CC6692D"/>
    <w:rsid w:val="5CC826A5"/>
    <w:rsid w:val="5CF07506"/>
    <w:rsid w:val="5CFA0384"/>
    <w:rsid w:val="5D0E3E30"/>
    <w:rsid w:val="5D1A4B7F"/>
    <w:rsid w:val="5D1D4073"/>
    <w:rsid w:val="5D1E0517"/>
    <w:rsid w:val="5D30024A"/>
    <w:rsid w:val="5D3A69D3"/>
    <w:rsid w:val="5D5F28DD"/>
    <w:rsid w:val="5D6121B1"/>
    <w:rsid w:val="5D63417B"/>
    <w:rsid w:val="5D72090C"/>
    <w:rsid w:val="5D85055A"/>
    <w:rsid w:val="5D924A61"/>
    <w:rsid w:val="5DA12EF6"/>
    <w:rsid w:val="5DAA3B58"/>
    <w:rsid w:val="5DC56BE4"/>
    <w:rsid w:val="5DCA7D57"/>
    <w:rsid w:val="5DD9443E"/>
    <w:rsid w:val="5DE057CC"/>
    <w:rsid w:val="5DE74E6C"/>
    <w:rsid w:val="5DE765F7"/>
    <w:rsid w:val="5DED49B8"/>
    <w:rsid w:val="5DF9688E"/>
    <w:rsid w:val="5E0B036F"/>
    <w:rsid w:val="5E0D693B"/>
    <w:rsid w:val="5E227B93"/>
    <w:rsid w:val="5E2467F1"/>
    <w:rsid w:val="5E361890"/>
    <w:rsid w:val="5E39312E"/>
    <w:rsid w:val="5E3A7E1B"/>
    <w:rsid w:val="5E532442"/>
    <w:rsid w:val="5E560AC3"/>
    <w:rsid w:val="5E5E2B95"/>
    <w:rsid w:val="5E6301AB"/>
    <w:rsid w:val="5E652E99"/>
    <w:rsid w:val="5E797524"/>
    <w:rsid w:val="5E7A5C21"/>
    <w:rsid w:val="5E987F61"/>
    <w:rsid w:val="5EA06D09"/>
    <w:rsid w:val="5EAA3456"/>
    <w:rsid w:val="5EAF519E"/>
    <w:rsid w:val="5EB03B7F"/>
    <w:rsid w:val="5EB32EE1"/>
    <w:rsid w:val="5EC44398"/>
    <w:rsid w:val="5ED52E57"/>
    <w:rsid w:val="5EEB7C0D"/>
    <w:rsid w:val="5F125E59"/>
    <w:rsid w:val="5F1A2B43"/>
    <w:rsid w:val="5F261904"/>
    <w:rsid w:val="5F2C67EF"/>
    <w:rsid w:val="5F3D4D4A"/>
    <w:rsid w:val="5F48187B"/>
    <w:rsid w:val="5F5A335C"/>
    <w:rsid w:val="5F5F0972"/>
    <w:rsid w:val="5F674857"/>
    <w:rsid w:val="5F742670"/>
    <w:rsid w:val="5F88611B"/>
    <w:rsid w:val="5F9E593F"/>
    <w:rsid w:val="5F9F269F"/>
    <w:rsid w:val="5FA10F8B"/>
    <w:rsid w:val="5FA62A45"/>
    <w:rsid w:val="5FAF18FA"/>
    <w:rsid w:val="5FB837BB"/>
    <w:rsid w:val="5FC86039"/>
    <w:rsid w:val="5FCD3B2E"/>
    <w:rsid w:val="5FF4555F"/>
    <w:rsid w:val="5FF67529"/>
    <w:rsid w:val="5FF76DFD"/>
    <w:rsid w:val="60002155"/>
    <w:rsid w:val="60017C7C"/>
    <w:rsid w:val="60123C37"/>
    <w:rsid w:val="6045400C"/>
    <w:rsid w:val="604D4C6F"/>
    <w:rsid w:val="60536729"/>
    <w:rsid w:val="60566219"/>
    <w:rsid w:val="60600E46"/>
    <w:rsid w:val="6062071A"/>
    <w:rsid w:val="606A5821"/>
    <w:rsid w:val="60934D78"/>
    <w:rsid w:val="60BB607C"/>
    <w:rsid w:val="60BE791B"/>
    <w:rsid w:val="60C05441"/>
    <w:rsid w:val="60C146A2"/>
    <w:rsid w:val="60C2740B"/>
    <w:rsid w:val="60C77ACC"/>
    <w:rsid w:val="60C82547"/>
    <w:rsid w:val="60CC405A"/>
    <w:rsid w:val="60DD5FF3"/>
    <w:rsid w:val="60E43825"/>
    <w:rsid w:val="60EC092C"/>
    <w:rsid w:val="60F03F78"/>
    <w:rsid w:val="60F577E0"/>
    <w:rsid w:val="60F82E2D"/>
    <w:rsid w:val="61007F33"/>
    <w:rsid w:val="610572F8"/>
    <w:rsid w:val="610619ED"/>
    <w:rsid w:val="610C68D8"/>
    <w:rsid w:val="612105D5"/>
    <w:rsid w:val="61354081"/>
    <w:rsid w:val="614D13CA"/>
    <w:rsid w:val="61532759"/>
    <w:rsid w:val="61546849"/>
    <w:rsid w:val="61581B1D"/>
    <w:rsid w:val="61587D6F"/>
    <w:rsid w:val="61736957"/>
    <w:rsid w:val="61762AFE"/>
    <w:rsid w:val="61794A1B"/>
    <w:rsid w:val="617D3332"/>
    <w:rsid w:val="6183303E"/>
    <w:rsid w:val="618648DC"/>
    <w:rsid w:val="618B5A4F"/>
    <w:rsid w:val="61915F1E"/>
    <w:rsid w:val="619A2136"/>
    <w:rsid w:val="619C5EAE"/>
    <w:rsid w:val="619F14FA"/>
    <w:rsid w:val="61AB60F1"/>
    <w:rsid w:val="61C11731"/>
    <w:rsid w:val="61C13B66"/>
    <w:rsid w:val="61C251E9"/>
    <w:rsid w:val="61D373F6"/>
    <w:rsid w:val="61E215D8"/>
    <w:rsid w:val="61F93300"/>
    <w:rsid w:val="62013F63"/>
    <w:rsid w:val="620B6B90"/>
    <w:rsid w:val="62145A44"/>
    <w:rsid w:val="621A5025"/>
    <w:rsid w:val="621B3775"/>
    <w:rsid w:val="622373BE"/>
    <w:rsid w:val="62285994"/>
    <w:rsid w:val="622B7232"/>
    <w:rsid w:val="62364782"/>
    <w:rsid w:val="6243457B"/>
    <w:rsid w:val="624502F4"/>
    <w:rsid w:val="624D0F56"/>
    <w:rsid w:val="62586279"/>
    <w:rsid w:val="625B3673"/>
    <w:rsid w:val="62745184"/>
    <w:rsid w:val="627C5F72"/>
    <w:rsid w:val="62861B77"/>
    <w:rsid w:val="62886432"/>
    <w:rsid w:val="62966DA1"/>
    <w:rsid w:val="62A3326C"/>
    <w:rsid w:val="62AB1EEE"/>
    <w:rsid w:val="62B31701"/>
    <w:rsid w:val="62B86D17"/>
    <w:rsid w:val="62BF00A6"/>
    <w:rsid w:val="62C03E1E"/>
    <w:rsid w:val="62C730E9"/>
    <w:rsid w:val="62D33B51"/>
    <w:rsid w:val="62D376AD"/>
    <w:rsid w:val="62D653F0"/>
    <w:rsid w:val="62DC744D"/>
    <w:rsid w:val="62E0626E"/>
    <w:rsid w:val="62E53885"/>
    <w:rsid w:val="63071A4D"/>
    <w:rsid w:val="63147CC6"/>
    <w:rsid w:val="631515BE"/>
    <w:rsid w:val="631B1054"/>
    <w:rsid w:val="63247F09"/>
    <w:rsid w:val="63381C06"/>
    <w:rsid w:val="633A597E"/>
    <w:rsid w:val="63534C92"/>
    <w:rsid w:val="636D5D54"/>
    <w:rsid w:val="637A221F"/>
    <w:rsid w:val="63814014"/>
    <w:rsid w:val="63827325"/>
    <w:rsid w:val="638B7A5B"/>
    <w:rsid w:val="6394356A"/>
    <w:rsid w:val="639A01CB"/>
    <w:rsid w:val="639A641D"/>
    <w:rsid w:val="639F1C85"/>
    <w:rsid w:val="63A728E8"/>
    <w:rsid w:val="63AB687C"/>
    <w:rsid w:val="63B15515"/>
    <w:rsid w:val="63B514A9"/>
    <w:rsid w:val="63B84AF5"/>
    <w:rsid w:val="63C129F5"/>
    <w:rsid w:val="63C27722"/>
    <w:rsid w:val="63C61B2C"/>
    <w:rsid w:val="63C74D38"/>
    <w:rsid w:val="63C90AB0"/>
    <w:rsid w:val="63D40BE9"/>
    <w:rsid w:val="63D57455"/>
    <w:rsid w:val="64102431"/>
    <w:rsid w:val="64264155"/>
    <w:rsid w:val="643028DD"/>
    <w:rsid w:val="643423CE"/>
    <w:rsid w:val="64414AEB"/>
    <w:rsid w:val="6454481E"/>
    <w:rsid w:val="64616F3B"/>
    <w:rsid w:val="646B1B68"/>
    <w:rsid w:val="6474444F"/>
    <w:rsid w:val="648235A3"/>
    <w:rsid w:val="64981341"/>
    <w:rsid w:val="64A5243A"/>
    <w:rsid w:val="64A55079"/>
    <w:rsid w:val="64A82DBC"/>
    <w:rsid w:val="64AA2690"/>
    <w:rsid w:val="64AD03D2"/>
    <w:rsid w:val="64B259E8"/>
    <w:rsid w:val="64B452BD"/>
    <w:rsid w:val="64C179D9"/>
    <w:rsid w:val="64C23E7D"/>
    <w:rsid w:val="64CC6AAA"/>
    <w:rsid w:val="64CF20F6"/>
    <w:rsid w:val="64D659B6"/>
    <w:rsid w:val="64DE058B"/>
    <w:rsid w:val="64E611DB"/>
    <w:rsid w:val="64EE6A20"/>
    <w:rsid w:val="64F16511"/>
    <w:rsid w:val="64F46001"/>
    <w:rsid w:val="64F531DE"/>
    <w:rsid w:val="651E4E2C"/>
    <w:rsid w:val="652561BA"/>
    <w:rsid w:val="652E1C0D"/>
    <w:rsid w:val="652F7039"/>
    <w:rsid w:val="65342083"/>
    <w:rsid w:val="65373578"/>
    <w:rsid w:val="653A1C66"/>
    <w:rsid w:val="65544D07"/>
    <w:rsid w:val="65555212"/>
    <w:rsid w:val="6558033E"/>
    <w:rsid w:val="65601EB5"/>
    <w:rsid w:val="657A02B4"/>
    <w:rsid w:val="65827169"/>
    <w:rsid w:val="6592268F"/>
    <w:rsid w:val="6598698C"/>
    <w:rsid w:val="65D11E9E"/>
    <w:rsid w:val="65FF1B98"/>
    <w:rsid w:val="660758C0"/>
    <w:rsid w:val="66124991"/>
    <w:rsid w:val="661F2C0A"/>
    <w:rsid w:val="66293A88"/>
    <w:rsid w:val="662B5A52"/>
    <w:rsid w:val="6639016F"/>
    <w:rsid w:val="66415276"/>
    <w:rsid w:val="66522FDF"/>
    <w:rsid w:val="665F74AA"/>
    <w:rsid w:val="666176C6"/>
    <w:rsid w:val="6663656C"/>
    <w:rsid w:val="66742F55"/>
    <w:rsid w:val="66754F1F"/>
    <w:rsid w:val="667747F4"/>
    <w:rsid w:val="667B2536"/>
    <w:rsid w:val="668D2269"/>
    <w:rsid w:val="668F5FE1"/>
    <w:rsid w:val="669177B9"/>
    <w:rsid w:val="66996E60"/>
    <w:rsid w:val="66A15D14"/>
    <w:rsid w:val="66B23A7E"/>
    <w:rsid w:val="66B45A48"/>
    <w:rsid w:val="66CF4630"/>
    <w:rsid w:val="66D659BE"/>
    <w:rsid w:val="66DB4D83"/>
    <w:rsid w:val="670A38BA"/>
    <w:rsid w:val="671F124A"/>
    <w:rsid w:val="672149BE"/>
    <w:rsid w:val="67226E55"/>
    <w:rsid w:val="6727621A"/>
    <w:rsid w:val="6732696D"/>
    <w:rsid w:val="6748478F"/>
    <w:rsid w:val="674C3ED2"/>
    <w:rsid w:val="675843DE"/>
    <w:rsid w:val="67684FD9"/>
    <w:rsid w:val="67705E13"/>
    <w:rsid w:val="67713939"/>
    <w:rsid w:val="67786A75"/>
    <w:rsid w:val="677A33C6"/>
    <w:rsid w:val="677B47B7"/>
    <w:rsid w:val="677B5B6F"/>
    <w:rsid w:val="677D0530"/>
    <w:rsid w:val="67835311"/>
    <w:rsid w:val="67931B01"/>
    <w:rsid w:val="67955AC1"/>
    <w:rsid w:val="67A1421E"/>
    <w:rsid w:val="67A45ABC"/>
    <w:rsid w:val="67B657F0"/>
    <w:rsid w:val="67C95523"/>
    <w:rsid w:val="67E265E5"/>
    <w:rsid w:val="67EE4F89"/>
    <w:rsid w:val="67F02AB0"/>
    <w:rsid w:val="680679A1"/>
    <w:rsid w:val="681A7B2C"/>
    <w:rsid w:val="681F6961"/>
    <w:rsid w:val="682E35D8"/>
    <w:rsid w:val="683A3D2B"/>
    <w:rsid w:val="68442DFB"/>
    <w:rsid w:val="68490412"/>
    <w:rsid w:val="685748DD"/>
    <w:rsid w:val="685766C6"/>
    <w:rsid w:val="685F7C35"/>
    <w:rsid w:val="68610A2F"/>
    <w:rsid w:val="686572F9"/>
    <w:rsid w:val="68744D1D"/>
    <w:rsid w:val="68757459"/>
    <w:rsid w:val="68790CF7"/>
    <w:rsid w:val="68805514"/>
    <w:rsid w:val="688651C2"/>
    <w:rsid w:val="688A4CB2"/>
    <w:rsid w:val="6894298C"/>
    <w:rsid w:val="689773CF"/>
    <w:rsid w:val="689A7940"/>
    <w:rsid w:val="68A044D6"/>
    <w:rsid w:val="68AD6BF3"/>
    <w:rsid w:val="68AF296B"/>
    <w:rsid w:val="68B7181F"/>
    <w:rsid w:val="68BA794A"/>
    <w:rsid w:val="68BC5088"/>
    <w:rsid w:val="68D26659"/>
    <w:rsid w:val="68E51EE8"/>
    <w:rsid w:val="68EF2D67"/>
    <w:rsid w:val="68FB170C"/>
    <w:rsid w:val="68FE744E"/>
    <w:rsid w:val="69074555"/>
    <w:rsid w:val="690A194F"/>
    <w:rsid w:val="69180510"/>
    <w:rsid w:val="691B6FB1"/>
    <w:rsid w:val="691C06C6"/>
    <w:rsid w:val="69224EEB"/>
    <w:rsid w:val="692549DB"/>
    <w:rsid w:val="692A1FF1"/>
    <w:rsid w:val="692C7B17"/>
    <w:rsid w:val="692D23AE"/>
    <w:rsid w:val="692F585A"/>
    <w:rsid w:val="693115D2"/>
    <w:rsid w:val="6931512E"/>
    <w:rsid w:val="69316E2F"/>
    <w:rsid w:val="69411844"/>
    <w:rsid w:val="694C01BA"/>
    <w:rsid w:val="694D2DB0"/>
    <w:rsid w:val="694E2071"/>
    <w:rsid w:val="69540E1C"/>
    <w:rsid w:val="69635503"/>
    <w:rsid w:val="696F20FA"/>
    <w:rsid w:val="69765236"/>
    <w:rsid w:val="69766163"/>
    <w:rsid w:val="697A3B33"/>
    <w:rsid w:val="698A0CE2"/>
    <w:rsid w:val="698C6808"/>
    <w:rsid w:val="699A7177"/>
    <w:rsid w:val="699D27C3"/>
    <w:rsid w:val="69A41DA4"/>
    <w:rsid w:val="69B1341E"/>
    <w:rsid w:val="69B23E10"/>
    <w:rsid w:val="69BA15C7"/>
    <w:rsid w:val="69C750A6"/>
    <w:rsid w:val="69C9180A"/>
    <w:rsid w:val="69D02B99"/>
    <w:rsid w:val="69D44760"/>
    <w:rsid w:val="69E06B54"/>
    <w:rsid w:val="69E228CC"/>
    <w:rsid w:val="69E95A08"/>
    <w:rsid w:val="69EC72A7"/>
    <w:rsid w:val="69FD7706"/>
    <w:rsid w:val="6A050368"/>
    <w:rsid w:val="6A0A597F"/>
    <w:rsid w:val="6A1100FE"/>
    <w:rsid w:val="6A132A85"/>
    <w:rsid w:val="6A157308"/>
    <w:rsid w:val="6A1D1B56"/>
    <w:rsid w:val="6A2A0B98"/>
    <w:rsid w:val="6A2F7112"/>
    <w:rsid w:val="6A333127"/>
    <w:rsid w:val="6A3A6264"/>
    <w:rsid w:val="6A3F1ACC"/>
    <w:rsid w:val="6A4315BC"/>
    <w:rsid w:val="6A4946F9"/>
    <w:rsid w:val="6A520EC7"/>
    <w:rsid w:val="6A5437CA"/>
    <w:rsid w:val="6A5512F0"/>
    <w:rsid w:val="6A5C442C"/>
    <w:rsid w:val="6A6F4FCE"/>
    <w:rsid w:val="6A705326"/>
    <w:rsid w:val="6A7A0D56"/>
    <w:rsid w:val="6A8A1315"/>
    <w:rsid w:val="6A9525EC"/>
    <w:rsid w:val="6AA45DD3"/>
    <w:rsid w:val="6AB06526"/>
    <w:rsid w:val="6AC326FD"/>
    <w:rsid w:val="6ACC06D2"/>
    <w:rsid w:val="6ACD532A"/>
    <w:rsid w:val="6AD77F57"/>
    <w:rsid w:val="6ADF6E0B"/>
    <w:rsid w:val="6AE0505D"/>
    <w:rsid w:val="6AE215AE"/>
    <w:rsid w:val="6AF26B3F"/>
    <w:rsid w:val="6AF87E20"/>
    <w:rsid w:val="6B0112DF"/>
    <w:rsid w:val="6B1059B4"/>
    <w:rsid w:val="6B1D1F48"/>
    <w:rsid w:val="6B2807B2"/>
    <w:rsid w:val="6B2F38EF"/>
    <w:rsid w:val="6B322639"/>
    <w:rsid w:val="6B3727A3"/>
    <w:rsid w:val="6B3A720F"/>
    <w:rsid w:val="6B403D4E"/>
    <w:rsid w:val="6B453112"/>
    <w:rsid w:val="6B4A697B"/>
    <w:rsid w:val="6B5D66AE"/>
    <w:rsid w:val="6B5E2426"/>
    <w:rsid w:val="6B6F018F"/>
    <w:rsid w:val="6B80239C"/>
    <w:rsid w:val="6B8A321B"/>
    <w:rsid w:val="6B8F25DF"/>
    <w:rsid w:val="6B91677C"/>
    <w:rsid w:val="6BB838E4"/>
    <w:rsid w:val="6BBF1117"/>
    <w:rsid w:val="6BC37A3B"/>
    <w:rsid w:val="6BC54253"/>
    <w:rsid w:val="6BC913D9"/>
    <w:rsid w:val="6BE21B12"/>
    <w:rsid w:val="6BE741CA"/>
    <w:rsid w:val="6BEA3CBA"/>
    <w:rsid w:val="6BEA5A68"/>
    <w:rsid w:val="6BEC17E0"/>
    <w:rsid w:val="6BF54B38"/>
    <w:rsid w:val="6C075CA6"/>
    <w:rsid w:val="6C163C5B"/>
    <w:rsid w:val="6C17410B"/>
    <w:rsid w:val="6C1A00FB"/>
    <w:rsid w:val="6C1D5E3D"/>
    <w:rsid w:val="6C1F4726"/>
    <w:rsid w:val="6C3118E9"/>
    <w:rsid w:val="6C33740F"/>
    <w:rsid w:val="6C376EFF"/>
    <w:rsid w:val="6C472EBA"/>
    <w:rsid w:val="6C4B4758"/>
    <w:rsid w:val="6C4B6506"/>
    <w:rsid w:val="6C6121CE"/>
    <w:rsid w:val="6C615D2A"/>
    <w:rsid w:val="6C636C38"/>
    <w:rsid w:val="6C6B6BA9"/>
    <w:rsid w:val="6C6C5161"/>
    <w:rsid w:val="6C727F37"/>
    <w:rsid w:val="6C904861"/>
    <w:rsid w:val="6CA34594"/>
    <w:rsid w:val="6CA36342"/>
    <w:rsid w:val="6CA62999"/>
    <w:rsid w:val="6CAD71C1"/>
    <w:rsid w:val="6CC91B21"/>
    <w:rsid w:val="6CD3474E"/>
    <w:rsid w:val="6CF341A6"/>
    <w:rsid w:val="6CF52916"/>
    <w:rsid w:val="6CF90279"/>
    <w:rsid w:val="6D194857"/>
    <w:rsid w:val="6D363126"/>
    <w:rsid w:val="6D3E606B"/>
    <w:rsid w:val="6D4C7F8D"/>
    <w:rsid w:val="6D4D2752"/>
    <w:rsid w:val="6D586A86"/>
    <w:rsid w:val="6D594C53"/>
    <w:rsid w:val="6D602485"/>
    <w:rsid w:val="6D633D24"/>
    <w:rsid w:val="6D643FA3"/>
    <w:rsid w:val="6D662FA6"/>
    <w:rsid w:val="6D782FA1"/>
    <w:rsid w:val="6D7970A3"/>
    <w:rsid w:val="6D7E5383"/>
    <w:rsid w:val="6D88378A"/>
    <w:rsid w:val="6D930519"/>
    <w:rsid w:val="6D9D7236"/>
    <w:rsid w:val="6D9E6B0A"/>
    <w:rsid w:val="6DA46816"/>
    <w:rsid w:val="6DB34098"/>
    <w:rsid w:val="6DB545B6"/>
    <w:rsid w:val="6DB6259F"/>
    <w:rsid w:val="6DB97137"/>
    <w:rsid w:val="6DCC18C9"/>
    <w:rsid w:val="6DCC3677"/>
    <w:rsid w:val="6DCE5641"/>
    <w:rsid w:val="6DD95045"/>
    <w:rsid w:val="6DE02FB4"/>
    <w:rsid w:val="6DE50BDD"/>
    <w:rsid w:val="6DE54F69"/>
    <w:rsid w:val="6DE85FD7"/>
    <w:rsid w:val="6DF40E20"/>
    <w:rsid w:val="6DF901E4"/>
    <w:rsid w:val="6DFC6222"/>
    <w:rsid w:val="6DFE57FA"/>
    <w:rsid w:val="6E001573"/>
    <w:rsid w:val="6E027099"/>
    <w:rsid w:val="6E106BE0"/>
    <w:rsid w:val="6E1B45FE"/>
    <w:rsid w:val="6E301E58"/>
    <w:rsid w:val="6E35746E"/>
    <w:rsid w:val="6E514CED"/>
    <w:rsid w:val="6E5673E4"/>
    <w:rsid w:val="6E66587A"/>
    <w:rsid w:val="6E751F61"/>
    <w:rsid w:val="6E9879FD"/>
    <w:rsid w:val="6E9C573F"/>
    <w:rsid w:val="6EAE5472"/>
    <w:rsid w:val="6EB563D5"/>
    <w:rsid w:val="6EB83BFB"/>
    <w:rsid w:val="6EBF4F8A"/>
    <w:rsid w:val="6EC72090"/>
    <w:rsid w:val="6ECD3B4B"/>
    <w:rsid w:val="6ED22F0F"/>
    <w:rsid w:val="6ED92677"/>
    <w:rsid w:val="6EE44AD9"/>
    <w:rsid w:val="6EEB2223"/>
    <w:rsid w:val="6EF07839"/>
    <w:rsid w:val="6EFF5CCE"/>
    <w:rsid w:val="6F052E4D"/>
    <w:rsid w:val="6F1E43A6"/>
    <w:rsid w:val="6F225983"/>
    <w:rsid w:val="6F226904"/>
    <w:rsid w:val="6F255735"/>
    <w:rsid w:val="6F305E87"/>
    <w:rsid w:val="6F3D7D8E"/>
    <w:rsid w:val="6F40431D"/>
    <w:rsid w:val="6F416D8D"/>
    <w:rsid w:val="6F433E0D"/>
    <w:rsid w:val="6F4436E1"/>
    <w:rsid w:val="6F492E88"/>
    <w:rsid w:val="6F524050"/>
    <w:rsid w:val="6F54601A"/>
    <w:rsid w:val="6F5778B8"/>
    <w:rsid w:val="6F5C0A2B"/>
    <w:rsid w:val="6F6560B7"/>
    <w:rsid w:val="6F72577E"/>
    <w:rsid w:val="6F7C731F"/>
    <w:rsid w:val="6F8D6E36"/>
    <w:rsid w:val="6F9208F0"/>
    <w:rsid w:val="6F977CB5"/>
    <w:rsid w:val="6FAC19B2"/>
    <w:rsid w:val="6FAF14A2"/>
    <w:rsid w:val="6FC37383"/>
    <w:rsid w:val="6FC52A74"/>
    <w:rsid w:val="6FC84312"/>
    <w:rsid w:val="6FDB4045"/>
    <w:rsid w:val="6FE86762"/>
    <w:rsid w:val="6FEE1FCA"/>
    <w:rsid w:val="6FF43359"/>
    <w:rsid w:val="6FFA7582"/>
    <w:rsid w:val="6FFC5590"/>
    <w:rsid w:val="70057314"/>
    <w:rsid w:val="7018393D"/>
    <w:rsid w:val="701A2DBF"/>
    <w:rsid w:val="70244C09"/>
    <w:rsid w:val="70453BB5"/>
    <w:rsid w:val="705B5186"/>
    <w:rsid w:val="705F07D2"/>
    <w:rsid w:val="70661C93"/>
    <w:rsid w:val="706978A3"/>
    <w:rsid w:val="706D1DD0"/>
    <w:rsid w:val="70756248"/>
    <w:rsid w:val="707638C3"/>
    <w:rsid w:val="70787AE6"/>
    <w:rsid w:val="707B75D6"/>
    <w:rsid w:val="707F0E75"/>
    <w:rsid w:val="707F2C23"/>
    <w:rsid w:val="708244C1"/>
    <w:rsid w:val="70856B87"/>
    <w:rsid w:val="709541F4"/>
    <w:rsid w:val="709B5583"/>
    <w:rsid w:val="709D579F"/>
    <w:rsid w:val="70AE3508"/>
    <w:rsid w:val="70B86135"/>
    <w:rsid w:val="70BF3967"/>
    <w:rsid w:val="70D311C0"/>
    <w:rsid w:val="70D527EE"/>
    <w:rsid w:val="70D867D7"/>
    <w:rsid w:val="70DF36C1"/>
    <w:rsid w:val="70EF5CA0"/>
    <w:rsid w:val="70FA04FB"/>
    <w:rsid w:val="710A5C30"/>
    <w:rsid w:val="71193077"/>
    <w:rsid w:val="712367FA"/>
    <w:rsid w:val="712E63F7"/>
    <w:rsid w:val="713954C7"/>
    <w:rsid w:val="713D53A6"/>
    <w:rsid w:val="7141612A"/>
    <w:rsid w:val="714206B4"/>
    <w:rsid w:val="714874B8"/>
    <w:rsid w:val="71494FDF"/>
    <w:rsid w:val="71573B9F"/>
    <w:rsid w:val="715B5300"/>
    <w:rsid w:val="71610C71"/>
    <w:rsid w:val="71641E18"/>
    <w:rsid w:val="716F0EE9"/>
    <w:rsid w:val="71866233"/>
    <w:rsid w:val="718A7AD1"/>
    <w:rsid w:val="718D2DE0"/>
    <w:rsid w:val="719627C4"/>
    <w:rsid w:val="71A010A2"/>
    <w:rsid w:val="71AF12E6"/>
    <w:rsid w:val="71B111A4"/>
    <w:rsid w:val="71BB1A08"/>
    <w:rsid w:val="71BB5EDC"/>
    <w:rsid w:val="71C72AD3"/>
    <w:rsid w:val="71CB12E6"/>
    <w:rsid w:val="71D27F8A"/>
    <w:rsid w:val="71D85D70"/>
    <w:rsid w:val="71DC40A5"/>
    <w:rsid w:val="71E13469"/>
    <w:rsid w:val="71E2790D"/>
    <w:rsid w:val="71E76CD1"/>
    <w:rsid w:val="71F80EDE"/>
    <w:rsid w:val="71F81E69"/>
    <w:rsid w:val="72031631"/>
    <w:rsid w:val="720D24B0"/>
    <w:rsid w:val="721046D0"/>
    <w:rsid w:val="723914F7"/>
    <w:rsid w:val="72395053"/>
    <w:rsid w:val="723F6B0D"/>
    <w:rsid w:val="72553024"/>
    <w:rsid w:val="725A3947"/>
    <w:rsid w:val="72677E12"/>
    <w:rsid w:val="726E12CB"/>
    <w:rsid w:val="72744FEC"/>
    <w:rsid w:val="7278653E"/>
    <w:rsid w:val="728F1117"/>
    <w:rsid w:val="729055BB"/>
    <w:rsid w:val="72B56DCF"/>
    <w:rsid w:val="72BF37AA"/>
    <w:rsid w:val="72D07765"/>
    <w:rsid w:val="72D36E98"/>
    <w:rsid w:val="72D74F98"/>
    <w:rsid w:val="72DB435C"/>
    <w:rsid w:val="72DD1E82"/>
    <w:rsid w:val="72DF5BFA"/>
    <w:rsid w:val="72F5541E"/>
    <w:rsid w:val="73122968"/>
    <w:rsid w:val="731F5D5E"/>
    <w:rsid w:val="732E4532"/>
    <w:rsid w:val="733F2B3D"/>
    <w:rsid w:val="73463ECB"/>
    <w:rsid w:val="73530396"/>
    <w:rsid w:val="736425A4"/>
    <w:rsid w:val="7364277A"/>
    <w:rsid w:val="73A0182E"/>
    <w:rsid w:val="73A62BBC"/>
    <w:rsid w:val="73AE39A4"/>
    <w:rsid w:val="73B13A3B"/>
    <w:rsid w:val="73B4215D"/>
    <w:rsid w:val="73B8604B"/>
    <w:rsid w:val="73B928EF"/>
    <w:rsid w:val="73C51AD5"/>
    <w:rsid w:val="73CA0659"/>
    <w:rsid w:val="73EA4857"/>
    <w:rsid w:val="73EF6311"/>
    <w:rsid w:val="73F05BE5"/>
    <w:rsid w:val="7416564C"/>
    <w:rsid w:val="741E793C"/>
    <w:rsid w:val="742F670E"/>
    <w:rsid w:val="743D52CE"/>
    <w:rsid w:val="744020F7"/>
    <w:rsid w:val="74416441"/>
    <w:rsid w:val="745253CD"/>
    <w:rsid w:val="745E3944"/>
    <w:rsid w:val="746740F9"/>
    <w:rsid w:val="74744A68"/>
    <w:rsid w:val="74765C81"/>
    <w:rsid w:val="747B5DF7"/>
    <w:rsid w:val="7487479C"/>
    <w:rsid w:val="749649DF"/>
    <w:rsid w:val="7499627D"/>
    <w:rsid w:val="74AE7543"/>
    <w:rsid w:val="74C27582"/>
    <w:rsid w:val="74C96B62"/>
    <w:rsid w:val="74CE5F27"/>
    <w:rsid w:val="74D53759"/>
    <w:rsid w:val="74EC0AA3"/>
    <w:rsid w:val="74EE3135"/>
    <w:rsid w:val="74F17E67"/>
    <w:rsid w:val="750556C0"/>
    <w:rsid w:val="75243D99"/>
    <w:rsid w:val="753C5586"/>
    <w:rsid w:val="753D12FE"/>
    <w:rsid w:val="753E3884"/>
    <w:rsid w:val="7544268D"/>
    <w:rsid w:val="754601B3"/>
    <w:rsid w:val="754E6641"/>
    <w:rsid w:val="756D573F"/>
    <w:rsid w:val="75711E57"/>
    <w:rsid w:val="75814434"/>
    <w:rsid w:val="75846F2D"/>
    <w:rsid w:val="75882579"/>
    <w:rsid w:val="758E3908"/>
    <w:rsid w:val="75C86E1A"/>
    <w:rsid w:val="75DB67EF"/>
    <w:rsid w:val="75DC0B17"/>
    <w:rsid w:val="75F06371"/>
    <w:rsid w:val="75F220E9"/>
    <w:rsid w:val="75FF70DB"/>
    <w:rsid w:val="76157B85"/>
    <w:rsid w:val="76171B4F"/>
    <w:rsid w:val="7617718E"/>
    <w:rsid w:val="7635099D"/>
    <w:rsid w:val="76366479"/>
    <w:rsid w:val="76375D4D"/>
    <w:rsid w:val="76454F1B"/>
    <w:rsid w:val="764D731F"/>
    <w:rsid w:val="766C59F7"/>
    <w:rsid w:val="76764AC8"/>
    <w:rsid w:val="767B3E8C"/>
    <w:rsid w:val="7682346D"/>
    <w:rsid w:val="76830F93"/>
    <w:rsid w:val="768371E5"/>
    <w:rsid w:val="769211D6"/>
    <w:rsid w:val="769836D1"/>
    <w:rsid w:val="76A74D49"/>
    <w:rsid w:val="76AF7FDA"/>
    <w:rsid w:val="76C03F95"/>
    <w:rsid w:val="76D637B8"/>
    <w:rsid w:val="76DA5057"/>
    <w:rsid w:val="76E01F41"/>
    <w:rsid w:val="770E2F52"/>
    <w:rsid w:val="7722255A"/>
    <w:rsid w:val="7731383A"/>
    <w:rsid w:val="773B272A"/>
    <w:rsid w:val="77444BC6"/>
    <w:rsid w:val="77762421"/>
    <w:rsid w:val="77770AF7"/>
    <w:rsid w:val="7782124A"/>
    <w:rsid w:val="778C3E77"/>
    <w:rsid w:val="779D6084"/>
    <w:rsid w:val="77AE0291"/>
    <w:rsid w:val="77B56B1F"/>
    <w:rsid w:val="77BA22A3"/>
    <w:rsid w:val="77BB4F55"/>
    <w:rsid w:val="77C67389"/>
    <w:rsid w:val="77C72710"/>
    <w:rsid w:val="77C74EAF"/>
    <w:rsid w:val="77CB0E43"/>
    <w:rsid w:val="77CC2BAD"/>
    <w:rsid w:val="77D0645A"/>
    <w:rsid w:val="77E37F3B"/>
    <w:rsid w:val="77E56B57"/>
    <w:rsid w:val="77F51A1C"/>
    <w:rsid w:val="77F55EC0"/>
    <w:rsid w:val="780F09F4"/>
    <w:rsid w:val="78372035"/>
    <w:rsid w:val="78382328"/>
    <w:rsid w:val="784309DA"/>
    <w:rsid w:val="78485FF0"/>
    <w:rsid w:val="784B5AE0"/>
    <w:rsid w:val="784F3822"/>
    <w:rsid w:val="785030F6"/>
    <w:rsid w:val="78743289"/>
    <w:rsid w:val="7879089F"/>
    <w:rsid w:val="787F67A4"/>
    <w:rsid w:val="788334CC"/>
    <w:rsid w:val="78850FF2"/>
    <w:rsid w:val="788F1E71"/>
    <w:rsid w:val="78911745"/>
    <w:rsid w:val="78A3591C"/>
    <w:rsid w:val="78A51694"/>
    <w:rsid w:val="78A90480"/>
    <w:rsid w:val="78AD0549"/>
    <w:rsid w:val="78C0202A"/>
    <w:rsid w:val="78C23FF4"/>
    <w:rsid w:val="78C57641"/>
    <w:rsid w:val="78D9133E"/>
    <w:rsid w:val="78D930EC"/>
    <w:rsid w:val="78DB50B6"/>
    <w:rsid w:val="78E201F2"/>
    <w:rsid w:val="78F543CA"/>
    <w:rsid w:val="78FD327E"/>
    <w:rsid w:val="790068CB"/>
    <w:rsid w:val="79112886"/>
    <w:rsid w:val="79164340"/>
    <w:rsid w:val="791C2931"/>
    <w:rsid w:val="79222CE5"/>
    <w:rsid w:val="792720A9"/>
    <w:rsid w:val="7928227D"/>
    <w:rsid w:val="79314CD6"/>
    <w:rsid w:val="79346574"/>
    <w:rsid w:val="793D367B"/>
    <w:rsid w:val="79403229"/>
    <w:rsid w:val="79512422"/>
    <w:rsid w:val="79554E68"/>
    <w:rsid w:val="796E5F2A"/>
    <w:rsid w:val="79733D3F"/>
    <w:rsid w:val="797572B9"/>
    <w:rsid w:val="798968C0"/>
    <w:rsid w:val="798C015E"/>
    <w:rsid w:val="798E2128"/>
    <w:rsid w:val="79A13C0A"/>
    <w:rsid w:val="79A47B9E"/>
    <w:rsid w:val="79AD6A52"/>
    <w:rsid w:val="79B576B5"/>
    <w:rsid w:val="79B871A5"/>
    <w:rsid w:val="79BA116F"/>
    <w:rsid w:val="79D20267"/>
    <w:rsid w:val="79D33FDF"/>
    <w:rsid w:val="79D66198"/>
    <w:rsid w:val="79DA35C0"/>
    <w:rsid w:val="79E41D48"/>
    <w:rsid w:val="79F95D73"/>
    <w:rsid w:val="7A097A01"/>
    <w:rsid w:val="7A0B6840"/>
    <w:rsid w:val="7A0F4A17"/>
    <w:rsid w:val="7A297AEC"/>
    <w:rsid w:val="7A364017"/>
    <w:rsid w:val="7A3A0597"/>
    <w:rsid w:val="7A4153ED"/>
    <w:rsid w:val="7A431165"/>
    <w:rsid w:val="7A4432CE"/>
    <w:rsid w:val="7A4647B1"/>
    <w:rsid w:val="7A4822D7"/>
    <w:rsid w:val="7A546ECE"/>
    <w:rsid w:val="7A61783D"/>
    <w:rsid w:val="7A7237F8"/>
    <w:rsid w:val="7A7632E8"/>
    <w:rsid w:val="7A7C6425"/>
    <w:rsid w:val="7A8265E1"/>
    <w:rsid w:val="7A8772A3"/>
    <w:rsid w:val="7A992B33"/>
    <w:rsid w:val="7A9E283F"/>
    <w:rsid w:val="7AAC4F5C"/>
    <w:rsid w:val="7AAD4830"/>
    <w:rsid w:val="7AB43E11"/>
    <w:rsid w:val="7ABD2CC5"/>
    <w:rsid w:val="7AC027B5"/>
    <w:rsid w:val="7B0F1047"/>
    <w:rsid w:val="7B241E85"/>
    <w:rsid w:val="7B2A40D3"/>
    <w:rsid w:val="7B4B6523"/>
    <w:rsid w:val="7B4C796D"/>
    <w:rsid w:val="7B51340D"/>
    <w:rsid w:val="7B533629"/>
    <w:rsid w:val="7B5431F5"/>
    <w:rsid w:val="7B597573"/>
    <w:rsid w:val="7B5B603A"/>
    <w:rsid w:val="7B607AF4"/>
    <w:rsid w:val="7B686D42"/>
    <w:rsid w:val="7B6E2211"/>
    <w:rsid w:val="7B713AB0"/>
    <w:rsid w:val="7B841746"/>
    <w:rsid w:val="7B98728E"/>
    <w:rsid w:val="7BAD1ED3"/>
    <w:rsid w:val="7BC962E3"/>
    <w:rsid w:val="7BC97448"/>
    <w:rsid w:val="7BD227A0"/>
    <w:rsid w:val="7BD83B2F"/>
    <w:rsid w:val="7BDC717B"/>
    <w:rsid w:val="7BE10C35"/>
    <w:rsid w:val="7BE75B20"/>
    <w:rsid w:val="7BEB3862"/>
    <w:rsid w:val="7BEE6EAE"/>
    <w:rsid w:val="7BF65C3D"/>
    <w:rsid w:val="7BFF730D"/>
    <w:rsid w:val="7C02295A"/>
    <w:rsid w:val="7C06069C"/>
    <w:rsid w:val="7C0B3F04"/>
    <w:rsid w:val="7C156B31"/>
    <w:rsid w:val="7C1A4147"/>
    <w:rsid w:val="7C246D74"/>
    <w:rsid w:val="7C2B3C5E"/>
    <w:rsid w:val="7C30396B"/>
    <w:rsid w:val="7C356822"/>
    <w:rsid w:val="7C394A2E"/>
    <w:rsid w:val="7C442F72"/>
    <w:rsid w:val="7C474E87"/>
    <w:rsid w:val="7C4A67DB"/>
    <w:rsid w:val="7C6158D2"/>
    <w:rsid w:val="7C6A0C2B"/>
    <w:rsid w:val="7C6C5AC7"/>
    <w:rsid w:val="7C6D071B"/>
    <w:rsid w:val="7C9C4B5C"/>
    <w:rsid w:val="7CAB4D9F"/>
    <w:rsid w:val="7CAF4890"/>
    <w:rsid w:val="7CBB76D8"/>
    <w:rsid w:val="7CC6544B"/>
    <w:rsid w:val="7CDD2FCC"/>
    <w:rsid w:val="7CDE6F23"/>
    <w:rsid w:val="7CFD5527"/>
    <w:rsid w:val="7D0078C6"/>
    <w:rsid w:val="7D0239FF"/>
    <w:rsid w:val="7D0C1CE2"/>
    <w:rsid w:val="7D2725F8"/>
    <w:rsid w:val="7D362ED3"/>
    <w:rsid w:val="7D384885"/>
    <w:rsid w:val="7D3905FD"/>
    <w:rsid w:val="7D3B6123"/>
    <w:rsid w:val="7D492C15"/>
    <w:rsid w:val="7D5D42EC"/>
    <w:rsid w:val="7D5E40CD"/>
    <w:rsid w:val="7D63567A"/>
    <w:rsid w:val="7D676F18"/>
    <w:rsid w:val="7D733DF8"/>
    <w:rsid w:val="7D840081"/>
    <w:rsid w:val="7D9D6DDE"/>
    <w:rsid w:val="7DB36601"/>
    <w:rsid w:val="7DB73C2B"/>
    <w:rsid w:val="7DC600E3"/>
    <w:rsid w:val="7DCA11A2"/>
    <w:rsid w:val="7DCD56F2"/>
    <w:rsid w:val="7DD86068"/>
    <w:rsid w:val="7DE440D5"/>
    <w:rsid w:val="7DE95B7F"/>
    <w:rsid w:val="7DF46C59"/>
    <w:rsid w:val="7DFA7D8C"/>
    <w:rsid w:val="7DFC3B04"/>
    <w:rsid w:val="7DFF53A3"/>
    <w:rsid w:val="7E01736D"/>
    <w:rsid w:val="7E1C7D03"/>
    <w:rsid w:val="7E3314F0"/>
    <w:rsid w:val="7E3F7E95"/>
    <w:rsid w:val="7E7B6FE3"/>
    <w:rsid w:val="7E87097F"/>
    <w:rsid w:val="7E970CBD"/>
    <w:rsid w:val="7E977CD1"/>
    <w:rsid w:val="7E9B156F"/>
    <w:rsid w:val="7EAA1510"/>
    <w:rsid w:val="7EB73ECF"/>
    <w:rsid w:val="7EBC2A52"/>
    <w:rsid w:val="7EC955A1"/>
    <w:rsid w:val="7EEA6053"/>
    <w:rsid w:val="7F001CE7"/>
    <w:rsid w:val="7F0C5FC9"/>
    <w:rsid w:val="7F127358"/>
    <w:rsid w:val="7F1E5CFC"/>
    <w:rsid w:val="7F255072"/>
    <w:rsid w:val="7F3C6183"/>
    <w:rsid w:val="7F5D45C2"/>
    <w:rsid w:val="7F5D4A77"/>
    <w:rsid w:val="7F6343B9"/>
    <w:rsid w:val="7F9164CE"/>
    <w:rsid w:val="7FA501CC"/>
    <w:rsid w:val="7FB1091F"/>
    <w:rsid w:val="7FBE03B8"/>
    <w:rsid w:val="7FE17456"/>
    <w:rsid w:val="7FE47E50"/>
    <w:rsid w:val="7FE72592"/>
    <w:rsid w:val="7FEA5BD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自选图形 350"/>
        <o:r id="V:Rule2" type="connector" idref="#_x0000_s1060"/>
        <o:r id="V:Rule3" type="connector" idref="#_x0000_s1061"/>
        <o:r id="V:Rule4" type="connector" idref="#_x0000_s1062"/>
        <o:r id="V:Rule5" type="connector" idref="#_x0000_s1063"/>
        <o:r id="V:Rule6" type="connector" idref="#_x0000_s1106"/>
        <o:r id="V:Rule7" type="connector" idref="#直接箭头连接符 1"/>
      </o:rules>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iPriority="0" w:semiHidden="0" w:name="index 1" w:locked="1"/>
    <w:lsdException w:qFormat="1"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iPriority="99"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Times New Roman" w:eastAsia="宋体" w:cs="Times New Roman"/>
      <w:kern w:val="2"/>
      <w:sz w:val="21"/>
      <w:szCs w:val="21"/>
      <w:lang w:val="en-US" w:eastAsia="zh-CN" w:bidi="ar-SA"/>
    </w:rPr>
  </w:style>
  <w:style w:type="paragraph" w:styleId="2">
    <w:name w:val="heading 1"/>
    <w:basedOn w:val="1"/>
    <w:next w:val="1"/>
    <w:link w:val="102"/>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03"/>
    <w:autoRedefine/>
    <w:qFormat/>
    <w:locked/>
    <w:uiPriority w:val="0"/>
    <w:pPr>
      <w:widowControl w:val="0"/>
      <w:tabs>
        <w:tab w:val="left" w:pos="1320"/>
      </w:tabs>
      <w:adjustRightInd w:val="0"/>
      <w:spacing w:beforeLines="50" w:line="360" w:lineRule="auto"/>
      <w:jc w:val="both"/>
      <w:textAlignment w:val="baseline"/>
      <w:outlineLvl w:val="1"/>
    </w:pPr>
    <w:rPr>
      <w:rFonts w:ascii="仿宋_GB2312" w:eastAsia="仿宋_GB2312"/>
      <w:b/>
      <w:bCs/>
      <w:snapToGrid w:val="0"/>
      <w:kern w:val="28"/>
      <w:sz w:val="30"/>
      <w:szCs w:val="30"/>
    </w:rPr>
  </w:style>
  <w:style w:type="paragraph" w:styleId="4">
    <w:name w:val="heading 3"/>
    <w:basedOn w:val="1"/>
    <w:next w:val="1"/>
    <w:link w:val="67"/>
    <w:autoRedefine/>
    <w:qFormat/>
    <w:locked/>
    <w:uiPriority w:val="0"/>
    <w:pPr>
      <w:keepNext/>
      <w:keepLines/>
      <w:spacing w:before="260" w:after="260" w:line="416" w:lineRule="auto"/>
      <w:outlineLvl w:val="2"/>
    </w:pPr>
    <w:rPr>
      <w:b/>
      <w:bCs/>
      <w:sz w:val="32"/>
      <w:szCs w:val="32"/>
    </w:rPr>
  </w:style>
  <w:style w:type="paragraph" w:styleId="5">
    <w:name w:val="heading 4"/>
    <w:basedOn w:val="1"/>
    <w:next w:val="6"/>
    <w:link w:val="96"/>
    <w:autoRedefine/>
    <w:qFormat/>
    <w:locked/>
    <w:uiPriority w:val="0"/>
    <w:pPr>
      <w:widowControl w:val="0"/>
      <w:tabs>
        <w:tab w:val="left" w:pos="1320"/>
      </w:tabs>
      <w:adjustRightInd w:val="0"/>
      <w:spacing w:line="360" w:lineRule="auto"/>
      <w:textAlignment w:val="baseline"/>
      <w:outlineLvl w:val="3"/>
    </w:pPr>
    <w:rPr>
      <w:rFonts w:ascii="Arial" w:hAnsi="Arial"/>
      <w:kern w:val="0"/>
      <w:sz w:val="20"/>
      <w:szCs w:val="20"/>
    </w:rPr>
  </w:style>
  <w:style w:type="paragraph" w:styleId="8">
    <w:name w:val="heading 5"/>
    <w:basedOn w:val="1"/>
    <w:next w:val="6"/>
    <w:link w:val="97"/>
    <w:autoRedefine/>
    <w:qFormat/>
    <w:locked/>
    <w:uiPriority w:val="0"/>
    <w:pPr>
      <w:keepNext/>
      <w:widowControl w:val="0"/>
      <w:tabs>
        <w:tab w:val="left" w:pos="0"/>
      </w:tabs>
      <w:autoSpaceDE w:val="0"/>
      <w:autoSpaceDN w:val="0"/>
      <w:adjustRightInd w:val="0"/>
      <w:spacing w:line="360" w:lineRule="auto"/>
      <w:jc w:val="both"/>
      <w:textAlignment w:val="baseline"/>
      <w:outlineLvl w:val="4"/>
    </w:pPr>
    <w:rPr>
      <w:rFonts w:ascii="Times New Roman"/>
      <w:b/>
      <w:color w:val="000000"/>
      <w:sz w:val="28"/>
      <w:szCs w:val="20"/>
    </w:rPr>
  </w:style>
  <w:style w:type="paragraph" w:styleId="9">
    <w:name w:val="heading 6"/>
    <w:basedOn w:val="1"/>
    <w:next w:val="1"/>
    <w:link w:val="98"/>
    <w:autoRedefine/>
    <w:qFormat/>
    <w:locked/>
    <w:uiPriority w:val="0"/>
    <w:pPr>
      <w:keepNext/>
      <w:keepLines/>
      <w:widowControl w:val="0"/>
      <w:tabs>
        <w:tab w:val="left" w:pos="0"/>
      </w:tabs>
      <w:adjustRightInd w:val="0"/>
      <w:spacing w:before="240" w:after="64" w:line="320" w:lineRule="atLeast"/>
      <w:textAlignment w:val="baseline"/>
      <w:outlineLvl w:val="5"/>
    </w:pPr>
    <w:rPr>
      <w:rFonts w:ascii="Arial" w:hAnsi="Arial" w:eastAsia="黑体"/>
      <w:b/>
      <w:bCs/>
      <w:kern w:val="0"/>
      <w:sz w:val="24"/>
      <w:szCs w:val="24"/>
    </w:rPr>
  </w:style>
  <w:style w:type="paragraph" w:styleId="10">
    <w:name w:val="heading 7"/>
    <w:basedOn w:val="1"/>
    <w:next w:val="1"/>
    <w:link w:val="99"/>
    <w:autoRedefine/>
    <w:qFormat/>
    <w:locked/>
    <w:uiPriority w:val="0"/>
    <w:pPr>
      <w:keepNext/>
      <w:keepLines/>
      <w:widowControl w:val="0"/>
      <w:tabs>
        <w:tab w:val="left" w:pos="0"/>
      </w:tabs>
      <w:adjustRightInd w:val="0"/>
      <w:spacing w:before="240" w:after="64" w:line="320" w:lineRule="atLeast"/>
      <w:textAlignment w:val="baseline"/>
      <w:outlineLvl w:val="6"/>
    </w:pPr>
    <w:rPr>
      <w:rFonts w:ascii="Times New Roman"/>
      <w:b/>
      <w:bCs/>
      <w:kern w:val="0"/>
      <w:sz w:val="24"/>
      <w:szCs w:val="24"/>
    </w:rPr>
  </w:style>
  <w:style w:type="paragraph" w:styleId="11">
    <w:name w:val="heading 8"/>
    <w:basedOn w:val="1"/>
    <w:next w:val="1"/>
    <w:link w:val="100"/>
    <w:autoRedefine/>
    <w:qFormat/>
    <w:locked/>
    <w:uiPriority w:val="0"/>
    <w:pPr>
      <w:keepNext/>
      <w:keepLines/>
      <w:widowControl w:val="0"/>
      <w:tabs>
        <w:tab w:val="left" w:pos="0"/>
      </w:tabs>
      <w:adjustRightInd w:val="0"/>
      <w:spacing w:before="240" w:after="64" w:line="320" w:lineRule="atLeast"/>
      <w:textAlignment w:val="baseline"/>
      <w:outlineLvl w:val="7"/>
    </w:pPr>
    <w:rPr>
      <w:rFonts w:ascii="Arial" w:hAnsi="Arial" w:eastAsia="黑体"/>
      <w:kern w:val="0"/>
      <w:sz w:val="24"/>
      <w:szCs w:val="24"/>
    </w:rPr>
  </w:style>
  <w:style w:type="paragraph" w:styleId="12">
    <w:name w:val="heading 9"/>
    <w:basedOn w:val="1"/>
    <w:next w:val="1"/>
    <w:link w:val="101"/>
    <w:qFormat/>
    <w:locked/>
    <w:uiPriority w:val="0"/>
    <w:pPr>
      <w:keepNext/>
      <w:keepLines/>
      <w:widowControl w:val="0"/>
      <w:tabs>
        <w:tab w:val="left" w:pos="0"/>
      </w:tabs>
      <w:adjustRightInd w:val="0"/>
      <w:spacing w:before="240" w:after="64" w:line="320" w:lineRule="atLeast"/>
      <w:textAlignment w:val="baseline"/>
      <w:outlineLvl w:val="8"/>
    </w:pPr>
    <w:rPr>
      <w:rFonts w:ascii="Arial" w:hAnsi="Arial" w:eastAsia="黑体"/>
      <w:kern w:val="0"/>
    </w:rPr>
  </w:style>
  <w:style w:type="character" w:default="1" w:styleId="56">
    <w:name w:val="Default Paragraph Font"/>
    <w:semiHidden/>
    <w:unhideWhenUsed/>
    <w:qFormat/>
    <w:uiPriority w:val="1"/>
  </w:style>
  <w:style w:type="table" w:default="1" w:styleId="54">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6">
    <w:name w:val="Normal Indent"/>
    <w:basedOn w:val="1"/>
    <w:next w:val="7"/>
    <w:link w:val="234"/>
    <w:autoRedefine/>
    <w:qFormat/>
    <w:locked/>
    <w:uiPriority w:val="0"/>
    <w:pPr>
      <w:widowControl w:val="0"/>
      <w:autoSpaceDE w:val="0"/>
      <w:autoSpaceDN w:val="0"/>
      <w:adjustRightInd w:val="0"/>
      <w:ind w:firstLine="420"/>
      <w:jc w:val="both"/>
      <w:textAlignment w:val="baseline"/>
    </w:pPr>
    <w:rPr>
      <w:rFonts w:ascii="Times New Roman"/>
      <w:szCs w:val="20"/>
    </w:rPr>
  </w:style>
  <w:style w:type="paragraph" w:styleId="7">
    <w:name w:val="Plain Text"/>
    <w:basedOn w:val="1"/>
    <w:link w:val="71"/>
    <w:autoRedefine/>
    <w:qFormat/>
    <w:locked/>
    <w:uiPriority w:val="0"/>
    <w:rPr>
      <w:rFonts w:hAnsi="Courier New"/>
      <w:spacing w:val="5"/>
      <w:sz w:val="25"/>
      <w:szCs w:val="25"/>
    </w:rPr>
  </w:style>
  <w:style w:type="paragraph" w:styleId="13">
    <w:name w:val="List 3"/>
    <w:basedOn w:val="1"/>
    <w:autoRedefine/>
    <w:qFormat/>
    <w:locked/>
    <w:uiPriority w:val="0"/>
    <w:pPr>
      <w:widowControl w:val="0"/>
      <w:ind w:left="100" w:leftChars="400" w:hanging="200" w:hangingChars="200"/>
      <w:jc w:val="both"/>
    </w:pPr>
    <w:rPr>
      <w:rFonts w:ascii="Times New Roman"/>
      <w:szCs w:val="24"/>
    </w:rPr>
  </w:style>
  <w:style w:type="paragraph" w:styleId="14">
    <w:name w:val="toc 7"/>
    <w:basedOn w:val="1"/>
    <w:next w:val="1"/>
    <w:autoRedefine/>
    <w:qFormat/>
    <w:locked/>
    <w:uiPriority w:val="0"/>
    <w:pPr>
      <w:widowControl w:val="0"/>
      <w:adjustRightInd w:val="0"/>
      <w:spacing w:line="360" w:lineRule="atLeast"/>
      <w:ind w:left="1440"/>
      <w:textAlignment w:val="baseline"/>
    </w:pPr>
    <w:rPr>
      <w:rFonts w:ascii="Times New Roman"/>
      <w:kern w:val="0"/>
      <w:sz w:val="24"/>
    </w:rPr>
  </w:style>
  <w:style w:type="paragraph" w:styleId="15">
    <w:name w:val="table of authorities"/>
    <w:basedOn w:val="1"/>
    <w:next w:val="1"/>
    <w:autoRedefine/>
    <w:unhideWhenUsed/>
    <w:qFormat/>
    <w:locked/>
    <w:uiPriority w:val="99"/>
    <w:pPr>
      <w:widowControl w:val="0"/>
      <w:adjustRightInd w:val="0"/>
      <w:spacing w:line="360" w:lineRule="atLeast"/>
      <w:ind w:left="420" w:leftChars="200"/>
      <w:textAlignment w:val="baseline"/>
    </w:pPr>
    <w:rPr>
      <w:rFonts w:ascii="Times New Roman"/>
      <w:kern w:val="0"/>
      <w:sz w:val="24"/>
      <w:szCs w:val="20"/>
    </w:rPr>
  </w:style>
  <w:style w:type="paragraph" w:styleId="16">
    <w:name w:val="caption"/>
    <w:basedOn w:val="1"/>
    <w:next w:val="1"/>
    <w:autoRedefine/>
    <w:qFormat/>
    <w:locked/>
    <w:uiPriority w:val="35"/>
    <w:pPr>
      <w:widowControl w:val="0"/>
      <w:adjustRightInd w:val="0"/>
      <w:snapToGrid w:val="0"/>
      <w:spacing w:beforeLines="50" w:line="360" w:lineRule="auto"/>
      <w:jc w:val="center"/>
    </w:pPr>
    <w:rPr>
      <w:rFonts w:hAnsi="Cambria"/>
      <w:szCs w:val="24"/>
    </w:rPr>
  </w:style>
  <w:style w:type="paragraph" w:styleId="17">
    <w:name w:val="Document Map"/>
    <w:basedOn w:val="1"/>
    <w:link w:val="104"/>
    <w:autoRedefine/>
    <w:qFormat/>
    <w:locked/>
    <w:uiPriority w:val="0"/>
    <w:pPr>
      <w:widowControl w:val="0"/>
      <w:shd w:val="clear" w:color="auto" w:fill="000080"/>
      <w:autoSpaceDE w:val="0"/>
      <w:autoSpaceDN w:val="0"/>
      <w:adjustRightInd w:val="0"/>
      <w:spacing w:line="360" w:lineRule="atLeast"/>
      <w:textAlignment w:val="baseline"/>
    </w:pPr>
    <w:rPr>
      <w:rFonts w:ascii="Times New Roman"/>
      <w:kern w:val="0"/>
      <w:sz w:val="24"/>
      <w:szCs w:val="20"/>
    </w:rPr>
  </w:style>
  <w:style w:type="paragraph" w:styleId="18">
    <w:name w:val="annotation text"/>
    <w:basedOn w:val="1"/>
    <w:link w:val="68"/>
    <w:autoRedefine/>
    <w:semiHidden/>
    <w:qFormat/>
    <w:uiPriority w:val="0"/>
    <w:rPr>
      <w:rFonts w:ascii="Times New Roman"/>
      <w:kern w:val="0"/>
      <w:sz w:val="24"/>
      <w:szCs w:val="20"/>
    </w:rPr>
  </w:style>
  <w:style w:type="paragraph" w:styleId="19">
    <w:name w:val="Body Text 3"/>
    <w:basedOn w:val="1"/>
    <w:link w:val="105"/>
    <w:autoRedefine/>
    <w:qFormat/>
    <w:locked/>
    <w:uiPriority w:val="0"/>
    <w:pPr>
      <w:widowControl w:val="0"/>
      <w:jc w:val="both"/>
    </w:pPr>
    <w:rPr>
      <w:rFonts w:ascii="黑体" w:hAnsi="宋体" w:eastAsia="黑体"/>
      <w:b/>
      <w:bCs/>
      <w:sz w:val="30"/>
      <w:szCs w:val="24"/>
    </w:rPr>
  </w:style>
  <w:style w:type="paragraph" w:styleId="20">
    <w:name w:val="Body Text"/>
    <w:basedOn w:val="1"/>
    <w:next w:val="21"/>
    <w:link w:val="69"/>
    <w:autoRedefine/>
    <w:qFormat/>
    <w:uiPriority w:val="99"/>
    <w:pPr>
      <w:snapToGrid w:val="0"/>
      <w:spacing w:before="60" w:after="160" w:line="259" w:lineRule="auto"/>
      <w:ind w:right="113"/>
    </w:pPr>
    <w:rPr>
      <w:rFonts w:ascii="Times New Roman"/>
      <w:kern w:val="0"/>
      <w:sz w:val="18"/>
      <w:szCs w:val="20"/>
    </w:rPr>
  </w:style>
  <w:style w:type="paragraph" w:customStyle="1" w:styleId="21">
    <w:name w:val="style4"/>
    <w:basedOn w:val="1"/>
    <w:next w:val="22"/>
    <w:autoRedefine/>
    <w:qFormat/>
    <w:uiPriority w:val="0"/>
    <w:pPr>
      <w:spacing w:before="280" w:after="280"/>
    </w:pPr>
    <w:rPr>
      <w:sz w:val="18"/>
    </w:rPr>
  </w:style>
  <w:style w:type="paragraph" w:customStyle="1" w:styleId="22">
    <w:name w:val="2"/>
    <w:next w:val="1"/>
    <w:autoRedefine/>
    <w:qFormat/>
    <w:uiPriority w:val="0"/>
    <w:pPr>
      <w:widowControl w:val="0"/>
      <w:jc w:val="both"/>
    </w:pPr>
    <w:rPr>
      <w:rFonts w:ascii="Calibri" w:hAnsi="Calibri" w:eastAsia="宋体" w:cs="Times New Roman"/>
      <w:sz w:val="21"/>
      <w:szCs w:val="22"/>
      <w:lang w:val="en-US" w:eastAsia="zh-CN" w:bidi="ar-SA"/>
    </w:rPr>
  </w:style>
  <w:style w:type="paragraph" w:styleId="23">
    <w:name w:val="Body Text Indent"/>
    <w:basedOn w:val="1"/>
    <w:link w:val="70"/>
    <w:autoRedefine/>
    <w:qFormat/>
    <w:uiPriority w:val="0"/>
    <w:pPr>
      <w:spacing w:after="120"/>
      <w:ind w:left="420" w:leftChars="200"/>
    </w:pPr>
    <w:rPr>
      <w:rFonts w:ascii="Times New Roman"/>
      <w:kern w:val="0"/>
      <w:sz w:val="24"/>
      <w:szCs w:val="20"/>
    </w:rPr>
  </w:style>
  <w:style w:type="paragraph" w:styleId="24">
    <w:name w:val="List 2"/>
    <w:basedOn w:val="1"/>
    <w:autoRedefine/>
    <w:qFormat/>
    <w:locked/>
    <w:uiPriority w:val="0"/>
    <w:pPr>
      <w:widowControl w:val="0"/>
      <w:ind w:left="100" w:leftChars="200" w:hanging="200" w:hangingChars="200"/>
      <w:jc w:val="both"/>
    </w:pPr>
    <w:rPr>
      <w:rFonts w:ascii="Times New Roman"/>
      <w:szCs w:val="24"/>
    </w:rPr>
  </w:style>
  <w:style w:type="paragraph" w:styleId="25">
    <w:name w:val="Block Text"/>
    <w:basedOn w:val="1"/>
    <w:autoRedefine/>
    <w:qFormat/>
    <w:locked/>
    <w:uiPriority w:val="0"/>
    <w:pPr>
      <w:widowControl w:val="0"/>
      <w:spacing w:line="500" w:lineRule="exact"/>
      <w:ind w:left="-3" w:leftChars="-1" w:right="20" w:firstLine="517" w:firstLineChars="200"/>
      <w:jc w:val="both"/>
    </w:pPr>
    <w:rPr>
      <w:rFonts w:hAnsi="宋体"/>
      <w:sz w:val="24"/>
      <w:szCs w:val="24"/>
    </w:rPr>
  </w:style>
  <w:style w:type="paragraph" w:styleId="26">
    <w:name w:val="toc 5"/>
    <w:basedOn w:val="1"/>
    <w:next w:val="1"/>
    <w:autoRedefine/>
    <w:qFormat/>
    <w:locked/>
    <w:uiPriority w:val="0"/>
    <w:pPr>
      <w:widowControl w:val="0"/>
      <w:adjustRightInd w:val="0"/>
      <w:spacing w:line="360" w:lineRule="atLeast"/>
      <w:ind w:left="960"/>
      <w:textAlignment w:val="baseline"/>
    </w:pPr>
    <w:rPr>
      <w:rFonts w:ascii="Times New Roman"/>
      <w:kern w:val="0"/>
      <w:sz w:val="24"/>
    </w:rPr>
  </w:style>
  <w:style w:type="paragraph" w:styleId="27">
    <w:name w:val="toc 3"/>
    <w:basedOn w:val="1"/>
    <w:next w:val="1"/>
    <w:autoRedefine/>
    <w:qFormat/>
    <w:locked/>
    <w:uiPriority w:val="0"/>
    <w:pPr>
      <w:ind w:left="840" w:leftChars="400"/>
    </w:pPr>
    <w:rPr>
      <w:rFonts w:ascii="Calibri"/>
    </w:rPr>
  </w:style>
  <w:style w:type="paragraph" w:styleId="28">
    <w:name w:val="toc 8"/>
    <w:basedOn w:val="1"/>
    <w:next w:val="1"/>
    <w:autoRedefine/>
    <w:qFormat/>
    <w:locked/>
    <w:uiPriority w:val="0"/>
    <w:pPr>
      <w:widowControl w:val="0"/>
      <w:adjustRightInd w:val="0"/>
      <w:spacing w:line="360" w:lineRule="atLeast"/>
      <w:ind w:left="1680"/>
      <w:textAlignment w:val="baseline"/>
    </w:pPr>
    <w:rPr>
      <w:rFonts w:ascii="Times New Roman"/>
      <w:kern w:val="0"/>
      <w:sz w:val="24"/>
    </w:rPr>
  </w:style>
  <w:style w:type="paragraph" w:styleId="29">
    <w:name w:val="Date"/>
    <w:basedOn w:val="1"/>
    <w:next w:val="1"/>
    <w:link w:val="72"/>
    <w:autoRedefine/>
    <w:qFormat/>
    <w:uiPriority w:val="0"/>
    <w:pPr>
      <w:ind w:left="100" w:leftChars="2500"/>
    </w:pPr>
    <w:rPr>
      <w:rFonts w:ascii="Times New Roman"/>
      <w:kern w:val="0"/>
      <w:sz w:val="24"/>
      <w:szCs w:val="20"/>
    </w:rPr>
  </w:style>
  <w:style w:type="paragraph" w:styleId="30">
    <w:name w:val="Body Text Indent 2"/>
    <w:basedOn w:val="1"/>
    <w:link w:val="106"/>
    <w:autoRedefine/>
    <w:qFormat/>
    <w:locked/>
    <w:uiPriority w:val="0"/>
    <w:pPr>
      <w:widowControl w:val="0"/>
      <w:adjustRightInd w:val="0"/>
      <w:spacing w:line="312" w:lineRule="atLeast"/>
      <w:ind w:firstLine="480"/>
      <w:jc w:val="both"/>
      <w:textAlignment w:val="baseline"/>
    </w:pPr>
    <w:rPr>
      <w:rFonts w:ascii="仿宋体"/>
      <w:kern w:val="0"/>
      <w:sz w:val="28"/>
      <w:szCs w:val="20"/>
    </w:rPr>
  </w:style>
  <w:style w:type="paragraph" w:styleId="31">
    <w:name w:val="Balloon Text"/>
    <w:basedOn w:val="1"/>
    <w:link w:val="73"/>
    <w:autoRedefine/>
    <w:qFormat/>
    <w:uiPriority w:val="0"/>
    <w:rPr>
      <w:rFonts w:ascii="Times New Roman"/>
      <w:kern w:val="0"/>
      <w:sz w:val="18"/>
      <w:szCs w:val="20"/>
    </w:rPr>
  </w:style>
  <w:style w:type="paragraph" w:styleId="32">
    <w:name w:val="footer"/>
    <w:basedOn w:val="1"/>
    <w:link w:val="74"/>
    <w:autoRedefine/>
    <w:qFormat/>
    <w:uiPriority w:val="99"/>
    <w:pPr>
      <w:tabs>
        <w:tab w:val="center" w:pos="4153"/>
        <w:tab w:val="right" w:pos="8306"/>
      </w:tabs>
      <w:snapToGrid w:val="0"/>
    </w:pPr>
    <w:rPr>
      <w:rFonts w:ascii="Times New Roman"/>
      <w:kern w:val="0"/>
      <w:sz w:val="18"/>
      <w:szCs w:val="20"/>
    </w:rPr>
  </w:style>
  <w:style w:type="paragraph" w:styleId="33">
    <w:name w:val="header"/>
    <w:basedOn w:val="1"/>
    <w:link w:val="75"/>
    <w:autoRedefine/>
    <w:qFormat/>
    <w:uiPriority w:val="99"/>
    <w:pPr>
      <w:pBdr>
        <w:bottom w:val="single" w:color="auto" w:sz="6" w:space="1"/>
      </w:pBdr>
      <w:tabs>
        <w:tab w:val="center" w:pos="4153"/>
        <w:tab w:val="right" w:pos="8306"/>
      </w:tabs>
      <w:snapToGrid w:val="0"/>
      <w:jc w:val="center"/>
    </w:pPr>
    <w:rPr>
      <w:rFonts w:ascii="Times New Roman"/>
      <w:kern w:val="0"/>
      <w:sz w:val="18"/>
      <w:szCs w:val="20"/>
    </w:rPr>
  </w:style>
  <w:style w:type="paragraph" w:styleId="34">
    <w:name w:val="toc 1"/>
    <w:basedOn w:val="1"/>
    <w:next w:val="1"/>
    <w:autoRedefine/>
    <w:unhideWhenUsed/>
    <w:qFormat/>
    <w:locked/>
    <w:uiPriority w:val="39"/>
    <w:pPr>
      <w:spacing w:after="100" w:line="259" w:lineRule="auto"/>
    </w:pPr>
    <w:rPr>
      <w:rFonts w:ascii="等线" w:hAnsi="等线" w:eastAsia="等线"/>
      <w:kern w:val="0"/>
      <w:sz w:val="22"/>
      <w:szCs w:val="22"/>
    </w:rPr>
  </w:style>
  <w:style w:type="paragraph" w:styleId="35">
    <w:name w:val="toc 4"/>
    <w:basedOn w:val="1"/>
    <w:next w:val="1"/>
    <w:autoRedefine/>
    <w:qFormat/>
    <w:locked/>
    <w:uiPriority w:val="0"/>
    <w:pPr>
      <w:widowControl w:val="0"/>
      <w:adjustRightInd w:val="0"/>
      <w:spacing w:line="360" w:lineRule="atLeast"/>
      <w:ind w:left="720"/>
      <w:textAlignment w:val="baseline"/>
    </w:pPr>
    <w:rPr>
      <w:rFonts w:ascii="Times New Roman"/>
      <w:kern w:val="0"/>
      <w:sz w:val="24"/>
    </w:rPr>
  </w:style>
  <w:style w:type="paragraph" w:styleId="36">
    <w:name w:val="index heading"/>
    <w:basedOn w:val="1"/>
    <w:next w:val="37"/>
    <w:autoRedefine/>
    <w:qFormat/>
    <w:locked/>
    <w:uiPriority w:val="0"/>
    <w:pPr>
      <w:widowControl w:val="0"/>
      <w:adjustRightInd w:val="0"/>
      <w:spacing w:line="312" w:lineRule="atLeast"/>
      <w:jc w:val="both"/>
      <w:textAlignment w:val="baseline"/>
    </w:pPr>
    <w:rPr>
      <w:rFonts w:ascii="Times New Roman"/>
      <w:kern w:val="0"/>
      <w:sz w:val="24"/>
      <w:szCs w:val="20"/>
    </w:rPr>
  </w:style>
  <w:style w:type="paragraph" w:styleId="37">
    <w:name w:val="index 1"/>
    <w:basedOn w:val="1"/>
    <w:next w:val="1"/>
    <w:autoRedefine/>
    <w:unhideWhenUsed/>
    <w:qFormat/>
    <w:locked/>
    <w:uiPriority w:val="0"/>
    <w:pPr>
      <w:widowControl w:val="0"/>
      <w:adjustRightInd w:val="0"/>
      <w:spacing w:line="360" w:lineRule="atLeast"/>
      <w:textAlignment w:val="baseline"/>
    </w:pPr>
    <w:rPr>
      <w:rFonts w:ascii="Times New Roman"/>
      <w:kern w:val="0"/>
      <w:sz w:val="24"/>
      <w:szCs w:val="20"/>
    </w:rPr>
  </w:style>
  <w:style w:type="paragraph" w:styleId="38">
    <w:name w:val="Subtitle"/>
    <w:basedOn w:val="1"/>
    <w:next w:val="1"/>
    <w:link w:val="107"/>
    <w:autoRedefine/>
    <w:qFormat/>
    <w:locked/>
    <w:uiPriority w:val="0"/>
    <w:pPr>
      <w:widowControl w:val="0"/>
      <w:adjustRightInd w:val="0"/>
      <w:spacing w:before="240" w:after="60" w:line="312" w:lineRule="atLeast"/>
      <w:jc w:val="center"/>
      <w:textAlignment w:val="baseline"/>
      <w:outlineLvl w:val="1"/>
    </w:pPr>
    <w:rPr>
      <w:rFonts w:ascii="Cambria" w:hAnsi="Cambria"/>
      <w:b/>
      <w:bCs/>
      <w:kern w:val="28"/>
      <w:sz w:val="32"/>
      <w:szCs w:val="32"/>
    </w:rPr>
  </w:style>
  <w:style w:type="paragraph" w:styleId="39">
    <w:name w:val="List"/>
    <w:basedOn w:val="1"/>
    <w:autoRedefine/>
    <w:qFormat/>
    <w:locked/>
    <w:uiPriority w:val="0"/>
    <w:pPr>
      <w:widowControl w:val="0"/>
      <w:ind w:left="420" w:hanging="420"/>
      <w:jc w:val="both"/>
    </w:pPr>
    <w:rPr>
      <w:rFonts w:ascii="Times New Roman"/>
      <w:sz w:val="24"/>
      <w:szCs w:val="20"/>
    </w:rPr>
  </w:style>
  <w:style w:type="paragraph" w:styleId="40">
    <w:name w:val="toc 6"/>
    <w:basedOn w:val="1"/>
    <w:next w:val="1"/>
    <w:autoRedefine/>
    <w:qFormat/>
    <w:locked/>
    <w:uiPriority w:val="0"/>
    <w:pPr>
      <w:widowControl w:val="0"/>
      <w:adjustRightInd w:val="0"/>
      <w:spacing w:line="360" w:lineRule="atLeast"/>
      <w:ind w:left="1200"/>
      <w:textAlignment w:val="baseline"/>
    </w:pPr>
    <w:rPr>
      <w:rFonts w:ascii="Times New Roman"/>
      <w:kern w:val="0"/>
      <w:sz w:val="24"/>
    </w:rPr>
  </w:style>
  <w:style w:type="paragraph" w:styleId="41">
    <w:name w:val="Body Text Indent 3"/>
    <w:basedOn w:val="1"/>
    <w:link w:val="108"/>
    <w:autoRedefine/>
    <w:qFormat/>
    <w:locked/>
    <w:uiPriority w:val="0"/>
    <w:pPr>
      <w:widowControl w:val="0"/>
      <w:adjustRightInd w:val="0"/>
      <w:spacing w:line="312" w:lineRule="atLeast"/>
      <w:ind w:firstLine="567"/>
      <w:jc w:val="both"/>
      <w:textAlignment w:val="baseline"/>
    </w:pPr>
    <w:rPr>
      <w:rFonts w:ascii="仿宋体"/>
      <w:kern w:val="0"/>
      <w:sz w:val="28"/>
      <w:szCs w:val="20"/>
    </w:rPr>
  </w:style>
  <w:style w:type="paragraph" w:styleId="42">
    <w:name w:val="table of figures"/>
    <w:basedOn w:val="1"/>
    <w:next w:val="1"/>
    <w:autoRedefine/>
    <w:qFormat/>
    <w:locked/>
    <w:uiPriority w:val="0"/>
    <w:pPr>
      <w:widowControl w:val="0"/>
      <w:ind w:left="420" w:hanging="420"/>
    </w:pPr>
    <w:rPr>
      <w:rFonts w:ascii="Times New Roman"/>
      <w:smallCaps/>
      <w:szCs w:val="24"/>
    </w:rPr>
  </w:style>
  <w:style w:type="paragraph" w:styleId="43">
    <w:name w:val="toc 2"/>
    <w:basedOn w:val="1"/>
    <w:next w:val="1"/>
    <w:autoRedefine/>
    <w:qFormat/>
    <w:locked/>
    <w:uiPriority w:val="39"/>
    <w:pPr>
      <w:ind w:left="420" w:leftChars="200"/>
    </w:pPr>
  </w:style>
  <w:style w:type="paragraph" w:styleId="44">
    <w:name w:val="toc 9"/>
    <w:basedOn w:val="1"/>
    <w:next w:val="1"/>
    <w:autoRedefine/>
    <w:qFormat/>
    <w:locked/>
    <w:uiPriority w:val="0"/>
    <w:pPr>
      <w:widowControl w:val="0"/>
      <w:adjustRightInd w:val="0"/>
      <w:spacing w:line="360" w:lineRule="atLeast"/>
      <w:ind w:left="1920"/>
      <w:textAlignment w:val="baseline"/>
    </w:pPr>
    <w:rPr>
      <w:rFonts w:ascii="Times New Roman"/>
      <w:kern w:val="0"/>
      <w:sz w:val="24"/>
    </w:rPr>
  </w:style>
  <w:style w:type="paragraph" w:styleId="45">
    <w:name w:val="Body Text 2"/>
    <w:basedOn w:val="1"/>
    <w:link w:val="109"/>
    <w:autoRedefine/>
    <w:qFormat/>
    <w:locked/>
    <w:uiPriority w:val="0"/>
    <w:pPr>
      <w:widowControl w:val="0"/>
      <w:jc w:val="both"/>
    </w:pPr>
    <w:rPr>
      <w:rFonts w:ascii="Times New Roman"/>
      <w:szCs w:val="20"/>
    </w:rPr>
  </w:style>
  <w:style w:type="paragraph" w:styleId="46">
    <w:name w:val="List 4"/>
    <w:basedOn w:val="1"/>
    <w:autoRedefine/>
    <w:qFormat/>
    <w:locked/>
    <w:uiPriority w:val="0"/>
    <w:pPr>
      <w:widowControl w:val="0"/>
      <w:ind w:left="100" w:leftChars="600" w:hanging="200" w:hangingChars="200"/>
      <w:jc w:val="both"/>
    </w:pPr>
    <w:rPr>
      <w:rFonts w:ascii="Times New Roman"/>
      <w:szCs w:val="24"/>
    </w:rPr>
  </w:style>
  <w:style w:type="paragraph" w:styleId="47">
    <w:name w:val="HTML Preformatted"/>
    <w:basedOn w:val="1"/>
    <w:link w:val="110"/>
    <w:autoRedefine/>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hAnsi="宋体" w:cs="宋体"/>
      <w:kern w:val="0"/>
      <w:sz w:val="24"/>
      <w:szCs w:val="24"/>
    </w:rPr>
  </w:style>
  <w:style w:type="paragraph" w:styleId="48">
    <w:name w:val="Normal (Web)"/>
    <w:basedOn w:val="1"/>
    <w:link w:val="76"/>
    <w:autoRedefine/>
    <w:qFormat/>
    <w:uiPriority w:val="0"/>
    <w:pPr>
      <w:spacing w:before="100" w:beforeAutospacing="1" w:after="100" w:afterAutospacing="1"/>
    </w:pPr>
    <w:rPr>
      <w:rFonts w:hAnsi="宋体"/>
      <w:kern w:val="0"/>
      <w:sz w:val="24"/>
      <w:szCs w:val="20"/>
    </w:rPr>
  </w:style>
  <w:style w:type="paragraph" w:styleId="49">
    <w:name w:val="index 2"/>
    <w:basedOn w:val="1"/>
    <w:next w:val="1"/>
    <w:autoRedefine/>
    <w:qFormat/>
    <w:locked/>
    <w:uiPriority w:val="0"/>
    <w:pPr>
      <w:widowControl w:val="0"/>
      <w:ind w:left="420" w:hanging="210"/>
    </w:pPr>
    <w:rPr>
      <w:rFonts w:ascii="Times New Roman"/>
      <w:sz w:val="20"/>
      <w:szCs w:val="20"/>
    </w:rPr>
  </w:style>
  <w:style w:type="paragraph" w:styleId="50">
    <w:name w:val="Title"/>
    <w:basedOn w:val="1"/>
    <w:next w:val="1"/>
    <w:link w:val="111"/>
    <w:autoRedefine/>
    <w:qFormat/>
    <w:locked/>
    <w:uiPriority w:val="10"/>
    <w:pPr>
      <w:widowControl w:val="0"/>
      <w:adjustRightInd w:val="0"/>
      <w:spacing w:before="240" w:after="60" w:line="360" w:lineRule="atLeast"/>
      <w:jc w:val="center"/>
      <w:textAlignment w:val="baseline"/>
      <w:outlineLvl w:val="0"/>
    </w:pPr>
    <w:rPr>
      <w:rFonts w:ascii="Cambria" w:hAnsi="Cambria"/>
      <w:b/>
      <w:bCs/>
      <w:kern w:val="0"/>
      <w:sz w:val="32"/>
      <w:szCs w:val="32"/>
    </w:rPr>
  </w:style>
  <w:style w:type="paragraph" w:styleId="51">
    <w:name w:val="annotation subject"/>
    <w:basedOn w:val="18"/>
    <w:next w:val="18"/>
    <w:link w:val="77"/>
    <w:autoRedefine/>
    <w:qFormat/>
    <w:uiPriority w:val="0"/>
    <w:rPr>
      <w:b/>
      <w:kern w:val="2"/>
    </w:rPr>
  </w:style>
  <w:style w:type="paragraph" w:styleId="52">
    <w:name w:val="Body Text First Indent"/>
    <w:basedOn w:val="20"/>
    <w:next w:val="1"/>
    <w:link w:val="237"/>
    <w:autoRedefine/>
    <w:qFormat/>
    <w:locked/>
    <w:uiPriority w:val="0"/>
    <w:pPr>
      <w:ind w:firstLine="420" w:firstLineChars="100"/>
    </w:pPr>
  </w:style>
  <w:style w:type="paragraph" w:styleId="53">
    <w:name w:val="Body Text First Indent 2"/>
    <w:basedOn w:val="23"/>
    <w:link w:val="112"/>
    <w:autoRedefine/>
    <w:qFormat/>
    <w:locked/>
    <w:uiPriority w:val="0"/>
    <w:pPr>
      <w:widowControl w:val="0"/>
      <w:spacing w:after="0" w:line="360" w:lineRule="auto"/>
      <w:ind w:left="675" w:leftChars="0"/>
      <w:jc w:val="both"/>
    </w:pPr>
    <w:rPr>
      <w:rFonts w:ascii="宋体"/>
      <w:kern w:val="2"/>
      <w:sz w:val="28"/>
    </w:rPr>
  </w:style>
  <w:style w:type="table" w:styleId="55">
    <w:name w:val="Table Grid"/>
    <w:basedOn w:val="5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7">
    <w:name w:val="Strong"/>
    <w:autoRedefine/>
    <w:qFormat/>
    <w:locked/>
    <w:uiPriority w:val="0"/>
    <w:rPr>
      <w:b/>
      <w:bCs/>
    </w:rPr>
  </w:style>
  <w:style w:type="character" w:styleId="58">
    <w:name w:val="page number"/>
    <w:autoRedefine/>
    <w:qFormat/>
    <w:locked/>
    <w:uiPriority w:val="0"/>
  </w:style>
  <w:style w:type="character" w:styleId="59">
    <w:name w:val="FollowedHyperlink"/>
    <w:autoRedefine/>
    <w:qFormat/>
    <w:locked/>
    <w:uiPriority w:val="0"/>
    <w:rPr>
      <w:color w:val="005C81"/>
      <w:u w:val="none"/>
    </w:rPr>
  </w:style>
  <w:style w:type="character" w:styleId="60">
    <w:name w:val="Emphasis"/>
    <w:autoRedefine/>
    <w:qFormat/>
    <w:locked/>
    <w:uiPriority w:val="20"/>
    <w:rPr>
      <w:i/>
      <w:iCs/>
    </w:rPr>
  </w:style>
  <w:style w:type="character" w:styleId="61">
    <w:name w:val="Hyperlink"/>
    <w:autoRedefine/>
    <w:unhideWhenUsed/>
    <w:qFormat/>
    <w:locked/>
    <w:uiPriority w:val="99"/>
    <w:rPr>
      <w:color w:val="0563C1"/>
      <w:u w:val="single"/>
    </w:rPr>
  </w:style>
  <w:style w:type="character" w:styleId="62">
    <w:name w:val="annotation reference"/>
    <w:autoRedefine/>
    <w:semiHidden/>
    <w:qFormat/>
    <w:uiPriority w:val="0"/>
    <w:rPr>
      <w:sz w:val="21"/>
    </w:rPr>
  </w:style>
  <w:style w:type="paragraph" w:customStyle="1" w:styleId="63">
    <w:name w:val="Default"/>
    <w:basedOn w:val="64"/>
    <w:next w:val="66"/>
    <w:autoRedefine/>
    <w:qFormat/>
    <w:uiPriority w:val="0"/>
    <w:pPr>
      <w:autoSpaceDE w:val="0"/>
      <w:autoSpaceDN w:val="0"/>
    </w:pPr>
    <w:rPr>
      <w:rFonts w:ascii="宋体" w:hAnsi="Times New Roman" w:eastAsia="宋体"/>
      <w:color w:val="000000"/>
      <w:sz w:val="24"/>
      <w:szCs w:val="24"/>
    </w:rPr>
  </w:style>
  <w:style w:type="paragraph" w:customStyle="1" w:styleId="64">
    <w:name w:val="纯文本1"/>
    <w:basedOn w:val="65"/>
    <w:autoRedefine/>
    <w:qFormat/>
    <w:uiPriority w:val="0"/>
    <w:pPr>
      <w:pBdr>
        <w:top w:val="none" w:color="auto" w:sz="0" w:space="1"/>
        <w:left w:val="none" w:color="auto" w:sz="0" w:space="4"/>
        <w:bottom w:val="none" w:color="auto" w:sz="0" w:space="1"/>
        <w:right w:val="none" w:color="auto" w:sz="0" w:space="4"/>
      </w:pBdr>
      <w:adjustRightInd w:val="0"/>
      <w:textAlignment w:val="baseline"/>
    </w:pPr>
    <w:rPr>
      <w:rFonts w:hAnsi="宋体"/>
      <w:kern w:val="0"/>
      <w:szCs w:val="20"/>
    </w:rPr>
  </w:style>
  <w:style w:type="paragraph" w:customStyle="1" w:styleId="65">
    <w:name w:val="正文_0"/>
    <w:next w:val="64"/>
    <w:qFormat/>
    <w:uiPriority w:val="0"/>
    <w:pPr>
      <w:widowControl w:val="0"/>
      <w:jc w:val="both"/>
    </w:pPr>
    <w:rPr>
      <w:rFonts w:ascii="Calibri" w:hAnsi="Calibri" w:eastAsia="仿宋_GB2312" w:cs="Times New Roman"/>
      <w:kern w:val="2"/>
      <w:sz w:val="32"/>
      <w:szCs w:val="24"/>
      <w:lang w:val="en-US" w:eastAsia="zh-CN" w:bidi="ar-SA"/>
    </w:rPr>
  </w:style>
  <w:style w:type="paragraph" w:customStyle="1" w:styleId="66">
    <w:name w:val="样式1"/>
    <w:basedOn w:val="1"/>
    <w:next w:val="1"/>
    <w:autoRedefine/>
    <w:qFormat/>
    <w:uiPriority w:val="0"/>
    <w:pPr>
      <w:widowControl w:val="0"/>
      <w:adjustRightInd w:val="0"/>
      <w:spacing w:before="120" w:line="360" w:lineRule="auto"/>
      <w:jc w:val="both"/>
      <w:textAlignment w:val="baseline"/>
    </w:pPr>
    <w:rPr>
      <w:rFonts w:ascii="Times New Roman"/>
      <w:kern w:val="0"/>
      <w:sz w:val="24"/>
      <w:szCs w:val="20"/>
    </w:rPr>
  </w:style>
  <w:style w:type="character" w:customStyle="1" w:styleId="67">
    <w:name w:val="标题 3 Char"/>
    <w:link w:val="4"/>
    <w:autoRedefine/>
    <w:qFormat/>
    <w:uiPriority w:val="0"/>
    <w:rPr>
      <w:rFonts w:ascii="宋体"/>
      <w:b/>
      <w:bCs/>
      <w:kern w:val="2"/>
      <w:sz w:val="32"/>
      <w:szCs w:val="32"/>
    </w:rPr>
  </w:style>
  <w:style w:type="character" w:customStyle="1" w:styleId="68">
    <w:name w:val="批注文字 Char1"/>
    <w:link w:val="18"/>
    <w:autoRedefine/>
    <w:qFormat/>
    <w:locked/>
    <w:uiPriority w:val="0"/>
    <w:rPr>
      <w:rFonts w:ascii="Times New Roman" w:hAnsi="Times New Roman" w:eastAsia="宋体"/>
      <w:sz w:val="24"/>
    </w:rPr>
  </w:style>
  <w:style w:type="character" w:customStyle="1" w:styleId="69">
    <w:name w:val="正文文本 Char1"/>
    <w:link w:val="20"/>
    <w:autoRedefine/>
    <w:qFormat/>
    <w:locked/>
    <w:uiPriority w:val="99"/>
    <w:rPr>
      <w:sz w:val="18"/>
    </w:rPr>
  </w:style>
  <w:style w:type="character" w:customStyle="1" w:styleId="70">
    <w:name w:val="正文文本缩进 Char"/>
    <w:link w:val="23"/>
    <w:autoRedefine/>
    <w:qFormat/>
    <w:locked/>
    <w:uiPriority w:val="0"/>
    <w:rPr>
      <w:rFonts w:ascii="Times New Roman" w:hAnsi="Times New Roman" w:eastAsia="宋体"/>
      <w:sz w:val="24"/>
    </w:rPr>
  </w:style>
  <w:style w:type="character" w:customStyle="1" w:styleId="71">
    <w:name w:val="纯文本 Char"/>
    <w:link w:val="7"/>
    <w:autoRedefine/>
    <w:qFormat/>
    <w:uiPriority w:val="0"/>
    <w:rPr>
      <w:rFonts w:ascii="宋体" w:hAnsi="Courier New"/>
      <w:spacing w:val="5"/>
      <w:kern w:val="2"/>
      <w:sz w:val="25"/>
      <w:szCs w:val="25"/>
    </w:rPr>
  </w:style>
  <w:style w:type="character" w:customStyle="1" w:styleId="72">
    <w:name w:val="日期 Char"/>
    <w:link w:val="29"/>
    <w:autoRedefine/>
    <w:qFormat/>
    <w:locked/>
    <w:uiPriority w:val="0"/>
    <w:rPr>
      <w:rFonts w:ascii="Times New Roman" w:hAnsi="Times New Roman" w:eastAsia="宋体"/>
      <w:sz w:val="24"/>
    </w:rPr>
  </w:style>
  <w:style w:type="character" w:customStyle="1" w:styleId="73">
    <w:name w:val="批注框文本 Char"/>
    <w:link w:val="31"/>
    <w:autoRedefine/>
    <w:qFormat/>
    <w:locked/>
    <w:uiPriority w:val="0"/>
    <w:rPr>
      <w:rFonts w:ascii="Times New Roman" w:hAnsi="Times New Roman" w:eastAsia="宋体"/>
      <w:sz w:val="18"/>
    </w:rPr>
  </w:style>
  <w:style w:type="character" w:customStyle="1" w:styleId="74">
    <w:name w:val="页脚 Char"/>
    <w:link w:val="32"/>
    <w:autoRedefine/>
    <w:qFormat/>
    <w:locked/>
    <w:uiPriority w:val="99"/>
    <w:rPr>
      <w:sz w:val="18"/>
    </w:rPr>
  </w:style>
  <w:style w:type="character" w:customStyle="1" w:styleId="75">
    <w:name w:val="页眉 Char"/>
    <w:link w:val="33"/>
    <w:autoRedefine/>
    <w:qFormat/>
    <w:locked/>
    <w:uiPriority w:val="99"/>
    <w:rPr>
      <w:sz w:val="18"/>
    </w:rPr>
  </w:style>
  <w:style w:type="character" w:customStyle="1" w:styleId="76">
    <w:name w:val="普通(网站) Char"/>
    <w:link w:val="48"/>
    <w:autoRedefine/>
    <w:qFormat/>
    <w:locked/>
    <w:uiPriority w:val="0"/>
    <w:rPr>
      <w:rFonts w:ascii="宋体" w:hAnsi="宋体" w:eastAsia="宋体"/>
      <w:sz w:val="24"/>
    </w:rPr>
  </w:style>
  <w:style w:type="character" w:customStyle="1" w:styleId="77">
    <w:name w:val="批注主题 Char"/>
    <w:link w:val="51"/>
    <w:autoRedefine/>
    <w:qFormat/>
    <w:locked/>
    <w:uiPriority w:val="0"/>
    <w:rPr>
      <w:rFonts w:ascii="Times New Roman" w:hAnsi="Times New Roman" w:eastAsia="宋体"/>
      <w:b/>
      <w:kern w:val="2"/>
      <w:sz w:val="24"/>
    </w:rPr>
  </w:style>
  <w:style w:type="character" w:customStyle="1" w:styleId="78">
    <w:name w:val="页脚 字符"/>
    <w:autoRedefine/>
    <w:qFormat/>
    <w:uiPriority w:val="99"/>
  </w:style>
  <w:style w:type="character" w:customStyle="1" w:styleId="79">
    <w:name w:val="正文文本 字符1"/>
    <w:autoRedefine/>
    <w:semiHidden/>
    <w:qFormat/>
    <w:uiPriority w:val="0"/>
    <w:rPr>
      <w:rFonts w:ascii="Times New Roman" w:hAnsi="Times New Roman" w:eastAsia="宋体"/>
      <w:sz w:val="24"/>
    </w:rPr>
  </w:style>
  <w:style w:type="character" w:customStyle="1" w:styleId="80">
    <w:name w:val="表格 Char"/>
    <w:link w:val="81"/>
    <w:autoRedefine/>
    <w:qFormat/>
    <w:locked/>
    <w:uiPriority w:val="0"/>
    <w:rPr>
      <w:rFonts w:ascii="宋体"/>
      <w:sz w:val="21"/>
    </w:rPr>
  </w:style>
  <w:style w:type="paragraph" w:customStyle="1" w:styleId="81">
    <w:name w:val="表格"/>
    <w:basedOn w:val="1"/>
    <w:next w:val="1"/>
    <w:link w:val="80"/>
    <w:autoRedefine/>
    <w:qFormat/>
    <w:uiPriority w:val="0"/>
    <w:pPr>
      <w:adjustRightInd w:val="0"/>
      <w:snapToGrid w:val="0"/>
      <w:spacing w:beforeLines="10" w:afterLines="10" w:line="259" w:lineRule="auto"/>
      <w:jc w:val="center"/>
    </w:pPr>
    <w:rPr>
      <w:kern w:val="0"/>
      <w:szCs w:val="20"/>
    </w:rPr>
  </w:style>
  <w:style w:type="character" w:customStyle="1" w:styleId="82">
    <w:name w:val="日期 字符"/>
    <w:autoRedefine/>
    <w:qFormat/>
    <w:uiPriority w:val="0"/>
    <w:rPr>
      <w:rFonts w:ascii="Times New Roman" w:hAnsi="Times New Roman" w:eastAsia="宋体"/>
      <w:sz w:val="24"/>
    </w:rPr>
  </w:style>
  <w:style w:type="character" w:customStyle="1" w:styleId="83">
    <w:name w:val="批注文字 字符1"/>
    <w:autoRedefine/>
    <w:semiHidden/>
    <w:qFormat/>
    <w:uiPriority w:val="0"/>
    <w:rPr>
      <w:rFonts w:ascii="Times New Roman" w:hAnsi="Times New Roman" w:eastAsia="宋体"/>
      <w:sz w:val="24"/>
    </w:rPr>
  </w:style>
  <w:style w:type="paragraph" w:customStyle="1" w:styleId="8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普通(网站)2"/>
    <w:basedOn w:val="1"/>
    <w:autoRedefine/>
    <w:qFormat/>
    <w:uiPriority w:val="0"/>
    <w:pPr>
      <w:spacing w:before="100" w:beforeAutospacing="1" w:after="100" w:afterAutospacing="1"/>
    </w:pPr>
    <w:rPr>
      <w:rFonts w:hAnsi="宋体"/>
      <w:sz w:val="24"/>
      <w:szCs w:val="20"/>
    </w:rPr>
  </w:style>
  <w:style w:type="character" w:customStyle="1" w:styleId="86">
    <w:name w:val="报告书 正文 Char"/>
    <w:link w:val="87"/>
    <w:autoRedefine/>
    <w:qFormat/>
    <w:uiPriority w:val="0"/>
    <w:rPr>
      <w:rFonts w:hAnsi="宋体"/>
      <w:spacing w:val="5"/>
      <w:kern w:val="2"/>
      <w:sz w:val="25"/>
      <w:szCs w:val="25"/>
    </w:rPr>
  </w:style>
  <w:style w:type="paragraph" w:customStyle="1" w:styleId="87">
    <w:name w:val="报告书 正文"/>
    <w:basedOn w:val="1"/>
    <w:link w:val="86"/>
    <w:autoRedefine/>
    <w:qFormat/>
    <w:uiPriority w:val="0"/>
    <w:pPr>
      <w:spacing w:line="250" w:lineRule="auto"/>
      <w:ind w:firstLine="527" w:firstLineChars="200"/>
    </w:pPr>
    <w:rPr>
      <w:rFonts w:ascii="Times New Roman" w:hAnsi="宋体"/>
      <w:spacing w:val="5"/>
      <w:sz w:val="25"/>
      <w:szCs w:val="25"/>
    </w:rPr>
  </w:style>
  <w:style w:type="paragraph" w:customStyle="1" w:styleId="88">
    <w:name w:val="Char Char4 Char Char"/>
    <w:basedOn w:val="1"/>
    <w:autoRedefine/>
    <w:qFormat/>
    <w:uiPriority w:val="0"/>
    <w:rPr>
      <w:spacing w:val="5"/>
      <w:sz w:val="25"/>
      <w:szCs w:val="20"/>
    </w:rPr>
  </w:style>
  <w:style w:type="paragraph" w:customStyle="1" w:styleId="89">
    <w:name w:val="正文 新"/>
    <w:basedOn w:val="1"/>
    <w:autoRedefine/>
    <w:qFormat/>
    <w:uiPriority w:val="0"/>
    <w:pPr>
      <w:spacing w:line="440" w:lineRule="exact"/>
      <w:ind w:firstLine="200" w:firstLineChars="200"/>
    </w:pPr>
    <w:rPr>
      <w:sz w:val="25"/>
    </w:rPr>
  </w:style>
  <w:style w:type="table" w:customStyle="1" w:styleId="90">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91">
    <w:name w:val="Table Paragraph"/>
    <w:basedOn w:val="1"/>
    <w:autoRedefine/>
    <w:qFormat/>
    <w:uiPriority w:val="1"/>
    <w:pPr>
      <w:autoSpaceDE w:val="0"/>
      <w:autoSpaceDN w:val="0"/>
    </w:pPr>
    <w:rPr>
      <w:rFonts w:hAnsi="宋体" w:cs="宋体"/>
      <w:kern w:val="0"/>
      <w:sz w:val="22"/>
      <w:szCs w:val="22"/>
      <w:lang w:eastAsia="en-US"/>
    </w:rPr>
  </w:style>
  <w:style w:type="paragraph" w:customStyle="1" w:styleId="92">
    <w:name w:val="TOC 标题1"/>
    <w:basedOn w:val="2"/>
    <w:next w:val="1"/>
    <w:autoRedefine/>
    <w:unhideWhenUsed/>
    <w:qFormat/>
    <w:uiPriority w:val="39"/>
    <w:pPr>
      <w:keepLines/>
      <w:overflowPunct/>
      <w:snapToGrid/>
      <w:spacing w:before="240" w:after="0"/>
      <w:ind w:left="0" w:firstLine="0"/>
      <w:outlineLvl w:val="9"/>
    </w:pPr>
    <w:rPr>
      <w:rFonts w:ascii="等线 Light" w:hAnsi="等线 Light" w:eastAsia="等线 Light"/>
      <w:b w:val="0"/>
      <w:bCs w:val="0"/>
      <w:color w:val="2F5496"/>
      <w:kern w:val="0"/>
      <w:sz w:val="32"/>
      <w:szCs w:val="32"/>
    </w:rPr>
  </w:style>
  <w:style w:type="paragraph" w:customStyle="1" w:styleId="93">
    <w:name w:val="TOC 标题2"/>
    <w:basedOn w:val="2"/>
    <w:next w:val="1"/>
    <w:autoRedefine/>
    <w:qFormat/>
    <w:uiPriority w:val="39"/>
    <w:pPr>
      <w:keepLines/>
      <w:overflowPunct/>
      <w:snapToGrid/>
      <w:spacing w:before="240" w:after="0"/>
      <w:ind w:left="0" w:firstLine="0"/>
      <w:outlineLvl w:val="9"/>
    </w:pPr>
    <w:rPr>
      <w:rFonts w:ascii="等线 Light" w:hAnsi="等线 Light" w:eastAsia="等线 Light"/>
      <w:b w:val="0"/>
      <w:bCs w:val="0"/>
      <w:color w:val="2E74B5"/>
      <w:kern w:val="0"/>
      <w:sz w:val="32"/>
      <w:szCs w:val="32"/>
    </w:rPr>
  </w:style>
  <w:style w:type="paragraph" w:customStyle="1" w:styleId="94">
    <w:name w:val="样式5"/>
    <w:basedOn w:val="1"/>
    <w:autoRedefine/>
    <w:qFormat/>
    <w:uiPriority w:val="0"/>
    <w:pPr>
      <w:spacing w:line="360" w:lineRule="auto"/>
      <w:ind w:firstLine="560" w:firstLineChars="200"/>
    </w:pPr>
    <w:rPr>
      <w:rFonts w:hAnsi="宋体"/>
      <w:sz w:val="28"/>
      <w:szCs w:val="24"/>
    </w:rPr>
  </w:style>
  <w:style w:type="character" w:customStyle="1" w:styleId="95">
    <w:name w:val="标题 2 字符"/>
    <w:autoRedefine/>
    <w:qFormat/>
    <w:uiPriority w:val="0"/>
    <w:rPr>
      <w:rFonts w:ascii="等线 Light" w:hAnsi="等线 Light" w:eastAsia="等线 Light" w:cs="Times New Roman"/>
      <w:b/>
      <w:bCs/>
      <w:kern w:val="2"/>
      <w:sz w:val="32"/>
      <w:szCs w:val="32"/>
    </w:rPr>
  </w:style>
  <w:style w:type="character" w:customStyle="1" w:styleId="96">
    <w:name w:val="标题 4 Char"/>
    <w:link w:val="5"/>
    <w:autoRedefine/>
    <w:qFormat/>
    <w:uiPriority w:val="0"/>
    <w:rPr>
      <w:rFonts w:ascii="Arial" w:hAnsi="Arial"/>
    </w:rPr>
  </w:style>
  <w:style w:type="character" w:customStyle="1" w:styleId="97">
    <w:name w:val="标题 5 Char"/>
    <w:link w:val="8"/>
    <w:autoRedefine/>
    <w:qFormat/>
    <w:uiPriority w:val="0"/>
    <w:rPr>
      <w:b/>
      <w:color w:val="000000"/>
      <w:kern w:val="2"/>
      <w:sz w:val="28"/>
    </w:rPr>
  </w:style>
  <w:style w:type="character" w:customStyle="1" w:styleId="98">
    <w:name w:val="标题 6 Char"/>
    <w:link w:val="9"/>
    <w:autoRedefine/>
    <w:qFormat/>
    <w:uiPriority w:val="0"/>
    <w:rPr>
      <w:rFonts w:ascii="Arial" w:hAnsi="Arial" w:eastAsia="黑体"/>
      <w:b/>
      <w:bCs/>
      <w:sz w:val="24"/>
      <w:szCs w:val="24"/>
    </w:rPr>
  </w:style>
  <w:style w:type="character" w:customStyle="1" w:styleId="99">
    <w:name w:val="标题 7 Char"/>
    <w:link w:val="10"/>
    <w:autoRedefine/>
    <w:qFormat/>
    <w:uiPriority w:val="0"/>
    <w:rPr>
      <w:b/>
      <w:bCs/>
      <w:sz w:val="24"/>
      <w:szCs w:val="24"/>
    </w:rPr>
  </w:style>
  <w:style w:type="character" w:customStyle="1" w:styleId="100">
    <w:name w:val="标题 8 Char"/>
    <w:link w:val="11"/>
    <w:autoRedefine/>
    <w:qFormat/>
    <w:uiPriority w:val="0"/>
    <w:rPr>
      <w:rFonts w:ascii="Arial" w:hAnsi="Arial" w:eastAsia="黑体"/>
      <w:sz w:val="24"/>
      <w:szCs w:val="24"/>
    </w:rPr>
  </w:style>
  <w:style w:type="character" w:customStyle="1" w:styleId="101">
    <w:name w:val="标题 9 Char"/>
    <w:link w:val="12"/>
    <w:autoRedefine/>
    <w:qFormat/>
    <w:uiPriority w:val="0"/>
    <w:rPr>
      <w:rFonts w:ascii="Arial" w:hAnsi="Arial" w:eastAsia="黑体"/>
      <w:sz w:val="21"/>
      <w:szCs w:val="21"/>
    </w:rPr>
  </w:style>
  <w:style w:type="character" w:customStyle="1" w:styleId="102">
    <w:name w:val="标题 1 Char"/>
    <w:link w:val="2"/>
    <w:autoRedefine/>
    <w:qFormat/>
    <w:uiPriority w:val="0"/>
    <w:rPr>
      <w:rFonts w:ascii="宋体" w:eastAsia="黑体"/>
      <w:b/>
      <w:bCs/>
      <w:color w:val="000000"/>
      <w:kern w:val="44"/>
      <w:sz w:val="30"/>
      <w:szCs w:val="30"/>
    </w:rPr>
  </w:style>
  <w:style w:type="character" w:customStyle="1" w:styleId="103">
    <w:name w:val="标题 2 Char"/>
    <w:link w:val="3"/>
    <w:autoRedefine/>
    <w:qFormat/>
    <w:uiPriority w:val="0"/>
    <w:rPr>
      <w:rFonts w:ascii="仿宋_GB2312" w:eastAsia="仿宋_GB2312"/>
      <w:b/>
      <w:bCs/>
      <w:snapToGrid w:val="0"/>
      <w:kern w:val="28"/>
      <w:sz w:val="30"/>
      <w:szCs w:val="30"/>
    </w:rPr>
  </w:style>
  <w:style w:type="character" w:customStyle="1" w:styleId="104">
    <w:name w:val="文档结构图 Char"/>
    <w:link w:val="17"/>
    <w:autoRedefine/>
    <w:qFormat/>
    <w:uiPriority w:val="0"/>
    <w:rPr>
      <w:sz w:val="24"/>
      <w:shd w:val="clear" w:color="auto" w:fill="000080"/>
    </w:rPr>
  </w:style>
  <w:style w:type="character" w:customStyle="1" w:styleId="105">
    <w:name w:val="正文文本 3 Char"/>
    <w:link w:val="19"/>
    <w:autoRedefine/>
    <w:qFormat/>
    <w:uiPriority w:val="0"/>
    <w:rPr>
      <w:rFonts w:ascii="黑体" w:hAnsi="宋体" w:eastAsia="黑体"/>
      <w:b/>
      <w:bCs/>
      <w:kern w:val="2"/>
      <w:sz w:val="30"/>
      <w:szCs w:val="24"/>
    </w:rPr>
  </w:style>
  <w:style w:type="character" w:customStyle="1" w:styleId="106">
    <w:name w:val="正文文本缩进 2 Char"/>
    <w:link w:val="30"/>
    <w:autoRedefine/>
    <w:qFormat/>
    <w:uiPriority w:val="0"/>
    <w:rPr>
      <w:rFonts w:ascii="仿宋体"/>
      <w:sz w:val="28"/>
    </w:rPr>
  </w:style>
  <w:style w:type="character" w:customStyle="1" w:styleId="107">
    <w:name w:val="副标题 Char"/>
    <w:link w:val="38"/>
    <w:autoRedefine/>
    <w:qFormat/>
    <w:uiPriority w:val="0"/>
    <w:rPr>
      <w:rFonts w:ascii="Cambria" w:hAnsi="Cambria"/>
      <w:b/>
      <w:bCs/>
      <w:kern w:val="28"/>
      <w:sz w:val="32"/>
      <w:szCs w:val="32"/>
    </w:rPr>
  </w:style>
  <w:style w:type="character" w:customStyle="1" w:styleId="108">
    <w:name w:val="正文文本缩进 3 Char"/>
    <w:link w:val="41"/>
    <w:autoRedefine/>
    <w:qFormat/>
    <w:uiPriority w:val="0"/>
    <w:rPr>
      <w:rFonts w:ascii="仿宋体"/>
      <w:sz w:val="28"/>
    </w:rPr>
  </w:style>
  <w:style w:type="character" w:customStyle="1" w:styleId="109">
    <w:name w:val="正文文本 2 Char"/>
    <w:link w:val="45"/>
    <w:autoRedefine/>
    <w:qFormat/>
    <w:uiPriority w:val="0"/>
    <w:rPr>
      <w:kern w:val="2"/>
      <w:sz w:val="21"/>
    </w:rPr>
  </w:style>
  <w:style w:type="character" w:customStyle="1" w:styleId="110">
    <w:name w:val="HTML 预设格式 Char"/>
    <w:link w:val="47"/>
    <w:autoRedefine/>
    <w:qFormat/>
    <w:uiPriority w:val="0"/>
    <w:rPr>
      <w:rFonts w:ascii="宋体" w:hAnsi="宋体" w:cs="宋体"/>
      <w:sz w:val="24"/>
      <w:szCs w:val="24"/>
    </w:rPr>
  </w:style>
  <w:style w:type="character" w:customStyle="1" w:styleId="111">
    <w:name w:val="标题 Char"/>
    <w:link w:val="50"/>
    <w:autoRedefine/>
    <w:qFormat/>
    <w:uiPriority w:val="0"/>
    <w:rPr>
      <w:rFonts w:ascii="Cambria" w:hAnsi="Cambria"/>
      <w:b/>
      <w:bCs/>
      <w:sz w:val="32"/>
      <w:szCs w:val="32"/>
    </w:rPr>
  </w:style>
  <w:style w:type="character" w:customStyle="1" w:styleId="112">
    <w:name w:val="正文首行缩进 2 Char"/>
    <w:link w:val="53"/>
    <w:autoRedefine/>
    <w:qFormat/>
    <w:uiPriority w:val="0"/>
    <w:rPr>
      <w:rFonts w:ascii="宋体" w:hAnsi="Times New Roman" w:eastAsia="宋体"/>
      <w:kern w:val="2"/>
      <w:sz w:val="28"/>
    </w:rPr>
  </w:style>
  <w:style w:type="paragraph" w:customStyle="1" w:styleId="113">
    <w:name w:val="正文文本1"/>
    <w:basedOn w:val="1"/>
    <w:autoRedefine/>
    <w:qFormat/>
    <w:uiPriority w:val="0"/>
    <w:pPr>
      <w:widowControl w:val="0"/>
      <w:adjustRightInd w:val="0"/>
      <w:spacing w:line="360" w:lineRule="atLeast"/>
      <w:jc w:val="right"/>
      <w:textAlignment w:val="baseline"/>
    </w:pPr>
    <w:rPr>
      <w:kern w:val="0"/>
      <w:sz w:val="28"/>
      <w:szCs w:val="20"/>
    </w:rPr>
  </w:style>
  <w:style w:type="character" w:customStyle="1" w:styleId="114">
    <w:name w:val="hei141"/>
    <w:autoRedefine/>
    <w:qFormat/>
    <w:uiPriority w:val="0"/>
    <w:rPr>
      <w:color w:val="000000"/>
      <w:sz w:val="23"/>
      <w:szCs w:val="23"/>
    </w:rPr>
  </w:style>
  <w:style w:type="character" w:customStyle="1" w:styleId="115">
    <w:name w:val="明显强调1"/>
    <w:autoRedefine/>
    <w:qFormat/>
    <w:uiPriority w:val="21"/>
    <w:rPr>
      <w:i/>
      <w:iCs/>
      <w:color w:val="5B9BD5"/>
    </w:rPr>
  </w:style>
  <w:style w:type="character" w:customStyle="1" w:styleId="116">
    <w:name w:val="font31"/>
    <w:autoRedefine/>
    <w:qFormat/>
    <w:uiPriority w:val="0"/>
    <w:rPr>
      <w:rFonts w:hint="default" w:ascii="Times New Roman" w:hAnsi="Times New Roman" w:cs="Times New Roman"/>
      <w:b/>
      <w:color w:val="000000"/>
      <w:sz w:val="20"/>
      <w:szCs w:val="20"/>
      <w:u w:val="none"/>
    </w:rPr>
  </w:style>
  <w:style w:type="character" w:customStyle="1" w:styleId="117">
    <w:name w:val="+正文 Char"/>
    <w:link w:val="118"/>
    <w:autoRedefine/>
    <w:qFormat/>
    <w:uiPriority w:val="0"/>
    <w:rPr>
      <w:sz w:val="24"/>
      <w:szCs w:val="28"/>
    </w:rPr>
  </w:style>
  <w:style w:type="paragraph" w:customStyle="1" w:styleId="118">
    <w:name w:val="+正文"/>
    <w:basedOn w:val="1"/>
    <w:link w:val="117"/>
    <w:autoRedefine/>
    <w:qFormat/>
    <w:uiPriority w:val="0"/>
    <w:pPr>
      <w:widowControl w:val="0"/>
      <w:spacing w:line="360" w:lineRule="auto"/>
      <w:ind w:firstLine="200" w:firstLineChars="200"/>
      <w:jc w:val="both"/>
    </w:pPr>
    <w:rPr>
      <w:rFonts w:ascii="Times New Roman"/>
      <w:kern w:val="0"/>
      <w:sz w:val="24"/>
      <w:szCs w:val="28"/>
    </w:rPr>
  </w:style>
  <w:style w:type="character" w:customStyle="1" w:styleId="119">
    <w:name w:val="text11"/>
    <w:autoRedefine/>
    <w:qFormat/>
    <w:uiPriority w:val="0"/>
    <w:rPr>
      <w:sz w:val="20"/>
      <w:szCs w:val="20"/>
    </w:rPr>
  </w:style>
  <w:style w:type="character" w:customStyle="1" w:styleId="120">
    <w:name w:val="font01"/>
    <w:autoRedefine/>
    <w:qFormat/>
    <w:uiPriority w:val="0"/>
    <w:rPr>
      <w:rFonts w:hint="eastAsia" w:ascii="宋体" w:hAnsi="宋体" w:eastAsia="宋体" w:cs="宋体"/>
      <w:color w:val="000000"/>
      <w:sz w:val="22"/>
      <w:szCs w:val="22"/>
      <w:u w:val="none"/>
    </w:rPr>
  </w:style>
  <w:style w:type="character" w:customStyle="1" w:styleId="121">
    <w:name w:val="font21"/>
    <w:autoRedefine/>
    <w:qFormat/>
    <w:uiPriority w:val="0"/>
    <w:rPr>
      <w:rFonts w:hint="eastAsia" w:ascii="宋体" w:hAnsi="宋体" w:eastAsia="宋体" w:cs="宋体"/>
      <w:b/>
      <w:color w:val="000000"/>
      <w:sz w:val="20"/>
      <w:szCs w:val="20"/>
      <w:u w:val="none"/>
    </w:rPr>
  </w:style>
  <w:style w:type="character" w:customStyle="1" w:styleId="122">
    <w:name w:val="表号 Char"/>
    <w:link w:val="123"/>
    <w:autoRedefine/>
    <w:qFormat/>
    <w:uiPriority w:val="0"/>
    <w:rPr>
      <w:rFonts w:cs="宋体"/>
      <w:sz w:val="24"/>
      <w:szCs w:val="24"/>
    </w:rPr>
  </w:style>
  <w:style w:type="paragraph" w:customStyle="1" w:styleId="123">
    <w:name w:val="表号"/>
    <w:basedOn w:val="1"/>
    <w:link w:val="122"/>
    <w:autoRedefine/>
    <w:qFormat/>
    <w:uiPriority w:val="0"/>
    <w:pPr>
      <w:widowControl w:val="0"/>
      <w:spacing w:after="100" w:line="320" w:lineRule="exact"/>
      <w:ind w:firstLine="100" w:firstLineChars="100"/>
    </w:pPr>
    <w:rPr>
      <w:rFonts w:ascii="Times New Roman" w:cs="宋体"/>
      <w:kern w:val="0"/>
      <w:sz w:val="24"/>
      <w:szCs w:val="24"/>
    </w:rPr>
  </w:style>
  <w:style w:type="character" w:customStyle="1" w:styleId="124">
    <w:name w:val="font61"/>
    <w:autoRedefine/>
    <w:qFormat/>
    <w:uiPriority w:val="0"/>
    <w:rPr>
      <w:rFonts w:hint="default" w:ascii="Times New Roman" w:hAnsi="Times New Roman" w:cs="Times New Roman"/>
      <w:color w:val="000000"/>
      <w:sz w:val="36"/>
      <w:szCs w:val="36"/>
      <w:u w:val="none"/>
    </w:rPr>
  </w:style>
  <w:style w:type="character" w:customStyle="1" w:styleId="125">
    <w:name w:val="font11"/>
    <w:autoRedefine/>
    <w:qFormat/>
    <w:uiPriority w:val="0"/>
    <w:rPr>
      <w:rFonts w:ascii="仿宋_GB2312" w:eastAsia="仿宋_GB2312" w:cs="仿宋_GB2312"/>
      <w:color w:val="000000"/>
      <w:sz w:val="24"/>
      <w:szCs w:val="24"/>
      <w:u w:val="none"/>
    </w:rPr>
  </w:style>
  <w:style w:type="character" w:customStyle="1" w:styleId="126">
    <w:name w:val="占位符文本1"/>
    <w:autoRedefine/>
    <w:unhideWhenUsed/>
    <w:qFormat/>
    <w:uiPriority w:val="99"/>
    <w:rPr>
      <w:color w:val="808080"/>
    </w:rPr>
  </w:style>
  <w:style w:type="character" w:customStyle="1" w:styleId="127">
    <w:name w:val="font101"/>
    <w:autoRedefine/>
    <w:qFormat/>
    <w:uiPriority w:val="0"/>
    <w:rPr>
      <w:rFonts w:hint="eastAsia" w:ascii="宋体" w:hAnsi="宋体" w:eastAsia="宋体" w:cs="宋体"/>
      <w:color w:val="000000"/>
      <w:sz w:val="20"/>
      <w:szCs w:val="20"/>
      <w:u w:val="none"/>
    </w:rPr>
  </w:style>
  <w:style w:type="character" w:customStyle="1" w:styleId="128">
    <w:name w:val="font41"/>
    <w:autoRedefine/>
    <w:qFormat/>
    <w:uiPriority w:val="0"/>
    <w:rPr>
      <w:rFonts w:hint="eastAsia" w:ascii="宋体" w:hAnsi="宋体" w:eastAsia="宋体" w:cs="宋体"/>
      <w:color w:val="000000"/>
      <w:sz w:val="36"/>
      <w:szCs w:val="36"/>
      <w:u w:val="none"/>
    </w:rPr>
  </w:style>
  <w:style w:type="character" w:customStyle="1" w:styleId="129">
    <w:name w:val="font71"/>
    <w:autoRedefine/>
    <w:qFormat/>
    <w:uiPriority w:val="0"/>
    <w:rPr>
      <w:rFonts w:hint="default" w:ascii="Times New Roman" w:hAnsi="Times New Roman" w:cs="Times New Roman"/>
      <w:color w:val="000000"/>
      <w:sz w:val="20"/>
      <w:szCs w:val="20"/>
      <w:u w:val="none"/>
    </w:rPr>
  </w:style>
  <w:style w:type="character" w:customStyle="1" w:styleId="130">
    <w:name w:val="font81"/>
    <w:autoRedefine/>
    <w:qFormat/>
    <w:uiPriority w:val="0"/>
    <w:rPr>
      <w:rFonts w:hint="eastAsia" w:ascii="宋体" w:hAnsi="宋体" w:eastAsia="宋体" w:cs="宋体"/>
      <w:color w:val="000000"/>
      <w:sz w:val="20"/>
      <w:szCs w:val="20"/>
      <w:u w:val="none"/>
    </w:rPr>
  </w:style>
  <w:style w:type="paragraph" w:customStyle="1" w:styleId="131">
    <w:name w:val="xl3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32">
    <w:name w:val="xl45"/>
    <w:basedOn w:val="1"/>
    <w:autoRedefine/>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kern w:val="0"/>
      <w:sz w:val="24"/>
      <w:szCs w:val="24"/>
    </w:rPr>
  </w:style>
  <w:style w:type="paragraph" w:customStyle="1" w:styleId="133">
    <w:name w:val="xl56"/>
    <w:basedOn w:val="1"/>
    <w:autoRedefine/>
    <w:qFormat/>
    <w:uiPriority w:val="0"/>
    <w:pPr>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34">
    <w:name w:val="无间隔1"/>
    <w:autoRedefine/>
    <w:qFormat/>
    <w:uiPriority w:val="1"/>
    <w:pPr>
      <w:widowControl w:val="0"/>
      <w:jc w:val="both"/>
    </w:pPr>
    <w:rPr>
      <w:rFonts w:ascii="宋体" w:hAnsi="宋体" w:eastAsia="宋体" w:cs="Times New Roman"/>
      <w:kern w:val="2"/>
      <w:sz w:val="24"/>
      <w:szCs w:val="22"/>
      <w:lang w:val="en-US" w:eastAsia="zh-CN" w:bidi="ar-SA"/>
    </w:rPr>
  </w:style>
  <w:style w:type="paragraph" w:customStyle="1" w:styleId="135">
    <w:name w:val="xl4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36">
    <w:name w:val="xl35"/>
    <w:basedOn w:val="1"/>
    <w:autoRedefine/>
    <w:qFormat/>
    <w:uiPriority w:val="0"/>
    <w:pPr>
      <w:pBdr>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37">
    <w:name w:val="正文样式3"/>
    <w:basedOn w:val="1"/>
    <w:autoRedefine/>
    <w:qFormat/>
    <w:uiPriority w:val="0"/>
    <w:pPr>
      <w:widowControl w:val="0"/>
      <w:adjustRightInd w:val="0"/>
      <w:spacing w:line="20" w:lineRule="atLeast"/>
      <w:jc w:val="center"/>
      <w:textAlignment w:val="baseline"/>
    </w:pPr>
    <w:rPr>
      <w:rFonts w:ascii="Times New Roman"/>
      <w:kern w:val="0"/>
      <w:sz w:val="24"/>
      <w:szCs w:val="20"/>
    </w:rPr>
  </w:style>
  <w:style w:type="paragraph" w:customStyle="1" w:styleId="138">
    <w:name w:val="样式 A2 + 首行缩进:  0.85 厘米 段前: 0.5 行 段后: 0.5 行"/>
    <w:basedOn w:val="1"/>
    <w:autoRedefine/>
    <w:qFormat/>
    <w:uiPriority w:val="0"/>
    <w:pPr>
      <w:widowControl w:val="0"/>
      <w:snapToGrid w:val="0"/>
      <w:spacing w:beforeLines="50" w:afterLines="50" w:line="360" w:lineRule="auto"/>
      <w:outlineLvl w:val="1"/>
    </w:pPr>
    <w:rPr>
      <w:rFonts w:ascii="Times New Roman" w:cs="宋体"/>
      <w:b/>
      <w:bCs/>
      <w:sz w:val="32"/>
    </w:rPr>
  </w:style>
  <w:style w:type="paragraph" w:customStyle="1" w:styleId="139">
    <w:name w:val="xl58"/>
    <w:basedOn w:val="1"/>
    <w:autoRedefine/>
    <w:qFormat/>
    <w:uiPriority w:val="0"/>
    <w:pPr>
      <w:pBdr>
        <w:top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szCs w:val="24"/>
    </w:rPr>
  </w:style>
  <w:style w:type="paragraph" w:customStyle="1" w:styleId="140">
    <w:name w:val="xl51"/>
    <w:basedOn w:val="1"/>
    <w:autoRedefine/>
    <w:qFormat/>
    <w:uiPriority w:val="0"/>
    <w:pPr>
      <w:pBdr>
        <w:top w:val="single" w:color="auto" w:sz="4" w:space="0"/>
        <w:bottom w:val="single" w:color="auto" w:sz="4" w:space="0"/>
        <w:right w:val="single" w:color="auto" w:sz="4" w:space="0"/>
      </w:pBdr>
      <w:spacing w:before="100" w:beforeAutospacing="1" w:after="100" w:afterAutospacing="1"/>
    </w:pPr>
    <w:rPr>
      <w:rFonts w:ascii="Arial Unicode MS" w:hAnsi="Arial Unicode MS"/>
      <w:kern w:val="0"/>
      <w:sz w:val="24"/>
      <w:szCs w:val="24"/>
    </w:rPr>
  </w:style>
  <w:style w:type="paragraph" w:customStyle="1" w:styleId="141">
    <w:name w:val="_Style 1"/>
    <w:basedOn w:val="1"/>
    <w:autoRedefine/>
    <w:qFormat/>
    <w:uiPriority w:val="34"/>
    <w:pPr>
      <w:widowControl w:val="0"/>
      <w:adjustRightInd w:val="0"/>
      <w:spacing w:line="580" w:lineRule="exact"/>
      <w:ind w:firstLine="420" w:firstLineChars="200"/>
      <w:textAlignment w:val="baseline"/>
    </w:pPr>
    <w:rPr>
      <w:rFonts w:ascii="Calibri" w:hAnsi="Calibri"/>
      <w:kern w:val="0"/>
      <w:sz w:val="24"/>
      <w:szCs w:val="22"/>
    </w:rPr>
  </w:style>
  <w:style w:type="paragraph" w:customStyle="1" w:styleId="142">
    <w:name w:val="font7"/>
    <w:basedOn w:val="1"/>
    <w:autoRedefine/>
    <w:qFormat/>
    <w:uiPriority w:val="0"/>
    <w:pPr>
      <w:spacing w:before="100" w:beforeAutospacing="1" w:after="100" w:afterAutospacing="1"/>
    </w:pPr>
    <w:rPr>
      <w:rFonts w:ascii="Times New Roman"/>
      <w:kern w:val="0"/>
      <w:sz w:val="20"/>
      <w:szCs w:val="20"/>
    </w:rPr>
  </w:style>
  <w:style w:type="paragraph" w:customStyle="1" w:styleId="143">
    <w:name w:val="xl59"/>
    <w:basedOn w:val="1"/>
    <w:autoRedefine/>
    <w:qFormat/>
    <w:uiPriority w:val="0"/>
    <w:pPr>
      <w:pBdr>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szCs w:val="24"/>
    </w:rPr>
  </w:style>
  <w:style w:type="paragraph" w:customStyle="1" w:styleId="144">
    <w:name w:val="A3"/>
    <w:basedOn w:val="118"/>
    <w:next w:val="118"/>
    <w:autoRedefine/>
    <w:qFormat/>
    <w:uiPriority w:val="0"/>
    <w:pPr>
      <w:ind w:firstLine="0" w:firstLineChars="0"/>
      <w:jc w:val="left"/>
      <w:outlineLvl w:val="2"/>
    </w:pPr>
    <w:rPr>
      <w:rFonts w:ascii="等线" w:hAnsi="等线" w:eastAsia="等线"/>
      <w:b/>
      <w:sz w:val="30"/>
      <w:szCs w:val="30"/>
    </w:rPr>
  </w:style>
  <w:style w:type="paragraph" w:customStyle="1" w:styleId="145">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0"/>
      <w:szCs w:val="20"/>
    </w:rPr>
  </w:style>
  <w:style w:type="paragraph" w:customStyle="1" w:styleId="146">
    <w:name w:val="xl31"/>
    <w:basedOn w:val="1"/>
    <w:autoRedefine/>
    <w:qFormat/>
    <w:uiPriority w:val="0"/>
    <w:pP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47">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48">
    <w:name w:val="xl34"/>
    <w:basedOn w:val="1"/>
    <w:autoRedefine/>
    <w:qFormat/>
    <w:uiPriority w:val="0"/>
    <w:pPr>
      <w:pBdr>
        <w:bottom w:val="single" w:color="auto" w:sz="4" w:space="0"/>
      </w:pBdr>
      <w:shd w:val="clear" w:color="auto" w:fill="FFFFFF"/>
      <w:spacing w:before="100" w:beforeAutospacing="1" w:after="100" w:afterAutospacing="1"/>
      <w:jc w:val="right"/>
      <w:textAlignment w:val="center"/>
    </w:pPr>
    <w:rPr>
      <w:rFonts w:ascii="Arial Unicode MS" w:hAnsi="Arial Unicode MS"/>
      <w:kern w:val="0"/>
      <w:sz w:val="24"/>
      <w:szCs w:val="24"/>
    </w:rPr>
  </w:style>
  <w:style w:type="paragraph" w:customStyle="1" w:styleId="149">
    <w:name w:val="xl48"/>
    <w:basedOn w:val="1"/>
    <w:autoRedefine/>
    <w:qFormat/>
    <w:uiPriority w:val="0"/>
    <w:pPr>
      <w:pBdr>
        <w:top w:val="single" w:color="auto" w:sz="4" w:space="0"/>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50">
    <w:name w:val="xl50"/>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textAlignment w:val="center"/>
    </w:pPr>
    <w:rPr>
      <w:rFonts w:ascii="Arial Unicode MS" w:hAnsi="Arial Unicode MS"/>
      <w:kern w:val="0"/>
      <w:sz w:val="24"/>
      <w:szCs w:val="24"/>
    </w:rPr>
  </w:style>
  <w:style w:type="paragraph" w:customStyle="1" w:styleId="151">
    <w:name w:val="xl4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52">
    <w:name w:val="段落2"/>
    <w:basedOn w:val="153"/>
    <w:autoRedefine/>
    <w:qFormat/>
    <w:uiPriority w:val="0"/>
    <w:pPr>
      <w:spacing w:line="400" w:lineRule="atLeast"/>
      <w:ind w:firstLine="454"/>
    </w:pPr>
    <w:rPr>
      <w:sz w:val="28"/>
    </w:rPr>
  </w:style>
  <w:style w:type="paragraph" w:customStyle="1" w:styleId="153">
    <w:name w:val="段落"/>
    <w:basedOn w:val="1"/>
    <w:autoRedefine/>
    <w:qFormat/>
    <w:uiPriority w:val="0"/>
    <w:pPr>
      <w:widowControl w:val="0"/>
      <w:adjustRightInd w:val="0"/>
      <w:spacing w:line="360" w:lineRule="atLeast"/>
      <w:ind w:firstLine="480"/>
      <w:textAlignment w:val="baseline"/>
    </w:pPr>
    <w:rPr>
      <w:rFonts w:ascii="Times New Roman"/>
      <w:kern w:val="0"/>
      <w:sz w:val="24"/>
      <w:szCs w:val="20"/>
    </w:rPr>
  </w:style>
  <w:style w:type="paragraph" w:customStyle="1" w:styleId="154">
    <w:name w:val="修订1"/>
    <w:autoRedefine/>
    <w:semiHidden/>
    <w:qFormat/>
    <w:uiPriority w:val="99"/>
    <w:rPr>
      <w:rFonts w:ascii="Times New Roman" w:hAnsi="Times New Roman" w:eastAsia="宋体" w:cs="Times New Roman"/>
      <w:sz w:val="24"/>
      <w:lang w:val="en-US" w:eastAsia="zh-CN" w:bidi="ar-SA"/>
    </w:rPr>
  </w:style>
  <w:style w:type="paragraph" w:customStyle="1" w:styleId="155">
    <w:name w:val="正文符号"/>
    <w:basedOn w:val="5"/>
    <w:autoRedefine/>
    <w:qFormat/>
    <w:uiPriority w:val="0"/>
    <w:pPr>
      <w:tabs>
        <w:tab w:val="left" w:pos="420"/>
        <w:tab w:val="clear" w:pos="1320"/>
      </w:tabs>
      <w:adjustRightInd/>
      <w:spacing w:line="240" w:lineRule="auto"/>
      <w:ind w:left="420" w:hanging="420"/>
      <w:textAlignment w:val="auto"/>
      <w:outlineLvl w:val="9"/>
    </w:pPr>
    <w:rPr>
      <w:rFonts w:ascii="Times New Roman" w:hAnsi="Times New Roman"/>
      <w:bCs/>
      <w:spacing w:val="2"/>
      <w:kern w:val="2"/>
      <w:sz w:val="28"/>
      <w:szCs w:val="28"/>
    </w:rPr>
  </w:style>
  <w:style w:type="paragraph" w:customStyle="1" w:styleId="156">
    <w:name w:val="xl4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57">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0"/>
      <w:szCs w:val="20"/>
    </w:rPr>
  </w:style>
  <w:style w:type="paragraph" w:customStyle="1" w:styleId="158">
    <w:name w:val="列出段落1"/>
    <w:basedOn w:val="1"/>
    <w:autoRedefine/>
    <w:qFormat/>
    <w:uiPriority w:val="99"/>
    <w:pPr>
      <w:widowControl w:val="0"/>
      <w:adjustRightInd w:val="0"/>
      <w:spacing w:line="360" w:lineRule="atLeast"/>
      <w:ind w:firstLine="420" w:firstLineChars="200"/>
      <w:textAlignment w:val="baseline"/>
    </w:pPr>
    <w:rPr>
      <w:rFonts w:ascii="Times New Roman"/>
      <w:kern w:val="0"/>
      <w:sz w:val="24"/>
      <w:szCs w:val="20"/>
    </w:rPr>
  </w:style>
  <w:style w:type="paragraph" w:customStyle="1" w:styleId="159">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0"/>
      <w:szCs w:val="20"/>
    </w:rPr>
  </w:style>
  <w:style w:type="paragraph" w:customStyle="1" w:styleId="160">
    <w:name w:val="xl60"/>
    <w:basedOn w:val="1"/>
    <w:autoRedefine/>
    <w:qFormat/>
    <w:uiPriority w:val="0"/>
    <w:pPr>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61">
    <w:name w:val="日期1"/>
    <w:basedOn w:val="1"/>
    <w:next w:val="1"/>
    <w:autoRedefine/>
    <w:qFormat/>
    <w:uiPriority w:val="0"/>
    <w:pPr>
      <w:widowControl w:val="0"/>
      <w:autoSpaceDE w:val="0"/>
      <w:autoSpaceDN w:val="0"/>
      <w:adjustRightInd w:val="0"/>
      <w:jc w:val="both"/>
      <w:textAlignment w:val="baseline"/>
    </w:pPr>
    <w:rPr>
      <w:rFonts w:ascii="楷体_GB2312" w:eastAsia="楷体_GB2312"/>
      <w:sz w:val="28"/>
      <w:szCs w:val="20"/>
    </w:rPr>
  </w:style>
  <w:style w:type="paragraph" w:customStyle="1" w:styleId="162">
    <w:name w:val="xl5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63">
    <w:name w:val="简单回函地址"/>
    <w:basedOn w:val="1"/>
    <w:autoRedefine/>
    <w:qFormat/>
    <w:uiPriority w:val="0"/>
    <w:pPr>
      <w:widowControl w:val="0"/>
      <w:jc w:val="both"/>
    </w:pPr>
    <w:rPr>
      <w:rFonts w:ascii="Times New Roman"/>
      <w:szCs w:val="24"/>
    </w:rPr>
  </w:style>
  <w:style w:type="paragraph" w:customStyle="1" w:styleId="164">
    <w:name w:val="xl55"/>
    <w:basedOn w:val="1"/>
    <w:autoRedefine/>
    <w:qFormat/>
    <w:uiPriority w:val="0"/>
    <w:pPr>
      <w:shd w:val="clear" w:color="auto" w:fill="FFFFFF"/>
      <w:spacing w:before="100" w:beforeAutospacing="1" w:after="100" w:afterAutospacing="1"/>
      <w:jc w:val="center"/>
      <w:textAlignment w:val="center"/>
    </w:pPr>
    <w:rPr>
      <w:rFonts w:ascii="Arial Unicode MS" w:hAnsi="Arial Unicode MS"/>
      <w:b/>
      <w:bCs/>
      <w:kern w:val="0"/>
      <w:sz w:val="32"/>
      <w:szCs w:val="32"/>
    </w:rPr>
  </w:style>
  <w:style w:type="paragraph" w:customStyle="1" w:styleId="165">
    <w:name w:val="xl53"/>
    <w:basedOn w:val="1"/>
    <w:autoRedefine/>
    <w:qFormat/>
    <w:uiPriority w:val="0"/>
    <w:pPr>
      <w:spacing w:before="100" w:beforeAutospacing="1" w:after="100" w:afterAutospacing="1"/>
      <w:textAlignment w:val="center"/>
    </w:pPr>
    <w:rPr>
      <w:rFonts w:ascii="Arial Unicode MS" w:hAnsi="Arial Unicode MS"/>
      <w:kern w:val="0"/>
      <w:sz w:val="24"/>
      <w:szCs w:val="24"/>
    </w:rPr>
  </w:style>
  <w:style w:type="paragraph" w:customStyle="1" w:styleId="166">
    <w:name w:val="BodyText1I2"/>
    <w:basedOn w:val="167"/>
    <w:autoRedefine/>
    <w:qFormat/>
    <w:uiPriority w:val="0"/>
    <w:pPr>
      <w:spacing w:after="120" w:line="360" w:lineRule="auto"/>
      <w:ind w:left="420" w:leftChars="200" w:firstLine="420"/>
    </w:pPr>
    <w:rPr>
      <w:sz w:val="21"/>
    </w:rPr>
  </w:style>
  <w:style w:type="paragraph" w:customStyle="1" w:styleId="167">
    <w:name w:val="BodyTextIndent"/>
    <w:basedOn w:val="1"/>
    <w:autoRedefine/>
    <w:qFormat/>
    <w:uiPriority w:val="0"/>
    <w:pPr>
      <w:widowControl w:val="0"/>
      <w:adjustRightInd w:val="0"/>
      <w:spacing w:line="360" w:lineRule="atLeast"/>
      <w:ind w:left="360" w:firstLine="540"/>
      <w:textAlignment w:val="baseline"/>
    </w:pPr>
    <w:rPr>
      <w:rFonts w:ascii="Times New Roman"/>
      <w:color w:val="000000"/>
      <w:kern w:val="0"/>
      <w:sz w:val="28"/>
      <w:szCs w:val="20"/>
    </w:rPr>
  </w:style>
  <w:style w:type="paragraph" w:customStyle="1" w:styleId="168">
    <w:name w:val="xl32"/>
    <w:basedOn w:val="1"/>
    <w:autoRedefine/>
    <w:qFormat/>
    <w:uiPriority w:val="0"/>
    <w:pPr>
      <w:pBdr>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69">
    <w:name w:val="font5"/>
    <w:basedOn w:val="1"/>
    <w:autoRedefine/>
    <w:qFormat/>
    <w:uiPriority w:val="0"/>
    <w:pPr>
      <w:spacing w:before="100" w:beforeAutospacing="1" w:after="100" w:afterAutospacing="1"/>
    </w:pPr>
    <w:rPr>
      <w:rFonts w:hint="eastAsia" w:hAnsi="宋体"/>
      <w:kern w:val="0"/>
      <w:sz w:val="18"/>
      <w:szCs w:val="18"/>
    </w:rPr>
  </w:style>
  <w:style w:type="paragraph" w:customStyle="1" w:styleId="170">
    <w:name w:val="xl57"/>
    <w:basedOn w:val="1"/>
    <w:autoRedefine/>
    <w:qFormat/>
    <w:uiPriority w:val="0"/>
    <w:pPr>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71">
    <w:name w:val="xl6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szCs w:val="24"/>
    </w:rPr>
  </w:style>
  <w:style w:type="paragraph" w:customStyle="1" w:styleId="172">
    <w:name w:val="xl24"/>
    <w:basedOn w:val="1"/>
    <w:autoRedefine/>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0"/>
      <w:szCs w:val="20"/>
    </w:rPr>
  </w:style>
  <w:style w:type="paragraph" w:customStyle="1" w:styleId="173">
    <w:name w:val="z正文"/>
    <w:basedOn w:val="1"/>
    <w:autoRedefine/>
    <w:qFormat/>
    <w:uiPriority w:val="0"/>
    <w:pPr>
      <w:widowControl w:val="0"/>
      <w:kinsoku w:val="0"/>
      <w:adjustRightInd w:val="0"/>
      <w:snapToGrid w:val="0"/>
      <w:spacing w:line="360" w:lineRule="auto"/>
      <w:jc w:val="both"/>
    </w:pPr>
    <w:rPr>
      <w:rFonts w:ascii="Arial" w:hAnsi="Arial"/>
      <w:b/>
      <w:kern w:val="0"/>
      <w:sz w:val="28"/>
      <w:szCs w:val="20"/>
    </w:rPr>
  </w:style>
  <w:style w:type="paragraph" w:customStyle="1" w:styleId="174">
    <w:name w:val="xl41"/>
    <w:basedOn w:val="1"/>
    <w:autoRedefine/>
    <w:qFormat/>
    <w:uiPriority w:val="0"/>
    <w:pPr>
      <w:pBdr>
        <w:top w:val="single" w:color="auto" w:sz="4" w:space="0"/>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75">
    <w:name w:val="xl4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textAlignment w:val="center"/>
    </w:pPr>
    <w:rPr>
      <w:rFonts w:ascii="Arial Unicode MS" w:hAnsi="Arial Unicode MS"/>
      <w:kern w:val="0"/>
      <w:sz w:val="24"/>
      <w:szCs w:val="24"/>
    </w:rPr>
  </w:style>
  <w:style w:type="paragraph" w:customStyle="1" w:styleId="176">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eastAsia="Arial Unicode MS"/>
      <w:kern w:val="0"/>
      <w:sz w:val="20"/>
      <w:szCs w:val="20"/>
    </w:rPr>
  </w:style>
  <w:style w:type="paragraph" w:customStyle="1" w:styleId="177">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hAnsi="宋体"/>
      <w:kern w:val="0"/>
      <w:sz w:val="24"/>
      <w:szCs w:val="24"/>
    </w:rPr>
  </w:style>
  <w:style w:type="paragraph" w:customStyle="1" w:styleId="178">
    <w:name w:val="hH"/>
    <w:basedOn w:val="1"/>
    <w:autoRedefine/>
    <w:qFormat/>
    <w:uiPriority w:val="0"/>
    <w:pPr>
      <w:widowControl w:val="0"/>
      <w:adjustRightInd w:val="0"/>
      <w:spacing w:line="360" w:lineRule="auto"/>
      <w:ind w:firstLine="50" w:firstLineChars="50"/>
      <w:textAlignment w:val="baseline"/>
    </w:pPr>
    <w:rPr>
      <w:rFonts w:ascii="Times New Roman"/>
      <w:kern w:val="0"/>
      <w:sz w:val="24"/>
      <w:szCs w:val="24"/>
    </w:rPr>
  </w:style>
  <w:style w:type="paragraph" w:customStyle="1" w:styleId="179">
    <w:name w:val="xl4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80">
    <w:name w:val="正文文本缩进2"/>
    <w:basedOn w:val="1"/>
    <w:autoRedefine/>
    <w:qFormat/>
    <w:uiPriority w:val="0"/>
    <w:pPr>
      <w:widowControl w:val="0"/>
      <w:adjustRightInd w:val="0"/>
      <w:spacing w:line="360" w:lineRule="auto"/>
      <w:ind w:firstLine="225" w:firstLineChars="225"/>
      <w:textAlignment w:val="baseline"/>
    </w:pPr>
    <w:rPr>
      <w:rFonts w:ascii="仿宋_GB2312" w:eastAsia="仿宋_GB2312"/>
      <w:kern w:val="0"/>
      <w:sz w:val="32"/>
      <w:szCs w:val="20"/>
    </w:rPr>
  </w:style>
  <w:style w:type="paragraph" w:customStyle="1" w:styleId="181">
    <w:name w:val="xl33"/>
    <w:basedOn w:val="1"/>
    <w:autoRedefine/>
    <w:qFormat/>
    <w:uiPriority w:val="0"/>
    <w:pPr>
      <w:pBdr>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styleId="182">
    <w:name w:val="List Paragraph"/>
    <w:basedOn w:val="1"/>
    <w:autoRedefine/>
    <w:qFormat/>
    <w:uiPriority w:val="1"/>
    <w:pPr>
      <w:widowControl w:val="0"/>
      <w:adjustRightInd w:val="0"/>
      <w:spacing w:line="360" w:lineRule="atLeast"/>
      <w:ind w:firstLine="420" w:firstLineChars="200"/>
      <w:textAlignment w:val="baseline"/>
    </w:pPr>
    <w:rPr>
      <w:rFonts w:ascii="Times New Roman"/>
      <w:kern w:val="0"/>
      <w:sz w:val="24"/>
      <w:szCs w:val="20"/>
    </w:rPr>
  </w:style>
  <w:style w:type="paragraph" w:customStyle="1" w:styleId="183">
    <w:name w:val="正文文本 21"/>
    <w:basedOn w:val="1"/>
    <w:autoRedefine/>
    <w:qFormat/>
    <w:uiPriority w:val="0"/>
    <w:pPr>
      <w:widowControl w:val="0"/>
      <w:adjustRightInd w:val="0"/>
      <w:spacing w:line="360" w:lineRule="auto"/>
      <w:ind w:firstLine="525"/>
      <w:jc w:val="both"/>
      <w:textAlignment w:val="baseline"/>
    </w:pPr>
    <w:rPr>
      <w:sz w:val="24"/>
      <w:szCs w:val="20"/>
    </w:rPr>
  </w:style>
  <w:style w:type="paragraph" w:customStyle="1" w:styleId="184">
    <w:name w:val="标题后正文"/>
    <w:basedOn w:val="1"/>
    <w:autoRedefine/>
    <w:qFormat/>
    <w:uiPriority w:val="0"/>
    <w:pPr>
      <w:widowControl w:val="0"/>
      <w:adjustRightInd w:val="0"/>
      <w:spacing w:line="360" w:lineRule="auto"/>
      <w:ind w:firstLine="200" w:firstLineChars="200"/>
      <w:jc w:val="both"/>
      <w:textAlignment w:val="baseline"/>
    </w:pPr>
    <w:rPr>
      <w:rFonts w:ascii="Arial" w:hAnsi="Arial"/>
      <w:snapToGrid w:val="0"/>
      <w:kern w:val="28"/>
      <w:sz w:val="24"/>
      <w:szCs w:val="20"/>
    </w:rPr>
  </w:style>
  <w:style w:type="paragraph" w:customStyle="1" w:styleId="185">
    <w:name w:val="xl36"/>
    <w:basedOn w:val="1"/>
    <w:autoRedefine/>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86">
    <w:name w:val="正文编号"/>
    <w:basedOn w:val="1"/>
    <w:autoRedefine/>
    <w:qFormat/>
    <w:uiPriority w:val="0"/>
    <w:pPr>
      <w:widowControl w:val="0"/>
      <w:tabs>
        <w:tab w:val="left" w:pos="1800"/>
      </w:tabs>
      <w:ind w:left="720"/>
    </w:pPr>
    <w:rPr>
      <w:rFonts w:ascii="Times New Roman"/>
      <w:spacing w:val="2"/>
      <w:sz w:val="28"/>
      <w:szCs w:val="24"/>
    </w:rPr>
  </w:style>
  <w:style w:type="paragraph" w:customStyle="1" w:styleId="187">
    <w:name w:val="正文文本缩进1"/>
    <w:basedOn w:val="1"/>
    <w:autoRedefine/>
    <w:qFormat/>
    <w:uiPriority w:val="0"/>
    <w:pPr>
      <w:widowControl w:val="0"/>
      <w:adjustRightInd w:val="0"/>
      <w:spacing w:line="360" w:lineRule="auto"/>
      <w:ind w:firstLine="720" w:firstLineChars="225"/>
      <w:textAlignment w:val="baseline"/>
    </w:pPr>
    <w:rPr>
      <w:rFonts w:ascii="仿宋_GB2312" w:eastAsia="仿宋_GB2312"/>
      <w:kern w:val="0"/>
      <w:sz w:val="32"/>
      <w:szCs w:val="20"/>
    </w:rPr>
  </w:style>
  <w:style w:type="paragraph" w:customStyle="1" w:styleId="188">
    <w:name w:val="=正文格式"/>
    <w:basedOn w:val="1"/>
    <w:autoRedefine/>
    <w:qFormat/>
    <w:uiPriority w:val="0"/>
    <w:pPr>
      <w:adjustRightInd w:val="0"/>
      <w:snapToGrid w:val="0"/>
      <w:spacing w:line="360" w:lineRule="auto"/>
      <w:ind w:firstLine="560" w:firstLineChars="200"/>
      <w:textAlignment w:val="baseline"/>
    </w:pPr>
    <w:rPr>
      <w:rFonts w:ascii="Cambria Math" w:hAnsi="Cambria Math" w:eastAsia="Tahoma"/>
      <w:color w:val="000000"/>
      <w:kern w:val="0"/>
      <w:sz w:val="28"/>
      <w:szCs w:val="28"/>
    </w:rPr>
  </w:style>
  <w:style w:type="paragraph" w:customStyle="1" w:styleId="189">
    <w:name w:val="xl37"/>
    <w:basedOn w:val="1"/>
    <w:autoRedefine/>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90">
    <w:name w:val="xl46"/>
    <w:basedOn w:val="1"/>
    <w:autoRedefine/>
    <w:qFormat/>
    <w:uiPriority w:val="0"/>
    <w:pPr>
      <w:pBdr>
        <w:top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91">
    <w:name w:val="font6"/>
    <w:basedOn w:val="1"/>
    <w:autoRedefine/>
    <w:qFormat/>
    <w:uiPriority w:val="0"/>
    <w:pPr>
      <w:spacing w:before="100" w:beforeAutospacing="1" w:after="100" w:afterAutospacing="1"/>
    </w:pPr>
    <w:rPr>
      <w:rFonts w:ascii="Times New Roman"/>
      <w:kern w:val="0"/>
      <w:sz w:val="24"/>
      <w:szCs w:val="24"/>
    </w:rPr>
  </w:style>
  <w:style w:type="paragraph" w:customStyle="1" w:styleId="192">
    <w:name w:val="xl52"/>
    <w:basedOn w:val="1"/>
    <w:autoRedefine/>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kern w:val="0"/>
      <w:sz w:val="24"/>
      <w:szCs w:val="24"/>
    </w:rPr>
  </w:style>
  <w:style w:type="paragraph" w:customStyle="1" w:styleId="193">
    <w:name w:val="font9"/>
    <w:basedOn w:val="1"/>
    <w:autoRedefine/>
    <w:qFormat/>
    <w:uiPriority w:val="0"/>
    <w:pPr>
      <w:spacing w:before="100" w:beforeAutospacing="1" w:after="100" w:afterAutospacing="1"/>
    </w:pPr>
    <w:rPr>
      <w:rFonts w:hint="eastAsia" w:hAnsi="宋体"/>
      <w:b/>
      <w:bCs/>
      <w:color w:val="000000"/>
      <w:kern w:val="0"/>
      <w:sz w:val="18"/>
      <w:szCs w:val="18"/>
    </w:rPr>
  </w:style>
  <w:style w:type="paragraph" w:customStyle="1" w:styleId="194">
    <w:name w:val="Char"/>
    <w:basedOn w:val="1"/>
    <w:autoRedefine/>
    <w:qFormat/>
    <w:uiPriority w:val="0"/>
    <w:pPr>
      <w:widowControl w:val="0"/>
      <w:jc w:val="both"/>
    </w:pPr>
    <w:rPr>
      <w:rFonts w:ascii="Times New Roman"/>
      <w:szCs w:val="24"/>
    </w:rPr>
  </w:style>
  <w:style w:type="paragraph" w:customStyle="1" w:styleId="195">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eastAsia="Arial Unicode MS"/>
      <w:kern w:val="0"/>
      <w:sz w:val="20"/>
      <w:szCs w:val="20"/>
    </w:rPr>
  </w:style>
  <w:style w:type="paragraph" w:customStyle="1" w:styleId="196">
    <w:name w:val="xl40"/>
    <w:basedOn w:val="1"/>
    <w:autoRedefine/>
    <w:qFormat/>
    <w:uiPriority w:val="0"/>
    <w:pPr>
      <w:pBdr>
        <w:top w:val="single" w:color="auto" w:sz="4" w:space="0"/>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97">
    <w:name w:val="font8"/>
    <w:basedOn w:val="1"/>
    <w:autoRedefine/>
    <w:qFormat/>
    <w:uiPriority w:val="0"/>
    <w:pPr>
      <w:spacing w:before="100" w:beforeAutospacing="1" w:after="100" w:afterAutospacing="1"/>
    </w:pPr>
    <w:rPr>
      <w:rFonts w:hint="eastAsia" w:hAnsi="宋体"/>
      <w:color w:val="000000"/>
      <w:kern w:val="0"/>
      <w:sz w:val="18"/>
      <w:szCs w:val="18"/>
    </w:rPr>
  </w:style>
  <w:style w:type="paragraph" w:customStyle="1" w:styleId="198">
    <w:name w:val="页眉1"/>
    <w:basedOn w:val="1"/>
    <w:autoRedefine/>
    <w:qFormat/>
    <w:uiPriority w:val="0"/>
    <w:pPr>
      <w:widowControl w:val="0"/>
      <w:pBdr>
        <w:bottom w:val="single" w:color="auto" w:sz="6" w:space="1"/>
      </w:pBdr>
      <w:tabs>
        <w:tab w:val="center" w:pos="4153"/>
        <w:tab w:val="right" w:pos="8306"/>
      </w:tabs>
      <w:adjustRightInd w:val="0"/>
      <w:snapToGrid w:val="0"/>
      <w:spacing w:line="360" w:lineRule="atLeast"/>
      <w:jc w:val="center"/>
      <w:textAlignment w:val="baseline"/>
    </w:pPr>
    <w:rPr>
      <w:rFonts w:ascii="Times New Roman"/>
      <w:sz w:val="18"/>
      <w:szCs w:val="20"/>
    </w:rPr>
  </w:style>
  <w:style w:type="paragraph" w:customStyle="1" w:styleId="199">
    <w:name w:val="页脚1"/>
    <w:basedOn w:val="1"/>
    <w:autoRedefine/>
    <w:qFormat/>
    <w:uiPriority w:val="0"/>
    <w:pPr>
      <w:widowControl w:val="0"/>
      <w:tabs>
        <w:tab w:val="center" w:pos="4153"/>
        <w:tab w:val="right" w:pos="8306"/>
      </w:tabs>
      <w:adjustRightInd w:val="0"/>
      <w:snapToGrid w:val="0"/>
      <w:spacing w:line="360" w:lineRule="atLeast"/>
      <w:textAlignment w:val="baseline"/>
    </w:pPr>
    <w:rPr>
      <w:rFonts w:ascii="Times New Roman"/>
      <w:sz w:val="18"/>
      <w:szCs w:val="20"/>
    </w:rPr>
  </w:style>
  <w:style w:type="paragraph" w:customStyle="1" w:styleId="200">
    <w:name w:val="正文缩进1"/>
    <w:basedOn w:val="1"/>
    <w:autoRedefine/>
    <w:qFormat/>
    <w:uiPriority w:val="0"/>
    <w:pPr>
      <w:widowControl w:val="0"/>
      <w:autoSpaceDE w:val="0"/>
      <w:autoSpaceDN w:val="0"/>
      <w:adjustRightInd w:val="0"/>
      <w:ind w:firstLine="420"/>
      <w:jc w:val="both"/>
      <w:textAlignment w:val="baseline"/>
    </w:pPr>
    <w:rPr>
      <w:rFonts w:ascii="Times New Roman"/>
      <w:szCs w:val="20"/>
    </w:rPr>
  </w:style>
  <w:style w:type="character" w:customStyle="1" w:styleId="201">
    <w:name w:val="dbm1o"/>
    <w:autoRedefine/>
    <w:qFormat/>
    <w:uiPriority w:val="0"/>
    <w:rPr>
      <w:color w:val="C2C2C2"/>
    </w:rPr>
  </w:style>
  <w:style w:type="character" w:customStyle="1" w:styleId="202">
    <w:name w:val="curr"/>
    <w:autoRedefine/>
    <w:qFormat/>
    <w:uiPriority w:val="0"/>
    <w:rPr>
      <w:color w:val="336699"/>
      <w:shd w:val="clear" w:color="auto" w:fill="FFFFFF"/>
    </w:rPr>
  </w:style>
  <w:style w:type="character" w:customStyle="1" w:styleId="203">
    <w:name w:val="zucetime"/>
    <w:autoRedefine/>
    <w:qFormat/>
    <w:uiPriority w:val="0"/>
  </w:style>
  <w:style w:type="character" w:customStyle="1" w:styleId="204">
    <w:name w:val="zucebt"/>
    <w:autoRedefine/>
    <w:qFormat/>
    <w:uiPriority w:val="0"/>
  </w:style>
  <w:style w:type="paragraph" w:customStyle="1" w:styleId="205">
    <w:name w:val="正文1"/>
    <w:basedOn w:val="1"/>
    <w:autoRedefine/>
    <w:qFormat/>
    <w:uiPriority w:val="0"/>
    <w:pPr>
      <w:widowControl w:val="0"/>
      <w:adjustRightInd w:val="0"/>
      <w:spacing w:line="318" w:lineRule="atLeast"/>
      <w:ind w:left="369" w:firstLine="369"/>
      <w:textAlignment w:val="baseline"/>
    </w:pPr>
    <w:rPr>
      <w:rFonts w:ascii="Times New Roman"/>
      <w:kern w:val="0"/>
      <w:sz w:val="24"/>
      <w:szCs w:val="20"/>
    </w:rPr>
  </w:style>
  <w:style w:type="paragraph" w:customStyle="1" w:styleId="206">
    <w:name w:val="Body text|1"/>
    <w:basedOn w:val="1"/>
    <w:autoRedefine/>
    <w:qFormat/>
    <w:uiPriority w:val="0"/>
    <w:pPr>
      <w:widowControl w:val="0"/>
      <w:adjustRightInd w:val="0"/>
      <w:spacing w:line="408" w:lineRule="auto"/>
      <w:ind w:firstLine="400"/>
      <w:textAlignment w:val="baseline"/>
    </w:pPr>
    <w:rPr>
      <w:rFonts w:hAnsi="宋体" w:cs="宋体"/>
      <w:kern w:val="0"/>
      <w:sz w:val="24"/>
      <w:szCs w:val="20"/>
      <w:lang w:val="zh-TW" w:eastAsia="zh-TW" w:bidi="zh-TW"/>
    </w:rPr>
  </w:style>
  <w:style w:type="paragraph" w:customStyle="1" w:styleId="207">
    <w:name w:val="Header or footer|2"/>
    <w:basedOn w:val="1"/>
    <w:autoRedefine/>
    <w:qFormat/>
    <w:uiPriority w:val="0"/>
    <w:pPr>
      <w:widowControl w:val="0"/>
      <w:adjustRightInd w:val="0"/>
      <w:spacing w:line="360" w:lineRule="atLeast"/>
      <w:textAlignment w:val="baseline"/>
    </w:pPr>
    <w:rPr>
      <w:rFonts w:ascii="Times New Roman"/>
      <w:kern w:val="0"/>
      <w:sz w:val="20"/>
      <w:szCs w:val="20"/>
      <w:lang w:val="zh-TW" w:eastAsia="zh-TW" w:bidi="zh-TW"/>
    </w:rPr>
  </w:style>
  <w:style w:type="paragraph" w:customStyle="1" w:styleId="208">
    <w:name w:val="Heading #5|1"/>
    <w:basedOn w:val="1"/>
    <w:autoRedefine/>
    <w:qFormat/>
    <w:uiPriority w:val="0"/>
    <w:pPr>
      <w:widowControl w:val="0"/>
      <w:adjustRightInd w:val="0"/>
      <w:spacing w:after="70" w:line="360" w:lineRule="atLeast"/>
      <w:textAlignment w:val="baseline"/>
      <w:outlineLvl w:val="4"/>
    </w:pPr>
    <w:rPr>
      <w:rFonts w:hAnsi="宋体" w:cs="宋体"/>
      <w:kern w:val="0"/>
      <w:sz w:val="28"/>
      <w:szCs w:val="28"/>
      <w:lang w:val="zh-TW" w:eastAsia="zh-TW" w:bidi="zh-TW"/>
    </w:rPr>
  </w:style>
  <w:style w:type="paragraph" w:customStyle="1" w:styleId="209">
    <w:name w:val="Body text|2"/>
    <w:basedOn w:val="1"/>
    <w:autoRedefine/>
    <w:qFormat/>
    <w:uiPriority w:val="0"/>
    <w:pPr>
      <w:widowControl w:val="0"/>
      <w:adjustRightInd w:val="0"/>
      <w:spacing w:after="60" w:line="360" w:lineRule="atLeast"/>
      <w:textAlignment w:val="baseline"/>
    </w:pPr>
    <w:rPr>
      <w:rFonts w:hAnsi="宋体" w:cs="宋体"/>
      <w:kern w:val="0"/>
      <w:sz w:val="20"/>
      <w:szCs w:val="20"/>
      <w:lang w:val="zh-TW" w:eastAsia="zh-TW" w:bidi="zh-TW"/>
    </w:rPr>
  </w:style>
  <w:style w:type="paragraph" w:customStyle="1" w:styleId="210">
    <w:name w:val="Heading #6|1"/>
    <w:basedOn w:val="1"/>
    <w:autoRedefine/>
    <w:qFormat/>
    <w:uiPriority w:val="0"/>
    <w:pPr>
      <w:widowControl w:val="0"/>
      <w:adjustRightInd w:val="0"/>
      <w:spacing w:line="360" w:lineRule="atLeast"/>
      <w:textAlignment w:val="baseline"/>
      <w:outlineLvl w:val="5"/>
    </w:pPr>
    <w:rPr>
      <w:rFonts w:hAnsi="宋体" w:cs="宋体"/>
      <w:kern w:val="0"/>
      <w:sz w:val="28"/>
      <w:szCs w:val="28"/>
      <w:lang w:val="zh-TW" w:eastAsia="zh-TW" w:bidi="zh-TW"/>
    </w:rPr>
  </w:style>
  <w:style w:type="paragraph" w:customStyle="1" w:styleId="211">
    <w:name w:val="Table caption|1"/>
    <w:basedOn w:val="1"/>
    <w:autoRedefine/>
    <w:qFormat/>
    <w:uiPriority w:val="0"/>
    <w:pPr>
      <w:widowControl w:val="0"/>
      <w:adjustRightInd w:val="0"/>
      <w:spacing w:line="360" w:lineRule="atLeast"/>
      <w:textAlignment w:val="baseline"/>
    </w:pPr>
    <w:rPr>
      <w:rFonts w:hAnsi="宋体" w:cs="宋体"/>
      <w:kern w:val="0"/>
      <w:sz w:val="24"/>
      <w:szCs w:val="20"/>
      <w:lang w:val="zh-TW" w:eastAsia="zh-TW" w:bidi="zh-TW"/>
    </w:rPr>
  </w:style>
  <w:style w:type="paragraph" w:customStyle="1" w:styleId="212">
    <w:name w:val="Other|1"/>
    <w:basedOn w:val="1"/>
    <w:autoRedefine/>
    <w:qFormat/>
    <w:uiPriority w:val="0"/>
    <w:pPr>
      <w:widowControl w:val="0"/>
      <w:adjustRightInd w:val="0"/>
      <w:spacing w:line="408" w:lineRule="auto"/>
      <w:ind w:firstLine="400"/>
      <w:textAlignment w:val="baseline"/>
    </w:pPr>
    <w:rPr>
      <w:rFonts w:hAnsi="宋体" w:cs="宋体"/>
      <w:kern w:val="0"/>
      <w:sz w:val="24"/>
      <w:szCs w:val="20"/>
      <w:lang w:val="zh-TW" w:eastAsia="zh-TW" w:bidi="zh-TW"/>
    </w:rPr>
  </w:style>
  <w:style w:type="paragraph" w:customStyle="1" w:styleId="213">
    <w:name w:val="Body text|3"/>
    <w:basedOn w:val="1"/>
    <w:autoRedefine/>
    <w:qFormat/>
    <w:uiPriority w:val="0"/>
    <w:pPr>
      <w:widowControl w:val="0"/>
      <w:adjustRightInd w:val="0"/>
      <w:spacing w:line="360" w:lineRule="atLeast"/>
      <w:textAlignment w:val="baseline"/>
    </w:pPr>
    <w:rPr>
      <w:rFonts w:ascii="Times New Roman"/>
      <w:b/>
      <w:bCs/>
      <w:kern w:val="0"/>
      <w:sz w:val="22"/>
      <w:szCs w:val="22"/>
    </w:rPr>
  </w:style>
  <w:style w:type="paragraph" w:customStyle="1" w:styleId="214">
    <w:name w:val="Heading #7|1"/>
    <w:basedOn w:val="1"/>
    <w:autoRedefine/>
    <w:qFormat/>
    <w:uiPriority w:val="0"/>
    <w:pPr>
      <w:widowControl w:val="0"/>
      <w:adjustRightInd w:val="0"/>
      <w:spacing w:after="180" w:line="360" w:lineRule="atLeast"/>
      <w:textAlignment w:val="baseline"/>
      <w:outlineLvl w:val="6"/>
    </w:pPr>
    <w:rPr>
      <w:rFonts w:hAnsi="宋体" w:cs="宋体"/>
      <w:kern w:val="0"/>
      <w:sz w:val="28"/>
      <w:szCs w:val="28"/>
      <w:lang w:val="zh-TW" w:eastAsia="zh-TW" w:bidi="zh-TW"/>
    </w:rPr>
  </w:style>
  <w:style w:type="paragraph" w:customStyle="1" w:styleId="215">
    <w:name w:val="Header or footer|1"/>
    <w:basedOn w:val="1"/>
    <w:autoRedefine/>
    <w:qFormat/>
    <w:uiPriority w:val="0"/>
    <w:pPr>
      <w:widowControl w:val="0"/>
      <w:adjustRightInd w:val="0"/>
      <w:spacing w:line="360" w:lineRule="atLeast"/>
      <w:textAlignment w:val="baseline"/>
    </w:pPr>
    <w:rPr>
      <w:rFonts w:hAnsi="宋体" w:cs="宋体"/>
      <w:kern w:val="0"/>
      <w:sz w:val="20"/>
      <w:szCs w:val="20"/>
      <w:lang w:val="zh-TW" w:eastAsia="zh-TW" w:bidi="zh-TW"/>
    </w:rPr>
  </w:style>
  <w:style w:type="paragraph" w:customStyle="1" w:styleId="216">
    <w:name w:val="a)初设文字-指标"/>
    <w:basedOn w:val="217"/>
    <w:autoRedefine/>
    <w:qFormat/>
    <w:uiPriority w:val="0"/>
    <w:pPr>
      <w:tabs>
        <w:tab w:val="right" w:pos="7770"/>
      </w:tabs>
      <w:spacing w:line="360" w:lineRule="auto"/>
      <w:ind w:left="630" w:leftChars="300"/>
    </w:pPr>
  </w:style>
  <w:style w:type="paragraph" w:customStyle="1" w:styleId="217">
    <w:name w:val="a)初设正文-段落"/>
    <w:basedOn w:val="1"/>
    <w:autoRedefine/>
    <w:qFormat/>
    <w:uiPriority w:val="0"/>
    <w:pPr>
      <w:widowControl w:val="0"/>
      <w:adjustRightInd w:val="0"/>
      <w:spacing w:line="360" w:lineRule="atLeast"/>
      <w:textAlignment w:val="baseline"/>
    </w:pPr>
    <w:rPr>
      <w:rFonts w:ascii="仿宋_GB2312" w:eastAsia="仿宋_GB2312"/>
      <w:kern w:val="0"/>
      <w:sz w:val="24"/>
      <w:szCs w:val="20"/>
    </w:rPr>
  </w:style>
  <w:style w:type="paragraph" w:customStyle="1" w:styleId="218">
    <w:name w:val="表文字"/>
    <w:basedOn w:val="1"/>
    <w:autoRedefine/>
    <w:qFormat/>
    <w:uiPriority w:val="0"/>
    <w:pPr>
      <w:widowControl w:val="0"/>
      <w:adjustRightInd w:val="0"/>
      <w:textAlignment w:val="baseline"/>
    </w:pPr>
    <w:rPr>
      <w:rFonts w:ascii="Times New Roman"/>
      <w:bCs/>
      <w:kern w:val="0"/>
      <w:sz w:val="24"/>
      <w:szCs w:val="20"/>
    </w:rPr>
  </w:style>
  <w:style w:type="paragraph" w:customStyle="1" w:styleId="219">
    <w:name w:val="m标题 2"/>
    <w:next w:val="1"/>
    <w:autoRedefine/>
    <w:qFormat/>
    <w:uiPriority w:val="0"/>
    <w:pPr>
      <w:keepNext/>
      <w:adjustRightInd w:val="0"/>
      <w:spacing w:line="360" w:lineRule="auto"/>
      <w:outlineLvl w:val="1"/>
    </w:pPr>
    <w:rPr>
      <w:rFonts w:ascii="Cambria" w:hAnsi="Cambria" w:eastAsia="宋体" w:cs="Times New Roman"/>
      <w:b/>
      <w:bCs/>
      <w:kern w:val="2"/>
      <w:sz w:val="28"/>
      <w:szCs w:val="28"/>
      <w:lang w:val="en-US" w:eastAsia="en-US" w:bidi="ar-SA"/>
    </w:rPr>
  </w:style>
  <w:style w:type="paragraph" w:customStyle="1" w:styleId="220">
    <w:name w:val="content"/>
    <w:autoRedefine/>
    <w:qFormat/>
    <w:uiPriority w:val="0"/>
    <w:pPr>
      <w:adjustRightInd w:val="0"/>
      <w:spacing w:line="360" w:lineRule="auto"/>
      <w:ind w:firstLine="480" w:firstLineChars="200"/>
      <w:jc w:val="both"/>
    </w:pPr>
    <w:rPr>
      <w:rFonts w:ascii="Times New Roman" w:hAnsi="Times New Roman" w:eastAsia="宋体" w:cs="Times New Roman"/>
      <w:sz w:val="28"/>
      <w:szCs w:val="24"/>
      <w:lang w:val="en-US" w:eastAsia="zh-CN" w:bidi="ar-SA"/>
    </w:rPr>
  </w:style>
  <w:style w:type="character" w:customStyle="1" w:styleId="221">
    <w:name w:val="font51"/>
    <w:autoRedefine/>
    <w:qFormat/>
    <w:uiPriority w:val="0"/>
    <w:rPr>
      <w:rFonts w:hint="default" w:ascii="Calibri" w:hAnsi="Calibri" w:cs="Calibri"/>
      <w:color w:val="000000"/>
      <w:sz w:val="18"/>
      <w:szCs w:val="18"/>
      <w:u w:val="none"/>
    </w:rPr>
  </w:style>
  <w:style w:type="paragraph" w:customStyle="1" w:styleId="222">
    <w:name w:val="修订2"/>
    <w:autoRedefine/>
    <w:hidden/>
    <w:semiHidden/>
    <w:qFormat/>
    <w:uiPriority w:val="99"/>
    <w:rPr>
      <w:rFonts w:ascii="宋体" w:hAnsi="Times New Roman" w:eastAsia="宋体" w:cs="Times New Roman"/>
      <w:kern w:val="2"/>
      <w:sz w:val="21"/>
      <w:szCs w:val="21"/>
      <w:lang w:val="en-US" w:eastAsia="zh-CN" w:bidi="ar-SA"/>
    </w:rPr>
  </w:style>
  <w:style w:type="character" w:customStyle="1" w:styleId="223">
    <w:name w:val="content-right_8zs40"/>
    <w:basedOn w:val="56"/>
    <w:autoRedefine/>
    <w:qFormat/>
    <w:uiPriority w:val="0"/>
  </w:style>
  <w:style w:type="character" w:styleId="224">
    <w:name w:val="Placeholder Text"/>
    <w:basedOn w:val="56"/>
    <w:autoRedefine/>
    <w:semiHidden/>
    <w:qFormat/>
    <w:uiPriority w:val="99"/>
    <w:rPr>
      <w:color w:val="808080"/>
    </w:rPr>
  </w:style>
  <w:style w:type="character" w:customStyle="1" w:styleId="225">
    <w:name w:val="0 正文 Char"/>
    <w:link w:val="226"/>
    <w:autoRedefine/>
    <w:qFormat/>
    <w:uiPriority w:val="0"/>
    <w:rPr>
      <w:sz w:val="24"/>
      <w:szCs w:val="24"/>
    </w:rPr>
  </w:style>
  <w:style w:type="paragraph" w:customStyle="1" w:styleId="226">
    <w:name w:val="0 正文"/>
    <w:basedOn w:val="1"/>
    <w:link w:val="225"/>
    <w:autoRedefine/>
    <w:qFormat/>
    <w:uiPriority w:val="0"/>
    <w:pPr>
      <w:widowControl w:val="0"/>
      <w:topLinePunct/>
      <w:autoSpaceDE w:val="0"/>
      <w:autoSpaceDN w:val="0"/>
      <w:spacing w:line="360" w:lineRule="auto"/>
      <w:ind w:firstLine="200" w:firstLineChars="200"/>
      <w:jc w:val="both"/>
    </w:pPr>
    <w:rPr>
      <w:rFonts w:ascii="Times New Roman"/>
      <w:kern w:val="0"/>
      <w:sz w:val="24"/>
      <w:szCs w:val="24"/>
    </w:rPr>
  </w:style>
  <w:style w:type="paragraph" w:customStyle="1" w:styleId="227">
    <w:name w:val="Heading #2|1"/>
    <w:basedOn w:val="1"/>
    <w:autoRedefine/>
    <w:qFormat/>
    <w:uiPriority w:val="0"/>
    <w:pPr>
      <w:widowControl w:val="0"/>
      <w:autoSpaceDE w:val="0"/>
      <w:autoSpaceDN w:val="0"/>
      <w:spacing w:after="200"/>
      <w:outlineLvl w:val="1"/>
    </w:pPr>
    <w:rPr>
      <w:rFonts w:hAnsi="宋体" w:cs="宋体"/>
      <w:kern w:val="0"/>
      <w:sz w:val="28"/>
      <w:szCs w:val="28"/>
      <w:lang w:val="zh-TW" w:eastAsia="zh-TW" w:bidi="zh-TW"/>
    </w:rPr>
  </w:style>
  <w:style w:type="character" w:customStyle="1" w:styleId="228">
    <w:name w:val="批注文字 Char"/>
    <w:autoRedefine/>
    <w:qFormat/>
    <w:locked/>
    <w:uiPriority w:val="0"/>
    <w:rPr>
      <w:rFonts w:ascii="Times New Roman" w:hAnsi="Times New Roman" w:eastAsia="宋体"/>
      <w:sz w:val="24"/>
    </w:rPr>
  </w:style>
  <w:style w:type="character" w:customStyle="1" w:styleId="229">
    <w:name w:val="正文文本 Char"/>
    <w:autoRedefine/>
    <w:qFormat/>
    <w:locked/>
    <w:uiPriority w:val="99"/>
    <w:rPr>
      <w:sz w:val="18"/>
    </w:rPr>
  </w:style>
  <w:style w:type="paragraph" w:customStyle="1" w:styleId="230">
    <w:name w:val="_Style 224"/>
    <w:basedOn w:val="1"/>
    <w:next w:val="1"/>
    <w:autoRedefine/>
    <w:qFormat/>
    <w:uiPriority w:val="39"/>
    <w:pPr>
      <w:ind w:left="840" w:leftChars="400"/>
    </w:pPr>
    <w:rPr>
      <w:rFonts w:ascii="Calibri"/>
    </w:rPr>
  </w:style>
  <w:style w:type="character" w:customStyle="1" w:styleId="231">
    <w:name w:val="cf01"/>
    <w:basedOn w:val="56"/>
    <w:autoRedefine/>
    <w:qFormat/>
    <w:uiPriority w:val="0"/>
    <w:rPr>
      <w:rFonts w:hint="eastAsia" w:ascii="Microsoft YaHei UI" w:hAnsi="Microsoft YaHei UI" w:eastAsia="Microsoft YaHei UI"/>
      <w:sz w:val="18"/>
      <w:szCs w:val="18"/>
    </w:rPr>
  </w:style>
  <w:style w:type="character" w:customStyle="1" w:styleId="232">
    <w:name w:val="16"/>
    <w:autoRedefine/>
    <w:qFormat/>
    <w:uiPriority w:val="0"/>
    <w:rPr>
      <w:rFonts w:ascii="Times New Roman" w:hAnsi="Times New Roman"/>
      <w:color w:val="000000"/>
      <w:sz w:val="20"/>
      <w:szCs w:val="20"/>
    </w:rPr>
  </w:style>
  <w:style w:type="character" w:customStyle="1" w:styleId="233">
    <w:name w:val="15"/>
    <w:autoRedefine/>
    <w:qFormat/>
    <w:uiPriority w:val="0"/>
    <w:rPr>
      <w:rFonts w:hint="eastAsia" w:ascii="宋体" w:hAnsi="宋体" w:eastAsia="宋体"/>
      <w:color w:val="000000"/>
      <w:sz w:val="20"/>
      <w:szCs w:val="20"/>
    </w:rPr>
  </w:style>
  <w:style w:type="character" w:customStyle="1" w:styleId="234">
    <w:name w:val="正文缩进 Char"/>
    <w:link w:val="6"/>
    <w:autoRedefine/>
    <w:qFormat/>
    <w:locked/>
    <w:uiPriority w:val="0"/>
    <w:rPr>
      <w:kern w:val="2"/>
      <w:sz w:val="21"/>
    </w:rPr>
  </w:style>
  <w:style w:type="paragraph" w:customStyle="1" w:styleId="235">
    <w:name w:val="0正文格式"/>
    <w:basedOn w:val="1"/>
    <w:autoRedefine/>
    <w:qFormat/>
    <w:uiPriority w:val="0"/>
    <w:pPr>
      <w:ind w:firstLine="544" w:firstLineChars="200"/>
    </w:pPr>
    <w:rPr>
      <w:kern w:val="0"/>
    </w:rPr>
  </w:style>
  <w:style w:type="paragraph" w:customStyle="1" w:styleId="236">
    <w:name w:val="表格正文"/>
    <w:basedOn w:val="1"/>
    <w:next w:val="1"/>
    <w:autoRedefine/>
    <w:qFormat/>
    <w:uiPriority w:val="0"/>
    <w:pPr>
      <w:spacing w:line="320" w:lineRule="exact"/>
      <w:jc w:val="center"/>
    </w:pPr>
    <w:rPr>
      <w:rFonts w:ascii="Times New Roman"/>
      <w:kern w:val="0"/>
      <w:sz w:val="20"/>
      <w:szCs w:val="24"/>
    </w:rPr>
  </w:style>
  <w:style w:type="character" w:customStyle="1" w:styleId="237">
    <w:name w:val="正文首行缩进 Char"/>
    <w:link w:val="52"/>
    <w:autoRedefine/>
    <w:qFormat/>
    <w:uiPriority w:val="0"/>
    <w:rPr>
      <w:kern w:val="2"/>
      <w:sz w:val="21"/>
      <w:szCs w:val="24"/>
    </w:rPr>
  </w:style>
  <w:style w:type="paragraph" w:customStyle="1" w:styleId="238">
    <w:name w:val="图表标题"/>
    <w:basedOn w:val="1"/>
    <w:autoRedefine/>
    <w:qFormat/>
    <w:uiPriority w:val="0"/>
    <w:pPr>
      <w:widowControl w:val="0"/>
      <w:spacing w:line="480" w:lineRule="exact"/>
      <w:jc w:val="center"/>
    </w:pPr>
    <w:rPr>
      <w:b/>
      <w:kern w:val="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34.jpeg"/><Relationship Id="rId7" Type="http://schemas.openxmlformats.org/officeDocument/2006/relationships/footer" Target="footer4.xml"/><Relationship Id="rId69" Type="http://schemas.openxmlformats.org/officeDocument/2006/relationships/image" Target="media/image33.png"/><Relationship Id="rId68" Type="http://schemas.openxmlformats.org/officeDocument/2006/relationships/image" Target="media/image32.wmf"/><Relationship Id="rId67" Type="http://schemas.openxmlformats.org/officeDocument/2006/relationships/oleObject" Target="embeddings/oleObject18.bin"/><Relationship Id="rId66" Type="http://schemas.openxmlformats.org/officeDocument/2006/relationships/image" Target="media/image31.wmf"/><Relationship Id="rId65" Type="http://schemas.openxmlformats.org/officeDocument/2006/relationships/oleObject" Target="embeddings/oleObject17.bin"/><Relationship Id="rId64" Type="http://schemas.openxmlformats.org/officeDocument/2006/relationships/image" Target="media/image30.wmf"/><Relationship Id="rId63" Type="http://schemas.openxmlformats.org/officeDocument/2006/relationships/oleObject" Target="embeddings/oleObject16.bin"/><Relationship Id="rId62" Type="http://schemas.openxmlformats.org/officeDocument/2006/relationships/image" Target="media/image29.wmf"/><Relationship Id="rId61" Type="http://schemas.openxmlformats.org/officeDocument/2006/relationships/image" Target="media/image28.wmf"/><Relationship Id="rId60" Type="http://schemas.openxmlformats.org/officeDocument/2006/relationships/oleObject" Target="embeddings/oleObject15.bin"/><Relationship Id="rId6" Type="http://schemas.openxmlformats.org/officeDocument/2006/relationships/footer" Target="footer3.xml"/><Relationship Id="rId59" Type="http://schemas.openxmlformats.org/officeDocument/2006/relationships/image" Target="media/image27.wmf"/><Relationship Id="rId58" Type="http://schemas.openxmlformats.org/officeDocument/2006/relationships/oleObject" Target="embeddings/oleObject14.bin"/><Relationship Id="rId57" Type="http://schemas.openxmlformats.org/officeDocument/2006/relationships/image" Target="media/image26.wmf"/><Relationship Id="rId56" Type="http://schemas.openxmlformats.org/officeDocument/2006/relationships/oleObject" Target="embeddings/oleObject13.bin"/><Relationship Id="rId55" Type="http://schemas.openxmlformats.org/officeDocument/2006/relationships/image" Target="media/image25.wmf"/><Relationship Id="rId54" Type="http://schemas.openxmlformats.org/officeDocument/2006/relationships/oleObject" Target="embeddings/oleObject12.bin"/><Relationship Id="rId53" Type="http://schemas.openxmlformats.org/officeDocument/2006/relationships/image" Target="media/image24.wmf"/><Relationship Id="rId52" Type="http://schemas.openxmlformats.org/officeDocument/2006/relationships/oleObject" Target="embeddings/oleObject11.bin"/><Relationship Id="rId51" Type="http://schemas.openxmlformats.org/officeDocument/2006/relationships/image" Target="media/image23.wmf"/><Relationship Id="rId50" Type="http://schemas.openxmlformats.org/officeDocument/2006/relationships/oleObject" Target="embeddings/oleObject10.bin"/><Relationship Id="rId5" Type="http://schemas.openxmlformats.org/officeDocument/2006/relationships/footer" Target="footer2.xml"/><Relationship Id="rId49" Type="http://schemas.openxmlformats.org/officeDocument/2006/relationships/image" Target="media/image22.wmf"/><Relationship Id="rId48" Type="http://schemas.openxmlformats.org/officeDocument/2006/relationships/oleObject" Target="embeddings/oleObject9.bin"/><Relationship Id="rId47" Type="http://schemas.openxmlformats.org/officeDocument/2006/relationships/image" Target="media/image21.wmf"/><Relationship Id="rId46" Type="http://schemas.openxmlformats.org/officeDocument/2006/relationships/oleObject" Target="embeddings/oleObject8.bin"/><Relationship Id="rId45" Type="http://schemas.openxmlformats.org/officeDocument/2006/relationships/image" Target="media/image20.wmf"/><Relationship Id="rId44" Type="http://schemas.openxmlformats.org/officeDocument/2006/relationships/oleObject" Target="embeddings/oleObject7.bin"/><Relationship Id="rId43" Type="http://schemas.openxmlformats.org/officeDocument/2006/relationships/image" Target="media/image19.wmf"/><Relationship Id="rId42" Type="http://schemas.openxmlformats.org/officeDocument/2006/relationships/oleObject" Target="embeddings/oleObject6.bin"/><Relationship Id="rId41" Type="http://schemas.openxmlformats.org/officeDocument/2006/relationships/image" Target="media/image18.wmf"/><Relationship Id="rId40" Type="http://schemas.openxmlformats.org/officeDocument/2006/relationships/oleObject" Target="embeddings/oleObject5.bin"/><Relationship Id="rId4" Type="http://schemas.openxmlformats.org/officeDocument/2006/relationships/footer" Target="footer1.xml"/><Relationship Id="rId39" Type="http://schemas.openxmlformats.org/officeDocument/2006/relationships/image" Target="media/image17.wmf"/><Relationship Id="rId38" Type="http://schemas.openxmlformats.org/officeDocument/2006/relationships/oleObject" Target="embeddings/oleObject4.bin"/><Relationship Id="rId37" Type="http://schemas.openxmlformats.org/officeDocument/2006/relationships/image" Target="media/image16.wmf"/><Relationship Id="rId36" Type="http://schemas.openxmlformats.org/officeDocument/2006/relationships/oleObject" Target="embeddings/oleObject3.bin"/><Relationship Id="rId35" Type="http://schemas.openxmlformats.org/officeDocument/2006/relationships/image" Target="media/image15.wmf"/><Relationship Id="rId34" Type="http://schemas.openxmlformats.org/officeDocument/2006/relationships/oleObject" Target="embeddings/oleObject2.bin"/><Relationship Id="rId33" Type="http://schemas.openxmlformats.org/officeDocument/2006/relationships/image" Target="media/image14.wmf"/><Relationship Id="rId32" Type="http://schemas.openxmlformats.org/officeDocument/2006/relationships/oleObject" Target="embeddings/oleObject1.bin"/><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49"/>
    <customShpInfo spid="_x0000_s2050"/>
    <customShpInfo spid="_x0000_s1091"/>
    <customShpInfo spid="_x0000_s1090"/>
    <customShpInfo spid="_x0000_s1089"/>
    <customShpInfo spid="_x0000_s1026"/>
    <customShpInfo spid="_x0000_s1068"/>
    <customShpInfo spid="_x0000_s1067"/>
    <customShpInfo spid="_x0000_s1066"/>
    <customShpInfo spid="_x0000_s1065"/>
    <customShpInfo spid="_x0000_s1064"/>
    <customShpInfo spid="_x0000_s1027"/>
    <customShpInfo spid="_x0000_s1028"/>
    <customShpInfo spid="_x0000_s1029"/>
    <customShpInfo spid="_x0000_s1063"/>
    <customShpInfo spid="_x0000_s1062"/>
    <customShpInfo spid="_x0000_s1061"/>
    <customShpInfo spid="_x0000_s1030"/>
    <customShpInfo spid="_x0000_s1060"/>
    <customShpInfo spid="_x0000_s1059"/>
    <customShpInfo spid="_x0000_s1031"/>
    <customShpInfo spid="_x0000_s1032"/>
    <customShpInfo spid="_x0000_s1033"/>
    <customShpInfo spid="_x0000_s1034"/>
    <customShpInfo spid="_x0000_s1035"/>
    <customShpInfo spid="_x0000_s1036"/>
    <customShpInfo spid="_x0000_s1037"/>
    <customShpInfo spid="_x0000_s1038"/>
    <customShpInfo spid="_x0000_s1058"/>
    <customShpInfo spid="_x0000_s1039"/>
    <customShpInfo spid="_x0000_s1088"/>
    <customShpInfo spid="_x0000_s1117"/>
    <customShpInfo spid="_x0000_s1119"/>
    <customShpInfo spid="_x0000_s1118"/>
    <customShpInfo spid="_x0000_s1114"/>
    <customShpInfo spid="_x0000_s1116"/>
    <customShpInfo spid="_x0000_s1115"/>
    <customShpInfo spid="_x0000_s1113"/>
    <customShpInfo spid="_x0000_s1112"/>
    <customShpInfo spid="_x0000_s1111"/>
    <customShpInfo spid="_x0000_s1110"/>
    <customShpInfo spid="_x0000_s1109"/>
    <customShpInfo spid="_x0000_s1108"/>
    <customShpInfo spid="_x0000_s1107"/>
    <customShpInfo spid="_x0000_s11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92</Pages>
  <Words>22149</Words>
  <Characters>24901</Characters>
  <Lines>427</Lines>
  <Paragraphs>120</Paragraphs>
  <TotalTime>2</TotalTime>
  <ScaleCrop>false</ScaleCrop>
  <LinksUpToDate>false</LinksUpToDate>
  <CharactersWithSpaces>25079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2023-11-22T11:43:00Z</dcterms:created>
  <dc:creator>lpss</dc:creator>
  <cp:lastModifiedBy>系统管理员-管理员</cp:lastModifiedBy>
  <cp:lastPrinted>2024-01-30T03:39:00Z</cp:lastPrinted>
  <dcterms:modified xsi:type="dcterms:W3CDTF">2024-12-04T07:57:45Z</dcterms:modified>
  <dc:title>报告表</dc:title>
  <cp:revision>741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FBCE76A3D4DA4F1D8E864F5B8BF4CABC</vt:lpwstr>
  </property>
</Properties>
</file>