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仿宋_GB2312" w:hAnsi="仿宋_GB2312" w:eastAsia="仿宋_GB2312" w:cs="仿宋_GB2312"/>
          <w:sz w:val="36"/>
          <w:szCs w:val="36"/>
        </w:rPr>
      </w:pPr>
      <w:bookmarkStart w:id="0" w:name="_Hlk57883707"/>
    </w:p>
    <w:p>
      <w:pPr>
        <w:ind w:firstLine="0" w:firstLineChars="0"/>
        <w:rPr>
          <w:rFonts w:ascii="仿宋_GB2312" w:hAnsi="仿宋_GB2312" w:eastAsia="仿宋_GB2312" w:cs="仿宋_GB2312"/>
          <w:sz w:val="36"/>
          <w:szCs w:val="36"/>
        </w:rPr>
      </w:pPr>
    </w:p>
    <w:bookmarkEnd w:id="0"/>
    <w:p>
      <w:pPr>
        <w:spacing w:line="240" w:lineRule="auto"/>
        <w:ind w:firstLine="0" w:firstLineChars="0"/>
        <w:jc w:val="center"/>
        <w:outlineLvl w:val="0"/>
        <w:rPr>
          <w:rFonts w:hint="eastAsia" w:ascii="方正小标宋_GBK" w:eastAsia="方正小标宋_GBK"/>
          <w:bCs/>
          <w:color w:val="auto"/>
          <w:sz w:val="72"/>
          <w:szCs w:val="72"/>
        </w:rPr>
      </w:pPr>
      <w:r>
        <w:rPr>
          <w:rFonts w:hint="eastAsia" w:ascii="方正小标宋_GBK" w:eastAsia="方正小标宋_GBK"/>
          <w:bCs/>
          <w:color w:val="auto"/>
          <w:sz w:val="72"/>
          <w:szCs w:val="72"/>
        </w:rPr>
        <w:t>建设项目环境影响报告表</w:t>
      </w:r>
    </w:p>
    <w:p>
      <w:pPr>
        <w:spacing w:before="192" w:beforeLines="80" w:line="240" w:lineRule="auto"/>
        <w:ind w:firstLine="0" w:firstLineChars="0"/>
        <w:jc w:val="center"/>
        <w:rPr>
          <w:rFonts w:hint="eastAsia" w:ascii="楷体_GB2312" w:eastAsia="楷体_GB2312"/>
          <w:bCs/>
          <w:color w:val="auto"/>
          <w:sz w:val="48"/>
          <w:szCs w:val="48"/>
        </w:rPr>
      </w:pPr>
      <w:r>
        <w:rPr>
          <w:rFonts w:hint="eastAsia" w:ascii="楷体_GB2312" w:eastAsia="楷体_GB2312"/>
          <w:bCs/>
          <w:color w:val="auto"/>
          <w:sz w:val="48"/>
          <w:szCs w:val="48"/>
        </w:rPr>
        <w:t>（生态影响类）</w:t>
      </w:r>
    </w:p>
    <w:p>
      <w:pPr>
        <w:ind w:firstLine="1040"/>
        <w:jc w:val="center"/>
        <w:rPr>
          <w:rFonts w:eastAsia="仿宋"/>
          <w:color w:val="auto"/>
          <w:sz w:val="52"/>
          <w:szCs w:val="52"/>
        </w:rPr>
      </w:pPr>
      <w:bookmarkStart w:id="1" w:name="_Hlk57883728"/>
    </w:p>
    <w:p>
      <w:pPr>
        <w:ind w:firstLine="480"/>
        <w:rPr>
          <w:color w:val="auto"/>
        </w:rPr>
      </w:pPr>
    </w:p>
    <w:p>
      <w:pPr>
        <w:ind w:firstLine="880"/>
        <w:rPr>
          <w:rFonts w:eastAsia="仿宋"/>
          <w:color w:val="auto"/>
          <w:sz w:val="44"/>
          <w:szCs w:val="44"/>
        </w:rPr>
      </w:pPr>
    </w:p>
    <w:p>
      <w:pPr>
        <w:ind w:firstLine="880"/>
        <w:rPr>
          <w:rFonts w:eastAsia="仿宋"/>
          <w:color w:val="auto"/>
          <w:sz w:val="44"/>
          <w:szCs w:val="44"/>
        </w:rPr>
      </w:pPr>
    </w:p>
    <w:p>
      <w:pPr>
        <w:ind w:firstLine="880"/>
        <w:rPr>
          <w:rFonts w:eastAsia="仿宋"/>
          <w:color w:val="auto"/>
          <w:sz w:val="44"/>
          <w:szCs w:val="44"/>
        </w:rPr>
      </w:pPr>
    </w:p>
    <w:p>
      <w:pPr>
        <w:ind w:firstLine="880"/>
        <w:rPr>
          <w:rFonts w:eastAsia="仿宋"/>
          <w:color w:val="auto"/>
          <w:sz w:val="44"/>
          <w:szCs w:val="44"/>
        </w:rPr>
      </w:pPr>
    </w:p>
    <w:bookmarkEnd w:id="1"/>
    <w:p>
      <w:pPr>
        <w:spacing w:line="288" w:lineRule="auto"/>
        <w:rPr>
          <w:rFonts w:hint="eastAsia" w:ascii="仿宋_GB2312" w:eastAsia="仿宋_GB2312"/>
          <w:color w:val="auto"/>
          <w:sz w:val="36"/>
          <w:szCs w:val="36"/>
          <w:u w:val="single"/>
        </w:rPr>
      </w:pPr>
      <w:r>
        <w:rPr>
          <w:rFonts w:hint="eastAsia" w:ascii="仿宋_GB2312" w:eastAsia="仿宋_GB2312"/>
          <w:color w:val="auto"/>
          <w:sz w:val="36"/>
          <w:szCs w:val="36"/>
        </w:rPr>
        <w:t>项目名称：</w:t>
      </w:r>
      <w:r>
        <w:rPr>
          <w:rFonts w:hint="eastAsia" w:ascii="仿宋_GB2312" w:eastAsia="仿宋_GB2312"/>
          <w:color w:val="auto"/>
          <w:sz w:val="36"/>
          <w:szCs w:val="36"/>
          <w:u w:val="single"/>
        </w:rPr>
        <w:t>承德丰宁20万千瓦光伏发电项目</w:t>
      </w:r>
    </w:p>
    <w:p>
      <w:pPr>
        <w:spacing w:line="288" w:lineRule="auto"/>
        <w:rPr>
          <w:rFonts w:ascii="仿宋_GB2312" w:eastAsia="仿宋_GB2312"/>
          <w:color w:val="auto"/>
          <w:sz w:val="36"/>
          <w:szCs w:val="36"/>
          <w:u w:val="single"/>
        </w:rPr>
      </w:pPr>
      <w:r>
        <w:rPr>
          <w:rFonts w:hint="eastAsia" w:ascii="仿宋_GB2312" w:eastAsia="仿宋_GB2312"/>
          <w:color w:val="auto"/>
          <w:sz w:val="36"/>
          <w:szCs w:val="36"/>
        </w:rPr>
        <w:t>建设单位（盖章）：</w:t>
      </w:r>
      <w:r>
        <w:rPr>
          <w:rFonts w:hint="eastAsia" w:ascii="仿宋_GB2312" w:eastAsia="仿宋_GB2312"/>
          <w:color w:val="auto"/>
          <w:sz w:val="36"/>
          <w:szCs w:val="36"/>
          <w:u w:val="single"/>
        </w:rPr>
        <w:t>河北沣北新能源有限公司</w:t>
      </w:r>
    </w:p>
    <w:p>
      <w:pPr>
        <w:spacing w:line="288" w:lineRule="auto"/>
        <w:rPr>
          <w:rFonts w:ascii="仿宋_GB2312" w:eastAsia="仿宋_GB2312"/>
          <w:color w:val="auto"/>
          <w:sz w:val="36"/>
          <w:szCs w:val="36"/>
          <w:u w:val="single"/>
        </w:rPr>
      </w:pPr>
      <w:r>
        <w:rPr>
          <w:rFonts w:hint="eastAsia" w:ascii="仿宋_GB2312" w:eastAsia="仿宋_GB2312"/>
          <w:color w:val="auto"/>
          <w:sz w:val="36"/>
          <w:szCs w:val="36"/>
        </w:rPr>
        <w:t>编制日期：</w:t>
      </w:r>
      <w:r>
        <w:rPr>
          <w:rFonts w:hint="eastAsia" w:ascii="仿宋_GB2312" w:eastAsia="仿宋_GB2312"/>
          <w:color w:val="auto"/>
          <w:sz w:val="36"/>
          <w:szCs w:val="36"/>
          <w:u w:val="single"/>
        </w:rPr>
        <w:t xml:space="preserve"> </w:t>
      </w:r>
      <w:r>
        <w:rPr>
          <w:rFonts w:ascii="仿宋_GB2312" w:eastAsia="仿宋_GB2312"/>
          <w:color w:val="auto"/>
          <w:sz w:val="36"/>
          <w:szCs w:val="36"/>
          <w:u w:val="single"/>
        </w:rPr>
        <w:t xml:space="preserve">        </w:t>
      </w:r>
      <w:r>
        <w:rPr>
          <w:rFonts w:hint="eastAsia" w:ascii="仿宋_GB2312" w:eastAsia="仿宋_GB2312"/>
          <w:color w:val="auto"/>
          <w:sz w:val="36"/>
          <w:szCs w:val="36"/>
          <w:u w:val="single"/>
        </w:rPr>
        <w:t>2023年8月</w:t>
      </w:r>
      <w:r>
        <w:rPr>
          <w:rFonts w:ascii="仿宋_GB2312" w:eastAsia="仿宋_GB2312"/>
          <w:color w:val="auto"/>
          <w:sz w:val="36"/>
          <w:szCs w:val="36"/>
          <w:u w:val="single"/>
        </w:rPr>
        <w:t xml:space="preserve">     </w:t>
      </w:r>
      <w:r>
        <w:rPr>
          <w:rFonts w:hint="eastAsia" w:ascii="仿宋_GB2312" w:eastAsia="仿宋_GB2312"/>
          <w:color w:val="auto"/>
          <w:sz w:val="36"/>
          <w:szCs w:val="36"/>
          <w:u w:val="single"/>
        </w:rPr>
        <w:t xml:space="preserve">    </w:t>
      </w:r>
    </w:p>
    <w:p>
      <w:pPr>
        <w:spacing w:line="288" w:lineRule="auto"/>
        <w:rPr>
          <w:rFonts w:ascii="仿宋_GB2312" w:eastAsia="仿宋_GB2312"/>
          <w:color w:val="auto"/>
          <w:sz w:val="36"/>
          <w:szCs w:val="36"/>
          <w:u w:val="single"/>
        </w:rPr>
      </w:pPr>
    </w:p>
    <w:p>
      <w:pPr>
        <w:spacing w:line="288" w:lineRule="auto"/>
        <w:rPr>
          <w:rFonts w:ascii="仿宋_GB2312" w:eastAsia="仿宋_GB2312"/>
          <w:color w:val="auto"/>
          <w:sz w:val="36"/>
          <w:szCs w:val="36"/>
        </w:rPr>
      </w:pPr>
    </w:p>
    <w:p>
      <w:pPr>
        <w:spacing w:line="288" w:lineRule="auto"/>
        <w:ind w:firstLine="0" w:firstLineChars="0"/>
        <w:rPr>
          <w:rFonts w:hint="eastAsia" w:ascii="仿宋_GB2312" w:eastAsia="仿宋_GB2312"/>
          <w:color w:val="auto"/>
          <w:sz w:val="36"/>
          <w:szCs w:val="36"/>
        </w:rPr>
      </w:pPr>
    </w:p>
    <w:p>
      <w:pPr>
        <w:spacing w:line="288" w:lineRule="auto"/>
        <w:ind w:firstLine="0" w:firstLineChars="0"/>
        <w:jc w:val="center"/>
        <w:rPr>
          <w:rFonts w:hint="eastAsia" w:ascii="楷体_GB2312" w:eastAsia="楷体_GB2312"/>
          <w:color w:val="auto"/>
          <w:sz w:val="36"/>
          <w:szCs w:val="36"/>
        </w:rPr>
      </w:pPr>
      <w:r>
        <w:rPr>
          <w:rFonts w:hint="eastAsia" w:ascii="楷体_GB2312" w:eastAsia="楷体_GB2312"/>
          <w:color w:val="auto"/>
          <w:sz w:val="36"/>
          <w:szCs w:val="36"/>
        </w:rPr>
        <w:t>中华人民共和国生态环境部制</w:t>
      </w:r>
    </w:p>
    <w:p>
      <w:pPr>
        <w:spacing w:line="288" w:lineRule="auto"/>
        <w:ind w:firstLine="0" w:firstLineChars="0"/>
        <w:jc w:val="center"/>
        <w:rPr>
          <w:rFonts w:hint="eastAsia" w:ascii="楷体_GB2312" w:eastAsia="楷体_GB2312"/>
          <w:color w:val="auto"/>
          <w:sz w:val="36"/>
          <w:szCs w:val="36"/>
        </w:rPr>
        <w:sectPr>
          <w:headerReference r:id="rId7" w:type="first"/>
          <w:footerReference r:id="rId10" w:type="first"/>
          <w:headerReference r:id="rId5" w:type="default"/>
          <w:footerReference r:id="rId8" w:type="default"/>
          <w:headerReference r:id="rId6" w:type="even"/>
          <w:footerReference r:id="rId9" w:type="even"/>
          <w:pgSz w:w="11906" w:h="16838"/>
          <w:pgMar w:top="1701" w:right="1531" w:bottom="1701" w:left="1531" w:header="851" w:footer="1077" w:gutter="0"/>
          <w:pgNumType w:start="21"/>
          <w:cols w:space="720" w:num="1"/>
          <w:docGrid w:linePitch="312" w:charSpace="0"/>
        </w:sectPr>
      </w:pPr>
    </w:p>
    <w:p>
      <w:pPr>
        <w:ind w:firstLine="600"/>
        <w:jc w:val="center"/>
        <w:outlineLvl w:val="0"/>
        <w:rPr>
          <w:rFonts w:ascii="黑体" w:hAnsi="黑体" w:eastAsia="黑体"/>
          <w:snapToGrid w:val="0"/>
          <w:color w:val="auto"/>
          <w:sz w:val="30"/>
          <w:szCs w:val="30"/>
        </w:rPr>
      </w:pPr>
      <w:r>
        <w:rPr>
          <w:rFonts w:hint="eastAsia" w:ascii="黑体" w:hAnsi="黑体" w:eastAsia="黑体"/>
          <w:snapToGrid w:val="0"/>
          <w:color w:val="auto"/>
          <w:sz w:val="30"/>
          <w:szCs w:val="30"/>
        </w:rPr>
        <w:t>一、建设项目基本情况</w:t>
      </w:r>
    </w:p>
    <w:tbl>
      <w:tblPr>
        <w:tblStyle w:val="20"/>
        <w:tblW w:w="9050" w:type="dxa"/>
        <w:tblInd w:w="16"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790"/>
        <w:gridCol w:w="2479"/>
        <w:gridCol w:w="2218"/>
        <w:gridCol w:w="10"/>
        <w:gridCol w:w="255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790" w:type="dxa"/>
            <w:noWrap w:val="0"/>
            <w:tcMar>
              <w:top w:w="16" w:type="dxa"/>
              <w:left w:w="16" w:type="dxa"/>
              <w:right w:w="16" w:type="dxa"/>
            </w:tcMar>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 w:val="24"/>
              </w:rPr>
            </w:pPr>
            <w:r>
              <w:rPr>
                <w:rFonts w:hint="eastAsia" w:ascii="Times New Roman" w:hAnsi="Times New Roman" w:cs="Times New Roman"/>
                <w:color w:val="auto"/>
                <w:sz w:val="24"/>
              </w:rPr>
              <w:t>建设项目名称</w:t>
            </w:r>
          </w:p>
        </w:tc>
        <w:tc>
          <w:tcPr>
            <w:tcW w:w="7260" w:type="dxa"/>
            <w:gridSpan w:val="4"/>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 w:val="24"/>
              </w:rPr>
            </w:pPr>
            <w:r>
              <w:rPr>
                <w:rFonts w:hint="eastAsia" w:ascii="Times New Roman" w:hAnsi="Times New Roman" w:cs="Times New Roman"/>
                <w:color w:val="auto"/>
                <w:sz w:val="24"/>
              </w:rPr>
              <w:t>承德丰宁20万千瓦光伏发电项目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1790" w:type="dxa"/>
            <w:noWrap w:val="0"/>
            <w:tcMar>
              <w:top w:w="16" w:type="dxa"/>
              <w:left w:w="16" w:type="dxa"/>
              <w:right w:w="16" w:type="dxa"/>
            </w:tcMar>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 w:val="24"/>
              </w:rPr>
            </w:pPr>
            <w:r>
              <w:rPr>
                <w:rFonts w:hint="eastAsia" w:ascii="Times New Roman" w:hAnsi="Times New Roman" w:cs="Times New Roman"/>
                <w:color w:val="auto"/>
                <w:sz w:val="24"/>
              </w:rPr>
              <w:t>项目代码</w:t>
            </w:r>
          </w:p>
        </w:tc>
        <w:tc>
          <w:tcPr>
            <w:tcW w:w="7260" w:type="dxa"/>
            <w:gridSpan w:val="4"/>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sz w:val="24"/>
                <w:szCs w:val="24"/>
              </w:rPr>
              <w:t>2112-130826-89-01-908792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790" w:type="dxa"/>
            <w:noWrap w:val="0"/>
            <w:tcMar>
              <w:top w:w="16" w:type="dxa"/>
              <w:left w:w="16" w:type="dxa"/>
              <w:right w:w="16" w:type="dxa"/>
            </w:tcMar>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 w:val="24"/>
              </w:rPr>
            </w:pPr>
            <w:r>
              <w:rPr>
                <w:rFonts w:hint="eastAsia" w:ascii="Times New Roman" w:hAnsi="Times New Roman" w:cs="Times New Roman"/>
                <w:color w:val="auto"/>
                <w:sz w:val="24"/>
              </w:rPr>
              <w:t>建设单位联系人</w:t>
            </w:r>
          </w:p>
        </w:tc>
        <w:tc>
          <w:tcPr>
            <w:tcW w:w="2479"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 w:val="24"/>
              </w:rPr>
            </w:pPr>
            <w:r>
              <w:rPr>
                <w:rFonts w:hint="eastAsia" w:ascii="Times New Roman" w:hAnsi="Times New Roman" w:cs="Times New Roman"/>
                <w:color w:val="auto"/>
                <w:sz w:val="24"/>
              </w:rPr>
              <w:t>戴东鹏</w:t>
            </w:r>
          </w:p>
        </w:tc>
        <w:tc>
          <w:tcPr>
            <w:tcW w:w="2228" w:type="dxa"/>
            <w:gridSpan w:val="2"/>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 w:val="24"/>
              </w:rPr>
            </w:pPr>
            <w:r>
              <w:rPr>
                <w:rFonts w:hint="eastAsia" w:ascii="Times New Roman" w:hAnsi="Times New Roman" w:cs="Times New Roman"/>
                <w:color w:val="auto"/>
                <w:sz w:val="24"/>
              </w:rPr>
              <w:t>联系方式</w:t>
            </w:r>
          </w:p>
        </w:tc>
        <w:tc>
          <w:tcPr>
            <w:tcW w:w="2553"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 w:val="24"/>
              </w:rPr>
            </w:pPr>
            <w:r>
              <w:rPr>
                <w:rFonts w:hint="eastAsia" w:ascii="Times New Roman" w:hAnsi="Times New Roman" w:cs="Times New Roman"/>
                <w:color w:val="auto"/>
                <w:sz w:val="24"/>
              </w:rPr>
              <w:t>17340799703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790" w:type="dxa"/>
            <w:noWrap w:val="0"/>
            <w:tcMar>
              <w:top w:w="16" w:type="dxa"/>
              <w:left w:w="16" w:type="dxa"/>
              <w:right w:w="16" w:type="dxa"/>
            </w:tcMar>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 w:val="24"/>
              </w:rPr>
            </w:pPr>
            <w:r>
              <w:rPr>
                <w:rFonts w:hint="eastAsia" w:ascii="Times New Roman" w:hAnsi="Times New Roman" w:cs="Times New Roman"/>
                <w:color w:val="auto"/>
                <w:sz w:val="24"/>
              </w:rPr>
              <w:t>建设地点</w:t>
            </w:r>
          </w:p>
        </w:tc>
        <w:tc>
          <w:tcPr>
            <w:tcW w:w="7260" w:type="dxa"/>
            <w:gridSpan w:val="4"/>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 w:val="24"/>
              </w:rPr>
            </w:pPr>
            <w:r>
              <w:rPr>
                <w:rFonts w:hint="eastAsia" w:ascii="Times New Roman" w:hAnsi="Times New Roman" w:cs="Times New Roman"/>
                <w:color w:val="auto"/>
                <w:sz w:val="24"/>
              </w:rPr>
              <w:t>河北省承德市丰宁满族自治县万胜永乡等周边区域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1790" w:type="dxa"/>
            <w:noWrap w:val="0"/>
            <w:tcMar>
              <w:top w:w="16" w:type="dxa"/>
              <w:left w:w="16" w:type="dxa"/>
              <w:right w:w="16" w:type="dxa"/>
            </w:tcMar>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 w:val="24"/>
              </w:rPr>
            </w:pPr>
            <w:r>
              <w:rPr>
                <w:rFonts w:hint="eastAsia" w:ascii="Times New Roman" w:hAnsi="Times New Roman" w:cs="Times New Roman"/>
                <w:color w:val="auto"/>
                <w:sz w:val="24"/>
              </w:rPr>
              <w:t>地理坐标</w:t>
            </w:r>
          </w:p>
        </w:tc>
        <w:tc>
          <w:tcPr>
            <w:tcW w:w="7260" w:type="dxa"/>
            <w:gridSpan w:val="4"/>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 w:val="24"/>
              </w:rPr>
            </w:pPr>
            <w:r>
              <w:rPr>
                <w:rFonts w:hint="default" w:ascii="Times New Roman" w:hAnsi="Times New Roman" w:cs="Times New Roman"/>
                <w:color w:val="auto"/>
                <w:sz w:val="24"/>
              </w:rPr>
              <w:t>升压站中心坐标为E：116°28′21.497″；N：,41°51′58.456″</w:t>
            </w:r>
          </w:p>
          <w:p>
            <w:pPr>
              <w:pStyle w:val="30"/>
              <w:keepNext w:val="0"/>
              <w:keepLines w:val="0"/>
              <w:suppressLineNumbers w:val="0"/>
              <w:spacing w:before="0" w:beforeAutospacing="0" w:after="0" w:afterAutospacing="0"/>
              <w:ind w:left="0" w:right="0"/>
              <w:rPr>
                <w:rFonts w:hint="default" w:ascii="Times New Roman" w:hAnsi="Times New Roman" w:cs="Times New Roman"/>
                <w:color w:val="auto"/>
                <w:sz w:val="24"/>
              </w:rPr>
            </w:pPr>
            <w:r>
              <w:rPr>
                <w:rFonts w:hint="default" w:ascii="Times New Roman" w:hAnsi="Times New Roman" w:cs="Times New Roman"/>
                <w:color w:val="auto"/>
                <w:sz w:val="24"/>
              </w:rPr>
              <w:t>光伏场区各地块中心坐标见表2-1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15" w:hRule="atLeast"/>
        </w:trPr>
        <w:tc>
          <w:tcPr>
            <w:tcW w:w="1790" w:type="dxa"/>
            <w:noWrap w:val="0"/>
            <w:tcMar>
              <w:top w:w="16" w:type="dxa"/>
              <w:left w:w="16" w:type="dxa"/>
              <w:right w:w="16" w:type="dxa"/>
            </w:tcMar>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 w:val="24"/>
              </w:rPr>
            </w:pPr>
            <w:r>
              <w:rPr>
                <w:rFonts w:hint="eastAsia" w:ascii="Times New Roman" w:hAnsi="Times New Roman" w:cs="Times New Roman"/>
                <w:color w:val="auto"/>
                <w:sz w:val="24"/>
              </w:rPr>
              <w:t>建设项目</w:t>
            </w:r>
          </w:p>
          <w:p>
            <w:pPr>
              <w:pStyle w:val="30"/>
              <w:keepNext w:val="0"/>
              <w:keepLines w:val="0"/>
              <w:suppressLineNumbers w:val="0"/>
              <w:spacing w:before="0" w:beforeAutospacing="0" w:after="0" w:afterAutospacing="0"/>
              <w:ind w:left="0" w:right="0"/>
              <w:rPr>
                <w:rFonts w:hint="default" w:ascii="Times New Roman" w:hAnsi="Times New Roman" w:cs="Times New Roman"/>
                <w:color w:val="auto"/>
                <w:sz w:val="24"/>
              </w:rPr>
            </w:pPr>
            <w:r>
              <w:rPr>
                <w:rFonts w:hint="eastAsia" w:ascii="Times New Roman" w:hAnsi="Times New Roman" w:cs="Times New Roman"/>
                <w:color w:val="auto"/>
                <w:sz w:val="24"/>
              </w:rPr>
              <w:t>行业类别</w:t>
            </w:r>
          </w:p>
        </w:tc>
        <w:tc>
          <w:tcPr>
            <w:tcW w:w="2479"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 w:val="24"/>
              </w:rPr>
            </w:pPr>
            <w:r>
              <w:rPr>
                <w:rFonts w:hint="default" w:ascii="Times New Roman" w:hAnsi="Times New Roman" w:cs="Times New Roman"/>
                <w:color w:val="auto"/>
                <w:sz w:val="24"/>
              </w:rPr>
              <w:t>90 陆上风力发电；太阳能发电；其他电力生产</w:t>
            </w:r>
          </w:p>
        </w:tc>
        <w:tc>
          <w:tcPr>
            <w:tcW w:w="2218" w:type="dxa"/>
            <w:noWrap w:val="0"/>
            <w:vAlign w:val="center"/>
          </w:tcPr>
          <w:p>
            <w:pPr>
              <w:pStyle w:val="30"/>
              <w:keepNext w:val="0"/>
              <w:keepLines w:val="0"/>
              <w:suppressLineNumbers w:val="0"/>
              <w:spacing w:before="0" w:beforeAutospacing="0" w:after="0" w:afterAutospacing="0"/>
              <w:ind w:left="0" w:right="0"/>
              <w:jc w:val="left"/>
              <w:rPr>
                <w:rFonts w:hint="eastAsia" w:ascii="Times New Roman" w:hAnsi="Times New Roman" w:cs="Times New Roman"/>
                <w:color w:val="auto"/>
                <w:sz w:val="24"/>
              </w:rPr>
            </w:pPr>
            <w:r>
              <w:rPr>
                <w:rFonts w:hint="eastAsia" w:ascii="Times New Roman" w:hAnsi="Times New Roman" w:cs="Times New Roman"/>
                <w:color w:val="auto"/>
                <w:sz w:val="24"/>
              </w:rPr>
              <w:t>用地（用海）面积（</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2</w:t>
            </w:r>
            <w:r>
              <w:rPr>
                <w:rFonts w:hint="eastAsia" w:ascii="Times New Roman" w:hAnsi="Times New Roman" w:cs="Times New Roman"/>
                <w:color w:val="auto"/>
                <w:sz w:val="24"/>
              </w:rPr>
              <w:t>）</w:t>
            </w:r>
            <w:r>
              <w:rPr>
                <w:rFonts w:hint="default" w:ascii="Times New Roman" w:hAnsi="Times New Roman" w:cs="Times New Roman"/>
                <w:color w:val="auto"/>
                <w:sz w:val="24"/>
              </w:rPr>
              <w:t>/</w:t>
            </w:r>
            <w:r>
              <w:rPr>
                <w:rFonts w:hint="eastAsia" w:ascii="Times New Roman" w:hAnsi="Times New Roman" w:cs="Times New Roman"/>
                <w:color w:val="auto"/>
                <w:sz w:val="24"/>
              </w:rPr>
              <w:t>长度（</w:t>
            </w:r>
            <w:r>
              <w:rPr>
                <w:rFonts w:hint="default" w:ascii="Times New Roman" w:hAnsi="Times New Roman" w:cs="Times New Roman"/>
                <w:color w:val="auto"/>
                <w:sz w:val="24"/>
              </w:rPr>
              <w:t>km</w:t>
            </w:r>
            <w:r>
              <w:rPr>
                <w:rFonts w:hint="eastAsia" w:ascii="Times New Roman" w:hAnsi="Times New Roman" w:cs="Times New Roman"/>
                <w:color w:val="auto"/>
                <w:sz w:val="24"/>
              </w:rPr>
              <w:t>）</w:t>
            </w:r>
          </w:p>
        </w:tc>
        <w:tc>
          <w:tcPr>
            <w:tcW w:w="2563" w:type="dxa"/>
            <w:gridSpan w:val="2"/>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 w:val="24"/>
                <w:lang w:val="en-US"/>
              </w:rPr>
            </w:pPr>
            <w:r>
              <w:rPr>
                <w:rFonts w:hint="eastAsia" w:ascii="Times New Roman" w:hAnsi="Times New Roman" w:cs="Times New Roman"/>
                <w:color w:val="auto"/>
                <w:sz w:val="24"/>
                <w:lang w:val="en-US" w:eastAsia="zh-CN"/>
              </w:rPr>
              <w:t>4625711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4" w:hRule="atLeast"/>
        </w:trPr>
        <w:tc>
          <w:tcPr>
            <w:tcW w:w="1790" w:type="dxa"/>
            <w:noWrap w:val="0"/>
            <w:tcMar>
              <w:top w:w="16" w:type="dxa"/>
              <w:left w:w="16" w:type="dxa"/>
              <w:right w:w="16" w:type="dxa"/>
            </w:tcMar>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 w:val="24"/>
              </w:rPr>
            </w:pPr>
            <w:r>
              <w:rPr>
                <w:rFonts w:hint="eastAsia" w:ascii="Times New Roman" w:hAnsi="Times New Roman" w:cs="Times New Roman"/>
                <w:color w:val="auto"/>
                <w:sz w:val="24"/>
              </w:rPr>
              <w:t>建设性质</w:t>
            </w:r>
          </w:p>
        </w:tc>
        <w:tc>
          <w:tcPr>
            <w:tcW w:w="2479" w:type="dxa"/>
            <w:noWrap w:val="0"/>
            <w:vAlign w:val="center"/>
          </w:tcPr>
          <w:p>
            <w:pPr>
              <w:pStyle w:val="30"/>
              <w:keepNext w:val="0"/>
              <w:keepLines w:val="0"/>
              <w:suppressLineNumbers w:val="0"/>
              <w:spacing w:before="0" w:beforeAutospacing="0" w:after="0" w:afterAutospacing="0"/>
              <w:ind w:left="0" w:right="0"/>
              <w:jc w:val="left"/>
              <w:rPr>
                <w:rFonts w:hint="default" w:ascii="Times New Roman" w:hAnsi="Times New Roman" w:cs="Times New Roman"/>
                <w:color w:val="auto"/>
                <w:sz w:val="24"/>
              </w:rPr>
            </w:pPr>
            <w:r>
              <w:rPr>
                <w:rFonts w:hint="eastAsia" w:ascii="Times New Roman" w:hAnsi="Times New Roman" w:cs="Times New Roman"/>
                <w:color w:val="auto"/>
                <w:sz w:val="24"/>
              </w:rPr>
              <w:sym w:font="Wingdings 2" w:char="0052"/>
            </w:r>
            <w:r>
              <w:rPr>
                <w:rFonts w:hint="eastAsia" w:ascii="Times New Roman" w:hAnsi="Times New Roman" w:cs="Times New Roman"/>
                <w:color w:val="auto"/>
                <w:sz w:val="24"/>
              </w:rPr>
              <w:t>新建（迁建）</w:t>
            </w:r>
          </w:p>
          <w:p>
            <w:pPr>
              <w:pStyle w:val="30"/>
              <w:keepNext w:val="0"/>
              <w:keepLines w:val="0"/>
              <w:suppressLineNumbers w:val="0"/>
              <w:spacing w:before="0" w:beforeAutospacing="0" w:after="0" w:afterAutospacing="0"/>
              <w:ind w:left="0" w:right="0"/>
              <w:jc w:val="left"/>
              <w:rPr>
                <w:rFonts w:hint="default" w:ascii="Times New Roman" w:hAnsi="Times New Roman" w:cs="Times New Roman"/>
                <w:color w:val="auto"/>
                <w:sz w:val="24"/>
              </w:rPr>
            </w:pPr>
            <w:r>
              <w:rPr>
                <w:rFonts w:hint="eastAsia" w:ascii="Times New Roman" w:hAnsi="Times New Roman" w:cs="Times New Roman"/>
                <w:color w:val="auto"/>
                <w:sz w:val="24"/>
              </w:rPr>
              <w:t>□改建</w:t>
            </w:r>
          </w:p>
          <w:p>
            <w:pPr>
              <w:pStyle w:val="30"/>
              <w:keepNext w:val="0"/>
              <w:keepLines w:val="0"/>
              <w:suppressLineNumbers w:val="0"/>
              <w:spacing w:before="0" w:beforeAutospacing="0" w:after="0" w:afterAutospacing="0"/>
              <w:ind w:left="0" w:right="0"/>
              <w:jc w:val="left"/>
              <w:rPr>
                <w:rFonts w:hint="default" w:ascii="Times New Roman" w:hAnsi="Times New Roman" w:cs="Times New Roman"/>
                <w:color w:val="auto"/>
                <w:sz w:val="24"/>
              </w:rPr>
            </w:pPr>
            <w:r>
              <w:rPr>
                <w:rFonts w:hint="eastAsia" w:ascii="Times New Roman" w:hAnsi="Times New Roman" w:cs="Times New Roman"/>
                <w:color w:val="auto"/>
                <w:sz w:val="24"/>
              </w:rPr>
              <w:t>□扩建</w:t>
            </w:r>
          </w:p>
          <w:p>
            <w:pPr>
              <w:pStyle w:val="30"/>
              <w:keepNext w:val="0"/>
              <w:keepLines w:val="0"/>
              <w:suppressLineNumbers w:val="0"/>
              <w:spacing w:before="0" w:beforeAutospacing="0" w:after="0" w:afterAutospacing="0"/>
              <w:ind w:left="0" w:right="0"/>
              <w:jc w:val="left"/>
              <w:rPr>
                <w:rFonts w:hint="default" w:ascii="Times New Roman" w:hAnsi="Times New Roman" w:cs="Times New Roman"/>
                <w:color w:val="auto"/>
                <w:sz w:val="24"/>
              </w:rPr>
            </w:pPr>
            <w:r>
              <w:rPr>
                <w:rFonts w:hint="eastAsia" w:ascii="Times New Roman" w:hAnsi="Times New Roman" w:cs="Times New Roman"/>
                <w:color w:val="auto"/>
                <w:sz w:val="24"/>
              </w:rPr>
              <w:t>□技术改造</w:t>
            </w:r>
          </w:p>
        </w:tc>
        <w:tc>
          <w:tcPr>
            <w:tcW w:w="2218"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 w:val="24"/>
              </w:rPr>
            </w:pPr>
            <w:r>
              <w:rPr>
                <w:rFonts w:hint="eastAsia" w:ascii="Times New Roman" w:hAnsi="Times New Roman" w:cs="Times New Roman"/>
                <w:color w:val="auto"/>
                <w:sz w:val="24"/>
              </w:rPr>
              <w:t>建设项目</w:t>
            </w:r>
          </w:p>
          <w:p>
            <w:pPr>
              <w:pStyle w:val="30"/>
              <w:keepNext w:val="0"/>
              <w:keepLines w:val="0"/>
              <w:suppressLineNumbers w:val="0"/>
              <w:spacing w:before="0" w:beforeAutospacing="0" w:after="0" w:afterAutospacing="0"/>
              <w:ind w:left="0" w:right="0"/>
              <w:rPr>
                <w:rFonts w:hint="default" w:ascii="Times New Roman" w:hAnsi="Times New Roman" w:cs="Times New Roman"/>
                <w:color w:val="auto"/>
                <w:sz w:val="24"/>
              </w:rPr>
            </w:pPr>
            <w:r>
              <w:rPr>
                <w:rFonts w:hint="eastAsia" w:ascii="Times New Roman" w:hAnsi="Times New Roman" w:cs="Times New Roman"/>
                <w:color w:val="auto"/>
                <w:sz w:val="24"/>
              </w:rPr>
              <w:t>申报情形</w:t>
            </w:r>
          </w:p>
        </w:tc>
        <w:tc>
          <w:tcPr>
            <w:tcW w:w="2563" w:type="dxa"/>
            <w:gridSpan w:val="2"/>
            <w:noWrap w:val="0"/>
            <w:vAlign w:val="center"/>
          </w:tcPr>
          <w:p>
            <w:pPr>
              <w:pStyle w:val="30"/>
              <w:keepNext w:val="0"/>
              <w:keepLines w:val="0"/>
              <w:suppressLineNumbers w:val="0"/>
              <w:spacing w:before="0" w:beforeAutospacing="0" w:after="0" w:afterAutospacing="0"/>
              <w:ind w:left="0" w:right="0"/>
              <w:jc w:val="left"/>
              <w:rPr>
                <w:rFonts w:hint="default" w:ascii="Times New Roman" w:hAnsi="Times New Roman" w:cs="Times New Roman"/>
                <w:color w:val="auto"/>
                <w:sz w:val="24"/>
              </w:rPr>
            </w:pPr>
            <w:r>
              <w:rPr>
                <w:rFonts w:hint="eastAsia" w:ascii="Times New Roman" w:hAnsi="Times New Roman" w:cs="Times New Roman"/>
                <w:color w:val="auto"/>
                <w:sz w:val="24"/>
              </w:rPr>
              <w:sym w:font="Wingdings 2" w:char="0052"/>
            </w:r>
            <w:r>
              <w:rPr>
                <w:rFonts w:hint="eastAsia" w:ascii="Times New Roman" w:hAnsi="Times New Roman" w:cs="Times New Roman"/>
                <w:color w:val="auto"/>
                <w:sz w:val="24"/>
              </w:rPr>
              <w:t>首次申报项目</w:t>
            </w:r>
          </w:p>
          <w:p>
            <w:pPr>
              <w:pStyle w:val="30"/>
              <w:keepNext w:val="0"/>
              <w:keepLines w:val="0"/>
              <w:suppressLineNumbers w:val="0"/>
              <w:spacing w:before="0" w:beforeAutospacing="0" w:after="0" w:afterAutospacing="0"/>
              <w:ind w:left="0" w:right="0"/>
              <w:jc w:val="left"/>
              <w:rPr>
                <w:rFonts w:hint="default" w:ascii="Times New Roman" w:hAnsi="Times New Roman" w:cs="Times New Roman"/>
                <w:color w:val="auto"/>
                <w:sz w:val="24"/>
              </w:rPr>
            </w:pPr>
            <w:r>
              <w:rPr>
                <w:rFonts w:hint="eastAsia" w:ascii="Times New Roman" w:hAnsi="Times New Roman" w:cs="Times New Roman"/>
                <w:color w:val="auto"/>
                <w:sz w:val="24"/>
              </w:rPr>
              <w:t>□不予批准后再次申报项目</w:t>
            </w:r>
          </w:p>
          <w:p>
            <w:pPr>
              <w:pStyle w:val="30"/>
              <w:keepNext w:val="0"/>
              <w:keepLines w:val="0"/>
              <w:suppressLineNumbers w:val="0"/>
              <w:spacing w:before="0" w:beforeAutospacing="0" w:after="0" w:afterAutospacing="0"/>
              <w:ind w:left="0" w:right="0"/>
              <w:jc w:val="left"/>
              <w:rPr>
                <w:rFonts w:hint="default" w:ascii="Times New Roman" w:hAnsi="Times New Roman" w:cs="Times New Roman"/>
                <w:color w:val="auto"/>
                <w:sz w:val="24"/>
              </w:rPr>
            </w:pPr>
            <w:r>
              <w:rPr>
                <w:rFonts w:hint="eastAsia" w:ascii="Times New Roman" w:hAnsi="Times New Roman" w:cs="Times New Roman"/>
                <w:color w:val="auto"/>
                <w:sz w:val="24"/>
              </w:rPr>
              <w:t>□超五年重新审核项目</w:t>
            </w:r>
          </w:p>
          <w:p>
            <w:pPr>
              <w:pStyle w:val="30"/>
              <w:keepNext w:val="0"/>
              <w:keepLines w:val="0"/>
              <w:suppressLineNumbers w:val="0"/>
              <w:spacing w:before="0" w:beforeAutospacing="0" w:after="0" w:afterAutospacing="0"/>
              <w:ind w:left="0" w:right="0"/>
              <w:jc w:val="left"/>
              <w:rPr>
                <w:rFonts w:hint="default" w:ascii="Times New Roman" w:hAnsi="Times New Roman" w:cs="Times New Roman"/>
                <w:color w:val="auto"/>
                <w:sz w:val="24"/>
              </w:rPr>
            </w:pPr>
            <w:r>
              <w:rPr>
                <w:rFonts w:hint="eastAsia" w:ascii="Times New Roman" w:hAnsi="Times New Roman" w:cs="Times New Roman"/>
                <w:color w:val="auto"/>
                <w:sz w:val="24"/>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62" w:hRule="atLeast"/>
        </w:trPr>
        <w:tc>
          <w:tcPr>
            <w:tcW w:w="1790" w:type="dxa"/>
            <w:noWrap w:val="0"/>
            <w:tcMar>
              <w:top w:w="16" w:type="dxa"/>
              <w:left w:w="16" w:type="dxa"/>
              <w:right w:w="16" w:type="dxa"/>
            </w:tcMar>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 w:val="24"/>
              </w:rPr>
            </w:pPr>
            <w:r>
              <w:rPr>
                <w:rFonts w:hint="eastAsia" w:ascii="Times New Roman" w:hAnsi="Times New Roman" w:cs="Times New Roman"/>
                <w:color w:val="auto"/>
                <w:sz w:val="24"/>
              </w:rPr>
              <w:t>项目审批（核准</w:t>
            </w:r>
            <w:r>
              <w:rPr>
                <w:rFonts w:hint="default" w:ascii="Times New Roman" w:hAnsi="Times New Roman" w:cs="Times New Roman"/>
                <w:color w:val="auto"/>
                <w:sz w:val="24"/>
              </w:rPr>
              <w:t>/</w:t>
            </w:r>
          </w:p>
          <w:p>
            <w:pPr>
              <w:pStyle w:val="30"/>
              <w:keepNext w:val="0"/>
              <w:keepLines w:val="0"/>
              <w:suppressLineNumbers w:val="0"/>
              <w:spacing w:before="0" w:beforeAutospacing="0" w:after="0" w:afterAutospacing="0"/>
              <w:ind w:left="0" w:right="0"/>
              <w:rPr>
                <w:rFonts w:hint="default" w:ascii="Times New Roman" w:hAnsi="Times New Roman" w:cs="Times New Roman"/>
                <w:color w:val="auto"/>
                <w:sz w:val="24"/>
              </w:rPr>
            </w:pPr>
            <w:r>
              <w:rPr>
                <w:rFonts w:hint="eastAsia" w:ascii="Times New Roman" w:hAnsi="Times New Roman" w:cs="Times New Roman"/>
                <w:color w:val="auto"/>
                <w:sz w:val="24"/>
              </w:rPr>
              <w:t>备案）部门（选填）</w:t>
            </w:r>
          </w:p>
        </w:tc>
        <w:tc>
          <w:tcPr>
            <w:tcW w:w="2479"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 w:val="24"/>
              </w:rPr>
            </w:pPr>
            <w:r>
              <w:rPr>
                <w:rFonts w:hint="default" w:ascii="Times New Roman" w:hAnsi="Times New Roman" w:cs="Times New Roman"/>
                <w:color w:val="auto"/>
                <w:sz w:val="24"/>
              </w:rPr>
              <w:t>丰宁满族自治县行政审批局</w:t>
            </w:r>
          </w:p>
        </w:tc>
        <w:tc>
          <w:tcPr>
            <w:tcW w:w="2218"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 w:val="24"/>
              </w:rPr>
            </w:pPr>
            <w:r>
              <w:rPr>
                <w:rFonts w:hint="eastAsia" w:ascii="Times New Roman" w:hAnsi="Times New Roman" w:cs="Times New Roman"/>
                <w:color w:val="auto"/>
                <w:sz w:val="24"/>
              </w:rPr>
              <w:t>项目审批（核准</w:t>
            </w:r>
            <w:r>
              <w:rPr>
                <w:rFonts w:hint="default" w:ascii="Times New Roman" w:hAnsi="Times New Roman" w:cs="Times New Roman"/>
                <w:color w:val="auto"/>
                <w:sz w:val="24"/>
              </w:rPr>
              <w:t>/</w:t>
            </w:r>
          </w:p>
          <w:p>
            <w:pPr>
              <w:pStyle w:val="30"/>
              <w:keepNext w:val="0"/>
              <w:keepLines w:val="0"/>
              <w:suppressLineNumbers w:val="0"/>
              <w:spacing w:before="0" w:beforeAutospacing="0" w:after="0" w:afterAutospacing="0"/>
              <w:ind w:left="0" w:right="0"/>
              <w:rPr>
                <w:rFonts w:hint="default" w:ascii="Times New Roman" w:hAnsi="Times New Roman" w:cs="Times New Roman"/>
                <w:color w:val="auto"/>
                <w:sz w:val="24"/>
              </w:rPr>
            </w:pPr>
            <w:r>
              <w:rPr>
                <w:rFonts w:hint="eastAsia" w:ascii="Times New Roman" w:hAnsi="Times New Roman" w:cs="Times New Roman"/>
                <w:color w:val="auto"/>
                <w:sz w:val="24"/>
              </w:rPr>
              <w:t>备案）文号（选填）</w:t>
            </w:r>
          </w:p>
        </w:tc>
        <w:tc>
          <w:tcPr>
            <w:tcW w:w="2563" w:type="dxa"/>
            <w:gridSpan w:val="2"/>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 w:val="24"/>
              </w:rPr>
            </w:pPr>
            <w:r>
              <w:rPr>
                <w:rFonts w:hint="default" w:ascii="Times New Roman" w:hAnsi="Times New Roman" w:cs="Times New Roman"/>
                <w:color w:val="auto"/>
                <w:sz w:val="24"/>
              </w:rPr>
              <w:t>丰审批备字[202</w:t>
            </w:r>
            <w:r>
              <w:rPr>
                <w:rFonts w:hint="eastAsia" w:ascii="Times New Roman" w:hAnsi="Times New Roman" w:cs="Times New Roman"/>
                <w:color w:val="auto"/>
                <w:sz w:val="24"/>
              </w:rPr>
              <w:t>3</w:t>
            </w:r>
            <w:r>
              <w:rPr>
                <w:rFonts w:hint="default" w:ascii="Times New Roman" w:hAnsi="Times New Roman" w:cs="Times New Roman"/>
                <w:color w:val="auto"/>
                <w:sz w:val="24"/>
              </w:rPr>
              <w:t>]</w:t>
            </w:r>
            <w:r>
              <w:rPr>
                <w:rFonts w:hint="eastAsia" w:ascii="Times New Roman" w:hAnsi="Times New Roman" w:cs="Times New Roman"/>
                <w:color w:val="auto"/>
                <w:sz w:val="24"/>
              </w:rPr>
              <w:t>62</w:t>
            </w:r>
            <w:r>
              <w:rPr>
                <w:rFonts w:hint="default" w:ascii="Times New Roman" w:hAnsi="Times New Roman" w:cs="Times New Roman"/>
                <w:color w:val="auto"/>
                <w:sz w:val="24"/>
              </w:rPr>
              <w:t>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1790" w:type="dxa"/>
            <w:noWrap w:val="0"/>
            <w:tcMar>
              <w:top w:w="16" w:type="dxa"/>
              <w:left w:w="16" w:type="dxa"/>
              <w:right w:w="16" w:type="dxa"/>
            </w:tcMar>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 w:val="24"/>
              </w:rPr>
            </w:pPr>
            <w:r>
              <w:rPr>
                <w:rFonts w:hint="eastAsia" w:ascii="Times New Roman" w:hAnsi="Times New Roman" w:cs="Times New Roman"/>
                <w:color w:val="auto"/>
                <w:sz w:val="24"/>
              </w:rPr>
              <w:t>总投资（万元）</w:t>
            </w:r>
          </w:p>
        </w:tc>
        <w:tc>
          <w:tcPr>
            <w:tcW w:w="2479"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 w:val="24"/>
              </w:rPr>
            </w:pPr>
            <w:r>
              <w:rPr>
                <w:rFonts w:hint="eastAsia" w:ascii="Times New Roman" w:hAnsi="Times New Roman" w:cs="Times New Roman"/>
                <w:color w:val="auto"/>
                <w:sz w:val="24"/>
              </w:rPr>
              <w:t>105378.88</w:t>
            </w:r>
          </w:p>
        </w:tc>
        <w:tc>
          <w:tcPr>
            <w:tcW w:w="2218" w:type="dxa"/>
            <w:noWrap w:val="0"/>
            <w:tcMar>
              <w:top w:w="16" w:type="dxa"/>
              <w:left w:w="16" w:type="dxa"/>
              <w:right w:w="16" w:type="dxa"/>
            </w:tcMar>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 w:val="24"/>
              </w:rPr>
            </w:pPr>
            <w:r>
              <w:rPr>
                <w:rFonts w:hint="eastAsia" w:ascii="Times New Roman" w:hAnsi="Times New Roman" w:cs="Times New Roman"/>
                <w:color w:val="auto"/>
                <w:sz w:val="24"/>
              </w:rPr>
              <w:t>环保投资（万元）</w:t>
            </w:r>
          </w:p>
        </w:tc>
        <w:tc>
          <w:tcPr>
            <w:tcW w:w="2563" w:type="dxa"/>
            <w:gridSpan w:val="2"/>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 w:val="24"/>
              </w:rPr>
            </w:pPr>
            <w:r>
              <w:rPr>
                <w:rFonts w:hint="eastAsia" w:ascii="Times New Roman" w:hAnsi="Times New Roman" w:cs="Times New Roman"/>
                <w:color w:val="auto"/>
                <w:sz w:val="24"/>
              </w:rPr>
              <w:t>662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4" w:hRule="atLeast"/>
        </w:trPr>
        <w:tc>
          <w:tcPr>
            <w:tcW w:w="1790" w:type="dxa"/>
            <w:noWrap w:val="0"/>
            <w:tcMar>
              <w:top w:w="16" w:type="dxa"/>
              <w:left w:w="16" w:type="dxa"/>
              <w:right w:w="16" w:type="dxa"/>
            </w:tcMar>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 w:val="24"/>
              </w:rPr>
            </w:pPr>
            <w:r>
              <w:rPr>
                <w:rFonts w:hint="eastAsia" w:ascii="Times New Roman" w:hAnsi="Times New Roman" w:cs="Times New Roman"/>
                <w:color w:val="auto"/>
                <w:sz w:val="24"/>
              </w:rPr>
              <w:t>环保投资占比（</w:t>
            </w:r>
            <w:r>
              <w:rPr>
                <w:rFonts w:hint="default" w:ascii="Times New Roman" w:hAnsi="Times New Roman" w:cs="Times New Roman"/>
                <w:color w:val="auto"/>
                <w:sz w:val="24"/>
              </w:rPr>
              <w:t>%</w:t>
            </w:r>
            <w:r>
              <w:rPr>
                <w:rFonts w:hint="eastAsia" w:ascii="Times New Roman" w:hAnsi="Times New Roman" w:cs="Times New Roman"/>
                <w:color w:val="auto"/>
                <w:sz w:val="24"/>
              </w:rPr>
              <w:t>）</w:t>
            </w:r>
          </w:p>
        </w:tc>
        <w:tc>
          <w:tcPr>
            <w:tcW w:w="2479"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 w:val="24"/>
              </w:rPr>
            </w:pPr>
            <w:r>
              <w:rPr>
                <w:rFonts w:hint="eastAsia" w:ascii="Times New Roman" w:hAnsi="Times New Roman" w:cs="Times New Roman"/>
                <w:color w:val="auto"/>
                <w:sz w:val="24"/>
              </w:rPr>
              <w:t>0.63</w:t>
            </w:r>
          </w:p>
        </w:tc>
        <w:tc>
          <w:tcPr>
            <w:tcW w:w="2218" w:type="dxa"/>
            <w:noWrap w:val="0"/>
            <w:tcMar>
              <w:top w:w="16" w:type="dxa"/>
              <w:left w:w="16" w:type="dxa"/>
              <w:right w:w="16" w:type="dxa"/>
            </w:tcMar>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 w:val="24"/>
              </w:rPr>
            </w:pPr>
            <w:r>
              <w:rPr>
                <w:rFonts w:hint="eastAsia" w:ascii="Times New Roman" w:hAnsi="Times New Roman" w:cs="Times New Roman"/>
                <w:color w:val="auto"/>
                <w:sz w:val="24"/>
              </w:rPr>
              <w:t>施工工期</w:t>
            </w:r>
          </w:p>
        </w:tc>
        <w:tc>
          <w:tcPr>
            <w:tcW w:w="2563" w:type="dxa"/>
            <w:gridSpan w:val="2"/>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 w:val="24"/>
              </w:rPr>
            </w:pPr>
            <w:r>
              <w:rPr>
                <w:rFonts w:hint="eastAsia" w:ascii="Times New Roman" w:hAnsi="Times New Roman" w:cs="Times New Roman"/>
                <w:color w:val="auto"/>
                <w:sz w:val="24"/>
              </w:rPr>
              <w:t>12个月，2023年10月至2024年10月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1790" w:type="dxa"/>
            <w:noWrap w:val="0"/>
            <w:tcMar>
              <w:top w:w="16" w:type="dxa"/>
              <w:left w:w="16" w:type="dxa"/>
              <w:right w:w="16" w:type="dxa"/>
            </w:tcMar>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 w:val="24"/>
              </w:rPr>
            </w:pPr>
            <w:r>
              <w:rPr>
                <w:rFonts w:hint="eastAsia" w:ascii="Times New Roman" w:hAnsi="Times New Roman" w:cs="Times New Roman"/>
                <w:color w:val="auto"/>
                <w:sz w:val="24"/>
              </w:rPr>
              <w:t>是否开工建设</w:t>
            </w:r>
          </w:p>
        </w:tc>
        <w:tc>
          <w:tcPr>
            <w:tcW w:w="7260" w:type="dxa"/>
            <w:gridSpan w:val="4"/>
            <w:noWrap w:val="0"/>
            <w:vAlign w:val="center"/>
          </w:tcPr>
          <w:p>
            <w:pPr>
              <w:pStyle w:val="30"/>
              <w:keepNext w:val="0"/>
              <w:keepLines w:val="0"/>
              <w:suppressLineNumbers w:val="0"/>
              <w:spacing w:before="0" w:beforeAutospacing="0" w:after="0" w:afterAutospacing="0"/>
              <w:ind w:left="0" w:right="0"/>
              <w:jc w:val="left"/>
              <w:rPr>
                <w:rFonts w:hint="default" w:ascii="Times New Roman" w:hAnsi="Times New Roman" w:cs="Times New Roman"/>
                <w:color w:val="auto"/>
                <w:sz w:val="24"/>
              </w:rPr>
            </w:pPr>
            <w:r>
              <w:rPr>
                <w:rFonts w:hint="eastAsia" w:ascii="Times New Roman" w:hAnsi="Times New Roman" w:cs="Times New Roman"/>
                <w:color w:val="auto"/>
                <w:sz w:val="24"/>
              </w:rPr>
              <w:sym w:font="Wingdings 2" w:char="0052"/>
            </w:r>
            <w:r>
              <w:rPr>
                <w:rFonts w:hint="eastAsia" w:ascii="Times New Roman" w:hAnsi="Times New Roman" w:cs="Times New Roman"/>
                <w:color w:val="auto"/>
                <w:sz w:val="24"/>
              </w:rPr>
              <w:t>否</w:t>
            </w:r>
          </w:p>
          <w:p>
            <w:pPr>
              <w:pStyle w:val="30"/>
              <w:keepNext w:val="0"/>
              <w:keepLines w:val="0"/>
              <w:suppressLineNumbers w:val="0"/>
              <w:spacing w:before="0" w:beforeAutospacing="0" w:after="0" w:afterAutospacing="0"/>
              <w:ind w:left="0" w:right="0"/>
              <w:jc w:val="left"/>
              <w:rPr>
                <w:rFonts w:hint="default" w:ascii="Times New Roman" w:hAnsi="Times New Roman" w:cs="Times New Roman"/>
                <w:color w:val="auto"/>
                <w:sz w:val="24"/>
              </w:rPr>
            </w:pPr>
            <w:r>
              <w:rPr>
                <w:rFonts w:hint="eastAsia" w:ascii="Times New Roman" w:hAnsi="Times New Roman" w:cs="Times New Roman"/>
                <w:color w:val="auto"/>
                <w:sz w:val="24"/>
              </w:rPr>
              <w:t>□是：</w:t>
            </w:r>
            <w:r>
              <w:rPr>
                <w:rFonts w:hint="default" w:ascii="Times New Roman" w:hAnsi="Times New Roman" w:cs="Times New Roman"/>
                <w:color w:val="auto"/>
                <w:sz w:val="24"/>
              </w:rPr>
              <w:t xml:space="preserve"> </w:t>
            </w:r>
            <w:r>
              <w:rPr>
                <w:rFonts w:hint="eastAsia" w:ascii="Times New Roman" w:hAnsi="Times New Roman" w:cs="Times New Roman"/>
                <w:color w:val="auto"/>
                <w:sz w:val="24"/>
              </w:rPr>
              <w:t xml:space="preserve">                     </w:t>
            </w:r>
            <w:r>
              <w:rPr>
                <w:rFonts w:hint="default" w:ascii="Times New Roman" w:hAnsi="Times New Roman" w:cs="Times New Roman"/>
                <w:color w:val="auto"/>
                <w:sz w:val="24"/>
              </w:rPr>
              <w:t xml:space="preserve">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1790" w:type="dxa"/>
            <w:noWrap w:val="0"/>
            <w:tcMar>
              <w:top w:w="16" w:type="dxa"/>
              <w:left w:w="16" w:type="dxa"/>
              <w:right w:w="16" w:type="dxa"/>
            </w:tcMar>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 w:val="24"/>
              </w:rPr>
            </w:pPr>
            <w:r>
              <w:rPr>
                <w:rFonts w:hint="eastAsia" w:ascii="Times New Roman" w:hAnsi="Times New Roman" w:cs="Times New Roman"/>
                <w:color w:val="auto"/>
                <w:sz w:val="24"/>
              </w:rPr>
              <w:t>专项评价设置情况</w:t>
            </w:r>
          </w:p>
        </w:tc>
        <w:tc>
          <w:tcPr>
            <w:tcW w:w="7260" w:type="dxa"/>
            <w:gridSpan w:val="4"/>
            <w:noWrap w:val="0"/>
            <w:tcMar>
              <w:top w:w="16" w:type="dxa"/>
              <w:left w:w="16" w:type="dxa"/>
              <w:right w:w="16"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 w:val="24"/>
              </w:rPr>
            </w:pPr>
            <w:r>
              <w:rPr>
                <w:rFonts w:hint="eastAsia" w:ascii="Times New Roman" w:hAnsi="Times New Roman" w:cs="Times New Roman"/>
                <w:color w:val="auto"/>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1790" w:type="dxa"/>
            <w:noWrap w:val="0"/>
            <w:tcMar>
              <w:top w:w="16" w:type="dxa"/>
              <w:left w:w="16" w:type="dxa"/>
              <w:right w:w="16" w:type="dxa"/>
            </w:tcMar>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 w:val="24"/>
              </w:rPr>
            </w:pPr>
            <w:r>
              <w:rPr>
                <w:rFonts w:hint="eastAsia" w:ascii="Times New Roman" w:hAnsi="Times New Roman" w:cs="Times New Roman"/>
                <w:color w:val="auto"/>
                <w:sz w:val="24"/>
              </w:rPr>
              <w:t>规划情况</w:t>
            </w:r>
          </w:p>
        </w:tc>
        <w:tc>
          <w:tcPr>
            <w:tcW w:w="7260" w:type="dxa"/>
            <w:gridSpan w:val="4"/>
            <w:noWrap w:val="0"/>
            <w:tcMar>
              <w:top w:w="16" w:type="dxa"/>
              <w:left w:w="16" w:type="dxa"/>
              <w:right w:w="16"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 w:val="24"/>
              </w:rPr>
            </w:pPr>
            <w:r>
              <w:rPr>
                <w:rFonts w:hint="eastAsia" w:ascii="Times New Roman" w:hAnsi="Times New Roman" w:cs="Times New Roman"/>
                <w:color w:val="auto"/>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1790" w:type="dxa"/>
            <w:noWrap w:val="0"/>
            <w:tcMar>
              <w:top w:w="16" w:type="dxa"/>
              <w:left w:w="16" w:type="dxa"/>
              <w:right w:w="16" w:type="dxa"/>
            </w:tcMar>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 w:val="24"/>
              </w:rPr>
            </w:pPr>
            <w:r>
              <w:rPr>
                <w:rFonts w:hint="eastAsia" w:ascii="Times New Roman" w:hAnsi="Times New Roman" w:cs="Times New Roman"/>
                <w:color w:val="auto"/>
                <w:sz w:val="24"/>
              </w:rPr>
              <w:t>规划环境影响</w:t>
            </w:r>
          </w:p>
          <w:p>
            <w:pPr>
              <w:pStyle w:val="30"/>
              <w:keepNext w:val="0"/>
              <w:keepLines w:val="0"/>
              <w:suppressLineNumbers w:val="0"/>
              <w:spacing w:before="0" w:beforeAutospacing="0" w:after="0" w:afterAutospacing="0"/>
              <w:ind w:left="0" w:right="0"/>
              <w:rPr>
                <w:rFonts w:hint="default" w:ascii="Times New Roman" w:hAnsi="Times New Roman" w:cs="Times New Roman"/>
                <w:color w:val="auto"/>
                <w:sz w:val="24"/>
              </w:rPr>
            </w:pPr>
            <w:r>
              <w:rPr>
                <w:rFonts w:hint="eastAsia" w:ascii="Times New Roman" w:hAnsi="Times New Roman" w:cs="Times New Roman"/>
                <w:color w:val="auto"/>
                <w:sz w:val="24"/>
              </w:rPr>
              <w:t>评价情况</w:t>
            </w:r>
          </w:p>
        </w:tc>
        <w:tc>
          <w:tcPr>
            <w:tcW w:w="7260" w:type="dxa"/>
            <w:gridSpan w:val="4"/>
            <w:noWrap w:val="0"/>
            <w:tcMar>
              <w:top w:w="16" w:type="dxa"/>
              <w:left w:w="16" w:type="dxa"/>
              <w:right w:w="16"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 w:val="24"/>
              </w:rPr>
            </w:pPr>
            <w:r>
              <w:rPr>
                <w:rFonts w:hint="eastAsia" w:ascii="Times New Roman" w:hAnsi="Times New Roman" w:cs="Times New Roman"/>
                <w:color w:val="auto"/>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557" w:hRule="atLeast"/>
        </w:trPr>
        <w:tc>
          <w:tcPr>
            <w:tcW w:w="1790" w:type="dxa"/>
            <w:noWrap w:val="0"/>
            <w:tcMar>
              <w:top w:w="16" w:type="dxa"/>
              <w:left w:w="16" w:type="dxa"/>
              <w:right w:w="16" w:type="dxa"/>
            </w:tcMar>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 w:val="24"/>
              </w:rPr>
            </w:pPr>
            <w:r>
              <w:rPr>
                <w:rFonts w:hint="eastAsia" w:ascii="Times New Roman" w:hAnsi="Times New Roman" w:cs="Times New Roman"/>
                <w:color w:val="auto"/>
                <w:sz w:val="24"/>
              </w:rPr>
              <w:t>规划及规划环境影响评价符合性分析</w:t>
            </w:r>
          </w:p>
        </w:tc>
        <w:tc>
          <w:tcPr>
            <w:tcW w:w="7260" w:type="dxa"/>
            <w:gridSpan w:val="4"/>
            <w:noWrap w:val="0"/>
            <w:tcMar>
              <w:top w:w="16" w:type="dxa"/>
              <w:left w:w="16" w:type="dxa"/>
              <w:right w:w="16" w:type="dxa"/>
            </w:tcMar>
            <w:vAlign w:val="center"/>
          </w:tcPr>
          <w:p>
            <w:pPr>
              <w:keepNext w:val="0"/>
              <w:keepLines w:val="0"/>
              <w:suppressLineNumbers w:val="0"/>
              <w:autoSpaceDE w:val="0"/>
              <w:autoSpaceDN w:val="0"/>
              <w:spacing w:before="0" w:beforeAutospacing="0" w:after="0" w:afterAutospacing="0"/>
              <w:ind w:left="0" w:right="0" w:firstLine="0" w:firstLineChars="0"/>
              <w:jc w:val="center"/>
              <w:rPr>
                <w:rFonts w:hint="eastAsia" w:ascii="宋体" w:hAnsi="宋体" w:cs="宋体"/>
                <w:color w:val="auto"/>
                <w:kern w:val="0"/>
              </w:rPr>
            </w:pPr>
            <w:r>
              <w:rPr>
                <w:rFonts w:hint="eastAsia" w:ascii="宋体" w:hAnsi="宋体" w:cs="宋体"/>
                <w:color w:val="auto"/>
                <w:kern w:val="0"/>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3337" w:hRule="atLeast"/>
        </w:trPr>
        <w:tc>
          <w:tcPr>
            <w:tcW w:w="1790" w:type="dxa"/>
            <w:noWrap w:val="0"/>
            <w:tcMar>
              <w:top w:w="16" w:type="dxa"/>
              <w:left w:w="16" w:type="dxa"/>
              <w:right w:w="16" w:type="dxa"/>
            </w:tcMar>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bookmarkStart w:id="2" w:name="_Hlk56690880"/>
            <w:r>
              <w:rPr>
                <w:rFonts w:hint="eastAsia" w:ascii="Times New Roman" w:hAnsi="Times New Roman" w:cs="Times New Roman"/>
                <w:color w:val="auto"/>
                <w:sz w:val="24"/>
              </w:rPr>
              <w:t>其他符合性分析</w:t>
            </w:r>
            <w:bookmarkEnd w:id="2"/>
          </w:p>
        </w:tc>
        <w:tc>
          <w:tcPr>
            <w:tcW w:w="7260" w:type="dxa"/>
            <w:gridSpan w:val="4"/>
            <w:noWrap w:val="0"/>
            <w:tcMar>
              <w:top w:w="16" w:type="dxa"/>
              <w:left w:w="16" w:type="dxa"/>
              <w:right w:w="16" w:type="dxa"/>
            </w:tcMar>
            <w:vAlign w:val="center"/>
          </w:tcPr>
          <w:p>
            <w:pPr>
              <w:pStyle w:val="4"/>
              <w:suppressLineNumbers w:val="0"/>
              <w:spacing w:before="0" w:after="0"/>
              <w:ind w:left="0" w:right="0" w:firstLine="482"/>
              <w:rPr>
                <w:rFonts w:hint="default" w:cs="Times New Roman"/>
                <w:color w:val="auto"/>
              </w:rPr>
            </w:pPr>
            <w:r>
              <w:rPr>
                <w:rFonts w:hint="eastAsia" w:cs="Times New Roman"/>
                <w:color w:val="auto"/>
              </w:rPr>
              <w:t>“三线一单”符合性</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根据《关于以改善环境质量为核心加强环境影响评价管理的通知》（环境保护部文件：环评</w:t>
            </w:r>
            <w:r>
              <w:rPr>
                <w:rFonts w:hint="default" w:ascii="Times New Roman" w:hAnsi="Times New Roman" w:cs="Times New Roman"/>
                <w:color w:val="auto"/>
              </w:rPr>
              <w:t>[2016]150</w:t>
            </w:r>
            <w:r>
              <w:rPr>
                <w:rFonts w:hint="eastAsia" w:ascii="Times New Roman" w:hAnsi="Times New Roman" w:cs="Times New Roman"/>
                <w:color w:val="auto"/>
              </w:rPr>
              <w:t>号）、《承德市人民政府关于加快实施</w:t>
            </w:r>
            <w:r>
              <w:rPr>
                <w:rFonts w:hint="default" w:ascii="Times New Roman" w:hAnsi="Times New Roman" w:cs="Times New Roman"/>
                <w:color w:val="auto"/>
              </w:rPr>
              <w:t>“</w:t>
            </w:r>
            <w:r>
              <w:rPr>
                <w:rFonts w:hint="eastAsia" w:ascii="Times New Roman" w:hAnsi="Times New Roman" w:cs="Times New Roman"/>
                <w:color w:val="auto"/>
              </w:rPr>
              <w:t>三线一单</w:t>
            </w:r>
            <w:r>
              <w:rPr>
                <w:rFonts w:hint="default" w:ascii="Times New Roman" w:hAnsi="Times New Roman" w:cs="Times New Roman"/>
                <w:color w:val="auto"/>
              </w:rPr>
              <w:t>”</w:t>
            </w:r>
            <w:r>
              <w:rPr>
                <w:rFonts w:hint="eastAsia" w:ascii="Times New Roman" w:hAnsi="Times New Roman" w:cs="Times New Roman"/>
                <w:color w:val="auto"/>
              </w:rPr>
              <w:t>生态环境分区管控的意见》（承德市人民政府</w:t>
            </w:r>
            <w:r>
              <w:rPr>
                <w:rFonts w:hint="default" w:ascii="Times New Roman" w:hAnsi="Times New Roman" w:cs="Times New Roman"/>
                <w:color w:val="auto"/>
              </w:rPr>
              <w:t>2021</w:t>
            </w:r>
            <w:r>
              <w:rPr>
                <w:rFonts w:hint="eastAsia" w:ascii="Times New Roman" w:hAnsi="Times New Roman" w:cs="Times New Roman"/>
                <w:color w:val="auto"/>
              </w:rPr>
              <w:t>年</w:t>
            </w:r>
            <w:r>
              <w:rPr>
                <w:rFonts w:hint="default" w:ascii="Times New Roman" w:hAnsi="Times New Roman" w:cs="Times New Roman"/>
                <w:color w:val="auto"/>
              </w:rPr>
              <w:t>6</w:t>
            </w:r>
            <w:r>
              <w:rPr>
                <w:rFonts w:hint="eastAsia" w:ascii="Times New Roman" w:hAnsi="Times New Roman" w:cs="Times New Roman"/>
                <w:color w:val="auto"/>
              </w:rPr>
              <w:t>月</w:t>
            </w:r>
            <w:r>
              <w:rPr>
                <w:rFonts w:hint="default" w:ascii="Times New Roman" w:hAnsi="Times New Roman" w:cs="Times New Roman"/>
                <w:color w:val="auto"/>
              </w:rPr>
              <w:t>18</w:t>
            </w:r>
            <w:r>
              <w:rPr>
                <w:rFonts w:hint="eastAsia" w:ascii="Times New Roman" w:hAnsi="Times New Roman" w:cs="Times New Roman"/>
                <w:color w:val="auto"/>
              </w:rPr>
              <w:t>发布），进行项目</w:t>
            </w:r>
            <w:r>
              <w:rPr>
                <w:rFonts w:hint="default" w:ascii="Times New Roman" w:hAnsi="Times New Roman" w:cs="Times New Roman"/>
                <w:color w:val="auto"/>
              </w:rPr>
              <w:t>“</w:t>
            </w:r>
            <w:r>
              <w:rPr>
                <w:rFonts w:hint="eastAsia" w:ascii="Times New Roman" w:hAnsi="Times New Roman" w:cs="Times New Roman"/>
                <w:color w:val="auto"/>
              </w:rPr>
              <w:t>三线一单</w:t>
            </w:r>
            <w:r>
              <w:rPr>
                <w:rFonts w:hint="default" w:ascii="Times New Roman" w:hAnsi="Times New Roman" w:cs="Times New Roman"/>
                <w:color w:val="auto"/>
              </w:rPr>
              <w:t>”</w:t>
            </w:r>
            <w:r>
              <w:rPr>
                <w:rFonts w:hint="eastAsia" w:ascii="Times New Roman" w:hAnsi="Times New Roman" w:cs="Times New Roman"/>
                <w:color w:val="auto"/>
              </w:rPr>
              <w:t>符合性分析如下所示。</w:t>
            </w:r>
          </w:p>
          <w:p>
            <w:pPr>
              <w:pStyle w:val="5"/>
              <w:suppressLineNumbers w:val="0"/>
              <w:spacing w:before="0" w:after="0"/>
              <w:ind w:left="0" w:right="0" w:firstLine="482"/>
              <w:rPr>
                <w:rFonts w:hint="default" w:ascii="Times New Roman" w:hAnsi="Times New Roman" w:cs="Times New Roman"/>
                <w:color w:val="auto"/>
              </w:rPr>
            </w:pPr>
            <w:r>
              <w:rPr>
                <w:rFonts w:hint="eastAsia" w:ascii="Times New Roman" w:hAnsi="Times New Roman" w:cs="Times New Roman"/>
                <w:color w:val="auto"/>
              </w:rPr>
              <w:t>项目与生态保护红线的符合性分析</w:t>
            </w:r>
          </w:p>
          <w:p>
            <w:pPr>
              <w:keepNext w:val="0"/>
              <w:keepLines w:val="0"/>
              <w:suppressLineNumbers w:val="0"/>
              <w:spacing w:before="0" w:beforeAutospacing="0" w:after="0" w:afterAutospacing="0"/>
              <w:ind w:left="240" w:leftChars="100" w:right="0" w:firstLine="240" w:firstLineChars="100"/>
              <w:rPr>
                <w:rFonts w:hint="default" w:ascii="Times New Roman" w:hAnsi="Times New Roman" w:cs="Times New Roman"/>
                <w:color w:val="auto"/>
              </w:rPr>
            </w:pPr>
            <w:r>
              <w:rPr>
                <w:rFonts w:hint="eastAsia" w:ascii="Times New Roman" w:hAnsi="Times New Roman" w:cs="Times New Roman"/>
                <w:color w:val="auto"/>
              </w:rPr>
              <w:t>生态保护红线是生态空间范围内具有特殊重要生态功能必须实行强制性严格保护的区域。相关规划环评应将生态空间管控作为重要内容，规划区域涉及生态保护红线的，在规划环评结论和审查意见中应落实生态保护红线的管理要求，提出相应对策措施。除受自然条件限制、确实无法避让的铁路、公路、航道、防洪、管道、干渠、通讯、输变电等重要基础设施项目外，在生态保护红线范围内，严控各类开发建设活动，依法不予审批新建工业项目和矿产开发项目的环评文件。</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根据承德市生态保护红线成果，本项目不在生态保护红线范围内，项目选址距离生态红线最近为西南侧590米，不占用生态保护红线，符合生态环境保护的要求，项目选址与生态保护红线位置关系如下图所示：</w:t>
            </w:r>
          </w:p>
          <w:p>
            <w:pPr>
              <w:keepNext w:val="0"/>
              <w:keepLines w:val="0"/>
              <w:widowControl/>
              <w:suppressLineNumbers w:val="0"/>
              <w:spacing w:before="0" w:beforeAutospacing="0" w:after="0" w:afterAutospacing="0"/>
              <w:ind w:left="0" w:right="0" w:firstLine="0" w:firstLineChars="0"/>
              <w:jc w:val="center"/>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drawing>
                <wp:inline distT="0" distB="0" distL="114300" distR="114300">
                  <wp:extent cx="4391025" cy="3093085"/>
                  <wp:effectExtent l="0" t="0" r="9525" b="12065"/>
                  <wp:docPr id="7" name="图片 7" descr="4f5fc143b98b3ab42c7252a9d507fd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4f5fc143b98b3ab42c7252a9d507fd93"/>
                          <pic:cNvPicPr>
                            <a:picLocks noChangeAspect="1"/>
                          </pic:cNvPicPr>
                        </pic:nvPicPr>
                        <pic:blipFill>
                          <a:blip r:embed="rId14"/>
                          <a:stretch>
                            <a:fillRect/>
                          </a:stretch>
                        </pic:blipFill>
                        <pic:spPr>
                          <a:xfrm>
                            <a:off x="0" y="0"/>
                            <a:ext cx="4391025" cy="3093085"/>
                          </a:xfrm>
                          <a:prstGeom prst="rect">
                            <a:avLst/>
                          </a:prstGeom>
                        </pic:spPr>
                      </pic:pic>
                    </a:graphicData>
                  </a:graphic>
                </wp:inline>
              </w:drawing>
            </w:r>
          </w:p>
          <w:p>
            <w:pPr>
              <w:pStyle w:val="32"/>
              <w:spacing w:before="0" w:beforeAutospacing="0" w:after="0" w:afterAutospacing="0"/>
              <w:ind w:right="0"/>
              <w:rPr>
                <w:rFonts w:hint="default" w:ascii="Times New Roman" w:hAnsi="Times New Roman"/>
                <w:color w:val="auto"/>
              </w:rPr>
            </w:pPr>
            <w:r>
              <w:rPr>
                <w:rFonts w:ascii="Times New Roman" w:hAnsi="Times New Roman"/>
                <w:color w:val="auto"/>
              </w:rPr>
              <w:t>项目选址与生态保护红线位置关系图</w:t>
            </w:r>
          </w:p>
          <w:p>
            <w:pPr>
              <w:keepNext w:val="0"/>
              <w:keepLines w:val="0"/>
              <w:suppressLineNumbers w:val="0"/>
              <w:bidi w:val="0"/>
              <w:spacing w:before="0" w:beforeAutospacing="0" w:after="0" w:afterAutospacing="0"/>
              <w:ind w:left="0" w:right="0"/>
              <w:rPr>
                <w:rFonts w:hint="eastAsia"/>
                <w:color w:val="auto"/>
                <w:lang w:val="en-US" w:eastAsia="zh-CN"/>
              </w:rPr>
            </w:pPr>
            <w:r>
              <w:rPr>
                <w:rFonts w:hint="eastAsia"/>
                <w:color w:val="auto"/>
                <w:lang w:val="en-US" w:eastAsia="zh-CN"/>
              </w:rPr>
              <w:t>项目南侧光伏地块与生态保护红线距离最近，项目南侧光伏地块与生态保护红线位置关系如下图所示。</w:t>
            </w:r>
          </w:p>
          <w:p>
            <w:pPr>
              <w:keepNext w:val="0"/>
              <w:keepLines w:val="0"/>
              <w:suppressLineNumbers w:val="0"/>
              <w:bidi w:val="0"/>
              <w:spacing w:before="0" w:beforeAutospacing="0" w:after="0" w:afterAutospacing="0"/>
              <w:ind w:left="0" w:leftChars="0" w:right="0" w:firstLine="0" w:firstLineChars="0"/>
              <w:rPr>
                <w:rFonts w:hint="default"/>
                <w:color w:val="auto"/>
                <w:lang w:val="en-US" w:eastAsia="zh-CN"/>
              </w:rPr>
            </w:pPr>
            <w:r>
              <w:rPr>
                <w:rFonts w:hint="default"/>
                <w:color w:val="auto"/>
                <w:lang w:val="en-US" w:eastAsia="zh-CN"/>
              </w:rPr>
              <w:drawing>
                <wp:inline distT="0" distB="0" distL="114300" distR="114300">
                  <wp:extent cx="4585970" cy="3225800"/>
                  <wp:effectExtent l="0" t="0" r="5080" b="12700"/>
                  <wp:docPr id="8" name="图片 8" descr="ccd379f6b9c831e659b593f60dc2b0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cd379f6b9c831e659b593f60dc2b0b5"/>
                          <pic:cNvPicPr>
                            <a:picLocks noChangeAspect="1"/>
                          </pic:cNvPicPr>
                        </pic:nvPicPr>
                        <pic:blipFill>
                          <a:blip r:embed="rId15"/>
                          <a:stretch>
                            <a:fillRect/>
                          </a:stretch>
                        </pic:blipFill>
                        <pic:spPr>
                          <a:xfrm>
                            <a:off x="0" y="0"/>
                            <a:ext cx="4585970" cy="3225800"/>
                          </a:xfrm>
                          <a:prstGeom prst="rect">
                            <a:avLst/>
                          </a:prstGeom>
                        </pic:spPr>
                      </pic:pic>
                    </a:graphicData>
                  </a:graphic>
                </wp:inline>
              </w:drawing>
            </w:r>
            <w:r>
              <w:rPr>
                <w:rFonts w:hint="default"/>
                <w:color w:val="auto"/>
                <w:sz w:val="24"/>
              </w:rPr>
              <mc:AlternateContent>
                <mc:Choice Requires="wps">
                  <w:drawing>
                    <wp:anchor distT="0" distB="0" distL="114300" distR="114300" simplePos="0" relativeHeight="251668480" behindDoc="0" locked="0" layoutInCell="1" allowOverlap="1">
                      <wp:simplePos x="0" y="0"/>
                      <wp:positionH relativeFrom="column">
                        <wp:posOffset>666115</wp:posOffset>
                      </wp:positionH>
                      <wp:positionV relativeFrom="paragraph">
                        <wp:posOffset>1107440</wp:posOffset>
                      </wp:positionV>
                      <wp:extent cx="599440" cy="285750"/>
                      <wp:effectExtent l="4445" t="4445" r="196215" b="490855"/>
                      <wp:wrapNone/>
                      <wp:docPr id="29" name="矩形标注 29"/>
                      <wp:cNvGraphicFramePr/>
                      <a:graphic xmlns:a="http://schemas.openxmlformats.org/drawingml/2006/main">
                        <a:graphicData uri="http://schemas.microsoft.com/office/word/2010/wordprocessingShape">
                          <wps:wsp>
                            <wps:cNvSpPr/>
                            <wps:spPr>
                              <a:xfrm>
                                <a:off x="2343785" y="7117715"/>
                                <a:ext cx="599440" cy="285750"/>
                              </a:xfrm>
                              <a:prstGeom prst="wedgeRectCallout">
                                <a:avLst>
                                  <a:gd name="adj1" fmla="val 80402"/>
                                  <a:gd name="adj2" fmla="val 214222"/>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pPr>
                                    <w:ind w:left="0" w:leftChars="0" w:firstLine="0" w:firstLineChars="0"/>
                                    <w:jc w:val="both"/>
                                    <w:rPr>
                                      <w:rFonts w:hint="default" w:eastAsia="宋体"/>
                                      <w:lang w:val="en-US" w:eastAsia="zh-CN"/>
                                    </w:rPr>
                                  </w:pPr>
                                  <w:r>
                                    <w:rPr>
                                      <w:rFonts w:hint="eastAsia"/>
                                      <w:lang w:val="en-US" w:eastAsia="zh-CN"/>
                                    </w:rPr>
                                    <w:t>590m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52.45pt;margin-top:87.2pt;height:22.5pt;width:47.2pt;z-index:251668480;v-text-anchor:middle;mso-width-relative:page;mso-height-relative:page;" fillcolor="#FFFFFF [3201]" filled="t" stroked="t" coordsize="21600,21600" o:gfxdata="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c+0+O2QAAAAsBAAAPAAAAAAAAAAEAIAAAACIAAABkcnMv&#10;ZG93bnJldi54bWxQSwECFAAUAAAACACHTuJATHzuZK0CAABYBQAADgAAAAAAAAABACAAAAAoAQAA&#10;ZHJzL2Uyb0RvYy54bWxQSwUGAAAAAAYABgBZAQAARwYAAAAA&#10;" adj="28167,57072">
                      <v:fill on="t" focussize="0,0"/>
                      <v:stroke weight="0.25pt" color="#000000 [3213]" joinstyle="round"/>
                      <v:imagedata o:title=""/>
                      <o:lock v:ext="edit" aspectratio="f"/>
                      <v:textbox>
                        <w:txbxContent>
                          <w:p>
                            <w:pPr>
                              <w:ind w:left="0" w:leftChars="0" w:firstLine="0" w:firstLineChars="0"/>
                              <w:jc w:val="both"/>
                              <w:rPr>
                                <w:rFonts w:hint="default" w:eastAsia="宋体"/>
                                <w:lang w:val="en-US" w:eastAsia="zh-CN"/>
                              </w:rPr>
                            </w:pPr>
                            <w:r>
                              <w:rPr>
                                <w:rFonts w:hint="eastAsia"/>
                                <w:lang w:val="en-US" w:eastAsia="zh-CN"/>
                              </w:rPr>
                              <w:t>590m</w:t>
                            </w:r>
                          </w:p>
                        </w:txbxContent>
                      </v:textbox>
                    </v:shape>
                  </w:pict>
                </mc:Fallback>
              </mc:AlternateContent>
            </w:r>
            <w:r>
              <w:rPr>
                <w:rFonts w:hint="default"/>
                <w:color w:val="auto"/>
                <w:sz w:val="24"/>
              </w:rPr>
              <mc:AlternateContent>
                <mc:Choice Requires="wps">
                  <w:drawing>
                    <wp:anchor distT="0" distB="0" distL="114300" distR="114300" simplePos="0" relativeHeight="251667456" behindDoc="0" locked="0" layoutInCell="1" allowOverlap="1">
                      <wp:simplePos x="0" y="0"/>
                      <wp:positionH relativeFrom="column">
                        <wp:posOffset>1366520</wp:posOffset>
                      </wp:positionH>
                      <wp:positionV relativeFrom="paragraph">
                        <wp:posOffset>1758315</wp:posOffset>
                      </wp:positionV>
                      <wp:extent cx="178435" cy="218440"/>
                      <wp:effectExtent l="0" t="0" r="12065" b="10160"/>
                      <wp:wrapNone/>
                      <wp:docPr id="28" name="直接箭头连接符 28"/>
                      <wp:cNvGraphicFramePr/>
                      <a:graphic xmlns:a="http://schemas.openxmlformats.org/drawingml/2006/main">
                        <a:graphicData uri="http://schemas.microsoft.com/office/word/2010/wordprocessingShape">
                          <wps:wsp>
                            <wps:cNvCnPr/>
                            <wps:spPr>
                              <a:xfrm flipH="1">
                                <a:off x="3029585" y="7708265"/>
                                <a:ext cx="178435" cy="21844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107.6pt;margin-top:138.45pt;height:17.2pt;width:14.05pt;z-index:251667456;mso-width-relative:page;mso-height-relative:page;" filled="f" stroked="t" coordsize="21600,21600" o:gfxdata="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KqqQM9sAAAALAQAADwAAAAAAAAABACAAAAAiAAAAZHJzL2Rv&#10;d25yZXYueG1sUEsBAhQAFAAAAAgAh07iQDi6rfE3AgAANQQAAA4AAAAAAAAAAQAgAAAAKgEAAGRy&#10;cy9lMm9Eb2MueG1sUEsFBgAAAAAGAAYAWQEAANMFAAAAAA==&#10;">
                      <v:fill on="f" focussize="0,0"/>
                      <v:stroke color="#4A7EBB [3204]" joinstyle="round" startarrow="open" endarrow="open"/>
                      <v:imagedata o:title=""/>
                      <o:lock v:ext="edit" aspectratio="f"/>
                    </v:shape>
                  </w:pict>
                </mc:Fallback>
              </mc:AlternateContent>
            </w:r>
          </w:p>
          <w:p>
            <w:pPr>
              <w:pStyle w:val="32"/>
              <w:bidi w:val="0"/>
              <w:spacing w:before="0" w:beforeAutospacing="0" w:after="0" w:afterAutospacing="0"/>
              <w:ind w:right="0"/>
              <w:rPr>
                <w:rFonts w:hint="default"/>
                <w:color w:val="auto"/>
                <w:lang w:val="en-US" w:eastAsia="zh-CN"/>
              </w:rPr>
            </w:pPr>
            <w:r>
              <w:rPr>
                <w:rFonts w:hint="default"/>
                <w:color w:val="auto"/>
                <w:lang w:val="en-US" w:eastAsia="zh-CN"/>
              </w:rPr>
              <w:t>项目</w:t>
            </w:r>
            <w:r>
              <w:rPr>
                <w:rFonts w:hint="eastAsia"/>
                <w:color w:val="auto"/>
                <w:lang w:val="en-US" w:eastAsia="zh-CN"/>
              </w:rPr>
              <w:t>南侧地块</w:t>
            </w:r>
            <w:r>
              <w:rPr>
                <w:rFonts w:hint="default"/>
                <w:color w:val="auto"/>
                <w:lang w:val="en-US" w:eastAsia="zh-CN"/>
              </w:rPr>
              <w:t>与生态保护红线位置关系图</w:t>
            </w:r>
          </w:p>
          <w:p>
            <w:pPr>
              <w:pStyle w:val="5"/>
              <w:suppressLineNumbers w:val="0"/>
              <w:spacing w:before="0" w:after="0"/>
              <w:ind w:left="0" w:right="0" w:firstLine="482"/>
              <w:rPr>
                <w:rFonts w:hint="default" w:ascii="Times New Roman" w:hAnsi="Times New Roman" w:cs="Times New Roman"/>
                <w:color w:val="auto"/>
              </w:rPr>
            </w:pPr>
            <w:r>
              <w:rPr>
                <w:rFonts w:hint="eastAsia" w:ascii="Times New Roman" w:hAnsi="Times New Roman" w:cs="Times New Roman"/>
                <w:color w:val="auto"/>
              </w:rPr>
              <w:t>项目与环境质量底线的符合性分析</w:t>
            </w:r>
            <w:r>
              <w:rPr>
                <w:rFonts w:hint="default" w:ascii="Times New Roman" w:hAnsi="Times New Roman" w:cs="Times New Roman"/>
                <w:color w:val="auto"/>
              </w:rPr>
              <w:t xml:space="preserve"> </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环境质量底线是国家和地方设置的大气、水和土壤环境质量目标，也是改善环境质量的基准线。有关规划环评应落实区域环境质量目标管理要求，提出区域或者行业污染物排放总量管控建议以及优化区域或行业发展布局、结构和规模的对策措施。项目环评应对照区域环境质量目标，深入分析项目建设对环境质量的影响，强化污染防治措施和污染物排放控制要求。</w:t>
            </w:r>
          </w:p>
          <w:p>
            <w:pPr>
              <w:keepNext w:val="0"/>
              <w:keepLines w:val="0"/>
              <w:numPr>
                <w:ilvl w:val="0"/>
                <w:numId w:val="10"/>
              </w:numPr>
              <w:suppressLineNumbers w:val="0"/>
              <w:spacing w:before="0" w:beforeAutospacing="0" w:after="0" w:afterAutospacing="0"/>
              <w:ind w:right="0" w:firstLine="480"/>
              <w:rPr>
                <w:rFonts w:hint="default" w:ascii="Times New Roman" w:hAnsi="Times New Roman" w:cs="Times New Roman"/>
                <w:color w:val="auto"/>
              </w:rPr>
            </w:pPr>
            <w:r>
              <w:rPr>
                <w:rFonts w:hint="eastAsia" w:ascii="Times New Roman" w:hAnsi="Times New Roman" w:cs="Times New Roman"/>
                <w:color w:val="auto"/>
              </w:rPr>
              <w:t>环境空气：根据《</w:t>
            </w:r>
            <w:r>
              <w:rPr>
                <w:rFonts w:hint="default" w:ascii="Times New Roman" w:hAnsi="Times New Roman" w:cs="Times New Roman"/>
                <w:color w:val="auto"/>
              </w:rPr>
              <w:t>2022</w:t>
            </w:r>
            <w:r>
              <w:rPr>
                <w:rFonts w:hint="eastAsia" w:ascii="Times New Roman" w:hAnsi="Times New Roman" w:cs="Times New Roman"/>
                <w:color w:val="auto"/>
              </w:rPr>
              <w:t>年承德市生态环境状况公报》中丰宁满族自治县环境空气中的</w:t>
            </w:r>
            <w:r>
              <w:rPr>
                <w:rFonts w:hint="default" w:ascii="Times New Roman" w:hAnsi="Times New Roman" w:cs="Times New Roman"/>
                <w:color w:val="auto"/>
              </w:rPr>
              <w:t>PM</w:t>
            </w:r>
            <w:r>
              <w:rPr>
                <w:rFonts w:hint="default" w:ascii="Times New Roman" w:hAnsi="Times New Roman" w:cs="Times New Roman"/>
                <w:color w:val="auto"/>
                <w:vertAlign w:val="subscript"/>
              </w:rPr>
              <w:t>10</w:t>
            </w:r>
            <w:r>
              <w:rPr>
                <w:rFonts w:hint="eastAsia" w:ascii="Times New Roman" w:hAnsi="Times New Roman" w:cs="Times New Roman"/>
                <w:color w:val="auto"/>
              </w:rPr>
              <w:t>、</w:t>
            </w:r>
            <w:r>
              <w:rPr>
                <w:rFonts w:hint="default" w:ascii="Times New Roman" w:hAnsi="Times New Roman" w:cs="Times New Roman"/>
                <w:color w:val="auto"/>
              </w:rPr>
              <w:t>PM</w:t>
            </w:r>
            <w:r>
              <w:rPr>
                <w:rFonts w:hint="default" w:ascii="Times New Roman" w:hAnsi="Times New Roman" w:cs="Times New Roman"/>
                <w:color w:val="auto"/>
                <w:vertAlign w:val="subscript"/>
              </w:rPr>
              <w:t>2.5</w:t>
            </w:r>
            <w:r>
              <w:rPr>
                <w:rFonts w:hint="eastAsia" w:ascii="Times New Roman" w:hAnsi="Times New Roman" w:cs="Times New Roman"/>
                <w:color w:val="auto"/>
              </w:rPr>
              <w:t>、</w:t>
            </w:r>
            <w:r>
              <w:rPr>
                <w:rFonts w:hint="default" w:ascii="Times New Roman" w:hAnsi="Times New Roman" w:cs="Times New Roman"/>
                <w:color w:val="auto"/>
              </w:rPr>
              <w:t>SO</w:t>
            </w:r>
            <w:r>
              <w:rPr>
                <w:rFonts w:hint="default" w:ascii="Times New Roman" w:hAnsi="Times New Roman" w:cs="Times New Roman"/>
                <w:color w:val="auto"/>
                <w:vertAlign w:val="subscript"/>
              </w:rPr>
              <w:t>2</w:t>
            </w:r>
            <w:r>
              <w:rPr>
                <w:rFonts w:hint="eastAsia" w:ascii="Times New Roman" w:hAnsi="Times New Roman" w:cs="Times New Roman"/>
                <w:color w:val="auto"/>
              </w:rPr>
              <w:t>、</w:t>
            </w:r>
            <w:r>
              <w:rPr>
                <w:rFonts w:hint="default" w:ascii="Times New Roman" w:hAnsi="Times New Roman" w:cs="Times New Roman"/>
                <w:color w:val="auto"/>
              </w:rPr>
              <w:t>NO</w:t>
            </w:r>
            <w:r>
              <w:rPr>
                <w:rFonts w:hint="default" w:ascii="Times New Roman" w:hAnsi="Times New Roman" w:cs="Times New Roman"/>
                <w:color w:val="auto"/>
                <w:vertAlign w:val="subscript"/>
              </w:rPr>
              <w:t>2</w:t>
            </w:r>
            <w:r>
              <w:rPr>
                <w:rFonts w:hint="eastAsia" w:ascii="Times New Roman" w:hAnsi="Times New Roman" w:cs="Times New Roman"/>
                <w:color w:val="auto"/>
              </w:rPr>
              <w:t>、</w:t>
            </w:r>
            <w:r>
              <w:rPr>
                <w:rFonts w:hint="default" w:ascii="Times New Roman" w:hAnsi="Times New Roman" w:cs="Times New Roman"/>
                <w:color w:val="auto"/>
              </w:rPr>
              <w:t>CO</w:t>
            </w:r>
            <w:r>
              <w:rPr>
                <w:rFonts w:hint="eastAsia" w:ascii="Times New Roman" w:hAnsi="Times New Roman" w:cs="Times New Roman"/>
                <w:color w:val="auto"/>
              </w:rPr>
              <w:t>、</w:t>
            </w:r>
            <w:r>
              <w:rPr>
                <w:rFonts w:hint="default" w:ascii="Times New Roman" w:hAnsi="Times New Roman" w:cs="Times New Roman"/>
                <w:color w:val="auto"/>
              </w:rPr>
              <w:t>O</w:t>
            </w:r>
            <w:r>
              <w:rPr>
                <w:rFonts w:hint="default" w:ascii="Times New Roman" w:hAnsi="Times New Roman" w:cs="Times New Roman"/>
                <w:color w:val="auto"/>
                <w:vertAlign w:val="subscript"/>
              </w:rPr>
              <w:t>3</w:t>
            </w:r>
            <w:r>
              <w:rPr>
                <w:rFonts w:hint="eastAsia" w:ascii="Times New Roman" w:hAnsi="Times New Roman" w:cs="Times New Roman"/>
                <w:color w:val="auto"/>
              </w:rPr>
              <w:t>现状监测统计资料，</w:t>
            </w:r>
            <w:r>
              <w:rPr>
                <w:rFonts w:hint="default" w:ascii="Times New Roman" w:hAnsi="Times New Roman" w:cs="Times New Roman"/>
                <w:color w:val="auto"/>
              </w:rPr>
              <w:t>SO</w:t>
            </w:r>
            <w:r>
              <w:rPr>
                <w:rFonts w:hint="default" w:ascii="Times New Roman" w:hAnsi="Times New Roman" w:cs="Times New Roman"/>
                <w:color w:val="auto"/>
                <w:vertAlign w:val="subscript"/>
              </w:rPr>
              <w:t>2</w:t>
            </w:r>
            <w:r>
              <w:rPr>
                <w:rFonts w:hint="eastAsia" w:ascii="Times New Roman" w:hAnsi="Times New Roman" w:cs="Times New Roman"/>
                <w:color w:val="auto"/>
              </w:rPr>
              <w:t>的年平均质量浓度、</w:t>
            </w:r>
            <w:r>
              <w:rPr>
                <w:rFonts w:hint="default" w:ascii="Times New Roman" w:hAnsi="Times New Roman" w:cs="Times New Roman"/>
                <w:color w:val="auto"/>
              </w:rPr>
              <w:t>NO</w:t>
            </w:r>
            <w:r>
              <w:rPr>
                <w:rFonts w:hint="default" w:ascii="Times New Roman" w:hAnsi="Times New Roman" w:cs="Times New Roman"/>
                <w:color w:val="auto"/>
                <w:vertAlign w:val="subscript"/>
              </w:rPr>
              <w:t>2</w:t>
            </w:r>
            <w:r>
              <w:rPr>
                <w:rFonts w:hint="eastAsia" w:ascii="Times New Roman" w:hAnsi="Times New Roman" w:cs="Times New Roman"/>
                <w:color w:val="auto"/>
              </w:rPr>
              <w:t>的年平均质量浓度、</w:t>
            </w:r>
            <w:r>
              <w:rPr>
                <w:rFonts w:hint="default" w:ascii="Times New Roman" w:hAnsi="Times New Roman" w:cs="Times New Roman"/>
                <w:color w:val="auto"/>
              </w:rPr>
              <w:t>CO24</w:t>
            </w:r>
            <w:r>
              <w:rPr>
                <w:rFonts w:hint="eastAsia" w:ascii="Times New Roman" w:hAnsi="Times New Roman" w:cs="Times New Roman"/>
                <w:color w:val="auto"/>
              </w:rPr>
              <w:t>小时平均浓度第</w:t>
            </w:r>
            <w:r>
              <w:rPr>
                <w:rFonts w:hint="default" w:ascii="Times New Roman" w:hAnsi="Times New Roman" w:cs="Times New Roman"/>
                <w:color w:val="auto"/>
              </w:rPr>
              <w:t>95</w:t>
            </w:r>
            <w:r>
              <w:rPr>
                <w:rFonts w:hint="eastAsia" w:ascii="Times New Roman" w:hAnsi="Times New Roman" w:cs="Times New Roman"/>
                <w:color w:val="auto"/>
              </w:rPr>
              <w:t>百分位数、</w:t>
            </w:r>
            <w:r>
              <w:rPr>
                <w:rFonts w:hint="default" w:ascii="Times New Roman" w:hAnsi="Times New Roman" w:cs="Times New Roman"/>
                <w:color w:val="auto"/>
              </w:rPr>
              <w:t>PM</w:t>
            </w:r>
            <w:r>
              <w:rPr>
                <w:rFonts w:hint="default" w:ascii="Times New Roman" w:hAnsi="Times New Roman" w:cs="Times New Roman"/>
                <w:color w:val="auto"/>
                <w:vertAlign w:val="subscript"/>
              </w:rPr>
              <w:t>10</w:t>
            </w:r>
            <w:r>
              <w:rPr>
                <w:rFonts w:hint="eastAsia" w:ascii="Times New Roman" w:hAnsi="Times New Roman" w:cs="Times New Roman"/>
                <w:color w:val="auto"/>
              </w:rPr>
              <w:t>年平均质量浓度、</w:t>
            </w:r>
            <w:r>
              <w:rPr>
                <w:rFonts w:hint="default" w:ascii="Times New Roman" w:hAnsi="Times New Roman" w:cs="Times New Roman"/>
                <w:color w:val="auto"/>
              </w:rPr>
              <w:t>PM</w:t>
            </w:r>
            <w:r>
              <w:rPr>
                <w:rFonts w:hint="default" w:ascii="Times New Roman" w:hAnsi="Times New Roman" w:cs="Times New Roman"/>
                <w:color w:val="auto"/>
                <w:vertAlign w:val="subscript"/>
              </w:rPr>
              <w:t>2.5</w:t>
            </w:r>
            <w:r>
              <w:rPr>
                <w:rFonts w:hint="eastAsia" w:ascii="Times New Roman" w:hAnsi="Times New Roman" w:cs="Times New Roman"/>
                <w:color w:val="auto"/>
              </w:rPr>
              <w:t>的年平均质量浓度、</w:t>
            </w:r>
            <w:r>
              <w:rPr>
                <w:rFonts w:hint="default" w:ascii="Times New Roman" w:hAnsi="Times New Roman" w:cs="Times New Roman"/>
                <w:color w:val="auto"/>
              </w:rPr>
              <w:t>O</w:t>
            </w:r>
            <w:r>
              <w:rPr>
                <w:rFonts w:hint="default" w:ascii="Times New Roman" w:hAnsi="Times New Roman" w:cs="Times New Roman"/>
                <w:color w:val="auto"/>
                <w:vertAlign w:val="subscript"/>
              </w:rPr>
              <w:t>3</w:t>
            </w:r>
            <w:r>
              <w:rPr>
                <w:rFonts w:hint="eastAsia" w:ascii="Times New Roman" w:hAnsi="Times New Roman" w:cs="Times New Roman"/>
                <w:color w:val="auto"/>
              </w:rPr>
              <w:t>日最大</w:t>
            </w:r>
            <w:r>
              <w:rPr>
                <w:rFonts w:hint="default" w:ascii="Times New Roman" w:hAnsi="Times New Roman" w:cs="Times New Roman"/>
                <w:color w:val="auto"/>
              </w:rPr>
              <w:t>8</w:t>
            </w:r>
            <w:r>
              <w:rPr>
                <w:rFonts w:hint="eastAsia" w:ascii="Times New Roman" w:hAnsi="Times New Roman" w:cs="Times New Roman"/>
                <w:color w:val="auto"/>
              </w:rPr>
              <w:t>小时平均浓度达标。本项目施工期施工扬尘采取措施后满足《施工场地扬尘排放标准》（DB13/2934-2019）表1标准要求，机械尾气符合排放要求；本项目只涉及光伏场、集电线路、升压站建设，运营期升压站内污水处理采用一体化污水处理设备，定期投放除臭剂，污水处理产生废气满足《恶臭污染物排放标准》(GB14554-93)表1恶臭污染物厂界标准值；升压站食堂产生的油烟经高效油烟净化装置处理后屋顶排放，满足《饮食业油烟排放标准（试行）》（GB18483-2001）中表2中的小型最高允许排放浓度和最低去除效率的要求。经分析可知，项目建设不会突破大气环境质量底线。</w:t>
            </w:r>
          </w:p>
          <w:p>
            <w:pPr>
              <w:keepNext w:val="0"/>
              <w:keepLines w:val="0"/>
              <w:numPr>
                <w:ilvl w:val="0"/>
                <w:numId w:val="10"/>
              </w:numPr>
              <w:suppressLineNumbers w:val="0"/>
              <w:spacing w:before="0" w:beforeAutospacing="0" w:after="0" w:afterAutospacing="0"/>
              <w:ind w:right="0" w:firstLine="480"/>
              <w:rPr>
                <w:rFonts w:hint="default" w:ascii="Times New Roman" w:hAnsi="Times New Roman" w:cs="Times New Roman"/>
                <w:color w:val="auto"/>
              </w:rPr>
            </w:pPr>
            <w:r>
              <w:rPr>
                <w:rFonts w:hint="eastAsia" w:ascii="Times New Roman" w:hAnsi="Times New Roman" w:cs="Times New Roman"/>
                <w:color w:val="auto"/>
              </w:rPr>
              <w:t>水环境：项目区内主要河流为滦河，本次评价引用《</w:t>
            </w:r>
            <w:r>
              <w:rPr>
                <w:rFonts w:hint="default" w:ascii="Times New Roman" w:hAnsi="Times New Roman" w:cs="Times New Roman"/>
                <w:color w:val="auto"/>
              </w:rPr>
              <w:t>2022</w:t>
            </w:r>
            <w:r>
              <w:rPr>
                <w:rFonts w:hint="eastAsia" w:ascii="Times New Roman" w:hAnsi="Times New Roman" w:cs="Times New Roman"/>
                <w:color w:val="auto"/>
              </w:rPr>
              <w:t>年承德市生态环境状况公报》（承德市生态环境局，</w:t>
            </w:r>
            <w:r>
              <w:rPr>
                <w:rFonts w:hint="default" w:ascii="Times New Roman" w:hAnsi="Times New Roman" w:cs="Times New Roman"/>
                <w:color w:val="auto"/>
              </w:rPr>
              <w:t>2023</w:t>
            </w:r>
            <w:r>
              <w:rPr>
                <w:rFonts w:hint="eastAsia" w:ascii="Times New Roman" w:hAnsi="Times New Roman" w:cs="Times New Roman"/>
                <w:color w:val="auto"/>
              </w:rPr>
              <w:t>年</w:t>
            </w:r>
            <w:r>
              <w:rPr>
                <w:rFonts w:hint="default" w:ascii="Times New Roman" w:hAnsi="Times New Roman" w:cs="Times New Roman"/>
                <w:color w:val="auto"/>
              </w:rPr>
              <w:t>5</w:t>
            </w:r>
            <w:r>
              <w:rPr>
                <w:rFonts w:hint="eastAsia" w:ascii="Times New Roman" w:hAnsi="Times New Roman" w:cs="Times New Roman"/>
                <w:color w:val="auto"/>
              </w:rPr>
              <w:t>月）中滦河的监测数据来说明项目所在区域的地表水环境质量状况，滦河共布设地表水常规监测断面</w:t>
            </w:r>
            <w:r>
              <w:rPr>
                <w:rFonts w:hint="default" w:ascii="Times New Roman" w:hAnsi="Times New Roman" w:cs="Times New Roman"/>
                <w:color w:val="auto"/>
              </w:rPr>
              <w:t>6</w:t>
            </w:r>
            <w:r>
              <w:rPr>
                <w:rFonts w:hint="eastAsia" w:ascii="Times New Roman" w:hAnsi="Times New Roman" w:cs="Times New Roman"/>
                <w:color w:val="auto"/>
              </w:rPr>
              <w:t>个，</w:t>
            </w:r>
            <w:r>
              <w:rPr>
                <w:rFonts w:hint="default" w:ascii="Times New Roman" w:hAnsi="Times New Roman" w:cs="Times New Roman"/>
                <w:color w:val="auto"/>
              </w:rPr>
              <w:t>2022</w:t>
            </w:r>
            <w:r>
              <w:rPr>
                <w:rFonts w:hint="eastAsia" w:ascii="Times New Roman" w:hAnsi="Times New Roman" w:cs="Times New Roman"/>
                <w:color w:val="auto"/>
              </w:rPr>
              <w:t>年大杖子（一）、潘家口水库断面水质类别均为</w:t>
            </w:r>
            <w:r>
              <w:rPr>
                <w:rFonts w:hint="default" w:ascii="Times New Roman" w:hAnsi="Times New Roman" w:cs="Times New Roman"/>
                <w:color w:val="auto"/>
              </w:rPr>
              <w:t>II</w:t>
            </w:r>
            <w:r>
              <w:rPr>
                <w:rFonts w:hint="eastAsia" w:ascii="Times New Roman" w:hAnsi="Times New Roman" w:cs="Times New Roman"/>
                <w:color w:val="auto"/>
              </w:rPr>
              <w:t>类；郭家屯、偏桥子大桥、兴隆庄、上板城大桥断面水质类别均为</w:t>
            </w:r>
            <w:r>
              <w:rPr>
                <w:rFonts w:hint="default" w:ascii="Times New Roman" w:hAnsi="Times New Roman" w:cs="Times New Roman"/>
                <w:color w:val="auto"/>
              </w:rPr>
              <w:t>Ⅲ</w:t>
            </w:r>
            <w:r>
              <w:rPr>
                <w:rFonts w:hint="eastAsia" w:ascii="Times New Roman" w:hAnsi="Times New Roman" w:cs="Times New Roman"/>
                <w:color w:val="auto"/>
              </w:rPr>
              <w:t>类，滦河流域总体水质状况为优，与</w:t>
            </w:r>
            <w:r>
              <w:rPr>
                <w:rFonts w:hint="default" w:ascii="Times New Roman" w:hAnsi="Times New Roman" w:cs="Times New Roman"/>
                <w:color w:val="auto"/>
              </w:rPr>
              <w:t>2021</w:t>
            </w:r>
            <w:r>
              <w:rPr>
                <w:rFonts w:hint="eastAsia" w:ascii="Times New Roman" w:hAnsi="Times New Roman" w:cs="Times New Roman"/>
                <w:color w:val="auto"/>
              </w:rPr>
              <w:t>年相比继续保持优的水质。项目所在地河流水质较好。本项目施工期无废水外排，运营期无废水外排，项目建设不会突破水环境质量底线。</w:t>
            </w:r>
            <w:r>
              <w:rPr>
                <w:rFonts w:hint="default" w:ascii="Times New Roman" w:hAnsi="Times New Roman" w:cs="Times New Roman"/>
                <w:color w:val="auto"/>
              </w:rPr>
              <w:t xml:space="preserve"> </w:t>
            </w:r>
          </w:p>
          <w:p>
            <w:pPr>
              <w:keepNext w:val="0"/>
              <w:keepLines w:val="0"/>
              <w:numPr>
                <w:ilvl w:val="0"/>
                <w:numId w:val="10"/>
              </w:numPr>
              <w:suppressLineNumbers w:val="0"/>
              <w:spacing w:before="0" w:beforeAutospacing="0" w:after="0" w:afterAutospacing="0"/>
              <w:ind w:right="0" w:firstLine="480"/>
              <w:rPr>
                <w:rFonts w:hint="default" w:ascii="Times New Roman" w:hAnsi="Times New Roman" w:cs="Times New Roman"/>
                <w:color w:val="auto"/>
              </w:rPr>
            </w:pPr>
            <w:r>
              <w:rPr>
                <w:rFonts w:hint="eastAsia" w:ascii="Times New Roman" w:hAnsi="Times New Roman" w:cs="Times New Roman"/>
                <w:color w:val="auto"/>
              </w:rPr>
              <w:t>声环境：本项目光伏组件在运行过程中基本不产生噪声，项目运营期噪声主要来源于升压站变压器和光伏发电区箱式变压器等设备，光伏变压器和箱式变压器运行产生的噪声很小，经分析，光伏发电区边界噪声能够满足《工业企业厂界环境噪声排放标准》（GB12348-2008）的</w:t>
            </w:r>
            <w:r>
              <w:rPr>
                <w:rFonts w:hint="eastAsia" w:cs="Times New Roman"/>
                <w:color w:val="auto"/>
                <w:lang w:val="en-US" w:eastAsia="zh-CN"/>
              </w:rPr>
              <w:t>2</w:t>
            </w:r>
            <w:r>
              <w:rPr>
                <w:rFonts w:hint="eastAsia" w:ascii="Times New Roman" w:hAnsi="Times New Roman" w:cs="Times New Roman"/>
                <w:color w:val="auto"/>
              </w:rPr>
              <w:t>类噪声排放限值。项目建设不会突破声环境质量底线。</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综上，项目建设符合环境质量底线的要求。</w:t>
            </w:r>
          </w:p>
          <w:p>
            <w:pPr>
              <w:pStyle w:val="5"/>
              <w:suppressLineNumbers w:val="0"/>
              <w:spacing w:before="0" w:after="0"/>
              <w:ind w:left="0" w:right="0" w:firstLine="482"/>
              <w:rPr>
                <w:rFonts w:hint="default" w:ascii="Times New Roman" w:hAnsi="Times New Roman" w:cs="Times New Roman"/>
                <w:color w:val="auto"/>
              </w:rPr>
            </w:pPr>
            <w:r>
              <w:rPr>
                <w:rFonts w:hint="eastAsia" w:ascii="Times New Roman" w:hAnsi="Times New Roman" w:cs="Times New Roman"/>
                <w:color w:val="auto"/>
              </w:rPr>
              <w:t>项目与资源利用上线的符合性分析</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资源是环境的载体，资源利用上线是各地区能源、水、土地等资源消耗不得突破的</w:t>
            </w:r>
            <w:r>
              <w:rPr>
                <w:rFonts w:hint="default" w:ascii="Times New Roman" w:hAnsi="Times New Roman" w:cs="Times New Roman"/>
                <w:color w:val="auto"/>
              </w:rPr>
              <w:t>“</w:t>
            </w:r>
            <w:r>
              <w:rPr>
                <w:rFonts w:hint="eastAsia" w:ascii="Times New Roman" w:hAnsi="Times New Roman" w:cs="Times New Roman"/>
                <w:color w:val="auto"/>
              </w:rPr>
              <w:t>天花板</w:t>
            </w:r>
            <w:r>
              <w:rPr>
                <w:rFonts w:hint="default" w:ascii="Times New Roman" w:hAnsi="Times New Roman" w:cs="Times New Roman"/>
                <w:color w:val="auto"/>
              </w:rPr>
              <w:t>”</w:t>
            </w:r>
            <w:r>
              <w:rPr>
                <w:rFonts w:hint="eastAsia" w:ascii="Times New Roman" w:hAnsi="Times New Roman" w:cs="Times New Roman"/>
                <w:color w:val="auto"/>
              </w:rPr>
              <w:t>。相关规划环评应依据有关资源利用上线，对规划实施以及规划内项目的资源开发利用，区分不同行业，从能源资源开发等量或减量替代、开采方式和规模控制、利用效率和保护措施等方面提出建议，为规划编制和审批决策提供重要依据。</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本项目为光伏发电项目，建成后可向外供电；本项目用水为施工期施工用水和运营期生活用水、光伏组件清洗用水，用水量较少；本项目不占用林地、不占用公益林、天保林。项目的电、水、土地等资源利用不会突破区域的资源利用上线。</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因此，项目建设符合资源利用上线的要求。</w:t>
            </w:r>
          </w:p>
          <w:p>
            <w:pPr>
              <w:pStyle w:val="5"/>
              <w:suppressLineNumbers w:val="0"/>
              <w:spacing w:before="0" w:after="0"/>
              <w:ind w:left="0" w:right="0" w:firstLine="482"/>
              <w:rPr>
                <w:rFonts w:hint="default" w:ascii="Times New Roman" w:hAnsi="Times New Roman" w:cs="Times New Roman"/>
                <w:color w:val="auto"/>
              </w:rPr>
            </w:pPr>
            <w:r>
              <w:rPr>
                <w:rFonts w:hint="eastAsia" w:ascii="Times New Roman" w:hAnsi="Times New Roman" w:cs="Times New Roman"/>
                <w:color w:val="auto"/>
              </w:rPr>
              <w:t>项目与环境准入负面清单符合性分析</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项目位于承德市丰宁满族自治县万胜永乡等周边区域，根据《承德市人民政府关于加快实施</w:t>
            </w:r>
            <w:r>
              <w:rPr>
                <w:rFonts w:hint="default" w:ascii="Times New Roman" w:hAnsi="Times New Roman" w:cs="Times New Roman"/>
                <w:color w:val="auto"/>
              </w:rPr>
              <w:t>“</w:t>
            </w:r>
            <w:r>
              <w:rPr>
                <w:rFonts w:hint="eastAsia" w:ascii="Times New Roman" w:hAnsi="Times New Roman" w:cs="Times New Roman"/>
                <w:color w:val="auto"/>
              </w:rPr>
              <w:t>三线一单</w:t>
            </w:r>
            <w:r>
              <w:rPr>
                <w:rFonts w:hint="default" w:ascii="Times New Roman" w:hAnsi="Times New Roman" w:cs="Times New Roman"/>
                <w:color w:val="auto"/>
              </w:rPr>
              <w:t>”</w:t>
            </w:r>
            <w:r>
              <w:rPr>
                <w:rFonts w:hint="eastAsia" w:ascii="Times New Roman" w:hAnsi="Times New Roman" w:cs="Times New Roman"/>
                <w:color w:val="auto"/>
              </w:rPr>
              <w:t>生态环境分区管控的意见》的附件《承德市</w:t>
            </w:r>
            <w:r>
              <w:rPr>
                <w:rFonts w:hint="default" w:ascii="Times New Roman" w:hAnsi="Times New Roman" w:cs="Times New Roman"/>
                <w:color w:val="auto"/>
              </w:rPr>
              <w:t>“</w:t>
            </w:r>
            <w:r>
              <w:rPr>
                <w:rFonts w:hint="eastAsia" w:ascii="Times New Roman" w:hAnsi="Times New Roman" w:cs="Times New Roman"/>
                <w:color w:val="auto"/>
              </w:rPr>
              <w:t>三线一单</w:t>
            </w:r>
            <w:r>
              <w:rPr>
                <w:rFonts w:hint="default" w:ascii="Times New Roman" w:hAnsi="Times New Roman" w:cs="Times New Roman"/>
                <w:color w:val="auto"/>
              </w:rPr>
              <w:t>”</w:t>
            </w:r>
            <w:r>
              <w:rPr>
                <w:rFonts w:hint="eastAsia" w:ascii="Times New Roman" w:hAnsi="Times New Roman" w:cs="Times New Roman"/>
                <w:color w:val="auto"/>
              </w:rPr>
              <w:t>生态环境准入清单》可知，项目所在区域编号为</w:t>
            </w:r>
            <w:r>
              <w:rPr>
                <w:rFonts w:hint="default" w:ascii="Times New Roman" w:hAnsi="Times New Roman" w:cs="Times New Roman"/>
                <w:color w:val="auto"/>
              </w:rPr>
              <w:t>ZH13082630001</w:t>
            </w:r>
            <w:r>
              <w:rPr>
                <w:rFonts w:hint="eastAsia" w:ascii="Times New Roman" w:hAnsi="Times New Roman" w:cs="Times New Roman"/>
                <w:color w:val="auto"/>
              </w:rPr>
              <w:t>和ZH13082610012，ZH13082630001管控类型为一般管控单元，ZH13082610012管控类型为优先保护单元，项目环境管控单元准入清单符合性分析判定内容如下表所示：</w:t>
            </w:r>
          </w:p>
          <w:p>
            <w:pPr>
              <w:pStyle w:val="31"/>
              <w:spacing w:before="0" w:beforeAutospacing="0" w:after="0" w:afterAutospacing="0"/>
              <w:ind w:right="0"/>
              <w:rPr>
                <w:rFonts w:hint="default" w:ascii="Times New Roman" w:hAnsi="Times New Roman"/>
                <w:color w:val="auto"/>
              </w:rPr>
            </w:pPr>
            <w:r>
              <w:rPr>
                <w:rFonts w:ascii="Times New Roman" w:hAnsi="Times New Roman"/>
                <w:color w:val="auto"/>
              </w:rPr>
              <w:t>项目环境管控单元准入清单符合性分析表</w:t>
            </w:r>
          </w:p>
          <w:tbl>
            <w:tblPr>
              <w:tblStyle w:val="20"/>
              <w:tblW w:w="473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4"/>
              <w:gridCol w:w="400"/>
              <w:gridCol w:w="399"/>
              <w:gridCol w:w="430"/>
              <w:gridCol w:w="371"/>
              <w:gridCol w:w="1087"/>
              <w:gridCol w:w="392"/>
              <w:gridCol w:w="1467"/>
              <w:gridCol w:w="1457"/>
              <w:gridCol w:w="4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435"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编号</w:t>
                  </w:r>
                </w:p>
              </w:tc>
              <w:tc>
                <w:tcPr>
                  <w:tcW w:w="40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省</w:t>
                  </w:r>
                </w:p>
              </w:tc>
              <w:tc>
                <w:tcPr>
                  <w:tcW w:w="399"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市</w:t>
                  </w:r>
                </w:p>
              </w:tc>
              <w:tc>
                <w:tcPr>
                  <w:tcW w:w="43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县</w:t>
                  </w:r>
                </w:p>
              </w:tc>
              <w:tc>
                <w:tcPr>
                  <w:tcW w:w="371"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管控类型</w:t>
                  </w:r>
                </w:p>
              </w:tc>
              <w:tc>
                <w:tcPr>
                  <w:tcW w:w="108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环境要素类别</w:t>
                  </w:r>
                </w:p>
              </w:tc>
              <w:tc>
                <w:tcPr>
                  <w:tcW w:w="392"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维度</w:t>
                  </w:r>
                </w:p>
              </w:tc>
              <w:tc>
                <w:tcPr>
                  <w:tcW w:w="146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管控措施</w:t>
                  </w:r>
                </w:p>
              </w:tc>
              <w:tc>
                <w:tcPr>
                  <w:tcW w:w="145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项目情况</w:t>
                  </w:r>
                </w:p>
              </w:tc>
              <w:tc>
                <w:tcPr>
                  <w:tcW w:w="401"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2" w:hRule="atLeast"/>
                <w:jc w:val="center"/>
              </w:trPr>
              <w:tc>
                <w:tcPr>
                  <w:tcW w:w="435" w:type="dxa"/>
                  <w:vMerge w:val="restart"/>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ZH13082630001</w:t>
                  </w:r>
                </w:p>
              </w:tc>
              <w:tc>
                <w:tcPr>
                  <w:tcW w:w="400" w:type="dxa"/>
                  <w:vMerge w:val="restart"/>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河北省</w:t>
                  </w:r>
                </w:p>
              </w:tc>
              <w:tc>
                <w:tcPr>
                  <w:tcW w:w="399" w:type="dxa"/>
                  <w:vMerge w:val="restart"/>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承德市</w:t>
                  </w:r>
                </w:p>
              </w:tc>
              <w:tc>
                <w:tcPr>
                  <w:tcW w:w="430" w:type="dxa"/>
                  <w:vMerge w:val="restart"/>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丰宁满族自治县</w:t>
                  </w:r>
                </w:p>
              </w:tc>
              <w:tc>
                <w:tcPr>
                  <w:tcW w:w="371" w:type="dxa"/>
                  <w:vMerge w:val="restart"/>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一般管控单元</w:t>
                  </w:r>
                </w:p>
              </w:tc>
              <w:tc>
                <w:tcPr>
                  <w:tcW w:w="1087" w:type="dxa"/>
                  <w:vMerge w:val="restart"/>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 xml:space="preserve">一般管控区 </w:t>
                  </w:r>
                </w:p>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 xml:space="preserve">涉及部分水环境优先保护区 </w:t>
                  </w:r>
                </w:p>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 xml:space="preserve">农用地优先保护区 </w:t>
                  </w:r>
                </w:p>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392" w:type="dxa"/>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空间布局约束</w:t>
                  </w:r>
                </w:p>
              </w:tc>
              <w:tc>
                <w:tcPr>
                  <w:tcW w:w="1467" w:type="dxa"/>
                  <w:vMerge w:val="restart"/>
                  <w:tcBorders>
                    <w:top w:val="single" w:color="auto" w:sz="4" w:space="0"/>
                    <w:left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 xml:space="preserve">1. 严格执行国家和省关于产业准入、总量控制和污染物排放标准等管控要求。 </w:t>
                  </w:r>
                </w:p>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 xml:space="preserve">2. 水环境优先保护区应优化区域种植结构，完善水污染设施体系，严格执行流域水排放控制标准，加强湖滨岸带建设，保障水环境安全，现有涉水污染排放及风险项目，限期搬迁。 </w:t>
                  </w:r>
                </w:p>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3. 农用地优先保护区执行承德市总体准入清单要求。</w:t>
                  </w:r>
                </w:p>
              </w:tc>
              <w:tc>
                <w:tcPr>
                  <w:tcW w:w="1457" w:type="dxa"/>
                  <w:vMerge w:val="restart"/>
                  <w:tcBorders>
                    <w:top w:val="single" w:color="auto" w:sz="4" w:space="0"/>
                    <w:left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1、本项目位于丰宁满族自治县万胜永乡等周边区域，项目为</w:t>
                  </w:r>
                  <w:r>
                    <w:rPr>
                      <w:rFonts w:hint="eastAsia" w:ascii="Times New Roman" w:hAnsi="Times New Roman" w:cs="Times New Roman"/>
                      <w:color w:val="auto"/>
                    </w:rPr>
                    <w:t>光伏发电</w:t>
                  </w:r>
                  <w:r>
                    <w:rPr>
                      <w:rFonts w:hint="default" w:ascii="Times New Roman" w:hAnsi="Times New Roman" w:cs="Times New Roman"/>
                      <w:color w:val="auto"/>
                    </w:rPr>
                    <w:t>项目，运营期</w:t>
                  </w:r>
                  <w:r>
                    <w:rPr>
                      <w:rFonts w:hint="eastAsia" w:ascii="Times New Roman" w:hAnsi="Times New Roman" w:cs="Times New Roman"/>
                      <w:color w:val="auto"/>
                    </w:rPr>
                    <w:t>的</w:t>
                  </w:r>
                  <w:r>
                    <w:rPr>
                      <w:rFonts w:hint="default" w:ascii="Times New Roman" w:hAnsi="Times New Roman" w:cs="Times New Roman"/>
                      <w:color w:val="auto"/>
                    </w:rPr>
                    <w:t>生产废气</w:t>
                  </w:r>
                  <w:r>
                    <w:rPr>
                      <w:rFonts w:hint="eastAsia" w:ascii="Times New Roman" w:hAnsi="Times New Roman" w:cs="Times New Roman"/>
                      <w:color w:val="auto"/>
                    </w:rPr>
                    <w:t>为污水处理站产生的氨、硫化氢和臭气浓度，还有食堂油烟，均能达标排放，产生的</w:t>
                  </w:r>
                  <w:r>
                    <w:rPr>
                      <w:rFonts w:hint="default" w:ascii="Times New Roman" w:hAnsi="Times New Roman" w:cs="Times New Roman"/>
                      <w:color w:val="auto"/>
                    </w:rPr>
                    <w:t>废</w:t>
                  </w:r>
                  <w:r>
                    <w:rPr>
                      <w:rFonts w:hint="eastAsia" w:ascii="Times New Roman" w:hAnsi="Times New Roman" w:cs="Times New Roman"/>
                      <w:color w:val="auto"/>
                    </w:rPr>
                    <w:t>水均不外排</w:t>
                  </w:r>
                  <w:r>
                    <w:rPr>
                      <w:rFonts w:hint="default" w:ascii="Times New Roman" w:hAnsi="Times New Roman" w:cs="Times New Roman"/>
                      <w:color w:val="auto"/>
                    </w:rPr>
                    <w:t>；项目符合国家和省关于产业准入、总量控制和污染物排放标准等管控要求。</w:t>
                  </w:r>
                </w:p>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2、不涉及水环境优先保护区。</w:t>
                  </w:r>
                </w:p>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3、项目升压站涉及</w:t>
                  </w:r>
                  <w:r>
                    <w:rPr>
                      <w:rFonts w:hint="default" w:ascii="Times New Roman" w:hAnsi="Times New Roman" w:cs="Times New Roman"/>
                      <w:color w:val="auto"/>
                    </w:rPr>
                    <w:t>农用地优先保护区</w:t>
                  </w:r>
                  <w:r>
                    <w:rPr>
                      <w:rFonts w:hint="eastAsia" w:ascii="Times New Roman" w:hAnsi="Times New Roman" w:cs="Times New Roman"/>
                      <w:color w:val="auto"/>
                    </w:rPr>
                    <w:t>，但根据承德市自然资源和规划局出具的用地预审与选址意见书，项目符合国土空间用途管制要求，选址合理可行</w:t>
                  </w:r>
                </w:p>
              </w:tc>
              <w:tc>
                <w:tcPr>
                  <w:tcW w:w="401" w:type="dxa"/>
                  <w:vMerge w:val="restart"/>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35" w:type="dxa"/>
                  <w:vMerge w:val="continue"/>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400" w:type="dxa"/>
                  <w:vMerge w:val="continue"/>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399" w:type="dxa"/>
                  <w:vMerge w:val="continue"/>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430" w:type="dxa"/>
                  <w:vMerge w:val="continue"/>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371" w:type="dxa"/>
                  <w:vMerge w:val="continue"/>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087" w:type="dxa"/>
                  <w:vMerge w:val="continue"/>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392" w:type="dxa"/>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污染物排放管控</w:t>
                  </w:r>
                </w:p>
              </w:tc>
              <w:tc>
                <w:tcPr>
                  <w:tcW w:w="1467" w:type="dxa"/>
                  <w:vMerge w:val="continue"/>
                  <w:tcBorders>
                    <w:left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457" w:type="dxa"/>
                  <w:vMerge w:val="continue"/>
                  <w:tcBorders>
                    <w:left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401" w:type="dxa"/>
                  <w:vMerge w:val="continue"/>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35" w:type="dxa"/>
                  <w:vMerge w:val="continue"/>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400" w:type="dxa"/>
                  <w:vMerge w:val="continue"/>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399" w:type="dxa"/>
                  <w:vMerge w:val="continue"/>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430" w:type="dxa"/>
                  <w:vMerge w:val="continue"/>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371" w:type="dxa"/>
                  <w:vMerge w:val="continue"/>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087" w:type="dxa"/>
                  <w:vMerge w:val="continue"/>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392" w:type="dxa"/>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环境风险防控</w:t>
                  </w:r>
                </w:p>
              </w:tc>
              <w:tc>
                <w:tcPr>
                  <w:tcW w:w="1467" w:type="dxa"/>
                  <w:vMerge w:val="continue"/>
                  <w:tcBorders>
                    <w:left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457" w:type="dxa"/>
                  <w:vMerge w:val="continue"/>
                  <w:tcBorders>
                    <w:left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401" w:type="dxa"/>
                  <w:vMerge w:val="continue"/>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 w:hRule="atLeast"/>
                <w:jc w:val="center"/>
              </w:trPr>
              <w:tc>
                <w:tcPr>
                  <w:tcW w:w="435" w:type="dxa"/>
                  <w:vMerge w:val="continue"/>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400" w:type="dxa"/>
                  <w:vMerge w:val="continue"/>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399" w:type="dxa"/>
                  <w:vMerge w:val="continue"/>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430" w:type="dxa"/>
                  <w:vMerge w:val="continue"/>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371" w:type="dxa"/>
                  <w:vMerge w:val="continue"/>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087" w:type="dxa"/>
                  <w:vMerge w:val="continue"/>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392" w:type="dxa"/>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资源利用效率</w:t>
                  </w:r>
                </w:p>
              </w:tc>
              <w:tc>
                <w:tcPr>
                  <w:tcW w:w="1467" w:type="dxa"/>
                  <w:vMerge w:val="continue"/>
                  <w:tcBorders>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457" w:type="dxa"/>
                  <w:vMerge w:val="continue"/>
                  <w:tcBorders>
                    <w:left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401" w:type="dxa"/>
                  <w:vMerge w:val="continue"/>
                  <w:tcBorders>
                    <w:top w:val="nil"/>
                    <w:left w:val="single" w:color="auto" w:sz="4" w:space="0"/>
                    <w:bottom w:val="nil"/>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 w:hRule="atLeast"/>
                <w:jc w:val="center"/>
              </w:trPr>
              <w:tc>
                <w:tcPr>
                  <w:tcW w:w="435" w:type="dxa"/>
                  <w:vMerge w:val="restart"/>
                  <w:tcBorders>
                    <w:top w:val="single" w:color="auto" w:sz="4" w:space="0"/>
                    <w:left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ZH13082610012</w:t>
                  </w:r>
                </w:p>
              </w:tc>
              <w:tc>
                <w:tcPr>
                  <w:tcW w:w="400" w:type="dxa"/>
                  <w:vMerge w:val="restart"/>
                  <w:tcBorders>
                    <w:top w:val="single" w:color="auto" w:sz="4" w:space="0"/>
                    <w:left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河北省</w:t>
                  </w:r>
                </w:p>
              </w:tc>
              <w:tc>
                <w:tcPr>
                  <w:tcW w:w="399" w:type="dxa"/>
                  <w:vMerge w:val="restart"/>
                  <w:tcBorders>
                    <w:top w:val="single" w:color="auto" w:sz="4" w:space="0"/>
                    <w:left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承德市</w:t>
                  </w:r>
                </w:p>
              </w:tc>
              <w:tc>
                <w:tcPr>
                  <w:tcW w:w="430" w:type="dxa"/>
                  <w:vMerge w:val="restart"/>
                  <w:tcBorders>
                    <w:top w:val="single" w:color="auto" w:sz="4" w:space="0"/>
                    <w:left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丰宁满族自治县</w:t>
                  </w:r>
                </w:p>
              </w:tc>
              <w:tc>
                <w:tcPr>
                  <w:tcW w:w="371" w:type="dxa"/>
                  <w:vMerge w:val="restart"/>
                  <w:tcBorders>
                    <w:top w:val="single" w:color="auto" w:sz="4" w:space="0"/>
                    <w:left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优先保护单元</w:t>
                  </w:r>
                </w:p>
              </w:tc>
              <w:tc>
                <w:tcPr>
                  <w:tcW w:w="1087" w:type="dxa"/>
                  <w:vMerge w:val="restart"/>
                  <w:tcBorders>
                    <w:top w:val="single" w:color="auto" w:sz="4" w:space="0"/>
                    <w:left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 xml:space="preserve">一般生态空间，涉及部分水环境优先保护区 </w:t>
                  </w:r>
                </w:p>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 xml:space="preserve">涉及部分大气环境优先保护 </w:t>
                  </w:r>
                </w:p>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 xml:space="preserve">区 </w:t>
                  </w:r>
                </w:p>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392"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空间布局约束</w:t>
                  </w:r>
                </w:p>
              </w:tc>
              <w:tc>
                <w:tcPr>
                  <w:tcW w:w="1467" w:type="dxa"/>
                  <w:vMerge w:val="restart"/>
                  <w:tcBorders>
                    <w:top w:val="single" w:color="auto" w:sz="4" w:space="0"/>
                    <w:left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 执行承德市总体准入清单中一般生态空间准入要求</w:t>
                  </w:r>
                </w:p>
              </w:tc>
              <w:tc>
                <w:tcPr>
                  <w:tcW w:w="1457" w:type="dxa"/>
                  <w:vMerge w:val="restart"/>
                  <w:tcBorders>
                    <w:left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项目所在位置不属于水环境优先保护区和大气环境优先保护区，项目为太阳能发电项目，不属于损害生态系统水源涵养功能的项目，项目产生的废水不外排，不会导致水体污染</w:t>
                  </w:r>
                </w:p>
              </w:tc>
              <w:tc>
                <w:tcPr>
                  <w:tcW w:w="401" w:type="dxa"/>
                  <w:tcBorders>
                    <w:top w:val="nil"/>
                    <w:left w:val="single" w:color="auto" w:sz="4" w:space="0"/>
                    <w:bottom w:val="nil"/>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 w:hRule="atLeast"/>
                <w:jc w:val="center"/>
              </w:trPr>
              <w:tc>
                <w:tcPr>
                  <w:tcW w:w="435" w:type="dxa"/>
                  <w:vMerge w:val="continue"/>
                  <w:tcBorders>
                    <w:left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400" w:type="dxa"/>
                  <w:vMerge w:val="continue"/>
                  <w:tcBorders>
                    <w:left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399" w:type="dxa"/>
                  <w:vMerge w:val="continue"/>
                  <w:tcBorders>
                    <w:left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430" w:type="dxa"/>
                  <w:vMerge w:val="continue"/>
                  <w:tcBorders>
                    <w:left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371" w:type="dxa"/>
                  <w:vMerge w:val="continue"/>
                  <w:tcBorders>
                    <w:left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087" w:type="dxa"/>
                  <w:vMerge w:val="continue"/>
                  <w:tcBorders>
                    <w:left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392"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污染物排放管控</w:t>
                  </w:r>
                </w:p>
              </w:tc>
              <w:tc>
                <w:tcPr>
                  <w:tcW w:w="1467" w:type="dxa"/>
                  <w:vMerge w:val="continue"/>
                  <w:tcBorders>
                    <w:left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457" w:type="dxa"/>
                  <w:vMerge w:val="continue"/>
                  <w:tcBorders>
                    <w:left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401" w:type="dxa"/>
                  <w:tcBorders>
                    <w:top w:val="nil"/>
                    <w:left w:val="single" w:color="auto" w:sz="4" w:space="0"/>
                    <w:bottom w:val="nil"/>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 w:hRule="atLeast"/>
                <w:jc w:val="center"/>
              </w:trPr>
              <w:tc>
                <w:tcPr>
                  <w:tcW w:w="435" w:type="dxa"/>
                  <w:vMerge w:val="continue"/>
                  <w:tcBorders>
                    <w:left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400" w:type="dxa"/>
                  <w:vMerge w:val="continue"/>
                  <w:tcBorders>
                    <w:left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399" w:type="dxa"/>
                  <w:vMerge w:val="continue"/>
                  <w:tcBorders>
                    <w:left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430" w:type="dxa"/>
                  <w:vMerge w:val="continue"/>
                  <w:tcBorders>
                    <w:left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371" w:type="dxa"/>
                  <w:vMerge w:val="continue"/>
                  <w:tcBorders>
                    <w:left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087" w:type="dxa"/>
                  <w:vMerge w:val="continue"/>
                  <w:tcBorders>
                    <w:left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392"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环境风险防控</w:t>
                  </w:r>
                </w:p>
              </w:tc>
              <w:tc>
                <w:tcPr>
                  <w:tcW w:w="1467" w:type="dxa"/>
                  <w:vMerge w:val="continue"/>
                  <w:tcBorders>
                    <w:left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457" w:type="dxa"/>
                  <w:vMerge w:val="continue"/>
                  <w:tcBorders>
                    <w:left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401" w:type="dxa"/>
                  <w:tcBorders>
                    <w:top w:val="nil"/>
                    <w:left w:val="single" w:color="auto" w:sz="4" w:space="0"/>
                    <w:bottom w:val="nil"/>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 w:hRule="atLeast"/>
                <w:jc w:val="center"/>
              </w:trPr>
              <w:tc>
                <w:tcPr>
                  <w:tcW w:w="435" w:type="dxa"/>
                  <w:vMerge w:val="continue"/>
                  <w:tcBorders>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400" w:type="dxa"/>
                  <w:vMerge w:val="continue"/>
                  <w:tcBorders>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399" w:type="dxa"/>
                  <w:vMerge w:val="continue"/>
                  <w:tcBorders>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430" w:type="dxa"/>
                  <w:vMerge w:val="continue"/>
                  <w:tcBorders>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371" w:type="dxa"/>
                  <w:vMerge w:val="continue"/>
                  <w:tcBorders>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087" w:type="dxa"/>
                  <w:vMerge w:val="continue"/>
                  <w:tcBorders>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392"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资源利用效率</w:t>
                  </w:r>
                </w:p>
              </w:tc>
              <w:tc>
                <w:tcPr>
                  <w:tcW w:w="1467" w:type="dxa"/>
                  <w:vMerge w:val="continue"/>
                  <w:tcBorders>
                    <w:left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457" w:type="dxa"/>
                  <w:vMerge w:val="continue"/>
                  <w:tcBorders>
                    <w:left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401" w:type="dxa"/>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bl>
          <w:p>
            <w:pPr>
              <w:keepNext w:val="0"/>
              <w:keepLines w:val="0"/>
              <w:widowControl/>
              <w:suppressLineNumbers w:val="0"/>
              <w:spacing w:before="0" w:beforeAutospacing="0" w:after="0" w:afterAutospacing="0"/>
              <w:ind w:left="0" w:right="0" w:firstLine="0" w:firstLineChars="0"/>
              <w:jc w:val="left"/>
              <w:rPr>
                <w:rFonts w:hint="default" w:ascii="Times New Roman" w:hAnsi="Times New Roman" w:cs="Times New Roman"/>
                <w:color w:val="auto"/>
              </w:rPr>
            </w:pPr>
            <w:r>
              <w:rPr>
                <w:rFonts w:hint="default" w:ascii="Times New Roman" w:hAnsi="Times New Roman" w:cs="Times New Roman"/>
                <w:color w:val="auto"/>
              </w:rPr>
              <w:t xml:space="preserve"> </w:t>
            </w:r>
          </w:p>
          <w:p>
            <w:pPr>
              <w:keepNext w:val="0"/>
              <w:keepLines w:val="0"/>
              <w:widowControl/>
              <w:suppressLineNumbers w:val="0"/>
              <w:spacing w:before="0" w:beforeAutospacing="0" w:after="0" w:afterAutospacing="0"/>
              <w:ind w:left="0" w:right="0" w:firstLine="0" w:firstLineChars="0"/>
              <w:jc w:val="left"/>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4547870" cy="3091815"/>
                  <wp:effectExtent l="0" t="0" r="5080" b="13335"/>
                  <wp:docPr id="39" name="图片 39" descr="49a9323ef2d45bc56814d70f1fb28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49a9323ef2d45bc56814d70f1fb28e17"/>
                          <pic:cNvPicPr>
                            <a:picLocks noChangeAspect="1"/>
                          </pic:cNvPicPr>
                        </pic:nvPicPr>
                        <pic:blipFill>
                          <a:blip r:embed="rId16"/>
                          <a:stretch>
                            <a:fillRect/>
                          </a:stretch>
                        </pic:blipFill>
                        <pic:spPr>
                          <a:xfrm>
                            <a:off x="0" y="0"/>
                            <a:ext cx="4547870" cy="3091815"/>
                          </a:xfrm>
                          <a:prstGeom prst="rect">
                            <a:avLst/>
                          </a:prstGeom>
                        </pic:spPr>
                      </pic:pic>
                    </a:graphicData>
                  </a:graphic>
                </wp:inline>
              </w:drawing>
            </w:r>
            <w:r>
              <w:rPr>
                <w:rFonts w:hint="default" w:ascii="Times New Roman" w:hAnsi="Times New Roman" w:cs="Times New Roman"/>
                <w:color w:val="auto"/>
              </w:rPr>
              <w:t xml:space="preserve"> </w:t>
            </w:r>
          </w:p>
          <w:p>
            <w:pPr>
              <w:pStyle w:val="32"/>
              <w:bidi w:val="0"/>
              <w:spacing w:before="0" w:beforeAutospacing="0" w:after="0" w:afterAutospacing="0"/>
              <w:ind w:right="0"/>
              <w:rPr>
                <w:rFonts w:hint="default"/>
                <w:color w:val="auto"/>
              </w:rPr>
            </w:pPr>
            <w:r>
              <w:rPr>
                <w:color w:val="auto"/>
              </w:rPr>
              <w:t>“三线一单”分区管控位置图</w:t>
            </w:r>
            <w:r>
              <w:rPr>
                <w:rFonts w:hint="eastAsia"/>
                <w:color w:val="auto"/>
                <w:lang w:eastAsia="zh-CN"/>
              </w:rPr>
              <w:t>（</w:t>
            </w:r>
            <w:r>
              <w:rPr>
                <w:rFonts w:hint="eastAsia"/>
                <w:color w:val="auto"/>
                <w:lang w:val="en-US" w:eastAsia="zh-CN"/>
              </w:rPr>
              <w:t>农用地优先保护区-总体</w:t>
            </w:r>
            <w:r>
              <w:rPr>
                <w:rFonts w:hint="eastAsia"/>
                <w:color w:val="auto"/>
                <w:lang w:eastAsia="zh-CN"/>
              </w:rPr>
              <w:t>）</w:t>
            </w:r>
          </w:p>
          <w:p>
            <w:pPr>
              <w:keepNext w:val="0"/>
              <w:keepLines w:val="0"/>
              <w:suppressLineNumbers w:val="0"/>
              <w:bidi w:val="0"/>
              <w:spacing w:before="0" w:beforeAutospacing="0" w:after="0" w:afterAutospacing="0"/>
              <w:ind w:left="0" w:leftChars="0" w:right="0" w:firstLine="0" w:firstLineChars="0"/>
              <w:rPr>
                <w:rFonts w:hint="eastAsia"/>
                <w:color w:val="auto"/>
                <w:lang w:eastAsia="zh-CN"/>
              </w:rPr>
            </w:pPr>
            <w:r>
              <w:rPr>
                <w:rFonts w:hint="eastAsia"/>
                <w:color w:val="auto"/>
                <w:lang w:eastAsia="zh-CN"/>
              </w:rPr>
              <w:drawing>
                <wp:inline distT="0" distB="0" distL="114300" distR="114300">
                  <wp:extent cx="4585970" cy="3074670"/>
                  <wp:effectExtent l="0" t="0" r="5080" b="11430"/>
                  <wp:docPr id="40" name="图片 40" descr="a75618d214a454b047bf9c52f38ed4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a75618d214a454b047bf9c52f38ed4e4"/>
                          <pic:cNvPicPr>
                            <a:picLocks noChangeAspect="1"/>
                          </pic:cNvPicPr>
                        </pic:nvPicPr>
                        <pic:blipFill>
                          <a:blip r:embed="rId17"/>
                          <a:stretch>
                            <a:fillRect/>
                          </a:stretch>
                        </pic:blipFill>
                        <pic:spPr>
                          <a:xfrm>
                            <a:off x="0" y="0"/>
                            <a:ext cx="4585970" cy="3074670"/>
                          </a:xfrm>
                          <a:prstGeom prst="rect">
                            <a:avLst/>
                          </a:prstGeom>
                        </pic:spPr>
                      </pic:pic>
                    </a:graphicData>
                  </a:graphic>
                </wp:inline>
              </w:drawing>
            </w:r>
          </w:p>
          <w:p>
            <w:pPr>
              <w:pStyle w:val="32"/>
              <w:bidi w:val="0"/>
              <w:spacing w:before="0" w:beforeAutospacing="0" w:after="0" w:afterAutospacing="0"/>
              <w:ind w:right="0"/>
              <w:rPr>
                <w:rFonts w:hint="default"/>
                <w:color w:val="auto"/>
              </w:rPr>
            </w:pPr>
            <w:r>
              <w:rPr>
                <w:rFonts w:hint="default"/>
                <w:color w:val="auto"/>
              </w:rPr>
              <w:t>“三线一单”分区管控位置图</w:t>
            </w:r>
            <w:r>
              <w:rPr>
                <w:rFonts w:hint="default"/>
                <w:color w:val="auto"/>
                <w:lang w:eastAsia="zh-CN"/>
              </w:rPr>
              <w:t>（</w:t>
            </w:r>
            <w:r>
              <w:rPr>
                <w:rFonts w:hint="default"/>
                <w:color w:val="auto"/>
                <w:lang w:val="en-US" w:eastAsia="zh-CN"/>
              </w:rPr>
              <w:t>农用地优先保护区-</w:t>
            </w:r>
            <w:r>
              <w:rPr>
                <w:rFonts w:hint="eastAsia"/>
                <w:color w:val="auto"/>
                <w:lang w:val="en-US" w:eastAsia="zh-CN"/>
              </w:rPr>
              <w:t>局部</w:t>
            </w:r>
            <w:r>
              <w:rPr>
                <w:rFonts w:hint="default"/>
                <w:color w:val="auto"/>
                <w:lang w:eastAsia="zh-CN"/>
              </w:rPr>
              <w:t>）</w:t>
            </w:r>
          </w:p>
          <w:p>
            <w:pPr>
              <w:pStyle w:val="32"/>
              <w:keepNext w:val="0"/>
              <w:keepLines w:val="0"/>
              <w:widowControl w:val="0"/>
              <w:numPr>
                <w:ilvl w:val="0"/>
                <w:numId w:val="0"/>
              </w:numPr>
              <w:suppressLineNumbers w:val="0"/>
              <w:bidi w:val="0"/>
              <w:adjustRightInd w:val="0"/>
              <w:snapToGrid w:val="0"/>
              <w:spacing w:before="0" w:beforeAutospacing="0" w:after="0" w:afterAutospacing="0" w:line="360" w:lineRule="auto"/>
              <w:ind w:right="0"/>
              <w:jc w:val="center"/>
              <w:rPr>
                <w:rFonts w:hint="eastAsia" w:eastAsia="宋体"/>
                <w:color w:val="auto"/>
                <w:lang w:eastAsia="zh-CN"/>
              </w:rPr>
            </w:pPr>
            <w:r>
              <w:rPr>
                <w:rFonts w:hint="eastAsia" w:eastAsia="宋体"/>
                <w:color w:val="auto"/>
                <w:lang w:eastAsia="zh-CN"/>
              </w:rPr>
              <w:drawing>
                <wp:inline distT="0" distB="0" distL="114300" distR="114300">
                  <wp:extent cx="4585335" cy="2686685"/>
                  <wp:effectExtent l="0" t="0" r="5715" b="18415"/>
                  <wp:docPr id="37" name="图片 37" descr="74b1fa849dba4e7ec908fc8c09d2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74b1fa849dba4e7ec908fc8c09d21720"/>
                          <pic:cNvPicPr>
                            <a:picLocks noChangeAspect="1"/>
                          </pic:cNvPicPr>
                        </pic:nvPicPr>
                        <pic:blipFill>
                          <a:blip r:embed="rId18"/>
                          <a:stretch>
                            <a:fillRect/>
                          </a:stretch>
                        </pic:blipFill>
                        <pic:spPr>
                          <a:xfrm>
                            <a:off x="0" y="0"/>
                            <a:ext cx="4585335" cy="2686685"/>
                          </a:xfrm>
                          <a:prstGeom prst="rect">
                            <a:avLst/>
                          </a:prstGeom>
                        </pic:spPr>
                      </pic:pic>
                    </a:graphicData>
                  </a:graphic>
                </wp:inline>
              </w:drawing>
            </w:r>
          </w:p>
          <w:p>
            <w:pPr>
              <w:pStyle w:val="32"/>
              <w:bidi w:val="0"/>
              <w:spacing w:before="0" w:beforeAutospacing="0" w:after="0" w:afterAutospacing="0"/>
              <w:ind w:right="0"/>
              <w:rPr>
                <w:rFonts w:hint="default"/>
                <w:color w:val="auto"/>
              </w:rPr>
            </w:pPr>
            <w:r>
              <w:rPr>
                <w:rFonts w:hint="default"/>
                <w:color w:val="auto"/>
              </w:rPr>
              <w:t>“三线一单”分区管控位置图</w:t>
            </w:r>
            <w:r>
              <w:rPr>
                <w:rFonts w:hint="default"/>
                <w:color w:val="auto"/>
                <w:lang w:eastAsia="zh-CN"/>
              </w:rPr>
              <w:t>（</w:t>
            </w:r>
            <w:r>
              <w:rPr>
                <w:rFonts w:hint="default"/>
                <w:color w:val="auto"/>
                <w:lang w:val="en-US" w:eastAsia="zh-CN"/>
              </w:rPr>
              <w:t>农用地优先保护区-局部</w:t>
            </w:r>
            <w:r>
              <w:rPr>
                <w:rFonts w:hint="default"/>
                <w:color w:val="auto"/>
                <w:lang w:eastAsia="zh-CN"/>
              </w:rPr>
              <w:t>）</w:t>
            </w:r>
          </w:p>
          <w:p>
            <w:pPr>
              <w:pStyle w:val="32"/>
              <w:keepNext w:val="0"/>
              <w:keepLines w:val="0"/>
              <w:widowControl w:val="0"/>
              <w:numPr>
                <w:ilvl w:val="0"/>
                <w:numId w:val="0"/>
              </w:numPr>
              <w:suppressLineNumbers w:val="0"/>
              <w:bidi w:val="0"/>
              <w:adjustRightInd w:val="0"/>
              <w:snapToGrid w:val="0"/>
              <w:spacing w:before="0" w:beforeAutospacing="0" w:after="0" w:afterAutospacing="0" w:line="360" w:lineRule="auto"/>
              <w:ind w:right="0"/>
              <w:jc w:val="center"/>
              <w:rPr>
                <w:rFonts w:hint="eastAsia" w:eastAsia="宋体"/>
                <w:color w:val="auto"/>
                <w:lang w:eastAsia="zh-CN"/>
              </w:rPr>
            </w:pPr>
            <w:r>
              <w:rPr>
                <w:rFonts w:hint="eastAsia" w:eastAsia="宋体"/>
                <w:color w:val="auto"/>
                <w:lang w:eastAsia="zh-CN"/>
              </w:rPr>
              <w:drawing>
                <wp:inline distT="0" distB="0" distL="114300" distR="114300">
                  <wp:extent cx="4580890" cy="3241675"/>
                  <wp:effectExtent l="0" t="0" r="10160" b="15875"/>
                  <wp:docPr id="30" name="图片 30" descr="cd9163ed94b7c7dc7054df2267f034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cd9163ed94b7c7dc7054df2267f034a7"/>
                          <pic:cNvPicPr>
                            <a:picLocks noChangeAspect="1"/>
                          </pic:cNvPicPr>
                        </pic:nvPicPr>
                        <pic:blipFill>
                          <a:blip r:embed="rId19"/>
                          <a:stretch>
                            <a:fillRect/>
                          </a:stretch>
                        </pic:blipFill>
                        <pic:spPr>
                          <a:xfrm>
                            <a:off x="0" y="0"/>
                            <a:ext cx="4580890" cy="3241675"/>
                          </a:xfrm>
                          <a:prstGeom prst="rect">
                            <a:avLst/>
                          </a:prstGeom>
                        </pic:spPr>
                      </pic:pic>
                    </a:graphicData>
                  </a:graphic>
                </wp:inline>
              </w:drawing>
            </w:r>
          </w:p>
          <w:p>
            <w:pPr>
              <w:pStyle w:val="32"/>
              <w:bidi w:val="0"/>
              <w:spacing w:before="0" w:beforeAutospacing="0" w:after="0" w:afterAutospacing="0"/>
              <w:ind w:right="0"/>
              <w:rPr>
                <w:rFonts w:hint="default"/>
                <w:color w:val="auto"/>
              </w:rPr>
            </w:pPr>
            <w:r>
              <w:rPr>
                <w:rFonts w:hint="default"/>
                <w:color w:val="auto"/>
              </w:rPr>
              <w:t>“三线一单”分区管控位置图</w:t>
            </w:r>
            <w:r>
              <w:rPr>
                <w:rFonts w:hint="default"/>
                <w:color w:val="auto"/>
                <w:lang w:eastAsia="zh-CN"/>
              </w:rPr>
              <w:t>（</w:t>
            </w:r>
            <w:r>
              <w:rPr>
                <w:rFonts w:hint="default"/>
                <w:color w:val="auto"/>
                <w:lang w:val="en-US" w:eastAsia="zh-CN"/>
              </w:rPr>
              <w:t>农用地优先保护区-</w:t>
            </w:r>
            <w:r>
              <w:rPr>
                <w:rFonts w:hint="eastAsia"/>
                <w:color w:val="auto"/>
                <w:lang w:val="en-US" w:eastAsia="zh-CN"/>
              </w:rPr>
              <w:t>升压站</w:t>
            </w:r>
            <w:r>
              <w:rPr>
                <w:rFonts w:hint="default"/>
                <w:color w:val="auto"/>
                <w:lang w:eastAsia="zh-CN"/>
              </w:rPr>
              <w:t>）</w:t>
            </w:r>
          </w:p>
          <w:p>
            <w:pPr>
              <w:pStyle w:val="32"/>
              <w:keepNext w:val="0"/>
              <w:keepLines w:val="0"/>
              <w:widowControl w:val="0"/>
              <w:numPr>
                <w:ilvl w:val="0"/>
                <w:numId w:val="0"/>
              </w:numPr>
              <w:suppressLineNumbers w:val="0"/>
              <w:bidi w:val="0"/>
              <w:adjustRightInd w:val="0"/>
              <w:snapToGrid w:val="0"/>
              <w:spacing w:before="0" w:beforeAutospacing="0" w:after="0" w:afterAutospacing="0" w:line="360" w:lineRule="auto"/>
              <w:ind w:right="0"/>
              <w:jc w:val="center"/>
              <w:rPr>
                <w:rFonts w:hint="eastAsia" w:eastAsia="宋体"/>
                <w:color w:val="auto"/>
                <w:lang w:eastAsia="zh-CN"/>
              </w:rPr>
            </w:pPr>
            <w:r>
              <w:rPr>
                <w:rFonts w:hint="default"/>
                <w:color w:val="auto"/>
                <w:lang w:eastAsia="zh-CN"/>
              </w:rPr>
              <w:drawing>
                <wp:inline distT="0" distB="0" distL="114300" distR="114300">
                  <wp:extent cx="4586605" cy="3255010"/>
                  <wp:effectExtent l="0" t="0" r="4445" b="2540"/>
                  <wp:docPr id="31" name="图片 31" descr="6e0fa07f08153524cf5e8122c45c76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6e0fa07f08153524cf5e8122c45c76b7"/>
                          <pic:cNvPicPr>
                            <a:picLocks noChangeAspect="1"/>
                          </pic:cNvPicPr>
                        </pic:nvPicPr>
                        <pic:blipFill>
                          <a:blip r:embed="rId20"/>
                          <a:stretch>
                            <a:fillRect/>
                          </a:stretch>
                        </pic:blipFill>
                        <pic:spPr>
                          <a:xfrm>
                            <a:off x="0" y="0"/>
                            <a:ext cx="4586605" cy="3255010"/>
                          </a:xfrm>
                          <a:prstGeom prst="rect">
                            <a:avLst/>
                          </a:prstGeom>
                        </pic:spPr>
                      </pic:pic>
                    </a:graphicData>
                  </a:graphic>
                </wp:inline>
              </w:drawing>
            </w:r>
          </w:p>
          <w:p>
            <w:pPr>
              <w:pStyle w:val="32"/>
              <w:bidi w:val="0"/>
              <w:spacing w:before="0" w:beforeAutospacing="0" w:after="0" w:afterAutospacing="0"/>
              <w:ind w:right="0"/>
              <w:rPr>
                <w:rFonts w:hint="default"/>
                <w:color w:val="auto"/>
              </w:rPr>
            </w:pPr>
            <w:r>
              <w:rPr>
                <w:rFonts w:hint="default"/>
                <w:color w:val="auto"/>
              </w:rPr>
              <w:t>“三线一单”分区管控位置图</w:t>
            </w:r>
            <w:r>
              <w:rPr>
                <w:rFonts w:hint="default"/>
                <w:color w:val="auto"/>
                <w:lang w:eastAsia="zh-CN"/>
              </w:rPr>
              <w:t>（</w:t>
            </w:r>
            <w:r>
              <w:rPr>
                <w:rFonts w:hint="default"/>
                <w:color w:val="auto"/>
                <w:lang w:val="en-US" w:eastAsia="zh-CN"/>
              </w:rPr>
              <w:t>农用地优先保护区-</w:t>
            </w:r>
            <w:r>
              <w:rPr>
                <w:rFonts w:hint="eastAsia"/>
                <w:color w:val="auto"/>
                <w:lang w:val="en-US" w:eastAsia="zh-CN"/>
              </w:rPr>
              <w:t>局部</w:t>
            </w:r>
            <w:r>
              <w:rPr>
                <w:rFonts w:hint="default"/>
                <w:color w:val="auto"/>
                <w:lang w:eastAsia="zh-CN"/>
              </w:rPr>
              <w:t>）</w:t>
            </w:r>
          </w:p>
          <w:p>
            <w:pPr>
              <w:pStyle w:val="32"/>
              <w:keepNext w:val="0"/>
              <w:keepLines w:val="0"/>
              <w:widowControl w:val="0"/>
              <w:numPr>
                <w:ilvl w:val="0"/>
                <w:numId w:val="0"/>
              </w:numPr>
              <w:suppressLineNumbers w:val="0"/>
              <w:bidi w:val="0"/>
              <w:adjustRightInd w:val="0"/>
              <w:snapToGrid w:val="0"/>
              <w:spacing w:before="0" w:beforeAutospacing="0" w:after="0" w:afterAutospacing="0" w:line="360" w:lineRule="auto"/>
              <w:ind w:right="0"/>
              <w:jc w:val="center"/>
              <w:rPr>
                <w:rFonts w:hint="eastAsia" w:eastAsia="宋体"/>
                <w:color w:val="auto"/>
                <w:lang w:eastAsia="zh-CN"/>
              </w:rPr>
            </w:pPr>
            <w:r>
              <w:rPr>
                <w:rFonts w:hint="default"/>
                <w:color w:val="auto"/>
                <w:lang w:eastAsia="zh-CN"/>
              </w:rPr>
              <w:drawing>
                <wp:inline distT="0" distB="0" distL="114300" distR="114300">
                  <wp:extent cx="4588510" cy="3185160"/>
                  <wp:effectExtent l="0" t="0" r="2540" b="15240"/>
                  <wp:docPr id="33" name="图片 33" descr="5f919247c2b496b22f0d449a40650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5f919247c2b496b22f0d449a40650059"/>
                          <pic:cNvPicPr>
                            <a:picLocks noChangeAspect="1"/>
                          </pic:cNvPicPr>
                        </pic:nvPicPr>
                        <pic:blipFill>
                          <a:blip r:embed="rId21"/>
                          <a:stretch>
                            <a:fillRect/>
                          </a:stretch>
                        </pic:blipFill>
                        <pic:spPr>
                          <a:xfrm>
                            <a:off x="0" y="0"/>
                            <a:ext cx="4588510" cy="3185160"/>
                          </a:xfrm>
                          <a:prstGeom prst="rect">
                            <a:avLst/>
                          </a:prstGeom>
                        </pic:spPr>
                      </pic:pic>
                    </a:graphicData>
                  </a:graphic>
                </wp:inline>
              </w:drawing>
            </w:r>
          </w:p>
          <w:p>
            <w:pPr>
              <w:pStyle w:val="32"/>
              <w:bidi w:val="0"/>
              <w:spacing w:before="0" w:beforeAutospacing="0" w:after="0" w:afterAutospacing="0"/>
              <w:ind w:right="0"/>
              <w:rPr>
                <w:rFonts w:hint="default"/>
                <w:color w:val="auto"/>
              </w:rPr>
            </w:pPr>
            <w:r>
              <w:rPr>
                <w:rFonts w:hint="default"/>
                <w:color w:val="auto"/>
              </w:rPr>
              <w:t>“三线一单”分区管控位置图</w:t>
            </w:r>
            <w:r>
              <w:rPr>
                <w:rFonts w:hint="default"/>
                <w:color w:val="auto"/>
                <w:lang w:eastAsia="zh-CN"/>
              </w:rPr>
              <w:t>（</w:t>
            </w:r>
            <w:r>
              <w:rPr>
                <w:rFonts w:hint="default"/>
                <w:color w:val="auto"/>
                <w:lang w:val="en-US" w:eastAsia="zh-CN"/>
              </w:rPr>
              <w:t>农用地优先保护区-局部</w:t>
            </w:r>
            <w:r>
              <w:rPr>
                <w:rFonts w:hint="default"/>
                <w:color w:val="auto"/>
                <w:lang w:eastAsia="zh-CN"/>
              </w:rPr>
              <w:t>）</w:t>
            </w:r>
          </w:p>
          <w:p>
            <w:pPr>
              <w:pStyle w:val="32"/>
              <w:keepNext w:val="0"/>
              <w:keepLines w:val="0"/>
              <w:widowControl w:val="0"/>
              <w:numPr>
                <w:ilvl w:val="0"/>
                <w:numId w:val="0"/>
              </w:numPr>
              <w:suppressLineNumbers w:val="0"/>
              <w:bidi w:val="0"/>
              <w:adjustRightInd w:val="0"/>
              <w:snapToGrid w:val="0"/>
              <w:spacing w:before="0" w:beforeAutospacing="0" w:after="0" w:afterAutospacing="0" w:line="360" w:lineRule="auto"/>
              <w:ind w:right="0"/>
              <w:jc w:val="center"/>
              <w:rPr>
                <w:rFonts w:hint="eastAsia" w:eastAsia="宋体"/>
                <w:color w:val="auto"/>
                <w:lang w:eastAsia="zh-CN"/>
              </w:rPr>
            </w:pPr>
            <w:r>
              <w:rPr>
                <w:rFonts w:hint="eastAsia" w:eastAsia="宋体"/>
                <w:color w:val="auto"/>
                <w:lang w:eastAsia="zh-CN"/>
              </w:rPr>
              <w:drawing>
                <wp:inline distT="0" distB="0" distL="114300" distR="114300">
                  <wp:extent cx="4587875" cy="3127375"/>
                  <wp:effectExtent l="0" t="0" r="3175" b="15875"/>
                  <wp:docPr id="36" name="图片 36" descr="4ff07bee27a243e5944dfe7a500a6c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4ff07bee27a243e5944dfe7a500a6cc0"/>
                          <pic:cNvPicPr>
                            <a:picLocks noChangeAspect="1"/>
                          </pic:cNvPicPr>
                        </pic:nvPicPr>
                        <pic:blipFill>
                          <a:blip r:embed="rId22"/>
                          <a:stretch>
                            <a:fillRect/>
                          </a:stretch>
                        </pic:blipFill>
                        <pic:spPr>
                          <a:xfrm>
                            <a:off x="0" y="0"/>
                            <a:ext cx="4587875" cy="3127375"/>
                          </a:xfrm>
                          <a:prstGeom prst="rect">
                            <a:avLst/>
                          </a:prstGeom>
                        </pic:spPr>
                      </pic:pic>
                    </a:graphicData>
                  </a:graphic>
                </wp:inline>
              </w:drawing>
            </w:r>
          </w:p>
          <w:p>
            <w:pPr>
              <w:pStyle w:val="32"/>
              <w:bidi w:val="0"/>
              <w:spacing w:before="0" w:beforeAutospacing="0" w:after="0" w:afterAutospacing="0"/>
              <w:ind w:right="0"/>
              <w:rPr>
                <w:rFonts w:hint="default"/>
                <w:color w:val="auto"/>
              </w:rPr>
            </w:pPr>
            <w:r>
              <w:rPr>
                <w:rFonts w:hint="default"/>
                <w:color w:val="auto"/>
              </w:rPr>
              <w:t>“三线一单”分区管控位置图</w:t>
            </w:r>
            <w:r>
              <w:rPr>
                <w:rFonts w:hint="default"/>
                <w:color w:val="auto"/>
                <w:lang w:eastAsia="zh-CN"/>
              </w:rPr>
              <w:t>（</w:t>
            </w:r>
            <w:r>
              <w:rPr>
                <w:rFonts w:hint="eastAsia"/>
                <w:color w:val="auto"/>
                <w:lang w:val="en-US" w:eastAsia="zh-CN"/>
              </w:rPr>
              <w:t>大气环境</w:t>
            </w:r>
            <w:r>
              <w:rPr>
                <w:rFonts w:hint="default"/>
                <w:color w:val="auto"/>
                <w:lang w:val="en-US" w:eastAsia="zh-CN"/>
              </w:rPr>
              <w:t>优先保护区</w:t>
            </w:r>
            <w:r>
              <w:rPr>
                <w:rFonts w:hint="default"/>
                <w:color w:val="auto"/>
                <w:lang w:eastAsia="zh-CN"/>
              </w:rPr>
              <w:t>）</w:t>
            </w:r>
          </w:p>
          <w:p>
            <w:pPr>
              <w:pStyle w:val="32"/>
              <w:keepNext w:val="0"/>
              <w:keepLines w:val="0"/>
              <w:widowControl w:val="0"/>
              <w:numPr>
                <w:ilvl w:val="0"/>
                <w:numId w:val="0"/>
              </w:numPr>
              <w:suppressLineNumbers w:val="0"/>
              <w:bidi w:val="0"/>
              <w:adjustRightInd w:val="0"/>
              <w:snapToGrid w:val="0"/>
              <w:spacing w:before="0" w:beforeAutospacing="0" w:after="0" w:afterAutospacing="0" w:line="360" w:lineRule="auto"/>
              <w:ind w:right="0"/>
              <w:jc w:val="center"/>
              <w:rPr>
                <w:rFonts w:hint="eastAsia" w:eastAsia="宋体"/>
                <w:color w:val="auto"/>
                <w:lang w:eastAsia="zh-CN"/>
              </w:rPr>
            </w:pPr>
            <w:r>
              <w:rPr>
                <w:rFonts w:hint="default"/>
                <w:color w:val="auto"/>
                <w:lang w:eastAsia="zh-CN"/>
              </w:rPr>
              <w:drawing>
                <wp:inline distT="0" distB="0" distL="114300" distR="114300">
                  <wp:extent cx="4587875" cy="3127375"/>
                  <wp:effectExtent l="0" t="0" r="3175" b="15875"/>
                  <wp:docPr id="38" name="图片 38" descr="1ea8bef27f83fe868b9abbe7cdc684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1ea8bef27f83fe868b9abbe7cdc684ba"/>
                          <pic:cNvPicPr>
                            <a:picLocks noChangeAspect="1"/>
                          </pic:cNvPicPr>
                        </pic:nvPicPr>
                        <pic:blipFill>
                          <a:blip r:embed="rId23"/>
                          <a:stretch>
                            <a:fillRect/>
                          </a:stretch>
                        </pic:blipFill>
                        <pic:spPr>
                          <a:xfrm>
                            <a:off x="0" y="0"/>
                            <a:ext cx="4587875" cy="3127375"/>
                          </a:xfrm>
                          <a:prstGeom prst="rect">
                            <a:avLst/>
                          </a:prstGeom>
                        </pic:spPr>
                      </pic:pic>
                    </a:graphicData>
                  </a:graphic>
                </wp:inline>
              </w:drawing>
            </w:r>
          </w:p>
          <w:p>
            <w:pPr>
              <w:pStyle w:val="32"/>
              <w:bidi w:val="0"/>
              <w:spacing w:before="0" w:beforeAutospacing="0" w:after="0" w:afterAutospacing="0"/>
              <w:ind w:right="0"/>
              <w:rPr>
                <w:rFonts w:hint="default"/>
                <w:color w:val="auto"/>
              </w:rPr>
            </w:pPr>
            <w:r>
              <w:rPr>
                <w:rFonts w:hint="default"/>
                <w:color w:val="auto"/>
              </w:rPr>
              <w:t>“三线一单”分区管控位置图</w:t>
            </w:r>
            <w:r>
              <w:rPr>
                <w:rFonts w:hint="default"/>
                <w:color w:val="auto"/>
                <w:lang w:eastAsia="zh-CN"/>
              </w:rPr>
              <w:t>（</w:t>
            </w:r>
            <w:r>
              <w:rPr>
                <w:rFonts w:hint="eastAsia"/>
                <w:color w:val="auto"/>
                <w:lang w:val="en-US" w:eastAsia="zh-CN"/>
              </w:rPr>
              <w:t>水</w:t>
            </w:r>
            <w:r>
              <w:rPr>
                <w:rFonts w:hint="default"/>
                <w:color w:val="auto"/>
                <w:lang w:val="en-US" w:eastAsia="zh-CN"/>
              </w:rPr>
              <w:t>环境优先保护区</w:t>
            </w:r>
            <w:r>
              <w:rPr>
                <w:rFonts w:hint="default"/>
                <w:color w:val="auto"/>
                <w:lang w:eastAsia="zh-CN"/>
              </w:rPr>
              <w:t>）</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由以上分析结果可知，项目符合《关于以改善环境质量为核心加强环境影响评价管理的通知》（环评</w:t>
            </w:r>
            <w:r>
              <w:rPr>
                <w:rFonts w:hint="default" w:ascii="Times New Roman" w:hAnsi="Times New Roman" w:cs="Times New Roman"/>
                <w:color w:val="auto"/>
              </w:rPr>
              <w:t>[2016]150</w:t>
            </w:r>
            <w:r>
              <w:rPr>
                <w:rFonts w:hint="eastAsia" w:ascii="Times New Roman" w:hAnsi="Times New Roman" w:cs="Times New Roman"/>
                <w:color w:val="auto"/>
              </w:rPr>
              <w:t>号）和《承德市</w:t>
            </w:r>
            <w:r>
              <w:rPr>
                <w:rFonts w:hint="default" w:ascii="Times New Roman" w:hAnsi="Times New Roman" w:cs="Times New Roman"/>
                <w:color w:val="auto"/>
              </w:rPr>
              <w:t>“</w:t>
            </w:r>
            <w:r>
              <w:rPr>
                <w:rFonts w:hint="eastAsia" w:ascii="Times New Roman" w:hAnsi="Times New Roman" w:cs="Times New Roman"/>
                <w:color w:val="auto"/>
              </w:rPr>
              <w:t>三线一单</w:t>
            </w:r>
            <w:r>
              <w:rPr>
                <w:rFonts w:hint="default" w:ascii="Times New Roman" w:hAnsi="Times New Roman" w:cs="Times New Roman"/>
                <w:color w:val="auto"/>
              </w:rPr>
              <w:t>”</w:t>
            </w:r>
            <w:r>
              <w:rPr>
                <w:rFonts w:hint="eastAsia" w:ascii="Times New Roman" w:hAnsi="Times New Roman" w:cs="Times New Roman"/>
                <w:color w:val="auto"/>
              </w:rPr>
              <w:t>生态环境准入清单》（承德市</w:t>
            </w:r>
            <w:r>
              <w:rPr>
                <w:rFonts w:hint="eastAsia" w:ascii="Times New Roman" w:hAnsi="Times New Roman" w:cs="Times New Roman"/>
                <w:color w:val="auto"/>
                <w:lang w:val="en-US" w:eastAsia="zh-CN"/>
              </w:rPr>
              <w:t>人民政府</w:t>
            </w:r>
            <w:r>
              <w:rPr>
                <w:rFonts w:hint="eastAsia" w:ascii="Times New Roman" w:hAnsi="Times New Roman" w:cs="Times New Roman"/>
                <w:color w:val="auto"/>
              </w:rPr>
              <w:t>，</w:t>
            </w:r>
            <w:r>
              <w:rPr>
                <w:rFonts w:hint="default" w:ascii="Times New Roman" w:hAnsi="Times New Roman" w:cs="Times New Roman"/>
                <w:color w:val="auto"/>
              </w:rPr>
              <w:t>2021</w:t>
            </w:r>
            <w:r>
              <w:rPr>
                <w:rFonts w:hint="eastAsia" w:ascii="Times New Roman" w:hAnsi="Times New Roman" w:cs="Times New Roman"/>
                <w:color w:val="auto"/>
              </w:rPr>
              <w:t>年</w:t>
            </w:r>
            <w:r>
              <w:rPr>
                <w:rFonts w:hint="default" w:ascii="Times New Roman" w:hAnsi="Times New Roman" w:cs="Times New Roman"/>
                <w:color w:val="auto"/>
              </w:rPr>
              <w:t>6</w:t>
            </w:r>
            <w:r>
              <w:rPr>
                <w:rFonts w:hint="eastAsia" w:ascii="Times New Roman" w:hAnsi="Times New Roman" w:cs="Times New Roman"/>
                <w:color w:val="auto"/>
              </w:rPr>
              <w:t>月）中关于“三线一单”管控要求。</w:t>
            </w:r>
          </w:p>
          <w:p>
            <w:pPr>
              <w:pStyle w:val="4"/>
              <w:suppressLineNumbers w:val="0"/>
              <w:spacing w:before="0" w:after="0"/>
              <w:ind w:left="0" w:right="0" w:firstLine="482"/>
              <w:rPr>
                <w:rFonts w:hint="default" w:cs="Times New Roman"/>
                <w:color w:val="auto"/>
              </w:rPr>
            </w:pPr>
            <w:r>
              <w:rPr>
                <w:rFonts w:hint="eastAsia" w:cs="Times New Roman"/>
                <w:color w:val="auto"/>
              </w:rPr>
              <w:t>市场准入负面清单符合性分析</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根据“国家发展改革委商务部关于印发《市场准入负面清单（</w:t>
            </w:r>
            <w:r>
              <w:rPr>
                <w:rFonts w:hint="default" w:ascii="Times New Roman" w:hAnsi="Times New Roman" w:cs="Times New Roman"/>
                <w:color w:val="auto"/>
              </w:rPr>
              <w:t>2022</w:t>
            </w:r>
            <w:r>
              <w:rPr>
                <w:rFonts w:hint="eastAsia" w:ascii="Times New Roman" w:hAnsi="Times New Roman" w:cs="Times New Roman"/>
                <w:color w:val="auto"/>
              </w:rPr>
              <w:t>年版）》的通知（发改体改规</w:t>
            </w:r>
            <w:r>
              <w:rPr>
                <w:rFonts w:hint="default" w:ascii="Times New Roman" w:hAnsi="Times New Roman" w:cs="Times New Roman"/>
                <w:color w:val="auto"/>
              </w:rPr>
              <w:t>[2022]397</w:t>
            </w:r>
            <w:r>
              <w:rPr>
                <w:rFonts w:hint="eastAsia" w:ascii="Times New Roman" w:hAnsi="Times New Roman" w:cs="Times New Roman"/>
                <w:color w:val="auto"/>
              </w:rPr>
              <w:t>号）”，应严格落实“全国一张清单”管理要求，坚决维护市场准入负面清单制度的统一性、严肃性和权威性，确保</w:t>
            </w:r>
            <w:r>
              <w:rPr>
                <w:rFonts w:hint="default" w:ascii="Times New Roman" w:hAnsi="Times New Roman" w:cs="Times New Roman"/>
                <w:color w:val="auto"/>
              </w:rPr>
              <w:t>"</w:t>
            </w:r>
            <w:r>
              <w:rPr>
                <w:rFonts w:hint="eastAsia" w:ascii="Times New Roman" w:hAnsi="Times New Roman" w:cs="Times New Roman"/>
                <w:color w:val="auto"/>
              </w:rPr>
              <w:t>一单尽列、单外无单</w:t>
            </w:r>
            <w:r>
              <w:rPr>
                <w:rFonts w:hint="default" w:ascii="Times New Roman" w:hAnsi="Times New Roman" w:cs="Times New Roman"/>
                <w:color w:val="auto"/>
              </w:rPr>
              <w:t>"</w:t>
            </w:r>
            <w:r>
              <w:rPr>
                <w:rFonts w:hint="eastAsia" w:ascii="Times New Roman" w:hAnsi="Times New Roman" w:cs="Times New Roman"/>
                <w:color w:val="auto"/>
              </w:rPr>
              <w:t>。按照党中央、国务院要求编制的涉及行业性、领域性、区域性等方面，需要用负面清单管理思路或管理模式出台相关措施的，应纳入全国统一的市场准入负面清单。产业结构调整指导目录、政府核准的投资项目目录纳入市场准入负面清单，地方对两个目录有细化规定的，从其规定。地方国家重点生态功能区和农产品主产区产业准入负面清单（或禁止限制目录）及地方按照党中央、国务院要求制定的地方性产业结构禁止准入目录，统一纳入市场准入负面清单。</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根据《市场准入负面清单（</w:t>
            </w:r>
            <w:r>
              <w:rPr>
                <w:rFonts w:hint="default" w:ascii="Times New Roman" w:hAnsi="Times New Roman" w:cs="Times New Roman"/>
                <w:color w:val="auto"/>
              </w:rPr>
              <w:t>2022</w:t>
            </w:r>
            <w:r>
              <w:rPr>
                <w:rFonts w:hint="eastAsia" w:ascii="Times New Roman" w:hAnsi="Times New Roman" w:cs="Times New Roman"/>
                <w:color w:val="auto"/>
              </w:rPr>
              <w:t>年版）》，禁止准入类共</w:t>
            </w:r>
            <w:r>
              <w:rPr>
                <w:rFonts w:hint="default" w:ascii="Times New Roman" w:hAnsi="Times New Roman" w:cs="Times New Roman"/>
                <w:color w:val="auto"/>
              </w:rPr>
              <w:t>6</w:t>
            </w:r>
            <w:r>
              <w:rPr>
                <w:rFonts w:hint="eastAsia" w:ascii="Times New Roman" w:hAnsi="Times New Roman" w:cs="Times New Roman"/>
                <w:color w:val="auto"/>
              </w:rPr>
              <w:t>项，涉及生态环境保护的</w:t>
            </w:r>
            <w:r>
              <w:rPr>
                <w:rFonts w:hint="default" w:ascii="Times New Roman" w:hAnsi="Times New Roman" w:cs="Times New Roman"/>
                <w:color w:val="auto"/>
              </w:rPr>
              <w:t>3</w:t>
            </w:r>
            <w:r>
              <w:rPr>
                <w:rFonts w:hint="eastAsia" w:ascii="Times New Roman" w:hAnsi="Times New Roman" w:cs="Times New Roman"/>
                <w:color w:val="auto"/>
              </w:rPr>
              <w:t>项，如下表所示。</w:t>
            </w:r>
          </w:p>
          <w:p>
            <w:pPr>
              <w:pStyle w:val="31"/>
              <w:spacing w:before="0" w:beforeAutospacing="0" w:after="0" w:afterAutospacing="0"/>
              <w:ind w:right="0"/>
              <w:rPr>
                <w:rFonts w:hint="default" w:ascii="Times New Roman" w:hAnsi="Times New Roman"/>
                <w:color w:val="auto"/>
              </w:rPr>
            </w:pPr>
            <w:r>
              <w:rPr>
                <w:rFonts w:ascii="Times New Roman" w:hAnsi="Times New Roman"/>
                <w:color w:val="auto"/>
              </w:rPr>
              <w:t>《市场准入负面清单（</w:t>
            </w:r>
            <w:r>
              <w:rPr>
                <w:rFonts w:hint="default" w:ascii="Times New Roman" w:hAnsi="Times New Roman"/>
                <w:color w:val="auto"/>
              </w:rPr>
              <w:t>2022</w:t>
            </w:r>
            <w:r>
              <w:rPr>
                <w:rFonts w:ascii="Times New Roman" w:hAnsi="Times New Roman"/>
                <w:color w:val="auto"/>
              </w:rPr>
              <w:t>年版）》禁止准入类事项</w:t>
            </w:r>
          </w:p>
          <w:tbl>
            <w:tblPr>
              <w:tblStyle w:val="20"/>
              <w:tblW w:w="6829" w:type="dxa"/>
              <w:tblInd w:w="20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1"/>
              <w:gridCol w:w="2051"/>
              <w:gridCol w:w="1108"/>
              <w:gridCol w:w="27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51"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项目号</w:t>
                  </w:r>
                </w:p>
              </w:tc>
              <w:tc>
                <w:tcPr>
                  <w:tcW w:w="2051" w:type="dxa"/>
                  <w:tcBorders>
                    <w:top w:val="single" w:color="auto" w:sz="4" w:space="0"/>
                    <w:left w:val="nil"/>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禁止或许可事项</w:t>
                  </w:r>
                </w:p>
              </w:tc>
              <w:tc>
                <w:tcPr>
                  <w:tcW w:w="1108" w:type="dxa"/>
                  <w:tcBorders>
                    <w:top w:val="single" w:color="auto" w:sz="4" w:space="0"/>
                    <w:left w:val="nil"/>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事项编码</w:t>
                  </w:r>
                </w:p>
              </w:tc>
              <w:tc>
                <w:tcPr>
                  <w:tcW w:w="2719" w:type="dxa"/>
                  <w:tcBorders>
                    <w:top w:val="single" w:color="auto" w:sz="4" w:space="0"/>
                    <w:left w:val="nil"/>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禁止或许可准入措施描述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29" w:type="dxa"/>
                  <w:gridSpan w:val="4"/>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一、禁止准入类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51"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w:t>
                  </w:r>
                </w:p>
              </w:tc>
              <w:tc>
                <w:tcPr>
                  <w:tcW w:w="2051" w:type="dxa"/>
                  <w:tcBorders>
                    <w:top w:val="single" w:color="auto" w:sz="4" w:space="0"/>
                    <w:left w:val="nil"/>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法律、法规、国务院决定等明确设立且与市场准入相关的禁止性规定</w:t>
                  </w:r>
                </w:p>
              </w:tc>
              <w:tc>
                <w:tcPr>
                  <w:tcW w:w="1108" w:type="dxa"/>
                  <w:tcBorders>
                    <w:top w:val="single" w:color="auto" w:sz="4" w:space="0"/>
                    <w:left w:val="nil"/>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100001</w:t>
                  </w:r>
                </w:p>
              </w:tc>
              <w:tc>
                <w:tcPr>
                  <w:tcW w:w="2719" w:type="dxa"/>
                  <w:tcBorders>
                    <w:top w:val="single" w:color="auto" w:sz="4" w:space="0"/>
                    <w:left w:val="nil"/>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法律、法规、国务院决定等明确设立，且与市场准入相关的禁止性规定（见附件）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51"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2</w:t>
                  </w:r>
                </w:p>
              </w:tc>
              <w:tc>
                <w:tcPr>
                  <w:tcW w:w="2051" w:type="dxa"/>
                  <w:tcBorders>
                    <w:top w:val="single" w:color="auto" w:sz="4" w:space="0"/>
                    <w:left w:val="nil"/>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国家产业政策明令淘汰和限制的产品、技术、工艺、设备及行为</w:t>
                  </w:r>
                </w:p>
              </w:tc>
              <w:tc>
                <w:tcPr>
                  <w:tcW w:w="1108" w:type="dxa"/>
                  <w:tcBorders>
                    <w:top w:val="single" w:color="auto" w:sz="4" w:space="0"/>
                    <w:left w:val="nil"/>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100002</w:t>
                  </w:r>
                </w:p>
              </w:tc>
              <w:tc>
                <w:tcPr>
                  <w:tcW w:w="2719" w:type="dxa"/>
                  <w:tcBorders>
                    <w:top w:val="single" w:color="auto" w:sz="4" w:space="0"/>
                    <w:left w:val="nil"/>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《产业结构调整指导目录》中的淘汰类项目，禁止投资；限制类项目，禁止新建</w:t>
                  </w:r>
                </w:p>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禁止投资建设《汽车产业投资管理规定》所列的汽车投资禁止类事项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51"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3</w:t>
                  </w:r>
                </w:p>
              </w:tc>
              <w:tc>
                <w:tcPr>
                  <w:tcW w:w="2051" w:type="dxa"/>
                  <w:tcBorders>
                    <w:top w:val="single" w:color="auto" w:sz="4" w:space="0"/>
                    <w:left w:val="nil"/>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不符合主体功能区建设要求的各类开发活动</w:t>
                  </w:r>
                </w:p>
              </w:tc>
              <w:tc>
                <w:tcPr>
                  <w:tcW w:w="1108" w:type="dxa"/>
                  <w:tcBorders>
                    <w:top w:val="single" w:color="auto" w:sz="4" w:space="0"/>
                    <w:left w:val="nil"/>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100003</w:t>
                  </w:r>
                </w:p>
              </w:tc>
              <w:tc>
                <w:tcPr>
                  <w:tcW w:w="2719" w:type="dxa"/>
                  <w:tcBorders>
                    <w:top w:val="single" w:color="auto" w:sz="4" w:space="0"/>
                    <w:left w:val="nil"/>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地方国家重点生态功能区产业准入负面清单（或禁止限制目录）、农产品主产区产业准入负面清单（或禁止限制目录）所列有关事项</w:t>
                  </w:r>
                </w:p>
              </w:tc>
            </w:tr>
          </w:tbl>
          <w:p>
            <w:pPr>
              <w:keepNext w:val="0"/>
              <w:keepLines w:val="0"/>
              <w:widowControl/>
              <w:suppressLineNumbers w:val="0"/>
              <w:spacing w:before="0" w:beforeAutospacing="0" w:after="0" w:afterAutospacing="0"/>
              <w:ind w:left="0" w:right="0" w:firstLine="0" w:firstLineChars="0"/>
              <w:jc w:val="left"/>
              <w:rPr>
                <w:rFonts w:hint="default" w:ascii="Times New Roman" w:hAnsi="Times New Roman" w:cs="Times New Roman"/>
                <w:color w:val="auto"/>
              </w:rPr>
            </w:pPr>
            <w:r>
              <w:rPr>
                <w:rFonts w:hint="eastAsia" w:ascii="Times New Roman" w:hAnsi="Times New Roman" w:cs="Times New Roman"/>
                <w:color w:val="auto"/>
              </w:rPr>
              <w:t>注：该表只列出涉及生态环境保护的</w:t>
            </w:r>
            <w:r>
              <w:rPr>
                <w:rFonts w:hint="default" w:ascii="Times New Roman" w:hAnsi="Times New Roman" w:cs="Times New Roman"/>
                <w:color w:val="auto"/>
              </w:rPr>
              <w:t>3</w:t>
            </w:r>
            <w:r>
              <w:rPr>
                <w:rFonts w:hint="eastAsia" w:ascii="Times New Roman" w:hAnsi="Times New Roman" w:cs="Times New Roman"/>
                <w:color w:val="auto"/>
              </w:rPr>
              <w:t>项禁止准入类事项。</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由上分析可知，根据《国民经济行业分类》（</w:t>
            </w:r>
            <w:r>
              <w:rPr>
                <w:rFonts w:hint="default" w:ascii="Times New Roman" w:hAnsi="Times New Roman" w:cs="Times New Roman"/>
                <w:color w:val="auto"/>
              </w:rPr>
              <w:t>GB/T4754-2017</w:t>
            </w:r>
            <w:r>
              <w:rPr>
                <w:rFonts w:hint="eastAsia" w:ascii="Times New Roman" w:hAnsi="Times New Roman" w:cs="Times New Roman"/>
                <w:color w:val="auto"/>
              </w:rPr>
              <w:t>），本项目行业属于</w:t>
            </w:r>
            <w:r>
              <w:rPr>
                <w:rFonts w:hint="default" w:ascii="Times New Roman" w:hAnsi="Times New Roman" w:cs="Times New Roman"/>
                <w:color w:val="auto"/>
              </w:rPr>
              <w:t>D4416太阳能发电</w:t>
            </w:r>
            <w:r>
              <w:rPr>
                <w:rFonts w:hint="eastAsia" w:ascii="Times New Roman" w:hAnsi="Times New Roman" w:cs="Times New Roman"/>
                <w:color w:val="auto"/>
              </w:rPr>
              <w:t>，根据《市场准入负面清单（</w:t>
            </w:r>
            <w:r>
              <w:rPr>
                <w:rFonts w:hint="default" w:ascii="Times New Roman" w:hAnsi="Times New Roman" w:cs="Times New Roman"/>
                <w:color w:val="auto"/>
              </w:rPr>
              <w:t>2022</w:t>
            </w:r>
            <w:r>
              <w:rPr>
                <w:rFonts w:hint="eastAsia" w:ascii="Times New Roman" w:hAnsi="Times New Roman" w:cs="Times New Roman"/>
                <w:color w:val="auto"/>
              </w:rPr>
              <w:t>年版）》与市场准入相关的禁止性规定，本项目不属于《市场准入负面清单（</w:t>
            </w:r>
            <w:r>
              <w:rPr>
                <w:rFonts w:hint="default" w:ascii="Times New Roman" w:hAnsi="Times New Roman" w:cs="Times New Roman"/>
                <w:color w:val="auto"/>
              </w:rPr>
              <w:t>2022</w:t>
            </w:r>
            <w:r>
              <w:rPr>
                <w:rFonts w:hint="eastAsia" w:ascii="Times New Roman" w:hAnsi="Times New Roman" w:cs="Times New Roman"/>
                <w:color w:val="auto"/>
              </w:rPr>
              <w:t>年版）》禁止准入类中法律、法规、国务院决定等明确设立且与市场准入相关的禁止性事项。</w:t>
            </w:r>
          </w:p>
          <w:p>
            <w:pPr>
              <w:pStyle w:val="4"/>
              <w:suppressLineNumbers w:val="0"/>
              <w:spacing w:before="0" w:after="0"/>
              <w:ind w:left="0" w:right="0" w:firstLine="482"/>
              <w:rPr>
                <w:rFonts w:hint="default" w:cs="Times New Roman"/>
                <w:color w:val="auto"/>
              </w:rPr>
            </w:pPr>
            <w:r>
              <w:rPr>
                <w:rFonts w:hint="eastAsia" w:cs="Times New Roman"/>
                <w:color w:val="auto"/>
              </w:rPr>
              <w:t>产业政策符合性分析</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根据《产业结构调整指导目录（</w:t>
            </w:r>
            <w:r>
              <w:rPr>
                <w:rFonts w:hint="default" w:ascii="Times New Roman" w:hAnsi="Times New Roman" w:cs="Times New Roman"/>
                <w:color w:val="auto"/>
              </w:rPr>
              <w:t>2019</w:t>
            </w:r>
            <w:r>
              <w:rPr>
                <w:rFonts w:hint="eastAsia" w:ascii="Times New Roman" w:hAnsi="Times New Roman" w:cs="Times New Roman"/>
                <w:color w:val="auto"/>
              </w:rPr>
              <w:t>年本）》，项目属于鼓励类，符合国家产业政策；项目不属于《河北省新增限制和淘汰类产业目录（</w:t>
            </w:r>
            <w:r>
              <w:rPr>
                <w:rFonts w:hint="default" w:ascii="Times New Roman" w:hAnsi="Times New Roman" w:cs="Times New Roman"/>
                <w:color w:val="auto"/>
              </w:rPr>
              <w:t>2015</w:t>
            </w:r>
            <w:r>
              <w:rPr>
                <w:rFonts w:hint="eastAsia" w:ascii="Times New Roman" w:hAnsi="Times New Roman" w:cs="Times New Roman"/>
                <w:color w:val="auto"/>
              </w:rPr>
              <w:t>版）》中限制类和淘汰类。</w:t>
            </w:r>
            <w:r>
              <w:rPr>
                <w:rFonts w:hint="eastAsia" w:cs="Times New Roman"/>
                <w:color w:val="auto"/>
                <w:lang w:val="en-US" w:eastAsia="zh-CN"/>
              </w:rPr>
              <w:t>根据</w:t>
            </w:r>
            <w:r>
              <w:rPr>
                <w:rFonts w:hint="eastAsia" w:ascii="Times New Roman" w:hAnsi="Times New Roman" w:cs="Times New Roman"/>
                <w:color w:val="auto"/>
              </w:rPr>
              <w:t>《康保县等坝上六县国家重点生态功能区产业准入负面清单（试行）》的通知（冀发改规划[2017]248号）的通知</w:t>
            </w:r>
            <w:r>
              <w:rPr>
                <w:rFonts w:hint="eastAsia" w:cs="Times New Roman"/>
                <w:color w:val="auto"/>
                <w:lang w:eastAsia="zh-CN"/>
              </w:rPr>
              <w:t>，</w:t>
            </w:r>
            <w:r>
              <w:rPr>
                <w:rFonts w:hint="eastAsia" w:cs="Times New Roman"/>
                <w:color w:val="auto"/>
                <w:lang w:val="en-US" w:eastAsia="zh-CN"/>
              </w:rPr>
              <w:t>项目不属于</w:t>
            </w:r>
            <w:r>
              <w:rPr>
                <w:rFonts w:hint="eastAsia" w:ascii="Times New Roman" w:hAnsi="Times New Roman" w:cs="Times New Roman"/>
                <w:color w:val="auto"/>
              </w:rPr>
              <w:t>“河北省丰宁满族自治县国家重点生态功能区产业准入负面清单”中的“限制类”和“禁止类”。</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项目已于</w:t>
            </w:r>
            <w:r>
              <w:rPr>
                <w:rFonts w:hint="default" w:ascii="Times New Roman" w:hAnsi="Times New Roman" w:cs="Times New Roman"/>
                <w:color w:val="auto"/>
              </w:rPr>
              <w:t>2023</w:t>
            </w:r>
            <w:r>
              <w:rPr>
                <w:rFonts w:hint="eastAsia" w:ascii="Times New Roman" w:hAnsi="Times New Roman" w:cs="Times New Roman"/>
                <w:color w:val="auto"/>
              </w:rPr>
              <w:t>年6月16日在丰宁满族自治县行政审批局进行备案，备案编号为丰审批备字[2023]62号。</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综上，项目的建设符合相关产业政策要求。</w:t>
            </w:r>
          </w:p>
          <w:p>
            <w:pPr>
              <w:pStyle w:val="4"/>
              <w:suppressLineNumbers w:val="0"/>
              <w:spacing w:before="0" w:after="0"/>
              <w:ind w:left="0" w:right="0" w:firstLine="482"/>
              <w:rPr>
                <w:rFonts w:hint="default" w:cs="Times New Roman"/>
                <w:color w:val="auto"/>
              </w:rPr>
            </w:pPr>
            <w:r>
              <w:rPr>
                <w:rFonts w:hint="eastAsia" w:cs="Times New Roman"/>
                <w:color w:val="auto"/>
              </w:rPr>
              <w:t>相关生态环境保护规划符合性分析</w:t>
            </w:r>
          </w:p>
          <w:p>
            <w:pPr>
              <w:pStyle w:val="5"/>
              <w:suppressLineNumbers w:val="0"/>
              <w:spacing w:before="0" w:after="0"/>
              <w:ind w:left="0" w:right="0" w:firstLine="482"/>
              <w:rPr>
                <w:rFonts w:hint="default" w:ascii="Times New Roman" w:hAnsi="Times New Roman" w:cs="Times New Roman"/>
                <w:color w:val="auto"/>
              </w:rPr>
            </w:pPr>
            <w:r>
              <w:rPr>
                <w:rFonts w:hint="eastAsia" w:ascii="Times New Roman" w:hAnsi="Times New Roman" w:cs="Times New Roman"/>
                <w:color w:val="auto"/>
              </w:rPr>
              <w:t>《承德市城市总体规划（</w:t>
            </w:r>
            <w:r>
              <w:rPr>
                <w:rFonts w:hint="default" w:ascii="Times New Roman" w:hAnsi="Times New Roman" w:cs="Times New Roman"/>
                <w:color w:val="auto"/>
              </w:rPr>
              <w:t xml:space="preserve">2016-2030 </w:t>
            </w:r>
            <w:r>
              <w:rPr>
                <w:rFonts w:hint="eastAsia" w:ascii="Times New Roman" w:hAnsi="Times New Roman" w:cs="Times New Roman"/>
                <w:color w:val="auto"/>
              </w:rPr>
              <w:t>年）》符合性分析</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《承德市城市总体规划》（</w:t>
            </w:r>
            <w:r>
              <w:rPr>
                <w:rFonts w:hint="default" w:ascii="Times New Roman" w:hAnsi="Times New Roman" w:cs="Times New Roman"/>
                <w:color w:val="auto"/>
              </w:rPr>
              <w:t>2016-2030</w:t>
            </w:r>
            <w:r>
              <w:rPr>
                <w:rFonts w:hint="eastAsia" w:ascii="Times New Roman" w:hAnsi="Times New Roman" w:cs="Times New Roman"/>
                <w:color w:val="auto"/>
              </w:rPr>
              <w:t>）中的生态功能区划将承德市划分出一级区两个，即坝上高原生态区、冀北及燕山山地生态区；生态亚区六个，即坝上高原西部草原生态亚区、坝上高原东部森林草原生态亚区、冀北山地森林生态亚区、七老图山森林灌草生态亚区、燕山山地南部林果生态亚区、城市规划发展生态亚区。本项目位于河北省承德市丰宁满族自治县万胜永乡等周边区域，根据承德市总体规划，承德市丰宁满族自治县万胜永乡等周边区域属于</w:t>
            </w:r>
            <w:r>
              <w:rPr>
                <w:rFonts w:hint="default" w:ascii="Times New Roman" w:hAnsi="Times New Roman" w:cs="Times New Roman"/>
                <w:color w:val="auto"/>
              </w:rPr>
              <w:t>“</w:t>
            </w:r>
            <w:r>
              <w:rPr>
                <w:rFonts w:hint="eastAsia" w:ascii="Times New Roman" w:hAnsi="Times New Roman" w:cs="Times New Roman"/>
                <w:color w:val="auto"/>
              </w:rPr>
              <w:t>坝上高原生态区（</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 1 \* ROMAN \* MERGEFORMAT </w:instrText>
            </w:r>
            <w:r>
              <w:rPr>
                <w:rFonts w:hint="default" w:ascii="Times New Roman" w:hAnsi="Times New Roman" w:cs="Times New Roman"/>
                <w:color w:val="auto"/>
              </w:rPr>
              <w:fldChar w:fldCharType="separate"/>
            </w:r>
            <w:r>
              <w:rPr>
                <w:rFonts w:hint="default" w:ascii="Times New Roman" w:hAnsi="Times New Roman" w:cs="Times New Roman"/>
                <w:color w:val="auto"/>
              </w:rPr>
              <w:t>I</w:t>
            </w:r>
            <w:r>
              <w:rPr>
                <w:rFonts w:hint="default" w:ascii="Times New Roman" w:hAnsi="Times New Roman" w:cs="Times New Roman"/>
                <w:color w:val="auto"/>
              </w:rPr>
              <w:fldChar w:fldCharType="end"/>
            </w:r>
            <w:r>
              <w:rPr>
                <w:rFonts w:hint="eastAsia" w:ascii="Times New Roman" w:hAnsi="Times New Roman" w:cs="Times New Roman"/>
                <w:color w:val="auto"/>
              </w:rPr>
              <w:t>）</w:t>
            </w:r>
            <w:r>
              <w:rPr>
                <w:rFonts w:hint="default" w:ascii="Times New Roman" w:hAnsi="Times New Roman" w:cs="Times New Roman"/>
                <w:color w:val="auto"/>
              </w:rPr>
              <w:t>——</w:t>
            </w:r>
            <w:r>
              <w:rPr>
                <w:rFonts w:hint="eastAsia" w:ascii="Times New Roman" w:hAnsi="Times New Roman" w:cs="Times New Roman"/>
                <w:color w:val="auto"/>
              </w:rPr>
              <w:t>坝上高原西部草原生态亚区（</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 1 \* ROMAN \* MERGEFORMAT </w:instrText>
            </w:r>
            <w:r>
              <w:rPr>
                <w:rFonts w:hint="default" w:ascii="Times New Roman" w:hAnsi="Times New Roman" w:cs="Times New Roman"/>
                <w:color w:val="auto"/>
              </w:rPr>
              <w:fldChar w:fldCharType="separate"/>
            </w:r>
            <w:r>
              <w:rPr>
                <w:rFonts w:hint="default" w:ascii="Times New Roman" w:hAnsi="Times New Roman" w:cs="Times New Roman"/>
                <w:color w:val="auto"/>
              </w:rPr>
              <w:t>I</w:t>
            </w:r>
            <w:r>
              <w:rPr>
                <w:rFonts w:hint="default" w:ascii="Times New Roman" w:hAnsi="Times New Roman" w:cs="Times New Roman"/>
                <w:color w:val="auto"/>
              </w:rPr>
              <w:fldChar w:fldCharType="end"/>
            </w:r>
            <w:r>
              <w:rPr>
                <w:rFonts w:hint="default" w:ascii="Times New Roman" w:hAnsi="Times New Roman" w:cs="Times New Roman"/>
                <w:color w:val="auto"/>
              </w:rPr>
              <w:t>-</w:t>
            </w:r>
            <w:r>
              <w:rPr>
                <w:rFonts w:hint="eastAsia" w:ascii="Times New Roman" w:hAnsi="Times New Roman" w:cs="Times New Roman"/>
                <w:color w:val="auto"/>
              </w:rPr>
              <w:t>1）</w:t>
            </w:r>
            <w:r>
              <w:rPr>
                <w:rFonts w:hint="default" w:ascii="Times New Roman" w:hAnsi="Times New Roman" w:cs="Times New Roman"/>
                <w:color w:val="auto"/>
              </w:rPr>
              <w:t>——</w:t>
            </w:r>
            <w:r>
              <w:rPr>
                <w:rFonts w:hint="eastAsia" w:ascii="Times New Roman" w:hAnsi="Times New Roman" w:cs="Times New Roman"/>
                <w:color w:val="auto"/>
              </w:rPr>
              <w:t>承德坝上高原南部水源涵养、沙化防治功能区（</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 1 \* ROMAN \* MERGEFORMAT </w:instrText>
            </w:r>
            <w:r>
              <w:rPr>
                <w:rFonts w:hint="default" w:ascii="Times New Roman" w:hAnsi="Times New Roman" w:cs="Times New Roman"/>
                <w:color w:val="auto"/>
              </w:rPr>
              <w:fldChar w:fldCharType="separate"/>
            </w:r>
            <w:r>
              <w:rPr>
                <w:rFonts w:hint="default" w:ascii="Times New Roman" w:hAnsi="Times New Roman" w:cs="Times New Roman"/>
                <w:color w:val="auto"/>
              </w:rPr>
              <w:t>I</w:t>
            </w:r>
            <w:r>
              <w:rPr>
                <w:rFonts w:hint="default" w:ascii="Times New Roman" w:hAnsi="Times New Roman" w:cs="Times New Roman"/>
                <w:color w:val="auto"/>
              </w:rPr>
              <w:fldChar w:fldCharType="end"/>
            </w:r>
            <w:r>
              <w:rPr>
                <w:rFonts w:hint="default" w:ascii="Times New Roman" w:hAnsi="Times New Roman" w:cs="Times New Roman"/>
                <w:color w:val="auto"/>
              </w:rPr>
              <w:t>-</w:t>
            </w:r>
            <w:r>
              <w:rPr>
                <w:rFonts w:hint="eastAsia" w:ascii="Times New Roman" w:hAnsi="Times New Roman" w:cs="Times New Roman"/>
                <w:color w:val="auto"/>
              </w:rPr>
              <w:t>1</w:t>
            </w:r>
            <w:r>
              <w:rPr>
                <w:rFonts w:hint="default" w:ascii="Times New Roman" w:hAnsi="Times New Roman" w:cs="Times New Roman"/>
                <w:color w:val="auto"/>
              </w:rPr>
              <w:t>-</w:t>
            </w:r>
            <w:r>
              <w:rPr>
                <w:rFonts w:hint="eastAsia" w:ascii="Times New Roman" w:hAnsi="Times New Roman" w:cs="Times New Roman"/>
                <w:color w:val="auto"/>
              </w:rPr>
              <w:t>1），该区域主要生态环境问题、生态服务功能、建设方向及措施如下表所示。</w:t>
            </w:r>
          </w:p>
          <w:p>
            <w:pPr>
              <w:pStyle w:val="31"/>
              <w:spacing w:before="0" w:beforeAutospacing="0" w:after="0" w:afterAutospacing="0"/>
              <w:ind w:right="0"/>
              <w:rPr>
                <w:rFonts w:hint="default" w:ascii="Times New Roman" w:hAnsi="Times New Roman"/>
                <w:color w:val="auto"/>
              </w:rPr>
            </w:pPr>
            <w:r>
              <w:rPr>
                <w:rFonts w:ascii="Times New Roman" w:hAnsi="Times New Roman"/>
                <w:color w:val="auto"/>
              </w:rPr>
              <w:t>承德市总体规划中生态功能区划相关功能分区</w:t>
            </w:r>
          </w:p>
          <w:tbl>
            <w:tblPr>
              <w:tblStyle w:val="20"/>
              <w:tblW w:w="461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6"/>
              <w:gridCol w:w="648"/>
              <w:gridCol w:w="1091"/>
              <w:gridCol w:w="1465"/>
              <w:gridCol w:w="829"/>
              <w:gridCol w:w="20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59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生态区</w:t>
                  </w:r>
                </w:p>
              </w:tc>
              <w:tc>
                <w:tcPr>
                  <w:tcW w:w="648"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生态亚区</w:t>
                  </w:r>
                </w:p>
              </w:tc>
              <w:tc>
                <w:tcPr>
                  <w:tcW w:w="1091"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生态功能区</w:t>
                  </w:r>
                </w:p>
              </w:tc>
              <w:tc>
                <w:tcPr>
                  <w:tcW w:w="1465"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主要生态环境问题</w:t>
                  </w:r>
                </w:p>
              </w:tc>
              <w:tc>
                <w:tcPr>
                  <w:tcW w:w="829"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生态服务功能</w:t>
                  </w:r>
                </w:p>
              </w:tc>
              <w:tc>
                <w:tcPr>
                  <w:tcW w:w="2032"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建设方向及措施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9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坝上高原生态区Ⅰ</w:t>
                  </w:r>
                </w:p>
              </w:tc>
              <w:tc>
                <w:tcPr>
                  <w:tcW w:w="648"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坝上高原西部草原生态亚区（Ⅰ-1）</w:t>
                  </w:r>
                </w:p>
              </w:tc>
              <w:tc>
                <w:tcPr>
                  <w:tcW w:w="1091"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承德坝上高原南部水源涵养、沙化防治功能区（Ⅰ-1-1）</w:t>
                  </w:r>
                </w:p>
              </w:tc>
              <w:tc>
                <w:tcPr>
                  <w:tcW w:w="1465"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本区由于过度开垦和放牧导致草场退化和土地严重荒漠化，林草退化严重，是土壤侵蚀敏感区和荒漠化敏感区。</w:t>
                  </w:r>
                </w:p>
              </w:tc>
              <w:tc>
                <w:tcPr>
                  <w:tcW w:w="829"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水源涵养</w:t>
                  </w:r>
                  <w:r>
                    <w:rPr>
                      <w:rFonts w:hint="eastAsia" w:ascii="Times New Roman" w:hAnsi="Times New Roman" w:cs="Times New Roman"/>
                      <w:color w:val="auto"/>
                    </w:rPr>
                    <w:t>生态农业</w:t>
                  </w:r>
                </w:p>
              </w:tc>
              <w:tc>
                <w:tcPr>
                  <w:tcW w:w="2032"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保护水资源，增强水源涵养功能；调整农牧用地比例，加大退耕还林还草力度；合理利用草原资源，严禁开垦现有草场，改造退化草场，恢复草原植被；控制草场的载畜量，控制草原过度放牧；营造农田防护林，发展生态农业。</w:t>
                  </w:r>
                </w:p>
              </w:tc>
            </w:tr>
          </w:tbl>
          <w:p>
            <w:pPr>
              <w:keepNext w:val="0"/>
              <w:keepLines w:val="0"/>
              <w:widowControl/>
              <w:suppressLineNumbers w:val="0"/>
              <w:spacing w:before="0" w:beforeAutospacing="0" w:after="0" w:afterAutospacing="0"/>
              <w:ind w:left="0" w:right="0" w:firstLine="480"/>
              <w:jc w:val="left"/>
              <w:rPr>
                <w:rFonts w:hint="default" w:ascii="Times New Roman" w:hAnsi="Times New Roman" w:cs="Times New Roman"/>
                <w:color w:val="auto"/>
              </w:rPr>
            </w:pPr>
            <w:r>
              <w:rPr>
                <w:rFonts w:hint="eastAsia" w:ascii="Times New Roman" w:hAnsi="Times New Roman" w:cs="Times New Roman"/>
                <w:color w:val="auto"/>
              </w:rPr>
              <w:t>承德市城市总体规划中生态功能区如下图所示：</w:t>
            </w:r>
          </w:p>
          <w:p>
            <w:pPr>
              <w:keepNext w:val="0"/>
              <w:keepLines w:val="0"/>
              <w:widowControl/>
              <w:suppressLineNumbers w:val="0"/>
              <w:spacing w:before="0" w:beforeAutospacing="0" w:after="0" w:afterAutospacing="0"/>
              <w:ind w:left="0" w:right="0" w:firstLine="0" w:firstLineChars="0"/>
              <w:jc w:val="left"/>
              <w:rPr>
                <w:rFonts w:hint="default" w:ascii="Times New Roman" w:hAnsi="Times New Roman" w:cs="Times New Roman"/>
                <w:color w:val="auto"/>
              </w:rPr>
            </w:pPr>
            <w:r>
              <w:rPr>
                <w:rFonts w:hint="default" w:ascii="Times New Roman" w:hAnsi="Times New Roman" w:cs="Times New Roman"/>
                <w:color w:val="auto"/>
              </w:rPr>
              <mc:AlternateContent>
                <mc:Choice Requires="wps">
                  <w:drawing>
                    <wp:anchor distT="0" distB="0" distL="114300" distR="114300" simplePos="0" relativeHeight="251662336" behindDoc="0" locked="0" layoutInCell="1" allowOverlap="1">
                      <wp:simplePos x="0" y="0"/>
                      <wp:positionH relativeFrom="column">
                        <wp:posOffset>756920</wp:posOffset>
                      </wp:positionH>
                      <wp:positionV relativeFrom="paragraph">
                        <wp:posOffset>1711960</wp:posOffset>
                      </wp:positionV>
                      <wp:extent cx="752475" cy="266700"/>
                      <wp:effectExtent l="4445" t="4445" r="5080" b="313055"/>
                      <wp:wrapNone/>
                      <wp:docPr id="2" name="自选图形 10"/>
                      <wp:cNvGraphicFramePr/>
                      <a:graphic xmlns:a="http://schemas.openxmlformats.org/drawingml/2006/main">
                        <a:graphicData uri="http://schemas.microsoft.com/office/word/2010/wordprocessingShape">
                          <wps:wsp>
                            <wps:cNvSpPr/>
                            <wps:spPr>
                              <a:xfrm>
                                <a:off x="0" y="0"/>
                                <a:ext cx="752475" cy="266700"/>
                              </a:xfrm>
                              <a:prstGeom prst="wedgeRectCallout">
                                <a:avLst>
                                  <a:gd name="adj1" fmla="val -39537"/>
                                  <a:gd name="adj2" fmla="val 156667"/>
                                </a:avLst>
                              </a:prstGeom>
                              <a:solidFill>
                                <a:srgbClr val="FFFFFF"/>
                              </a:solidFill>
                              <a:ln w="9525" cap="flat" cmpd="sng">
                                <a:solidFill>
                                  <a:srgbClr val="000000"/>
                                </a:solidFill>
                                <a:prstDash val="solid"/>
                                <a:miter/>
                                <a:headEnd type="none" w="med" len="med"/>
                                <a:tailEnd type="none" w="med" len="med"/>
                              </a:ln>
                            </wps:spPr>
                            <wps:txbx>
                              <w:txbxContent>
                                <w:p>
                                  <w:pPr>
                                    <w:pStyle w:val="30"/>
                                  </w:pPr>
                                  <w:r>
                                    <w:rPr>
                                      <w:rFonts w:hint="eastAsia"/>
                                    </w:rPr>
                                    <w:t>项目位置</w:t>
                                  </w:r>
                                </w:p>
                              </w:txbxContent>
                            </wps:txbx>
                            <wps:bodyPr wrap="square" upright="1"/>
                          </wps:wsp>
                        </a:graphicData>
                      </a:graphic>
                    </wp:anchor>
                  </w:drawing>
                </mc:Choice>
                <mc:Fallback>
                  <w:pict>
                    <v:shape id="自选图形 10" o:spid="_x0000_s1026" o:spt="61" type="#_x0000_t61" style="position:absolute;left:0pt;margin-left:59.6pt;margin-top:134.8pt;height:21pt;width:59.25pt;z-index:251662336;mso-width-relative:page;mso-height-relative:page;" fillcolor="#FFFFFF" filled="t" stroked="t" coordsize="21600,21600" o:gfxdata="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G2SLX/ZAAAACwEAAA8AAAAAAAAAAQAgAAAA&#10;IgAAAGRycy9kb3ducmV2LnhtbFBLAQIUABQAAAAIAIdO4kDw7vhQQwIAAJwEAAAOAAAAAAAAAAEA&#10;IAAAACgBAABkcnMvZTJvRG9jLnhtbFBLBQYAAAAABgAGAFkBAADdBQAAAAA=&#10;" adj="2260,44640">
                      <v:fill on="t" focussize="0,0"/>
                      <v:stroke color="#000000" joinstyle="miter"/>
                      <v:imagedata o:title=""/>
                      <o:lock v:ext="edit" aspectratio="f"/>
                      <v:textbox>
                        <w:txbxContent>
                          <w:p>
                            <w:pPr>
                              <w:pStyle w:val="30"/>
                            </w:pPr>
                            <w:r>
                              <w:rPr>
                                <w:rFonts w:hint="eastAsia"/>
                              </w:rPr>
                              <w:t>项目位置</w:t>
                            </w:r>
                          </w:p>
                        </w:txbxContent>
                      </v:textbox>
                    </v:shape>
                  </w:pict>
                </mc:Fallback>
              </mc:AlternateContent>
            </w:r>
            <w:r>
              <w:rPr>
                <w:rFonts w:hint="default" w:ascii="Times New Roman" w:hAnsi="Times New Roman" w:cs="Times New Roman"/>
                <w:color w:val="auto"/>
              </w:rPr>
              <mc:AlternateContent>
                <mc:Choice Requires="wps">
                  <w:drawing>
                    <wp:anchor distT="0" distB="0" distL="114300" distR="114300" simplePos="0" relativeHeight="251663360" behindDoc="0" locked="0" layoutInCell="1" allowOverlap="1">
                      <wp:simplePos x="0" y="0"/>
                      <wp:positionH relativeFrom="column">
                        <wp:posOffset>770890</wp:posOffset>
                      </wp:positionH>
                      <wp:positionV relativeFrom="paragraph">
                        <wp:posOffset>2195195</wp:posOffset>
                      </wp:positionV>
                      <wp:extent cx="142875" cy="142875"/>
                      <wp:effectExtent l="13970" t="15875" r="20955" b="19050"/>
                      <wp:wrapNone/>
                      <wp:docPr id="3" name="自选图形 11"/>
                      <wp:cNvGraphicFramePr/>
                      <a:graphic xmlns:a="http://schemas.openxmlformats.org/drawingml/2006/main">
                        <a:graphicData uri="http://schemas.microsoft.com/office/word/2010/wordprocessingShape">
                          <wps:wsp>
                            <wps:cNvSpPr/>
                            <wps:spPr>
                              <a:xfrm>
                                <a:off x="0" y="0"/>
                                <a:ext cx="142875" cy="142875"/>
                              </a:xfrm>
                              <a:prstGeom prst="star5">
                                <a:avLst/>
                              </a:prstGeom>
                              <a:solidFill>
                                <a:srgbClr val="FFFFFF"/>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shape id="自选图形 11" o:spid="_x0000_s1026" style="position:absolute;left:0pt;margin-left:60.7pt;margin-top:172.85pt;height:11.25pt;width:11.25pt;z-index:251663360;mso-width-relative:page;mso-height-relative:page;" fillcolor="#FFFFFF" filled="t" stroked="t" coordsize="142875,142875" o:gfxdata="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138lw9oAAAALAQAADwAAAAAAAAAB&#10;ACAAAAAiAAAAZHJzL2Rvd25yZXYueG1sUEsBAhQAFAAAAAgAh07iQHRcRbsOAgAAMwQAAA4AAAAA&#10;AAAAAQAgAAAAKQEAAGRycy9lMm9Eb2MueG1sUEsFBgAAAAAGAAYAWQEAAKkFAAAAAA==&#10;" path="m0,54573l54573,54573,71437,0,88301,54573,142874,54573,98723,88301,115588,142874,71437,109146,27286,142874,44151,88301xe">
                      <v:path o:connectlocs="71437,0;0,54573;27286,142874;115588,142874;142874,54573" o:connectangles="247,164,82,82,0"/>
                      <v:fill on="t" focussize="0,0"/>
                      <v:stroke color="#000000" joinstyle="miter"/>
                      <v:imagedata o:title=""/>
                      <o:lock v:ext="edit" aspectratio="f"/>
                    </v:shape>
                  </w:pict>
                </mc:Fallback>
              </mc:AlternateContent>
            </w:r>
            <w:r>
              <w:rPr>
                <w:rFonts w:hint="default" w:ascii="Times New Roman" w:hAnsi="Times New Roman" w:cs="Times New Roman"/>
                <w:color w:val="auto"/>
              </w:rPr>
              <w:drawing>
                <wp:inline distT="0" distB="0" distL="114300" distR="114300">
                  <wp:extent cx="4555490" cy="6443980"/>
                  <wp:effectExtent l="0" t="0" r="3810" b="7620"/>
                  <wp:docPr id="9" name="图片 35" descr="17市域环境功能区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5" descr="17市域环境功能区划图"/>
                          <pic:cNvPicPr>
                            <a:picLocks noChangeAspect="1"/>
                          </pic:cNvPicPr>
                        </pic:nvPicPr>
                        <pic:blipFill>
                          <a:blip r:embed="rId24"/>
                          <a:stretch>
                            <a:fillRect/>
                          </a:stretch>
                        </pic:blipFill>
                        <pic:spPr>
                          <a:xfrm>
                            <a:off x="0" y="0"/>
                            <a:ext cx="4555490" cy="6443980"/>
                          </a:xfrm>
                          <a:prstGeom prst="rect">
                            <a:avLst/>
                          </a:prstGeom>
                          <a:noFill/>
                          <a:ln>
                            <a:noFill/>
                          </a:ln>
                        </pic:spPr>
                      </pic:pic>
                    </a:graphicData>
                  </a:graphic>
                </wp:inline>
              </w:drawing>
            </w:r>
            <w:r>
              <w:rPr>
                <w:rFonts w:hint="default" w:ascii="Times New Roman" w:hAnsi="Times New Roman" w:cs="Times New Roman"/>
                <w:color w:val="auto"/>
              </w:rPr>
              <w:t xml:space="preserve"> </w:t>
            </w:r>
          </w:p>
          <w:p>
            <w:pPr>
              <w:pStyle w:val="32"/>
              <w:spacing w:before="0" w:beforeAutospacing="0" w:after="0" w:afterAutospacing="0"/>
              <w:ind w:right="0"/>
              <w:rPr>
                <w:rFonts w:hint="default" w:ascii="Times New Roman" w:hAnsi="Times New Roman"/>
                <w:color w:val="auto"/>
              </w:rPr>
            </w:pPr>
            <w:r>
              <w:rPr>
                <w:rFonts w:ascii="Times New Roman" w:hAnsi="Times New Roman"/>
                <w:color w:val="auto"/>
              </w:rPr>
              <w:t>承德市生态功能区图</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本项目为光伏发电项目，项目施工期在采取生态保护及水土保持措施后，不会对区域水源涵养功能产生影响。因此，本项目建设符合《承德市城市总体规划（</w:t>
            </w:r>
            <w:r>
              <w:rPr>
                <w:rFonts w:hint="default" w:ascii="Times New Roman" w:hAnsi="Times New Roman" w:cs="Times New Roman"/>
                <w:color w:val="auto"/>
              </w:rPr>
              <w:t xml:space="preserve">2016-2030 </w:t>
            </w:r>
            <w:r>
              <w:rPr>
                <w:rFonts w:hint="eastAsia" w:ascii="Times New Roman" w:hAnsi="Times New Roman" w:cs="Times New Roman"/>
                <w:color w:val="auto"/>
              </w:rPr>
              <w:t>年）》中生态功能区划相关功能分区的相关要求。</w:t>
            </w:r>
          </w:p>
          <w:p>
            <w:pPr>
              <w:pStyle w:val="5"/>
              <w:suppressLineNumbers w:val="0"/>
              <w:spacing w:before="0" w:after="0"/>
              <w:ind w:left="0" w:right="0" w:firstLine="482"/>
              <w:rPr>
                <w:rFonts w:hint="default" w:ascii="Times New Roman" w:hAnsi="Times New Roman" w:cs="Times New Roman"/>
                <w:color w:val="auto"/>
              </w:rPr>
            </w:pPr>
            <w:r>
              <w:rPr>
                <w:rFonts w:hint="eastAsia" w:ascii="Times New Roman" w:hAnsi="Times New Roman" w:cs="Times New Roman"/>
                <w:color w:val="auto"/>
              </w:rPr>
              <w:t>《承德市重点水源涵养生态功能保护区规划》符合性分析</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根据《承德市重点水源涵养生态功能保护区规划》（</w:t>
            </w:r>
            <w:r>
              <w:rPr>
                <w:rFonts w:hint="default" w:ascii="Times New Roman" w:hAnsi="Times New Roman" w:cs="Times New Roman"/>
                <w:color w:val="auto"/>
              </w:rPr>
              <w:t>2010</w:t>
            </w:r>
            <w:r>
              <w:rPr>
                <w:rFonts w:hint="eastAsia" w:ascii="Times New Roman" w:hAnsi="Times New Roman" w:cs="Times New Roman"/>
                <w:color w:val="auto"/>
              </w:rPr>
              <w:t>年</w:t>
            </w:r>
            <w:r>
              <w:rPr>
                <w:rFonts w:hint="default" w:ascii="Times New Roman" w:hAnsi="Times New Roman" w:cs="Times New Roman"/>
                <w:color w:val="auto"/>
              </w:rPr>
              <w:t>4</w:t>
            </w:r>
            <w:r>
              <w:rPr>
                <w:rFonts w:hint="eastAsia" w:ascii="Times New Roman" w:hAnsi="Times New Roman" w:cs="Times New Roman"/>
                <w:color w:val="auto"/>
              </w:rPr>
              <w:t>月）（承德市环境保护局），承德市重点水源涵养生态功能保护区涉及滦平县、隆化县、丰宁县、围场县、兴隆县、平泉县、宽城县、承德县、双桥区、丰宁满族自治县，包涵</w:t>
            </w:r>
            <w:r>
              <w:rPr>
                <w:rFonts w:hint="default" w:ascii="Times New Roman" w:hAnsi="Times New Roman" w:cs="Times New Roman"/>
                <w:color w:val="auto"/>
              </w:rPr>
              <w:t>61</w:t>
            </w:r>
            <w:r>
              <w:rPr>
                <w:rFonts w:hint="eastAsia" w:ascii="Times New Roman" w:hAnsi="Times New Roman" w:cs="Times New Roman"/>
                <w:color w:val="auto"/>
              </w:rPr>
              <w:t>个乡镇，保护区总面积</w:t>
            </w:r>
            <w:r>
              <w:rPr>
                <w:rFonts w:hint="default" w:ascii="Times New Roman" w:hAnsi="Times New Roman" w:cs="Times New Roman"/>
                <w:color w:val="auto"/>
              </w:rPr>
              <w:t>8015.92km</w:t>
            </w:r>
            <w:r>
              <w:rPr>
                <w:rFonts w:hint="default" w:ascii="Times New Roman" w:hAnsi="Times New Roman" w:cs="Times New Roman"/>
                <w:color w:val="auto"/>
                <w:vertAlign w:val="superscript"/>
              </w:rPr>
              <w:t>2</w:t>
            </w:r>
            <w:r>
              <w:rPr>
                <w:rFonts w:hint="eastAsia" w:ascii="Times New Roman" w:hAnsi="Times New Roman" w:cs="Times New Roman"/>
                <w:color w:val="auto"/>
              </w:rPr>
              <w:t>，占全市土地总面积的20.28%。保护区有7769.73km</w:t>
            </w:r>
            <w:r>
              <w:rPr>
                <w:rFonts w:hint="eastAsia" w:ascii="Times New Roman" w:hAnsi="Times New Roman" w:cs="Times New Roman"/>
                <w:color w:val="auto"/>
                <w:vertAlign w:val="superscript"/>
              </w:rPr>
              <w:t>2</w:t>
            </w:r>
            <w:r>
              <w:rPr>
                <w:rFonts w:hint="eastAsia" w:ascii="Times New Roman" w:hAnsi="Times New Roman" w:cs="Times New Roman"/>
                <w:color w:val="auto"/>
              </w:rPr>
              <w:t>的面积在承德市“燕山山地水源涵养重要区”内，占其总面积的26.82%；保护区中有4479.69km</w:t>
            </w:r>
            <w:r>
              <w:rPr>
                <w:rFonts w:hint="eastAsia" w:ascii="Times New Roman" w:hAnsi="Times New Roman" w:cs="Times New Roman"/>
                <w:color w:val="auto"/>
                <w:vertAlign w:val="superscript"/>
              </w:rPr>
              <w:t>2</w:t>
            </w:r>
            <w:r>
              <w:rPr>
                <w:rFonts w:hint="eastAsia" w:ascii="Times New Roman" w:hAnsi="Times New Roman" w:cs="Times New Roman"/>
                <w:color w:val="auto"/>
              </w:rPr>
              <w:t>的面积分布在承德市“京津水源地水源涵养重要区”内，占其总面积的30.15%。</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承德市重点水源涵养生态功能保护区分布一览表（丰宁县）见下表：</w:t>
            </w:r>
          </w:p>
          <w:p>
            <w:pPr>
              <w:pStyle w:val="31"/>
              <w:spacing w:before="0" w:beforeAutospacing="0" w:after="0" w:afterAutospacing="0"/>
              <w:ind w:right="0"/>
              <w:rPr>
                <w:rFonts w:hint="default" w:ascii="Times New Roman" w:hAnsi="Times New Roman"/>
                <w:color w:val="auto"/>
              </w:rPr>
            </w:pPr>
            <w:r>
              <w:rPr>
                <w:rFonts w:ascii="Times New Roman" w:hAnsi="Times New Roman"/>
                <w:color w:val="auto"/>
              </w:rPr>
              <w:t>承德市重点水源涵养生态功能保护区分布一览表（丰宁县）</w:t>
            </w:r>
          </w:p>
          <w:tbl>
            <w:tblPr>
              <w:tblStyle w:val="2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2"/>
              <w:gridCol w:w="1258"/>
              <w:gridCol w:w="3458"/>
              <w:gridCol w:w="12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62"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所属县</w:t>
                  </w:r>
                </w:p>
              </w:tc>
              <w:tc>
                <w:tcPr>
                  <w:tcW w:w="1258"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乡镇名称</w:t>
                  </w:r>
                </w:p>
              </w:tc>
              <w:tc>
                <w:tcPr>
                  <w:tcW w:w="3459"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范围描述</w:t>
                  </w:r>
                </w:p>
              </w:tc>
              <w:tc>
                <w:tcPr>
                  <w:tcW w:w="123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面积（</w:t>
                  </w:r>
                  <w:r>
                    <w:rPr>
                      <w:rFonts w:hint="default" w:ascii="Times New Roman" w:hAnsi="Times New Roman" w:cs="Times New Roman"/>
                      <w:b/>
                      <w:bCs/>
                      <w:color w:val="auto"/>
                    </w:rPr>
                    <w:t>km</w:t>
                  </w:r>
                  <w:r>
                    <w:rPr>
                      <w:rFonts w:hint="default" w:ascii="Times New Roman" w:hAnsi="Times New Roman" w:cs="Times New Roman"/>
                      <w:b/>
                      <w:bCs/>
                      <w:color w:val="auto"/>
                      <w:vertAlign w:val="superscript"/>
                    </w:rPr>
                    <w:t>2</w:t>
                  </w:r>
                  <w:r>
                    <w:rPr>
                      <w:rFonts w:hint="eastAsia" w:ascii="Times New Roman" w:hAnsi="Times New Roman" w:cs="Times New Roman"/>
                      <w:b/>
                      <w:bCs/>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62" w:type="dxa"/>
                  <w:vMerge w:val="restart"/>
                  <w:tcBorders>
                    <w:top w:val="single" w:color="auto" w:sz="4" w:space="0"/>
                    <w:left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丰宁县</w:t>
                  </w:r>
                  <w:r>
                    <w:rPr>
                      <w:rFonts w:hint="default" w:ascii="Times New Roman" w:hAnsi="Times New Roman" w:cs="Times New Roman"/>
                      <w:color w:val="auto"/>
                    </w:rPr>
                    <w:t xml:space="preserve"> 2175.71km</w:t>
                  </w:r>
                  <w:r>
                    <w:rPr>
                      <w:rFonts w:hint="default" w:ascii="Times New Roman" w:hAnsi="Times New Roman" w:cs="Times New Roman"/>
                      <w:color w:val="auto"/>
                      <w:vertAlign w:val="superscript"/>
                    </w:rPr>
                    <w:t>2</w:t>
                  </w:r>
                </w:p>
              </w:tc>
              <w:tc>
                <w:tcPr>
                  <w:tcW w:w="1258"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外沟门乡</w:t>
                  </w:r>
                </w:p>
              </w:tc>
              <w:tc>
                <w:tcPr>
                  <w:tcW w:w="3459"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大骡子沟行政村</w:t>
                  </w:r>
                </w:p>
              </w:tc>
              <w:tc>
                <w:tcPr>
                  <w:tcW w:w="123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64.92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62" w:type="dxa"/>
                  <w:vMerge w:val="continue"/>
                  <w:tcBorders>
                    <w:left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p>
              </w:tc>
              <w:tc>
                <w:tcPr>
                  <w:tcW w:w="1258"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四岔口乡</w:t>
                  </w:r>
                </w:p>
              </w:tc>
              <w:tc>
                <w:tcPr>
                  <w:tcW w:w="3459"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李起龙、四岔口、三岔口、榆树林、头道营行政村</w:t>
                  </w:r>
                </w:p>
              </w:tc>
              <w:tc>
                <w:tcPr>
                  <w:tcW w:w="123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448.02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62" w:type="dxa"/>
                  <w:vMerge w:val="continue"/>
                  <w:tcBorders>
                    <w:left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p>
              </w:tc>
              <w:tc>
                <w:tcPr>
                  <w:tcW w:w="1258"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大滩镇</w:t>
                  </w:r>
                </w:p>
              </w:tc>
              <w:tc>
                <w:tcPr>
                  <w:tcW w:w="3459"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二道河子村（含二道河子牧场）</w:t>
                  </w:r>
                </w:p>
              </w:tc>
              <w:tc>
                <w:tcPr>
                  <w:tcW w:w="123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79.74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62" w:type="dxa"/>
                  <w:vMerge w:val="continue"/>
                  <w:tcBorders>
                    <w:left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p>
              </w:tc>
              <w:tc>
                <w:tcPr>
                  <w:tcW w:w="1258"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窟窿山乡</w:t>
                  </w:r>
                </w:p>
              </w:tc>
              <w:tc>
                <w:tcPr>
                  <w:tcW w:w="3459"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乡镇全部范围</w:t>
                  </w:r>
                </w:p>
              </w:tc>
              <w:tc>
                <w:tcPr>
                  <w:tcW w:w="123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274.7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62" w:type="dxa"/>
                  <w:vMerge w:val="continue"/>
                  <w:tcBorders>
                    <w:left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p>
              </w:tc>
              <w:tc>
                <w:tcPr>
                  <w:tcW w:w="1258"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五道营乡</w:t>
                  </w:r>
                </w:p>
              </w:tc>
              <w:tc>
                <w:tcPr>
                  <w:tcW w:w="3459"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五道营乡全部范围</w:t>
                  </w:r>
                </w:p>
              </w:tc>
              <w:tc>
                <w:tcPr>
                  <w:tcW w:w="123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363.55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62" w:type="dxa"/>
                  <w:vMerge w:val="continue"/>
                  <w:tcBorders>
                    <w:left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p>
              </w:tc>
              <w:tc>
                <w:tcPr>
                  <w:tcW w:w="1258"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杨木栅子</w:t>
                  </w:r>
                </w:p>
              </w:tc>
              <w:tc>
                <w:tcPr>
                  <w:tcW w:w="3459"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乡镇全部范围</w:t>
                  </w:r>
                </w:p>
              </w:tc>
              <w:tc>
                <w:tcPr>
                  <w:tcW w:w="123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202.83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62" w:type="dxa"/>
                  <w:vMerge w:val="continue"/>
                  <w:tcBorders>
                    <w:left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p>
              </w:tc>
              <w:tc>
                <w:tcPr>
                  <w:tcW w:w="1258"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汤河乡</w:t>
                  </w:r>
                </w:p>
              </w:tc>
              <w:tc>
                <w:tcPr>
                  <w:tcW w:w="3459"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大草坪外的区域</w:t>
                  </w:r>
                </w:p>
              </w:tc>
              <w:tc>
                <w:tcPr>
                  <w:tcW w:w="123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401.15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62" w:type="dxa"/>
                  <w:vMerge w:val="continue"/>
                  <w:tcBorders>
                    <w:left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p>
              </w:tc>
              <w:tc>
                <w:tcPr>
                  <w:tcW w:w="1258"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南关乡</w:t>
                  </w:r>
                </w:p>
              </w:tc>
              <w:tc>
                <w:tcPr>
                  <w:tcW w:w="3459"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骆驼鞍、横河子、黄土梁、两间房、独立营行政村</w:t>
                  </w:r>
                </w:p>
              </w:tc>
              <w:tc>
                <w:tcPr>
                  <w:tcW w:w="123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131.35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62" w:type="dxa"/>
                  <w:vMerge w:val="continue"/>
                  <w:tcBorders>
                    <w:left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p>
              </w:tc>
              <w:tc>
                <w:tcPr>
                  <w:tcW w:w="1258"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选将营乡</w:t>
                  </w:r>
                </w:p>
              </w:tc>
              <w:tc>
                <w:tcPr>
                  <w:tcW w:w="3459"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二道营、三道营以南地区，涉及的范围有选将营、偏道子、娘娘庙、经堂、郎栅子行政村</w:t>
                  </w:r>
                </w:p>
              </w:tc>
              <w:tc>
                <w:tcPr>
                  <w:tcW w:w="123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163.73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62" w:type="dxa"/>
                  <w:vMerge w:val="continue"/>
                  <w:tcBorders>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p>
              </w:tc>
              <w:tc>
                <w:tcPr>
                  <w:tcW w:w="1258"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王营乡</w:t>
                  </w:r>
                </w:p>
              </w:tc>
              <w:tc>
                <w:tcPr>
                  <w:tcW w:w="3459"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狐狸沟、安营、胡营行政村</w:t>
                  </w:r>
                </w:p>
              </w:tc>
              <w:tc>
                <w:tcPr>
                  <w:tcW w:w="123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45.72</w:t>
                  </w:r>
                </w:p>
              </w:tc>
            </w:tr>
          </w:tbl>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本项目位于承德市丰宁满族自治县万胜永乡等周边区域，项目占地范围不在承德市重点水源涵养生态功能保护区内，通过采取一系列水土保持工程措施、生态恢复工程措施和污染防治工程措施，不与重点水源涵养生态功能保护相冲突。</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因此，本项目符合《承德市重点水源涵养生态功能保护区规划》的相关要求。</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承德市重点水源涵养生态功能保护区分布图如下图所示：</w:t>
            </w:r>
          </w:p>
          <w:p>
            <w:pPr>
              <w:keepNext w:val="0"/>
              <w:keepLines w:val="0"/>
              <w:widowControl/>
              <w:suppressLineNumbers w:val="0"/>
              <w:spacing w:before="0" w:beforeAutospacing="0" w:after="0" w:afterAutospacing="0"/>
              <w:ind w:left="0" w:right="0" w:firstLine="0" w:firstLineChars="0"/>
              <w:jc w:val="left"/>
              <w:rPr>
                <w:rFonts w:hint="default" w:ascii="Times New Roman" w:hAnsi="Times New Roman" w:cs="Times New Roman"/>
                <w:color w:val="auto"/>
              </w:rPr>
            </w:pPr>
            <w:r>
              <w:rPr>
                <w:rFonts w:hint="default" w:ascii="Times New Roman" w:hAnsi="Times New Roman" w:cs="Times New Roman"/>
                <w:color w:val="auto"/>
              </w:rPr>
              <w:drawing>
                <wp:anchor distT="0" distB="0" distL="114300" distR="114300" simplePos="0" relativeHeight="251659264" behindDoc="0" locked="0" layoutInCell="1" allowOverlap="1">
                  <wp:simplePos x="0" y="0"/>
                  <wp:positionH relativeFrom="column">
                    <wp:posOffset>993775</wp:posOffset>
                  </wp:positionH>
                  <wp:positionV relativeFrom="paragraph">
                    <wp:posOffset>1215390</wp:posOffset>
                  </wp:positionV>
                  <wp:extent cx="1171575" cy="581025"/>
                  <wp:effectExtent l="0" t="0" r="9525" b="3175"/>
                  <wp:wrapNone/>
                  <wp:docPr id="1" name="图片 6"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6" descr="IMG_266"/>
                          <pic:cNvPicPr>
                            <a:picLocks noChangeAspect="1"/>
                          </pic:cNvPicPr>
                        </pic:nvPicPr>
                        <pic:blipFill>
                          <a:blip r:embed="rId25"/>
                          <a:stretch>
                            <a:fillRect/>
                          </a:stretch>
                        </pic:blipFill>
                        <pic:spPr>
                          <a:xfrm>
                            <a:off x="0" y="0"/>
                            <a:ext cx="1171575" cy="581025"/>
                          </a:xfrm>
                          <a:prstGeom prst="rect">
                            <a:avLst/>
                          </a:prstGeom>
                          <a:noFill/>
                          <a:ln>
                            <a:noFill/>
                          </a:ln>
                        </pic:spPr>
                      </pic:pic>
                    </a:graphicData>
                  </a:graphic>
                </wp:anchor>
              </w:drawing>
            </w:r>
            <w:r>
              <w:rPr>
                <w:rFonts w:hint="default" w:ascii="Times New Roman" w:hAnsi="Times New Roman" w:cs="Times New Roman"/>
                <w:color w:val="auto"/>
              </w:rPr>
              <mc:AlternateContent>
                <mc:Choice Requires="wps">
                  <w:drawing>
                    <wp:anchor distT="0" distB="0" distL="114300" distR="114300" simplePos="0" relativeHeight="251664384" behindDoc="0" locked="0" layoutInCell="1" allowOverlap="1">
                      <wp:simplePos x="0" y="0"/>
                      <wp:positionH relativeFrom="column">
                        <wp:posOffset>919480</wp:posOffset>
                      </wp:positionH>
                      <wp:positionV relativeFrom="paragraph">
                        <wp:posOffset>1704340</wp:posOffset>
                      </wp:positionV>
                      <wp:extent cx="156845" cy="133350"/>
                      <wp:effectExtent l="15875" t="13970" r="17780" b="17780"/>
                      <wp:wrapNone/>
                      <wp:docPr id="4" name="自选图形 12"/>
                      <wp:cNvGraphicFramePr/>
                      <a:graphic xmlns:a="http://schemas.openxmlformats.org/drawingml/2006/main">
                        <a:graphicData uri="http://schemas.microsoft.com/office/word/2010/wordprocessingShape">
                          <wps:wsp>
                            <wps:cNvSpPr/>
                            <wps:spPr>
                              <a:xfrm>
                                <a:off x="0" y="0"/>
                                <a:ext cx="156845" cy="133350"/>
                              </a:xfrm>
                              <a:prstGeom prst="star5">
                                <a:avLst/>
                              </a:prstGeom>
                              <a:solidFill>
                                <a:srgbClr val="FFFFFF"/>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shape id="自选图形 12" o:spid="_x0000_s1026" style="position:absolute;left:0pt;margin-left:72.4pt;margin-top:134.2pt;height:10.5pt;width:12.35pt;z-index:251664384;mso-width-relative:page;mso-height-relative:page;" fillcolor="#FFFFFF" filled="t" stroked="t" coordsize="156845,133350" o:gfxdata="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q8ZP6tgAAAALAQAADwAAAAAA&#10;AAABACAAAAAiAAAAZHJzL2Rvd25yZXYueG1sUEsBAhQAFAAAAAgAh07iQPnvVz4TAgAAMwQAAA4A&#10;AAAAAAAAAQAgAAAAJwEAAGRycy9lMm9Eb2MueG1sUEsFBgAAAAAGAAYAWQEAAKwFAAAAAA==&#10;" path="m0,50935l59909,50935,78422,0,96935,50935,156844,50935,108376,82414,126890,133349,78422,101869,29954,133349,48468,82414xe">
                      <v:path o:connectlocs="78422,0;0,50935;29954,133349;126890,133349;156844,50935" o:connectangles="247,164,82,82,0"/>
                      <v:fill on="t" focussize="0,0"/>
                      <v:stroke color="#000000" joinstyle="miter"/>
                      <v:imagedata o:title=""/>
                      <o:lock v:ext="edit" aspectratio="f"/>
                    </v:shape>
                  </w:pict>
                </mc:Fallback>
              </mc:AlternateContent>
            </w:r>
            <w:r>
              <w:rPr>
                <w:rFonts w:hint="default" w:ascii="Times New Roman" w:hAnsi="Times New Roman" w:cs="Times New Roman"/>
                <w:color w:val="auto"/>
              </w:rPr>
              <w:drawing>
                <wp:inline distT="0" distB="0" distL="114300" distR="114300">
                  <wp:extent cx="4553585" cy="5862320"/>
                  <wp:effectExtent l="0" t="0" r="5715" b="5080"/>
                  <wp:docPr id="10" name="图片 20"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0" descr="IMG_267"/>
                          <pic:cNvPicPr>
                            <a:picLocks noChangeAspect="1"/>
                          </pic:cNvPicPr>
                        </pic:nvPicPr>
                        <pic:blipFill>
                          <a:blip r:embed="rId26"/>
                          <a:stretch>
                            <a:fillRect/>
                          </a:stretch>
                        </pic:blipFill>
                        <pic:spPr>
                          <a:xfrm>
                            <a:off x="0" y="0"/>
                            <a:ext cx="4553585" cy="5862320"/>
                          </a:xfrm>
                          <a:prstGeom prst="rect">
                            <a:avLst/>
                          </a:prstGeom>
                          <a:noFill/>
                          <a:ln>
                            <a:noFill/>
                          </a:ln>
                        </pic:spPr>
                      </pic:pic>
                    </a:graphicData>
                  </a:graphic>
                </wp:inline>
              </w:drawing>
            </w:r>
            <w:r>
              <w:rPr>
                <w:rFonts w:hint="default" w:ascii="Times New Roman" w:hAnsi="Times New Roman" w:cs="Times New Roman"/>
                <w:color w:val="auto"/>
              </w:rPr>
              <w:t xml:space="preserve"> </w:t>
            </w:r>
          </w:p>
          <w:p>
            <w:pPr>
              <w:pStyle w:val="32"/>
              <w:spacing w:before="0" w:beforeAutospacing="0" w:after="0" w:afterAutospacing="0"/>
              <w:ind w:right="0"/>
              <w:rPr>
                <w:rFonts w:hint="default" w:ascii="Times New Roman" w:hAnsi="Times New Roman"/>
                <w:color w:val="auto"/>
              </w:rPr>
            </w:pPr>
            <w:r>
              <w:rPr>
                <w:rFonts w:ascii="Times New Roman" w:hAnsi="Times New Roman"/>
                <w:color w:val="auto"/>
              </w:rPr>
              <w:t>承德市重点水源涵养生态功能保护区分布图</w:t>
            </w:r>
          </w:p>
          <w:p>
            <w:pPr>
              <w:pStyle w:val="5"/>
              <w:suppressLineNumbers w:val="0"/>
              <w:spacing w:before="0" w:after="0"/>
              <w:ind w:left="0" w:right="0" w:firstLine="482"/>
              <w:rPr>
                <w:rFonts w:hint="default" w:ascii="Times New Roman" w:hAnsi="Times New Roman" w:cs="Times New Roman"/>
                <w:color w:val="auto"/>
              </w:rPr>
            </w:pPr>
            <w:r>
              <w:rPr>
                <w:rFonts w:hint="eastAsia" w:ascii="Times New Roman" w:hAnsi="Times New Roman" w:cs="Times New Roman"/>
                <w:color w:val="auto"/>
              </w:rPr>
              <w:t>《河北省生态环境保护“十四五”规划》符合性分析</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根据《河北省生态环境保护</w:t>
            </w:r>
            <w:r>
              <w:rPr>
                <w:rFonts w:hint="eastAsia" w:ascii="Times New Roman" w:hAnsi="Times New Roman" w:cs="Times New Roman"/>
                <w:color w:val="auto"/>
              </w:rPr>
              <w:t>“十四五”</w:t>
            </w:r>
            <w:r>
              <w:rPr>
                <w:rFonts w:hint="default" w:ascii="Times New Roman" w:hAnsi="Times New Roman" w:cs="Times New Roman"/>
                <w:color w:val="auto"/>
              </w:rPr>
              <w:t>规划》，其主要目标为：绿色低碳转型成效显著。国土空间开发保护格局得到优化，绿色低碳发展加快推进，能源资源配置更加合理、利用效率大幅提高，单位地区生产总值能源消耗和碳排放强度持续降低，简约适度、绿色低碳的生活方式加快形成。</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生态环境质量持续改善。主要污染物排放持续减少，环境空气质量全面改善，优良天数比率持续提高，基本消除重污染天气。水环境质量稳步提升，水生态功能初步得到恢复，海洋生态环境稳中向好，城乡人居环境明显改善。</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生态服务功能稳步提升。生态安全屏障更加牢固，生物多样性得到有效保护，自然保护地体系逐步完善，塞罕坝二次创业取得新成果，首都水源涵养功能区、京津冀生态环境支撑区建设取得明显成效。</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环境风险得到有效防控。土壤污染风险得到有效管控，危险废物和新污染物治理能力明显增强，核与辐射环境风险有效管控，防范化解生态环境风险能力显著增强。</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河北省生态环境保护“十四五”规划》指出：河北省在“十四五”期间要调整优化能源供给结构。控制化石能源消费总量，推动非化石能源成为能源消费增量的主体。大力发展风能、太阳能等可再生能源发电，有序推动抽水蓄能电站规划建设，打造冀北清洁能源基地，积极推动可再生能源制氢，完善产供储销配套设施，拓展氢能应用领域。新增可再生能源和原料用能不纳入能源消费总量控制，创造条件尽早实现能耗“双控”向碳排放总量和强度“双控”转变。坚持“增气减煤”同步，加强天然气基础设施建设，扩大管道气覆盖范围。因地制宜推进生物质热电联产，加快建设垃圾焚烧发电项目。到2025年，非化石能源消费占能源消费比重提高到13%以上，可再生能源装机占全部电力装机比重达到60%左右。</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 xml:space="preserve">项目属于太阳能发电项目，太阳能属于可再生能源，项目建设符合《河北省生态环境保护“十四五”规划》中的相关要求。 </w:t>
            </w:r>
          </w:p>
          <w:p>
            <w:pPr>
              <w:pStyle w:val="5"/>
              <w:suppressLineNumbers w:val="0"/>
              <w:spacing w:before="0" w:after="0"/>
              <w:ind w:left="0" w:right="0" w:firstLine="482"/>
              <w:rPr>
                <w:rFonts w:hint="default" w:ascii="Times New Roman" w:hAnsi="Times New Roman" w:cs="Times New Roman"/>
                <w:color w:val="auto"/>
              </w:rPr>
            </w:pPr>
            <w:r>
              <w:rPr>
                <w:rFonts w:hint="eastAsia" w:ascii="Times New Roman" w:hAnsi="Times New Roman" w:cs="Times New Roman"/>
                <w:color w:val="auto"/>
              </w:rPr>
              <w:t>《承德市生态环境保护“十四五”规划》符合性分析</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根据《承德市生态环境保护“十四五”规划》，其主要目标为：绿色低碳转型成效显著。国土空间开发保护格局得到优化，绿色低碳发展加快推进，能源资源配置更加合理、利用效率大幅提高，单位地区生产总值能源消耗和碳排放强度持续降低，简约适度、绿色低碳的生活方式加快形成，绿色发展的产业体系和体制机制基本形成。</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生态环境质量持续改善。主要污染物排放持续减少，环境空气质量全面改善，优良天数比率持续提高，基本消除重污染天气。水环境质量稳步提升，国、省考地表水断面达到或好于</w:t>
            </w:r>
            <w:r>
              <w:rPr>
                <w:rFonts w:hint="default" w:ascii="Times New Roman" w:hAnsi="Times New Roman" w:cs="Times New Roman"/>
                <w:color w:val="auto"/>
              </w:rPr>
              <w:t>Ⅲ</w:t>
            </w:r>
            <w:r>
              <w:rPr>
                <w:rFonts w:hint="eastAsia" w:ascii="Times New Roman" w:hAnsi="Times New Roman" w:cs="Times New Roman"/>
                <w:color w:val="auto"/>
              </w:rPr>
              <w:t>类水质比例达到考核目标要求，水生态功能得到明显恢复，城乡人居环境明显改善。</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生态服务功能稳步提升。生态安全屏障更加牢固，生物多样性得到有效保护，自然保护地体系逐步完善，滦潮河流域环境整治取得明显成效，环境风险得到有效防控。土壤污染风险得到有效管控，危险废物和新污染物治理能力明显增强，核与辐射环境风险有效管控，防范化解生态环境风险能力显著增强，受污染耕地和建设用地风险管控措施实现全覆盖。现代环境治理体系加快形成。生态环境监管和应急能力短板加快补齐，共建共治共享的生态环境治理体系更加健全，生态环境治理效能得到新提升。</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承德市生态环境保护“十四五”规划》指出：调整优化能源供给结构。控制化石能源消费总量，推动非化石能源成为能源消费增量的主体。大力发展风能、太阳能等可再生能源发电，有序推动抽水蓄能电站规划建设，加快承德百万千瓦风电基地二期、光伏发电应用基地和分布式光伏项目建设，推进丰宁、滦平等抽水蓄能电站建设，积极推动可再生能源制氢，完善产供储销配套设施，拓展氢能应用领域。坚持“增气减煤”同步，加强天然气基础设施建设，扩大管道气覆盖范围。因地制宜推进生物质热电联产，加快建设垃圾焚烧发电项目。到2025年，非化石能源消费占能源消费比重和可再生能源装机占全部电力装机比重明显提升。</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项目属于太阳能发电项目，项目的建设有助于调整优化能源结构，减少化石能源消耗，项目建设符合《承德市生态环境保护“十四五”规划》中的相关要求。</w:t>
            </w:r>
          </w:p>
          <w:p>
            <w:pPr>
              <w:pStyle w:val="5"/>
              <w:suppressLineNumbers w:val="0"/>
              <w:spacing w:before="0" w:after="0"/>
              <w:ind w:left="0" w:right="0" w:firstLine="482"/>
              <w:rPr>
                <w:rFonts w:hint="default" w:ascii="Times New Roman" w:hAnsi="Times New Roman" w:cs="Times New Roman"/>
                <w:color w:val="auto"/>
              </w:rPr>
            </w:pPr>
            <w:r>
              <w:rPr>
                <w:rFonts w:hint="default" w:ascii="Times New Roman" w:hAnsi="Times New Roman" w:cs="Times New Roman"/>
                <w:color w:val="auto"/>
              </w:rPr>
              <w:t>《河北省丰宁满族自治县城乡总体规划（2016-2030年）》</w:t>
            </w:r>
            <w:r>
              <w:rPr>
                <w:rFonts w:hint="eastAsia" w:ascii="Times New Roman" w:hAnsi="Times New Roman" w:cs="Times New Roman"/>
                <w:color w:val="auto"/>
              </w:rPr>
              <w:t>符合性分析</w:t>
            </w:r>
          </w:p>
          <w:p>
            <w:pPr>
              <w:keepNext w:val="0"/>
              <w:keepLines w:val="0"/>
              <w:numPr>
                <w:ilvl w:val="0"/>
                <w:numId w:val="11"/>
              </w:numPr>
              <w:suppressLineNumbers w:val="0"/>
              <w:spacing w:before="0" w:beforeAutospacing="0" w:after="0" w:afterAutospacing="0"/>
              <w:ind w:right="0" w:firstLine="480"/>
              <w:rPr>
                <w:rFonts w:hint="default" w:ascii="Times New Roman" w:hAnsi="Times New Roman" w:cs="Times New Roman"/>
                <w:color w:val="auto"/>
              </w:rPr>
            </w:pPr>
            <w:r>
              <w:rPr>
                <w:rFonts w:hint="default" w:ascii="Times New Roman" w:hAnsi="Times New Roman" w:cs="Times New Roman"/>
                <w:color w:val="auto"/>
              </w:rPr>
              <w:t xml:space="preserve">城市发展总目标：围绕“潮滦源头、京北草原、塞外绿城、满乡丰宁”的主题定位，在“生态立县、开放强县、旅游兴县、文化活县”的战略指引下，建设更加富裕、生态、人文、和谐的丰宁，并将丰宁建设成为：“山清水秀的美丽丰宁、富足祥和的幸福丰宁”。其核心就是要将县城打造成为“宜居宜业宜游的首都生态卫星城”。 </w:t>
            </w:r>
          </w:p>
          <w:p>
            <w:pPr>
              <w:keepNext w:val="0"/>
              <w:keepLines w:val="0"/>
              <w:numPr>
                <w:ilvl w:val="0"/>
                <w:numId w:val="11"/>
              </w:numPr>
              <w:suppressLineNumbers w:val="0"/>
              <w:spacing w:before="0" w:beforeAutospacing="0" w:after="0" w:afterAutospacing="0"/>
              <w:ind w:right="0" w:firstLine="480"/>
              <w:rPr>
                <w:rFonts w:hint="default" w:ascii="Times New Roman" w:hAnsi="Times New Roman" w:cs="Times New Roman"/>
                <w:color w:val="auto"/>
              </w:rPr>
            </w:pPr>
            <w:r>
              <w:rPr>
                <w:rFonts w:hint="default" w:ascii="Times New Roman" w:hAnsi="Times New Roman" w:cs="Times New Roman"/>
                <w:color w:val="auto"/>
              </w:rPr>
              <w:t xml:space="preserve">规划区空间管制 </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 xml:space="preserve">范围：现状城镇已经建设的区域，面积约12.5平方公里，占规划区的比重为0.7%。政策：保护历史文化地区，对老城实施有机更新，提高新城建设标准，降低空置率，公共利益优先，逐步完善开放空间系统、公益性公共服务设施和基础设施，提倡公交优先的交通政策。 </w:t>
            </w:r>
          </w:p>
          <w:p>
            <w:pPr>
              <w:keepNext w:val="0"/>
              <w:keepLines w:val="0"/>
              <w:numPr>
                <w:ilvl w:val="0"/>
                <w:numId w:val="11"/>
              </w:numPr>
              <w:suppressLineNumbers w:val="0"/>
              <w:spacing w:before="0" w:beforeAutospacing="0" w:after="0" w:afterAutospacing="0"/>
              <w:ind w:right="0" w:firstLine="480"/>
              <w:rPr>
                <w:rFonts w:hint="default" w:ascii="Times New Roman" w:hAnsi="Times New Roman" w:cs="Times New Roman"/>
                <w:color w:val="auto"/>
              </w:rPr>
            </w:pPr>
            <w:r>
              <w:rPr>
                <w:rFonts w:hint="default" w:ascii="Times New Roman" w:hAnsi="Times New Roman" w:cs="Times New Roman"/>
                <w:color w:val="auto"/>
              </w:rPr>
              <w:t xml:space="preserve">城镇发展区功能划分 </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范围：包括中心城区、经济开发区和汤河养生基地，及其周边建设控制地带，是人口集聚、城镇集中建设、现代产业发展和公共服务配套的核心区域。发展策略：根据城市总体规划和相关片区、镇的总体规划要求进行建设，保护城区周边的山林、丘陵、水系等生态要素。</w:t>
            </w:r>
          </w:p>
          <w:p>
            <w:pPr>
              <w:keepNext w:val="0"/>
              <w:keepLines w:val="0"/>
              <w:numPr>
                <w:ilvl w:val="0"/>
                <w:numId w:val="11"/>
              </w:numPr>
              <w:suppressLineNumbers w:val="0"/>
              <w:spacing w:before="0" w:beforeAutospacing="0" w:after="0" w:afterAutospacing="0"/>
              <w:ind w:right="0" w:firstLine="480"/>
              <w:rPr>
                <w:rFonts w:hint="default" w:ascii="Times New Roman" w:hAnsi="Times New Roman" w:cs="Times New Roman"/>
                <w:color w:val="auto"/>
              </w:rPr>
            </w:pPr>
            <w:r>
              <w:rPr>
                <w:rFonts w:hint="default" w:ascii="Times New Roman" w:hAnsi="Times New Roman" w:cs="Times New Roman"/>
                <w:color w:val="auto"/>
              </w:rPr>
              <w:t xml:space="preserve">项目与该规划符合性分析 </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河北省丰宁满族自治县城乡总体规划（2016-2030年）》中提到对于丰宁地方政府而言，在经济和产业发展方式转型的战略机遇期，需要重新审视绿色能源产业发展路径，主动出击，密切关注国家绿色能源战略方向，仔细研究产业发展规律，准确分析产业发展趋势，积极推进绿色能源产业发展。绿色能源技术的快速发展要求区域从绿色能源产业发展趋势出发，以新技术为切入点，抢占未来绿色能源产业发展至高点，着力发展高端绿色能源产业，包括太阳能、风能的新型高端技术开发，生物质能源开发。</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本项目主要为太阳能发电，</w:t>
            </w:r>
            <w:r>
              <w:rPr>
                <w:rFonts w:hint="eastAsia" w:ascii="Times New Roman" w:hAnsi="Times New Roman" w:cs="Times New Roman"/>
                <w:color w:val="auto"/>
              </w:rPr>
              <w:t>太阳能属于绿色能源，项目的建设将推动丰宁县绿色能源产业发展，项目</w:t>
            </w:r>
            <w:r>
              <w:rPr>
                <w:rFonts w:hint="default" w:ascii="Times New Roman" w:hAnsi="Times New Roman" w:cs="Times New Roman"/>
                <w:color w:val="auto"/>
              </w:rPr>
              <w:t xml:space="preserve">属于《河北省丰宁满族自治县城乡总体规划（2016-2030年）》规划中鼓励类项目，符合规划要求。 </w:t>
            </w:r>
          </w:p>
          <w:p>
            <w:pPr>
              <w:pStyle w:val="5"/>
              <w:suppressLineNumbers w:val="0"/>
              <w:spacing w:before="0" w:after="0"/>
              <w:ind w:left="0" w:right="0" w:firstLine="482"/>
              <w:rPr>
                <w:rFonts w:hint="default" w:ascii="Times New Roman" w:hAnsi="Times New Roman" w:cs="Times New Roman"/>
                <w:color w:val="auto"/>
              </w:rPr>
            </w:pPr>
            <w:r>
              <w:rPr>
                <w:rFonts w:hint="eastAsia" w:ascii="Times New Roman" w:hAnsi="Times New Roman" w:cs="Times New Roman"/>
                <w:color w:val="auto"/>
              </w:rPr>
              <w:t>《丰宁满族自治县“十四五”生态环境保护规划》</w:t>
            </w:r>
          </w:p>
          <w:p>
            <w:pPr>
              <w:keepNext w:val="0"/>
              <w:keepLines w:val="0"/>
              <w:suppressLineNumbers w:val="0"/>
              <w:bidi w:val="0"/>
              <w:spacing w:before="0" w:beforeAutospacing="0" w:after="0" w:afterAutospacing="0"/>
              <w:ind w:left="0" w:right="0"/>
              <w:rPr>
                <w:rFonts w:hint="default"/>
                <w:color w:val="auto"/>
              </w:rPr>
            </w:pPr>
            <w:r>
              <w:rPr>
                <w:rFonts w:hint="eastAsia"/>
                <w:color w:val="auto"/>
              </w:rPr>
              <w:t>根据《丰宁满族自治县“十四五”生态环境保护规划》，其主要规划目标及指标为</w:t>
            </w:r>
            <w:r>
              <w:rPr>
                <w:rFonts w:hint="default"/>
                <w:color w:val="auto"/>
              </w:rPr>
              <w:t>规划到2025年，京津冀生态功能区核心区和首都水资源涵养区建设取得更大成效，区域复合型生态功能切实增强，生态型经济形成较大规模，全社会生态文明程度大幅提升；完成国家生态文明示范县、“绿水青山就是金山银山”实践创新基地建设。饮用水安全得到有效保障，水生态环境质量持续改善；生态红线得到有效落实，森林覆盖率持续提升；PM</w:t>
            </w:r>
            <w:r>
              <w:rPr>
                <w:rFonts w:hint="default"/>
                <w:color w:val="auto"/>
                <w:vertAlign w:val="subscript"/>
              </w:rPr>
              <w:t>2.5</w:t>
            </w:r>
            <w:r>
              <w:rPr>
                <w:rFonts w:hint="default"/>
                <w:color w:val="auto"/>
              </w:rPr>
              <w:t>平均浓度保持较低水平，大气环境质量继续保持京津冀地区前列，重点行业和重点区域大气污染治理成效明显；土壤环境安全得到有效保障，环境风险得到有效管控，主要污染物排放总量显著减少；农村基础设施进一步完善，农村人居环境质量明显增强；生态环境治理体系与治理能力现代化取得进展，筑牢“美丽丰宁”的环境基础，使生态文明建设水平与全面建成小康社会相适应。</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根据《丰宁满族自治县“十四五”生态环境保护规划》，丰宁满族自治县生态环境保护目标之一为“着力推进</w:t>
            </w:r>
            <w:r>
              <w:rPr>
                <w:rFonts w:hint="default" w:ascii="宋体" w:hAnsi="宋体" w:cs="宋体"/>
                <w:color w:val="auto"/>
              </w:rPr>
              <w:t>多污染源协同治理，有效改善大气环境质量</w:t>
            </w:r>
            <w:r>
              <w:rPr>
                <w:rFonts w:hint="eastAsia" w:ascii="宋体" w:hAnsi="宋体" w:cs="宋体"/>
                <w:color w:val="auto"/>
              </w:rPr>
              <w:t>”，其中具体做法为</w:t>
            </w:r>
            <w:r>
              <w:rPr>
                <w:rFonts w:hint="default" w:ascii="宋体" w:hAnsi="宋体" w:cs="宋体"/>
                <w:color w:val="auto"/>
              </w:rPr>
              <w:t>优化能源结构，加大清洁能源的供应和推广力度。按照国家、省、市能源结构统一部署，各乡镇政府严格实施煤炭消费总量控制制度，优化煤炭消耗种类结构。</w:t>
            </w:r>
            <w:r>
              <w:rPr>
                <w:rFonts w:hint="eastAsia" w:ascii="宋体" w:hAnsi="宋体" w:cs="宋体"/>
                <w:color w:val="auto"/>
              </w:rPr>
              <w:t>本项目为光伏发电项目，太阳能属于清洁能源，本项目的建设有利于丰宁满族自治县优化能源结构，推广清洁能源，项目符合</w:t>
            </w:r>
            <w:r>
              <w:rPr>
                <w:rFonts w:hint="eastAsia" w:ascii="Times New Roman" w:hAnsi="Times New Roman" w:cs="Times New Roman"/>
                <w:color w:val="auto"/>
              </w:rPr>
              <w:t>《丰宁满族自治县“十四五”生态环境保护规划》。</w:t>
            </w:r>
          </w:p>
        </w:tc>
      </w:tr>
    </w:tbl>
    <w:p>
      <w:pPr>
        <w:ind w:firstLine="600"/>
        <w:outlineLvl w:val="0"/>
        <w:rPr>
          <w:rFonts w:hint="eastAsia" w:eastAsia="黑体"/>
          <w:color w:val="auto"/>
          <w:sz w:val="30"/>
        </w:rPr>
        <w:sectPr>
          <w:headerReference r:id="rId11" w:type="default"/>
          <w:footerReference r:id="rId12" w:type="default"/>
          <w:pgSz w:w="11906" w:h="16838"/>
          <w:pgMar w:top="1701" w:right="1531" w:bottom="1701" w:left="1531" w:header="851" w:footer="1077" w:gutter="0"/>
          <w:pgNumType w:start="1"/>
          <w:cols w:space="720" w:num="1"/>
          <w:docGrid w:linePitch="312" w:charSpace="0"/>
        </w:sectPr>
      </w:pPr>
    </w:p>
    <w:p>
      <w:pPr>
        <w:ind w:firstLine="600"/>
        <w:jc w:val="center"/>
        <w:outlineLvl w:val="0"/>
        <w:rPr>
          <w:rFonts w:ascii="黑体" w:hAnsi="黑体" w:eastAsia="黑体"/>
          <w:snapToGrid w:val="0"/>
          <w:color w:val="auto"/>
          <w:sz w:val="30"/>
          <w:szCs w:val="30"/>
        </w:rPr>
      </w:pPr>
      <w:r>
        <w:rPr>
          <w:rFonts w:hint="eastAsia" w:ascii="黑体" w:hAnsi="黑体" w:eastAsia="黑体"/>
          <w:snapToGrid w:val="0"/>
          <w:color w:val="auto"/>
          <w:sz w:val="30"/>
          <w:szCs w:val="30"/>
        </w:rPr>
        <w:t>二、建设内容</w:t>
      </w:r>
    </w:p>
    <w:tbl>
      <w:tblPr>
        <w:tblStyle w:val="20"/>
        <w:tblW w:w="913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10"/>
        <w:gridCol w:w="842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97" w:hRule="atLeast"/>
          <w:jc w:val="center"/>
        </w:trPr>
        <w:tc>
          <w:tcPr>
            <w:tcW w:w="710"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地理位置</w:t>
            </w:r>
          </w:p>
        </w:tc>
        <w:tc>
          <w:tcPr>
            <w:tcW w:w="8420" w:type="dxa"/>
            <w:noWrap w:val="0"/>
            <w:vAlign w:val="center"/>
          </w:tcPr>
          <w:p>
            <w:pPr>
              <w:pStyle w:val="3"/>
              <w:keepLines w:val="0"/>
              <w:numPr>
                <w:ilvl w:val="0"/>
                <w:numId w:val="12"/>
              </w:numPr>
              <w:suppressLineNumbers w:val="0"/>
              <w:spacing w:before="120" w:beforeAutospacing="0" w:after="0" w:afterAutospacing="0"/>
              <w:ind w:right="0" w:firstLine="482"/>
              <w:rPr>
                <w:rFonts w:hint="default" w:ascii="Times New Roman" w:hAnsi="Times New Roman" w:cs="Times New Roman"/>
                <w:color w:val="auto"/>
              </w:rPr>
            </w:pPr>
            <w:r>
              <w:rPr>
                <w:rFonts w:hint="eastAsia" w:ascii="Times New Roman" w:hAnsi="Times New Roman" w:cs="Times New Roman"/>
                <w:color w:val="auto"/>
              </w:rPr>
              <w:t>项目位置</w:t>
            </w:r>
          </w:p>
          <w:p>
            <w:pPr>
              <w:keepNext w:val="0"/>
              <w:keepLines w:val="0"/>
              <w:suppressLineNumbers w:val="0"/>
              <w:bidi w:val="0"/>
              <w:spacing w:before="0" w:beforeAutospacing="0" w:after="0" w:afterAutospacing="0"/>
              <w:ind w:left="0" w:right="0"/>
              <w:rPr>
                <w:rFonts w:hint="default"/>
                <w:color w:val="auto"/>
              </w:rPr>
            </w:pPr>
            <w:r>
              <w:rPr>
                <w:rFonts w:hint="eastAsia"/>
                <w:color w:val="auto"/>
              </w:rPr>
              <w:t>本项目位于承德市丰宁满族自治县万胜永乡等周边区域，光伏发电规模为200MW，新建一座220KV升压站及相关配套设施，</w:t>
            </w:r>
            <w:r>
              <w:rPr>
                <w:rFonts w:hint="eastAsia"/>
                <w:color w:val="auto"/>
                <w:lang w:val="en-US" w:eastAsia="zh-CN"/>
              </w:rPr>
              <w:t>总</w:t>
            </w:r>
            <w:r>
              <w:rPr>
                <w:rFonts w:hint="eastAsia"/>
                <w:color w:val="auto"/>
              </w:rPr>
              <w:t>占地面积46</w:t>
            </w:r>
            <w:r>
              <w:rPr>
                <w:rFonts w:hint="eastAsia"/>
                <w:color w:val="auto"/>
                <w:lang w:val="en-US" w:eastAsia="zh-CN"/>
              </w:rPr>
              <w:t>25711</w:t>
            </w:r>
            <w:r>
              <w:rPr>
                <w:rFonts w:hint="eastAsia"/>
                <w:color w:val="auto"/>
              </w:rPr>
              <w:t>m</w:t>
            </w:r>
            <w:r>
              <w:rPr>
                <w:rFonts w:hint="eastAsia"/>
                <w:color w:val="auto"/>
                <w:vertAlign w:val="superscript"/>
              </w:rPr>
              <w:t>2</w:t>
            </w:r>
            <w:r>
              <w:rPr>
                <w:rFonts w:hint="eastAsia"/>
                <w:color w:val="auto"/>
              </w:rPr>
              <w:t>，</w:t>
            </w:r>
            <w:r>
              <w:rPr>
                <w:rFonts w:hint="eastAsia"/>
                <w:color w:val="auto"/>
                <w:lang w:val="en-US" w:eastAsia="zh-CN"/>
              </w:rPr>
              <w:t>光伏厂区占地面积为4606745m</w:t>
            </w:r>
            <w:r>
              <w:rPr>
                <w:rFonts w:hint="eastAsia"/>
                <w:color w:val="auto"/>
                <w:vertAlign w:val="superscript"/>
                <w:lang w:val="en-US" w:eastAsia="zh-CN"/>
              </w:rPr>
              <w:t>2</w:t>
            </w:r>
            <w:r>
              <w:rPr>
                <w:rFonts w:hint="eastAsia"/>
                <w:color w:val="auto"/>
                <w:lang w:val="en-US" w:eastAsia="zh-CN"/>
              </w:rPr>
              <w:t>，升压站占地面积18086m</w:t>
            </w:r>
            <w:r>
              <w:rPr>
                <w:rFonts w:hint="eastAsia"/>
                <w:color w:val="auto"/>
                <w:vertAlign w:val="superscript"/>
                <w:lang w:val="en-US" w:eastAsia="zh-CN"/>
              </w:rPr>
              <w:t>2</w:t>
            </w:r>
            <w:r>
              <w:rPr>
                <w:rFonts w:hint="eastAsia"/>
                <w:color w:val="auto"/>
                <w:lang w:val="en-US" w:eastAsia="zh-CN"/>
              </w:rPr>
              <w:t>，进场道路占地面积880m</w:t>
            </w:r>
            <w:r>
              <w:rPr>
                <w:rFonts w:hint="eastAsia"/>
                <w:color w:val="auto"/>
                <w:vertAlign w:val="superscript"/>
                <w:lang w:val="en-US" w:eastAsia="zh-CN"/>
              </w:rPr>
              <w:t>2</w:t>
            </w:r>
            <w:r>
              <w:rPr>
                <w:rFonts w:hint="eastAsia"/>
                <w:color w:val="auto"/>
                <w:lang w:val="en-US" w:eastAsia="zh-CN"/>
              </w:rPr>
              <w:t>。</w:t>
            </w:r>
            <w:r>
              <w:rPr>
                <w:rFonts w:hint="eastAsia"/>
                <w:color w:val="auto"/>
              </w:rPr>
              <w:t>采用复合型光伏发电模式。本项目升压站和各地块的中心坐标见下表。</w:t>
            </w:r>
          </w:p>
          <w:p>
            <w:pPr>
              <w:pStyle w:val="33"/>
              <w:keepNext w:val="0"/>
              <w:keepLines w:val="0"/>
              <w:suppressLineNumbers w:val="0"/>
              <w:spacing w:before="0" w:beforeAutospacing="0" w:after="0" w:afterAutospacing="0"/>
              <w:ind w:right="0"/>
              <w:rPr>
                <w:rFonts w:hint="default" w:ascii="Times New Roman" w:hAnsi="Times New Roman" w:cs="Times New Roman"/>
                <w:color w:val="auto"/>
              </w:rPr>
            </w:pPr>
            <w:r>
              <w:rPr>
                <w:rFonts w:ascii="Times New Roman" w:hAnsi="Times New Roman" w:cs="Times New Roman"/>
                <w:color w:val="auto"/>
              </w:rPr>
              <w:t>各地块中心坐标</w:t>
            </w:r>
          </w:p>
          <w:tbl>
            <w:tblPr>
              <w:tblStyle w:val="20"/>
              <w:tblW w:w="486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9"/>
              <w:gridCol w:w="1631"/>
              <w:gridCol w:w="2845"/>
              <w:gridCol w:w="27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62" w:type="pct"/>
                  <w:vMerge w:val="restar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序号</w:t>
                  </w:r>
                </w:p>
              </w:tc>
              <w:tc>
                <w:tcPr>
                  <w:tcW w:w="1023" w:type="pct"/>
                  <w:vMerge w:val="restar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地块名称</w:t>
                  </w:r>
                </w:p>
              </w:tc>
              <w:tc>
                <w:tcPr>
                  <w:tcW w:w="3514" w:type="pct"/>
                  <w:gridSpan w:val="2"/>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中心坐标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62"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p>
              </w:tc>
              <w:tc>
                <w:tcPr>
                  <w:tcW w:w="1023"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p>
              </w:tc>
              <w:tc>
                <w:tcPr>
                  <w:tcW w:w="1784"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经度</w:t>
                  </w:r>
                </w:p>
              </w:tc>
              <w:tc>
                <w:tcPr>
                  <w:tcW w:w="1730"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纬度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w:t>
                  </w:r>
                </w:p>
              </w:tc>
              <w:tc>
                <w:tcPr>
                  <w:tcW w:w="1023"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1#地块</w:t>
                  </w:r>
                </w:p>
              </w:tc>
              <w:tc>
                <w:tcPr>
                  <w:tcW w:w="2845"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116°22′39.710″</w:t>
                  </w:r>
                </w:p>
              </w:tc>
              <w:tc>
                <w:tcPr>
                  <w:tcW w:w="2758"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41°56′55.212″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2</w:t>
                  </w:r>
                </w:p>
              </w:tc>
              <w:tc>
                <w:tcPr>
                  <w:tcW w:w="1023"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2#地块</w:t>
                  </w:r>
                </w:p>
              </w:tc>
              <w:tc>
                <w:tcPr>
                  <w:tcW w:w="2845"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116°23′5.279″</w:t>
                  </w:r>
                </w:p>
              </w:tc>
              <w:tc>
                <w:tcPr>
                  <w:tcW w:w="2758"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41°56′10.912″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3</w:t>
                  </w:r>
                </w:p>
              </w:tc>
              <w:tc>
                <w:tcPr>
                  <w:tcW w:w="1023"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3#地块</w:t>
                  </w:r>
                </w:p>
              </w:tc>
              <w:tc>
                <w:tcPr>
                  <w:tcW w:w="2845"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116°21′48.881″</w:t>
                  </w:r>
                </w:p>
              </w:tc>
              <w:tc>
                <w:tcPr>
                  <w:tcW w:w="2758"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41°56′6.947″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4</w:t>
                  </w:r>
                </w:p>
              </w:tc>
              <w:tc>
                <w:tcPr>
                  <w:tcW w:w="1023"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4#地块</w:t>
                  </w:r>
                </w:p>
              </w:tc>
              <w:tc>
                <w:tcPr>
                  <w:tcW w:w="2845"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116°24′52.344″</w:t>
                  </w:r>
                </w:p>
              </w:tc>
              <w:tc>
                <w:tcPr>
                  <w:tcW w:w="2758"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41°53′24.092″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5</w:t>
                  </w:r>
                </w:p>
              </w:tc>
              <w:tc>
                <w:tcPr>
                  <w:tcW w:w="1023"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5#地块</w:t>
                  </w:r>
                </w:p>
              </w:tc>
              <w:tc>
                <w:tcPr>
                  <w:tcW w:w="2845"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116°24′30.638″</w:t>
                  </w:r>
                </w:p>
              </w:tc>
              <w:tc>
                <w:tcPr>
                  <w:tcW w:w="2758"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41°53′13.137″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6</w:t>
                  </w:r>
                </w:p>
              </w:tc>
              <w:tc>
                <w:tcPr>
                  <w:tcW w:w="1023"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6#地块</w:t>
                  </w:r>
                </w:p>
              </w:tc>
              <w:tc>
                <w:tcPr>
                  <w:tcW w:w="2845"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116°24′4.837″</w:t>
                  </w:r>
                </w:p>
              </w:tc>
              <w:tc>
                <w:tcPr>
                  <w:tcW w:w="2758"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41°53′3.246″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7</w:t>
                  </w:r>
                </w:p>
              </w:tc>
              <w:tc>
                <w:tcPr>
                  <w:tcW w:w="1023"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7#地块</w:t>
                  </w:r>
                </w:p>
              </w:tc>
              <w:tc>
                <w:tcPr>
                  <w:tcW w:w="2845"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116°23′2.575″</w:t>
                  </w:r>
                </w:p>
              </w:tc>
              <w:tc>
                <w:tcPr>
                  <w:tcW w:w="2758"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41°51′46.974″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8</w:t>
                  </w:r>
                </w:p>
              </w:tc>
              <w:tc>
                <w:tcPr>
                  <w:tcW w:w="1023"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8#地块</w:t>
                  </w:r>
                </w:p>
              </w:tc>
              <w:tc>
                <w:tcPr>
                  <w:tcW w:w="2845"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116°23′14.935″</w:t>
                  </w:r>
                </w:p>
              </w:tc>
              <w:tc>
                <w:tcPr>
                  <w:tcW w:w="2758"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41°51′36.389″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9</w:t>
                  </w:r>
                </w:p>
              </w:tc>
              <w:tc>
                <w:tcPr>
                  <w:tcW w:w="1023"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9#地块</w:t>
                  </w:r>
                </w:p>
              </w:tc>
              <w:tc>
                <w:tcPr>
                  <w:tcW w:w="2845"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116°23′12.386″</w:t>
                  </w:r>
                </w:p>
              </w:tc>
              <w:tc>
                <w:tcPr>
                  <w:tcW w:w="2758"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41°51′25.457″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10</w:t>
                  </w:r>
                </w:p>
              </w:tc>
              <w:tc>
                <w:tcPr>
                  <w:tcW w:w="1023"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10#地块</w:t>
                  </w:r>
                </w:p>
              </w:tc>
              <w:tc>
                <w:tcPr>
                  <w:tcW w:w="2845"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116°23′27.913″</w:t>
                  </w:r>
                </w:p>
              </w:tc>
              <w:tc>
                <w:tcPr>
                  <w:tcW w:w="2758"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41°51′24.594″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37"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11</w:t>
                  </w:r>
                </w:p>
              </w:tc>
              <w:tc>
                <w:tcPr>
                  <w:tcW w:w="1023"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11#地块</w:t>
                  </w:r>
                </w:p>
              </w:tc>
              <w:tc>
                <w:tcPr>
                  <w:tcW w:w="2845"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116°22′44.538″</w:t>
                  </w:r>
                </w:p>
              </w:tc>
              <w:tc>
                <w:tcPr>
                  <w:tcW w:w="2758"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41°51′31.268″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12</w:t>
                  </w:r>
                </w:p>
              </w:tc>
              <w:tc>
                <w:tcPr>
                  <w:tcW w:w="1023"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12#地块</w:t>
                  </w:r>
                </w:p>
              </w:tc>
              <w:tc>
                <w:tcPr>
                  <w:tcW w:w="2845"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116°23′22.158″</w:t>
                  </w:r>
                </w:p>
              </w:tc>
              <w:tc>
                <w:tcPr>
                  <w:tcW w:w="2758"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41°49′50.764″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13</w:t>
                  </w:r>
                </w:p>
              </w:tc>
              <w:tc>
                <w:tcPr>
                  <w:tcW w:w="1023"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13#地块</w:t>
                  </w:r>
                </w:p>
              </w:tc>
              <w:tc>
                <w:tcPr>
                  <w:tcW w:w="2845"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116°22′42.221″</w:t>
                  </w:r>
                </w:p>
              </w:tc>
              <w:tc>
                <w:tcPr>
                  <w:tcW w:w="2758"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41°49′58.074″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14</w:t>
                  </w:r>
                </w:p>
              </w:tc>
              <w:tc>
                <w:tcPr>
                  <w:tcW w:w="1023"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14#地块</w:t>
                  </w:r>
                </w:p>
              </w:tc>
              <w:tc>
                <w:tcPr>
                  <w:tcW w:w="2845"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116°24′24.265″</w:t>
                  </w:r>
                </w:p>
              </w:tc>
              <w:tc>
                <w:tcPr>
                  <w:tcW w:w="2758"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41°48′7.596″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15</w:t>
                  </w:r>
                </w:p>
              </w:tc>
              <w:tc>
                <w:tcPr>
                  <w:tcW w:w="1023"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15#地块</w:t>
                  </w:r>
                </w:p>
              </w:tc>
              <w:tc>
                <w:tcPr>
                  <w:tcW w:w="2845"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116°24′42.495″</w:t>
                  </w:r>
                </w:p>
              </w:tc>
              <w:tc>
                <w:tcPr>
                  <w:tcW w:w="2758"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41°47′30.595″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16</w:t>
                  </w:r>
                </w:p>
              </w:tc>
              <w:tc>
                <w:tcPr>
                  <w:tcW w:w="1023"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16#地块</w:t>
                  </w:r>
                </w:p>
              </w:tc>
              <w:tc>
                <w:tcPr>
                  <w:tcW w:w="2845"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116°24′34.288″</w:t>
                  </w:r>
                </w:p>
              </w:tc>
              <w:tc>
                <w:tcPr>
                  <w:tcW w:w="2758"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41°47′19.623″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17</w:t>
                  </w:r>
                </w:p>
              </w:tc>
              <w:tc>
                <w:tcPr>
                  <w:tcW w:w="1023"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17#地块</w:t>
                  </w:r>
                </w:p>
              </w:tc>
              <w:tc>
                <w:tcPr>
                  <w:tcW w:w="2845"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116°24′1.728″</w:t>
                  </w:r>
                </w:p>
              </w:tc>
              <w:tc>
                <w:tcPr>
                  <w:tcW w:w="2758"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41°47′48.592″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18</w:t>
                  </w:r>
                </w:p>
              </w:tc>
              <w:tc>
                <w:tcPr>
                  <w:tcW w:w="1023"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18#地块</w:t>
                  </w:r>
                </w:p>
              </w:tc>
              <w:tc>
                <w:tcPr>
                  <w:tcW w:w="2845"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116°23′18.701″</w:t>
                  </w:r>
                </w:p>
              </w:tc>
              <w:tc>
                <w:tcPr>
                  <w:tcW w:w="2758"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41°47′40.846″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19</w:t>
                  </w:r>
                </w:p>
              </w:tc>
              <w:tc>
                <w:tcPr>
                  <w:tcW w:w="1023"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19#地块</w:t>
                  </w:r>
                </w:p>
              </w:tc>
              <w:tc>
                <w:tcPr>
                  <w:tcW w:w="2845"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116°21′27.812″</w:t>
                  </w:r>
                </w:p>
              </w:tc>
              <w:tc>
                <w:tcPr>
                  <w:tcW w:w="2758"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41°47′47.412″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20</w:t>
                  </w:r>
                </w:p>
              </w:tc>
              <w:tc>
                <w:tcPr>
                  <w:tcW w:w="1023"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20#地块</w:t>
                  </w:r>
                </w:p>
              </w:tc>
              <w:tc>
                <w:tcPr>
                  <w:tcW w:w="2845"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116°21′16.263″</w:t>
                  </w:r>
                </w:p>
              </w:tc>
              <w:tc>
                <w:tcPr>
                  <w:tcW w:w="2758"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41°47′41.278″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21</w:t>
                  </w:r>
                </w:p>
              </w:tc>
              <w:tc>
                <w:tcPr>
                  <w:tcW w:w="1023"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21#地块</w:t>
                  </w:r>
                </w:p>
              </w:tc>
              <w:tc>
                <w:tcPr>
                  <w:tcW w:w="2845"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116°21′51.063″</w:t>
                  </w:r>
                </w:p>
              </w:tc>
              <w:tc>
                <w:tcPr>
                  <w:tcW w:w="2758"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41°46′38.237″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22</w:t>
                  </w:r>
                </w:p>
              </w:tc>
              <w:tc>
                <w:tcPr>
                  <w:tcW w:w="1023"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22#地块</w:t>
                  </w:r>
                </w:p>
              </w:tc>
              <w:tc>
                <w:tcPr>
                  <w:tcW w:w="2845"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116°21′31.636″</w:t>
                  </w:r>
                </w:p>
              </w:tc>
              <w:tc>
                <w:tcPr>
                  <w:tcW w:w="2758"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41°46′48.951″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23</w:t>
                  </w:r>
                </w:p>
              </w:tc>
              <w:tc>
                <w:tcPr>
                  <w:tcW w:w="1023"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23#地块</w:t>
                  </w:r>
                </w:p>
              </w:tc>
              <w:tc>
                <w:tcPr>
                  <w:tcW w:w="2845"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116°21′19.044″</w:t>
                  </w:r>
                </w:p>
              </w:tc>
              <w:tc>
                <w:tcPr>
                  <w:tcW w:w="2758"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41°46′20.983″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7"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24</w:t>
                  </w:r>
                </w:p>
              </w:tc>
              <w:tc>
                <w:tcPr>
                  <w:tcW w:w="1023"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升压站</w:t>
                  </w:r>
                </w:p>
              </w:tc>
              <w:tc>
                <w:tcPr>
                  <w:tcW w:w="1784"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116°28′21.497″</w:t>
                  </w:r>
                </w:p>
              </w:tc>
              <w:tc>
                <w:tcPr>
                  <w:tcW w:w="1730"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41°51′58.456″</w:t>
                  </w:r>
                </w:p>
              </w:tc>
            </w:tr>
          </w:tbl>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p>
          <w:p>
            <w:pPr>
              <w:keepNext w:val="0"/>
              <w:keepLines w:val="0"/>
              <w:suppressLineNumbers w:val="0"/>
              <w:spacing w:before="0" w:beforeAutospacing="0" w:after="0" w:afterAutospacing="0"/>
              <w:ind w:left="0" w:right="0" w:firstLine="0" w:firstLineChars="0"/>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drawing>
                <wp:inline distT="0" distB="0" distL="114300" distR="114300">
                  <wp:extent cx="5206365" cy="4135120"/>
                  <wp:effectExtent l="0" t="0" r="13335" b="17780"/>
                  <wp:docPr id="41" name="图片 41" descr="76d90bb1ac71729fba23a035928a9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76d90bb1ac71729fba23a035928a9441"/>
                          <pic:cNvPicPr>
                            <a:picLocks noChangeAspect="1"/>
                          </pic:cNvPicPr>
                        </pic:nvPicPr>
                        <pic:blipFill>
                          <a:blip r:embed="rId27"/>
                          <a:stretch>
                            <a:fillRect/>
                          </a:stretch>
                        </pic:blipFill>
                        <pic:spPr>
                          <a:xfrm>
                            <a:off x="0" y="0"/>
                            <a:ext cx="5206365" cy="4135120"/>
                          </a:xfrm>
                          <a:prstGeom prst="rect">
                            <a:avLst/>
                          </a:prstGeom>
                        </pic:spPr>
                      </pic:pic>
                    </a:graphicData>
                  </a:graphic>
                </wp:inline>
              </w:drawing>
            </w:r>
          </w:p>
          <w:p>
            <w:pPr>
              <w:pStyle w:val="34"/>
              <w:keepNext w:val="0"/>
              <w:keepLines w:val="0"/>
              <w:suppressLineNumbers w:val="0"/>
              <w:spacing w:before="0" w:beforeAutospacing="0" w:after="0" w:afterAutospacing="0"/>
              <w:ind w:right="0"/>
              <w:rPr>
                <w:rFonts w:ascii="Times New Roman" w:hAnsi="Times New Roman" w:cs="Times New Roman"/>
                <w:color w:val="auto"/>
              </w:rPr>
            </w:pPr>
            <w:r>
              <w:rPr>
                <w:rFonts w:ascii="Times New Roman" w:hAnsi="Times New Roman" w:cs="Times New Roman"/>
                <w:color w:val="auto"/>
              </w:rPr>
              <w:t>建设项目工程范围图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19" w:hRule="atLeast"/>
          <w:jc w:val="center"/>
        </w:trPr>
        <w:tc>
          <w:tcPr>
            <w:tcW w:w="710"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项目组成及规模</w:t>
            </w:r>
          </w:p>
        </w:tc>
        <w:tc>
          <w:tcPr>
            <w:tcW w:w="8420" w:type="dxa"/>
            <w:noWrap w:val="0"/>
            <w:vAlign w:val="center"/>
          </w:tcPr>
          <w:p>
            <w:pPr>
              <w:pStyle w:val="3"/>
              <w:keepLines w:val="0"/>
              <w:numPr>
                <w:ilvl w:val="0"/>
                <w:numId w:val="12"/>
              </w:numPr>
              <w:suppressLineNumbers w:val="0"/>
              <w:spacing w:before="120" w:beforeAutospacing="0" w:after="0" w:afterAutospacing="0"/>
              <w:ind w:right="0" w:firstLine="482"/>
              <w:rPr>
                <w:rFonts w:hint="default" w:ascii="Times New Roman" w:hAnsi="Times New Roman" w:cs="Times New Roman"/>
                <w:color w:val="auto"/>
              </w:rPr>
            </w:pPr>
            <w:r>
              <w:rPr>
                <w:rFonts w:hint="default" w:ascii="Times New Roman" w:hAnsi="Times New Roman" w:cs="Times New Roman"/>
                <w:color w:val="auto"/>
              </w:rPr>
              <w:t>项目工程概况</w:t>
            </w:r>
          </w:p>
          <w:p>
            <w:pPr>
              <w:pStyle w:val="4"/>
              <w:numPr>
                <w:ilvl w:val="1"/>
                <w:numId w:val="12"/>
              </w:numPr>
              <w:suppressLineNumbers w:val="0"/>
              <w:tabs>
                <w:tab w:val="left" w:pos="0"/>
              </w:tabs>
              <w:spacing w:before="0" w:after="0"/>
              <w:ind w:right="0" w:firstLine="482"/>
              <w:rPr>
                <w:rFonts w:hint="default" w:cs="Times New Roman"/>
                <w:color w:val="auto"/>
              </w:rPr>
            </w:pPr>
            <w:r>
              <w:rPr>
                <w:rFonts w:hint="default" w:cs="Times New Roman"/>
                <w:color w:val="auto"/>
              </w:rPr>
              <w:t>建设内容概况</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default" w:ascii="Times New Roman" w:hAnsi="Times New Roman" w:cs="Times New Roman"/>
                <w:color w:val="auto"/>
              </w:rPr>
              <w:t>本项目位于</w:t>
            </w:r>
            <w:r>
              <w:rPr>
                <w:rFonts w:hint="eastAsia" w:ascii="Times New Roman" w:hAnsi="Times New Roman" w:cs="Times New Roman"/>
                <w:color w:val="auto"/>
              </w:rPr>
              <w:t>承德市丰宁满族自治县万胜永乡等周边区域</w:t>
            </w:r>
            <w:r>
              <w:rPr>
                <w:rFonts w:hint="default" w:ascii="Times New Roman" w:hAnsi="Times New Roman" w:cs="Times New Roman"/>
                <w:color w:val="auto"/>
              </w:rPr>
              <w:t>，建设光伏发电200</w:t>
            </w:r>
            <w:r>
              <w:rPr>
                <w:rFonts w:hint="eastAsia" w:ascii="Times New Roman" w:hAnsi="Times New Roman" w:cs="Times New Roman"/>
                <w:color w:val="auto"/>
              </w:rPr>
              <w:t>兆瓦、</w:t>
            </w:r>
            <w:r>
              <w:rPr>
                <w:rFonts w:hint="default" w:ascii="Times New Roman" w:hAnsi="Times New Roman" w:cs="Times New Roman"/>
                <w:color w:val="auto"/>
              </w:rPr>
              <w:t>220kV</w:t>
            </w:r>
            <w:r>
              <w:rPr>
                <w:rFonts w:hint="eastAsia" w:ascii="Times New Roman" w:hAnsi="Times New Roman" w:cs="Times New Roman"/>
                <w:color w:val="auto"/>
              </w:rPr>
              <w:t>升压站及送出线路工程，</w:t>
            </w:r>
            <w:r>
              <w:rPr>
                <w:rFonts w:hint="eastAsia" w:cs="Times New Roman"/>
                <w:color w:val="auto"/>
                <w:lang w:val="en-US" w:eastAsia="zh-CN"/>
              </w:rPr>
              <w:t>总占地面积4625711m</w:t>
            </w:r>
            <w:r>
              <w:rPr>
                <w:rFonts w:hint="eastAsia" w:cs="Times New Roman"/>
                <w:color w:val="auto"/>
                <w:vertAlign w:val="superscript"/>
                <w:lang w:val="en-US" w:eastAsia="zh-CN"/>
              </w:rPr>
              <w:t>2</w:t>
            </w:r>
            <w:r>
              <w:rPr>
                <w:rFonts w:hint="eastAsia" w:cs="Times New Roman"/>
                <w:color w:val="auto"/>
                <w:lang w:val="en-US" w:eastAsia="zh-CN"/>
              </w:rPr>
              <w:t>，光伏厂区占地面积为4606745m</w:t>
            </w:r>
            <w:r>
              <w:rPr>
                <w:rFonts w:hint="eastAsia" w:cs="Times New Roman"/>
                <w:color w:val="auto"/>
                <w:vertAlign w:val="superscript"/>
                <w:lang w:val="en-US" w:eastAsia="zh-CN"/>
              </w:rPr>
              <w:t>2</w:t>
            </w:r>
            <w:r>
              <w:rPr>
                <w:rFonts w:hint="eastAsia" w:cs="Times New Roman"/>
                <w:color w:val="auto"/>
                <w:lang w:val="en-US" w:eastAsia="zh-CN"/>
              </w:rPr>
              <w:t>，升压站占地面积18086m</w:t>
            </w:r>
            <w:r>
              <w:rPr>
                <w:rFonts w:hint="eastAsia" w:cs="Times New Roman"/>
                <w:color w:val="auto"/>
                <w:vertAlign w:val="superscript"/>
                <w:lang w:val="en-US" w:eastAsia="zh-CN"/>
              </w:rPr>
              <w:t>2</w:t>
            </w:r>
            <w:r>
              <w:rPr>
                <w:rFonts w:hint="eastAsia" w:cs="Times New Roman"/>
                <w:color w:val="auto"/>
                <w:lang w:val="en-US" w:eastAsia="zh-CN"/>
              </w:rPr>
              <w:t>，进场道路占地面积880m</w:t>
            </w:r>
            <w:r>
              <w:rPr>
                <w:rFonts w:hint="eastAsia" w:cs="Times New Roman"/>
                <w:color w:val="auto"/>
                <w:vertAlign w:val="superscript"/>
                <w:lang w:val="en-US" w:eastAsia="zh-CN"/>
              </w:rPr>
              <w:t>2</w:t>
            </w:r>
            <w:r>
              <w:rPr>
                <w:rFonts w:hint="eastAsia" w:ascii="Times New Roman" w:hAnsi="Times New Roman" w:cs="Times New Roman"/>
                <w:color w:val="auto"/>
              </w:rPr>
              <w:t>。光伏发电站规划装机总容量200MW，电站共选用363662块峰值功率为550W的单晶硅单面光伏组件、项目采用578台300kW组串式并网逆变器、57台3300kVA箱变、一座220kV升压站以及送出线路工程。本项目与丰宁振北200MW风电共</w:t>
            </w:r>
            <w:r>
              <w:rPr>
                <w:rFonts w:hint="eastAsia" w:cs="Times New Roman"/>
                <w:color w:val="auto"/>
                <w:lang w:val="en-US" w:eastAsia="zh-CN"/>
              </w:rPr>
              <w:t>用</w:t>
            </w:r>
            <w:r>
              <w:rPr>
                <w:rFonts w:hint="eastAsia" w:ascii="Times New Roman" w:hAnsi="Times New Roman" w:cs="Times New Roman"/>
                <w:color w:val="auto"/>
              </w:rPr>
              <w:t>1座220kV升压站，本项目建设</w:t>
            </w:r>
            <w:r>
              <w:rPr>
                <w:rFonts w:hint="eastAsia" w:cs="Times New Roman"/>
                <w:color w:val="auto"/>
                <w:lang w:val="en-US" w:eastAsia="zh-CN"/>
              </w:rPr>
              <w:t>2</w:t>
            </w:r>
            <w:r>
              <w:rPr>
                <w:rFonts w:hint="eastAsia" w:ascii="Times New Roman" w:hAnsi="Times New Roman" w:cs="Times New Roman"/>
                <w:color w:val="auto"/>
              </w:rPr>
              <w:t>台200MVA主变，</w:t>
            </w:r>
            <w:r>
              <w:rPr>
                <w:rFonts w:hint="eastAsia" w:cs="Times New Roman"/>
                <w:color w:val="auto"/>
                <w:lang w:val="en-US" w:eastAsia="zh-CN"/>
              </w:rPr>
              <w:t>一台本项目使用，另一台</w:t>
            </w:r>
            <w:r>
              <w:rPr>
                <w:rFonts w:hint="eastAsia" w:ascii="Times New Roman" w:hAnsi="Times New Roman" w:cs="Times New Roman"/>
                <w:color w:val="auto"/>
              </w:rPr>
              <w:t>丰宁振北20万千瓦风电项目</w:t>
            </w:r>
            <w:r>
              <w:rPr>
                <w:rFonts w:hint="eastAsia" w:cs="Times New Roman"/>
                <w:color w:val="auto"/>
                <w:lang w:val="en-US" w:eastAsia="zh-CN"/>
              </w:rPr>
              <w:t>使用</w:t>
            </w:r>
            <w:r>
              <w:rPr>
                <w:rFonts w:hint="eastAsia" w:ascii="Times New Roman" w:hAnsi="Times New Roman" w:cs="Times New Roman"/>
                <w:color w:val="auto"/>
              </w:rPr>
              <w:t>。本项目不新建储能站，</w:t>
            </w:r>
            <w:r>
              <w:rPr>
                <w:rFonts w:hint="eastAsia" w:cs="Times New Roman"/>
                <w:color w:val="auto"/>
                <w:lang w:val="en-US" w:eastAsia="zh-CN"/>
              </w:rPr>
              <w:t>在升压站内配套建设40MW/160MWh储能系统</w:t>
            </w:r>
            <w:r>
              <w:rPr>
                <w:rFonts w:hint="eastAsia" w:ascii="Times New Roman" w:hAnsi="Times New Roman" w:cs="Times New Roman"/>
                <w:color w:val="auto"/>
              </w:rPr>
              <w:t>。</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default" w:ascii="Times New Roman" w:hAnsi="Times New Roman" w:cs="Times New Roman"/>
                <w:color w:val="auto"/>
              </w:rPr>
              <w:t>根据当地的环境特点，光伏电站拟主要采用“牧光互补”开发方式，</w:t>
            </w:r>
            <w:r>
              <w:rPr>
                <w:rFonts w:hint="eastAsia" w:ascii="Times New Roman" w:hAnsi="Times New Roman" w:cs="Times New Roman"/>
                <w:color w:val="auto"/>
              </w:rPr>
              <w:t>按照光伏复合项目相关建设标准和要求把光伏组件架高，在光伏组件下种植牧草等作物，实现屋内进行畜牧养殖，同时光伏区牧草种植还能供给养驴和养羊所需的牧草。牧草种植可适度改善所在区域的生态环境，防止区域的水土流失，土地资源得到充分利用。</w:t>
            </w:r>
          </w:p>
          <w:p>
            <w:pPr>
              <w:pStyle w:val="4"/>
              <w:numPr>
                <w:ilvl w:val="1"/>
                <w:numId w:val="12"/>
              </w:numPr>
              <w:suppressLineNumbers w:val="0"/>
              <w:tabs>
                <w:tab w:val="left" w:pos="0"/>
              </w:tabs>
              <w:spacing w:before="0" w:after="0"/>
              <w:ind w:right="0" w:firstLine="482"/>
              <w:rPr>
                <w:rFonts w:hint="default" w:cs="Times New Roman"/>
                <w:color w:val="auto"/>
              </w:rPr>
            </w:pPr>
            <w:r>
              <w:rPr>
                <w:rFonts w:hint="default" w:cs="Times New Roman"/>
                <w:color w:val="auto"/>
              </w:rPr>
              <w:t>主要工程内容</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详细建设内容如下表。</w:t>
            </w:r>
          </w:p>
          <w:p>
            <w:pPr>
              <w:pStyle w:val="33"/>
              <w:keepNext w:val="0"/>
              <w:keepLines w:val="0"/>
              <w:suppressLineNumbers w:val="0"/>
              <w:spacing w:before="0" w:beforeAutospacing="0" w:after="0" w:afterAutospacing="0"/>
              <w:ind w:right="0"/>
              <w:rPr>
                <w:rFonts w:hint="default" w:ascii="Times New Roman" w:hAnsi="Times New Roman" w:cs="Times New Roman"/>
                <w:color w:val="auto"/>
              </w:rPr>
            </w:pPr>
            <w:r>
              <w:rPr>
                <w:rFonts w:hint="default" w:ascii="Times New Roman" w:hAnsi="Times New Roman" w:cs="Times New Roman"/>
                <w:color w:val="auto"/>
              </w:rPr>
              <w:t>主要建设内容一览表</w:t>
            </w:r>
          </w:p>
          <w:tbl>
            <w:tblPr>
              <w:tblStyle w:val="2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7"/>
              <w:gridCol w:w="1288"/>
              <w:gridCol w:w="64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26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szCs w:val="21"/>
                    </w:rPr>
                  </w:pPr>
                  <w:r>
                    <w:rPr>
                      <w:rFonts w:hint="default" w:ascii="Times New Roman" w:hAnsi="Times New Roman" w:cs="Times New Roman"/>
                      <w:b/>
                      <w:bCs/>
                      <w:color w:val="auto"/>
                      <w:szCs w:val="21"/>
                    </w:rPr>
                    <w:t>类别</w:t>
                  </w:r>
                </w:p>
              </w:tc>
              <w:tc>
                <w:tcPr>
                  <w:tcW w:w="785"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szCs w:val="21"/>
                    </w:rPr>
                  </w:pPr>
                  <w:r>
                    <w:rPr>
                      <w:rFonts w:hint="eastAsia" w:ascii="Times New Roman" w:hAnsi="Times New Roman" w:cs="Times New Roman"/>
                      <w:b/>
                      <w:bCs/>
                      <w:color w:val="auto"/>
                      <w:szCs w:val="21"/>
                    </w:rPr>
                    <w:t>名称</w:t>
                  </w:r>
                </w:p>
              </w:tc>
              <w:tc>
                <w:tcPr>
                  <w:tcW w:w="395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szCs w:val="21"/>
                    </w:rPr>
                  </w:pPr>
                  <w:r>
                    <w:rPr>
                      <w:rFonts w:hint="eastAsia" w:ascii="Times New Roman" w:hAnsi="Times New Roman" w:cs="Times New Roman"/>
                      <w:b/>
                      <w:bCs/>
                      <w:color w:val="auto"/>
                      <w:szCs w:val="21"/>
                    </w:rPr>
                    <w:t>建设内容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0" w:hRule="atLeast"/>
                <w:jc w:val="center"/>
              </w:trPr>
              <w:tc>
                <w:tcPr>
                  <w:tcW w:w="261" w:type="pct"/>
                  <w:vMerge w:val="restar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default" w:ascii="Times New Roman" w:hAnsi="Times New Roman" w:cs="Times New Roman"/>
                      <w:color w:val="auto"/>
                      <w:szCs w:val="21"/>
                    </w:rPr>
                    <w:t>主体工程</w:t>
                  </w:r>
                </w:p>
              </w:tc>
              <w:tc>
                <w:tcPr>
                  <w:tcW w:w="785"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eastAsia" w:ascii="Times New Roman" w:hAnsi="Times New Roman" w:cs="Times New Roman"/>
                      <w:color w:val="auto"/>
                      <w:szCs w:val="21"/>
                    </w:rPr>
                    <w:t>光伏电场工程</w:t>
                  </w:r>
                </w:p>
              </w:tc>
              <w:tc>
                <w:tcPr>
                  <w:tcW w:w="3952" w:type="pc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default" w:ascii="Times New Roman" w:hAnsi="Times New Roman" w:cs="Times New Roman"/>
                      <w:color w:val="auto"/>
                      <w:szCs w:val="21"/>
                    </w:rPr>
                    <w:t>项目200MW光伏选用363662块峰值功率为550W的单晶硅单面光伏组件，</w:t>
                  </w:r>
                  <w:r>
                    <w:rPr>
                      <w:rFonts w:hint="eastAsia" w:ascii="Times New Roman" w:hAnsi="Times New Roman" w:cs="Times New Roman"/>
                      <w:color w:val="auto"/>
                      <w:szCs w:val="21"/>
                    </w:rPr>
                    <w:t>采用578台300kW组串式并网逆变器、57台3300kVA箱变。</w:t>
                  </w:r>
                  <w:r>
                    <w:rPr>
                      <w:rFonts w:hint="default" w:ascii="Times New Roman" w:hAnsi="Times New Roman" w:cs="Times New Roman"/>
                      <w:color w:val="auto"/>
                      <w:szCs w:val="21"/>
                    </w:rPr>
                    <w:t>光伏电站共分为</w:t>
                  </w:r>
                  <w:r>
                    <w:rPr>
                      <w:rFonts w:hint="eastAsia" w:ascii="Times New Roman" w:hAnsi="Times New Roman" w:cs="Times New Roman"/>
                      <w:color w:val="auto"/>
                      <w:szCs w:val="21"/>
                    </w:rPr>
                    <w:t>57</w:t>
                  </w:r>
                  <w:r>
                    <w:rPr>
                      <w:rFonts w:hint="default" w:ascii="Times New Roman" w:hAnsi="Times New Roman" w:cs="Times New Roman"/>
                      <w:color w:val="auto"/>
                      <w:szCs w:val="21"/>
                    </w:rPr>
                    <w:t>个</w:t>
                  </w:r>
                  <w:r>
                    <w:rPr>
                      <w:rFonts w:hint="eastAsia" w:ascii="Times New Roman" w:hAnsi="Times New Roman" w:cs="Times New Roman"/>
                      <w:color w:val="auto"/>
                      <w:szCs w:val="21"/>
                    </w:rPr>
                    <w:t>3.3</w:t>
                  </w:r>
                  <w:r>
                    <w:rPr>
                      <w:rFonts w:hint="default" w:ascii="Times New Roman" w:hAnsi="Times New Roman" w:cs="Times New Roman"/>
                      <w:color w:val="auto"/>
                      <w:szCs w:val="21"/>
                    </w:rPr>
                    <w:t>MW</w:t>
                  </w:r>
                  <w:r>
                    <w:rPr>
                      <w:rFonts w:hint="eastAsia" w:ascii="Times New Roman" w:hAnsi="Times New Roman" w:cs="Times New Roman"/>
                      <w:color w:val="auto"/>
                      <w:szCs w:val="21"/>
                    </w:rPr>
                    <w:t>的</w:t>
                  </w:r>
                  <w:r>
                    <w:rPr>
                      <w:rFonts w:hint="default" w:ascii="Times New Roman" w:hAnsi="Times New Roman" w:cs="Times New Roman"/>
                      <w:color w:val="auto"/>
                      <w:szCs w:val="21"/>
                    </w:rPr>
                    <w:t>光伏发电单元，每个发电单元设置3</w:t>
                  </w:r>
                  <w:r>
                    <w:rPr>
                      <w:rFonts w:hint="eastAsia" w:ascii="Times New Roman" w:hAnsi="Times New Roman" w:cs="Times New Roman"/>
                      <w:color w:val="auto"/>
                      <w:szCs w:val="21"/>
                    </w:rPr>
                    <w:t>00</w:t>
                  </w:r>
                  <w:r>
                    <w:rPr>
                      <w:rFonts w:hint="default" w:ascii="Times New Roman" w:hAnsi="Times New Roman" w:cs="Times New Roman"/>
                      <w:color w:val="auto"/>
                      <w:szCs w:val="21"/>
                    </w:rPr>
                    <w:t>kW组串式并网逆变器与1台箱式</w:t>
                  </w:r>
                  <w:r>
                    <w:rPr>
                      <w:rFonts w:hint="eastAsia" w:ascii="Times New Roman" w:hAnsi="Times New Roman" w:cs="Times New Roman"/>
                      <w:color w:val="auto"/>
                      <w:szCs w:val="21"/>
                    </w:rPr>
                    <w:t>变压器</w:t>
                  </w:r>
                  <w:r>
                    <w:rPr>
                      <w:rFonts w:hint="default" w:ascii="Times New Roman" w:hAnsi="Times New Roman" w:cs="Times New Roman"/>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0" w:hRule="atLeast"/>
                <w:jc w:val="center"/>
              </w:trPr>
              <w:tc>
                <w:tcPr>
                  <w:tcW w:w="261"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rPr>
                  </w:pPr>
                </w:p>
              </w:tc>
              <w:tc>
                <w:tcPr>
                  <w:tcW w:w="785" w:type="pc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集电线路</w:t>
                  </w:r>
                </w:p>
              </w:tc>
              <w:tc>
                <w:tcPr>
                  <w:tcW w:w="3952" w:type="pc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光伏场区至升压站的输电线路本工程采用35kV电压等级线路。集电线路采用35kV交联聚乙烯绝缘电力电缆直埋连接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261"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rPr>
                  </w:pPr>
                </w:p>
              </w:tc>
              <w:tc>
                <w:tcPr>
                  <w:tcW w:w="785" w:type="pc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升压站</w:t>
                  </w:r>
                </w:p>
              </w:tc>
              <w:tc>
                <w:tcPr>
                  <w:tcW w:w="395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rPr>
                    <w:t>新建一座220kV升压站，建设</w:t>
                  </w:r>
                  <w:r>
                    <w:rPr>
                      <w:rFonts w:hint="eastAsia" w:cs="Times New Roman"/>
                      <w:color w:val="auto"/>
                      <w:szCs w:val="21"/>
                      <w:lang w:val="en-US" w:eastAsia="zh-CN"/>
                    </w:rPr>
                    <w:t>2</w:t>
                  </w:r>
                  <w:r>
                    <w:rPr>
                      <w:rFonts w:hint="eastAsia" w:ascii="Times New Roman" w:hAnsi="Times New Roman" w:cs="Times New Roman"/>
                      <w:color w:val="auto"/>
                      <w:szCs w:val="21"/>
                    </w:rPr>
                    <w:t>台</w:t>
                  </w:r>
                  <w:r>
                    <w:rPr>
                      <w:rFonts w:hint="default" w:ascii="Times New Roman" w:hAnsi="Times New Roman" w:cs="Times New Roman"/>
                      <w:color w:val="auto"/>
                      <w:szCs w:val="21"/>
                    </w:rPr>
                    <w:t>200MVA主</w:t>
                  </w:r>
                  <w:r>
                    <w:rPr>
                      <w:rFonts w:hint="eastAsia" w:ascii="Times New Roman" w:hAnsi="Times New Roman" w:cs="Times New Roman"/>
                      <w:color w:val="auto"/>
                      <w:szCs w:val="21"/>
                    </w:rPr>
                    <w:t>变压器，</w:t>
                  </w:r>
                  <w:r>
                    <w:rPr>
                      <w:rFonts w:hint="eastAsia" w:ascii="Times New Roman" w:hAnsi="Times New Roman" w:cs="Times New Roman"/>
                      <w:color w:val="auto"/>
                      <w:szCs w:val="21"/>
                      <w:lang w:val="en-US" w:eastAsia="zh-CN"/>
                    </w:rPr>
                    <w:t>一台本项目使用，另一台</w:t>
                  </w:r>
                  <w:r>
                    <w:rPr>
                      <w:rFonts w:hint="eastAsia" w:ascii="Times New Roman" w:hAnsi="Times New Roman" w:cs="Times New Roman"/>
                      <w:color w:val="auto"/>
                      <w:szCs w:val="21"/>
                    </w:rPr>
                    <w:t>丰宁振北20万千瓦风电项目</w:t>
                  </w:r>
                  <w:r>
                    <w:rPr>
                      <w:rFonts w:hint="eastAsia" w:ascii="Times New Roman" w:hAnsi="Times New Roman" w:cs="Times New Roman"/>
                      <w:color w:val="auto"/>
                      <w:szCs w:val="21"/>
                      <w:lang w:val="en-US" w:eastAsia="zh-CN"/>
                    </w:rPr>
                    <w:t>使用</w:t>
                  </w:r>
                  <w:r>
                    <w:rPr>
                      <w:rFonts w:hint="eastAsia" w:cs="Times New Roman"/>
                      <w:color w:val="auto"/>
                      <w:szCs w:val="21"/>
                      <w:lang w:val="en-US" w:eastAsia="zh-CN"/>
                    </w:rPr>
                    <w:t>，</w:t>
                  </w:r>
                  <w:r>
                    <w:rPr>
                      <w:rFonts w:hint="default" w:ascii="Times New Roman" w:hAnsi="Times New Roman" w:cs="Times New Roman"/>
                      <w:color w:val="auto"/>
                      <w:szCs w:val="21"/>
                    </w:rPr>
                    <w:t>升压站占地面积</w:t>
                  </w:r>
                  <w:r>
                    <w:rPr>
                      <w:rFonts w:hint="eastAsia" w:ascii="Times New Roman" w:hAnsi="Times New Roman" w:cs="Times New Roman"/>
                      <w:color w:val="auto"/>
                      <w:szCs w:val="21"/>
                      <w:lang w:val="en-US" w:eastAsia="zh-CN"/>
                    </w:rPr>
                    <w:t>18086</w:t>
                  </w:r>
                  <w:r>
                    <w:rPr>
                      <w:rFonts w:hint="default" w:ascii="Times New Roman" w:hAnsi="Times New Roman" w:cs="Times New Roman"/>
                      <w:color w:val="auto"/>
                      <w:szCs w:val="21"/>
                    </w:rPr>
                    <w:t>m</w:t>
                  </w:r>
                  <w:r>
                    <w:rPr>
                      <w:rFonts w:hint="default" w:ascii="Times New Roman" w:hAnsi="Times New Roman" w:cs="Times New Roman"/>
                      <w:color w:val="auto"/>
                      <w:szCs w:val="21"/>
                      <w:vertAlign w:val="superscript"/>
                    </w:rPr>
                    <w:t>2</w:t>
                  </w:r>
                  <w:r>
                    <w:rPr>
                      <w:rFonts w:hint="default" w:ascii="Times New Roman" w:hAnsi="Times New Roman" w:cs="Times New Roman"/>
                      <w:color w:val="auto"/>
                      <w:szCs w:val="21"/>
                    </w:rPr>
                    <w:t>。220kV升压站分</w:t>
                  </w:r>
                  <w:r>
                    <w:rPr>
                      <w:rFonts w:hint="eastAsia" w:ascii="Times New Roman" w:hAnsi="Times New Roman" w:cs="Times New Roman"/>
                      <w:color w:val="auto"/>
                      <w:szCs w:val="21"/>
                    </w:rPr>
                    <w:t>为</w:t>
                  </w:r>
                  <w:r>
                    <w:rPr>
                      <w:rFonts w:hint="default" w:ascii="Times New Roman" w:hAnsi="Times New Roman" w:cs="Times New Roman"/>
                      <w:color w:val="auto"/>
                      <w:szCs w:val="21"/>
                    </w:rPr>
                    <w:t>生活办公区</w:t>
                  </w:r>
                  <w:r>
                    <w:rPr>
                      <w:rFonts w:hint="eastAsia" w:ascii="Times New Roman" w:hAnsi="Times New Roman" w:cs="Times New Roman"/>
                      <w:color w:val="auto"/>
                      <w:szCs w:val="21"/>
                    </w:rPr>
                    <w:t>和</w:t>
                  </w:r>
                  <w:r>
                    <w:rPr>
                      <w:rFonts w:hint="default" w:ascii="Times New Roman" w:hAnsi="Times New Roman" w:cs="Times New Roman"/>
                      <w:color w:val="auto"/>
                      <w:szCs w:val="21"/>
                    </w:rPr>
                    <w:t>配电装置区，生活办公区位于站内西北侧，配电装置区位于站区的东北侧。配电装置区内设备由东至西依次为220kV配电装置、主变压器、35kV配电装置</w:t>
                  </w:r>
                  <w:r>
                    <w:rPr>
                      <w:rFonts w:hint="eastAsia"/>
                      <w:color w:val="auto"/>
                      <w:lang w:eastAsia="zh-CN"/>
                    </w:rPr>
                    <w:t>。</w:t>
                  </w:r>
                  <w:r>
                    <w:rPr>
                      <w:rFonts w:hint="eastAsia"/>
                      <w:color w:val="auto"/>
                      <w:lang w:val="en-US" w:eastAsia="zh-CN"/>
                    </w:rPr>
                    <w:t>升压站内配套建设40MW/160MWh储能系统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261" w:type="pct"/>
                  <w:vMerge w:val="restar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eastAsia" w:ascii="Times New Roman" w:hAnsi="Times New Roman" w:cs="Times New Roman"/>
                      <w:color w:val="auto"/>
                      <w:szCs w:val="21"/>
                    </w:rPr>
                    <w:t>配套工程</w:t>
                  </w:r>
                </w:p>
              </w:tc>
              <w:tc>
                <w:tcPr>
                  <w:tcW w:w="785"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eastAsia" w:ascii="Times New Roman" w:hAnsi="Times New Roman" w:cs="Times New Roman"/>
                      <w:color w:val="auto"/>
                      <w:szCs w:val="21"/>
                    </w:rPr>
                    <w:t>道路工程</w:t>
                  </w:r>
                </w:p>
              </w:tc>
              <w:tc>
                <w:tcPr>
                  <w:tcW w:w="3952" w:type="pc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cs="Times New Roman"/>
                      <w:color w:val="auto"/>
                      <w:szCs w:val="21"/>
                      <w:lang w:val="en-US" w:eastAsia="zh-CN"/>
                    </w:rPr>
                    <w:t>光伏电站道路主要依托现有道路，仅修建升压站进场道路和部分电站检修道路。进场道路面积为880m</w:t>
                  </w:r>
                  <w:r>
                    <w:rPr>
                      <w:rFonts w:hint="eastAsia" w:cs="Times New Roman"/>
                      <w:color w:val="auto"/>
                      <w:szCs w:val="21"/>
                      <w:vertAlign w:val="superscript"/>
                      <w:lang w:val="en-US" w:eastAsia="zh-CN"/>
                    </w:rPr>
                    <w:t>2</w:t>
                  </w:r>
                  <w:r>
                    <w:rPr>
                      <w:rFonts w:hint="eastAsia" w:cs="Times New Roman"/>
                      <w:color w:val="auto"/>
                      <w:szCs w:val="21"/>
                      <w:vertAlign w:val="baseline"/>
                      <w:lang w:val="en-US" w:eastAsia="zh-CN"/>
                    </w:rPr>
                    <w:t>，新建电站检修道路由施工便道</w:t>
                  </w:r>
                  <w:bookmarkStart w:id="6" w:name="_GoBack"/>
                  <w:r>
                    <w:rPr>
                      <w:rFonts w:hint="eastAsia" w:cs="Times New Roman"/>
                      <w:color w:val="auto"/>
                      <w:szCs w:val="21"/>
                      <w:highlight w:val="none"/>
                      <w:vertAlign w:val="baseline"/>
                      <w:lang w:val="en-US" w:eastAsia="zh-CN"/>
                    </w:rPr>
                    <w:t>改建而来，新建道路面积为124501m</w:t>
                  </w:r>
                  <w:r>
                    <w:rPr>
                      <w:rFonts w:hint="eastAsia" w:cs="Times New Roman"/>
                      <w:color w:val="auto"/>
                      <w:szCs w:val="21"/>
                      <w:highlight w:val="none"/>
                      <w:vertAlign w:val="superscript"/>
                      <w:lang w:val="en-US" w:eastAsia="zh-CN"/>
                    </w:rPr>
                    <w:t>2</w:t>
                  </w:r>
                  <w:r>
                    <w:rPr>
                      <w:rFonts w:hint="eastAsia" w:cs="Times New Roman"/>
                      <w:color w:val="auto"/>
                      <w:szCs w:val="21"/>
                      <w:highlight w:val="none"/>
                      <w:lang w:val="en-US" w:eastAsia="zh-CN"/>
                    </w:rPr>
                    <w:t>。新</w:t>
                  </w:r>
                  <w:r>
                    <w:rPr>
                      <w:rFonts w:hint="default" w:ascii="Times New Roman" w:hAnsi="Times New Roman" w:cs="Times New Roman"/>
                      <w:color w:val="auto"/>
                      <w:szCs w:val="21"/>
                      <w:highlight w:val="none"/>
                    </w:rPr>
                    <w:t>建</w:t>
                  </w:r>
                  <w:r>
                    <w:rPr>
                      <w:rFonts w:hint="eastAsia" w:cs="Times New Roman"/>
                      <w:color w:val="auto"/>
                      <w:szCs w:val="21"/>
                      <w:highlight w:val="none"/>
                      <w:lang w:val="en-US" w:eastAsia="zh-CN"/>
                    </w:rPr>
                    <w:t>道路</w:t>
                  </w:r>
                  <w:r>
                    <w:rPr>
                      <w:rFonts w:hint="default" w:ascii="Times New Roman" w:hAnsi="Times New Roman" w:cs="Times New Roman"/>
                      <w:color w:val="auto"/>
                      <w:szCs w:val="21"/>
                      <w:highlight w:val="none"/>
                    </w:rPr>
                    <w:t>宽度为4m～6m，路面</w:t>
                  </w:r>
                  <w:bookmarkEnd w:id="6"/>
                  <w:r>
                    <w:rPr>
                      <w:rFonts w:hint="default" w:ascii="Times New Roman" w:hAnsi="Times New Roman" w:cs="Times New Roman"/>
                      <w:color w:val="auto"/>
                      <w:szCs w:val="21"/>
                    </w:rPr>
                    <w:t>采用泥结石路面。设计时速15km/h，最大纵坡</w:t>
                  </w:r>
                  <w:r>
                    <w:rPr>
                      <w:rFonts w:hint="eastAsia" w:ascii="Times New Roman" w:hAnsi="Times New Roman" w:cs="Times New Roman"/>
                      <w:color w:val="auto"/>
                      <w:szCs w:val="21"/>
                    </w:rPr>
                    <w:t>8</w:t>
                  </w:r>
                  <w:r>
                    <w:rPr>
                      <w:rFonts w:hint="default" w:ascii="Times New Roman" w:hAnsi="Times New Roman" w:cs="Times New Roman"/>
                      <w:color w:val="auto"/>
                      <w:szCs w:val="21"/>
                    </w:rPr>
                    <w:t>%，平曲线最小半径</w:t>
                  </w:r>
                  <w:r>
                    <w:rPr>
                      <w:rFonts w:hint="eastAsia" w:ascii="Times New Roman" w:hAnsi="Times New Roman" w:cs="Times New Roman"/>
                      <w:color w:val="auto"/>
                      <w:szCs w:val="21"/>
                    </w:rPr>
                    <w:t>25</w:t>
                  </w:r>
                  <w:r>
                    <w:rPr>
                      <w:rFonts w:hint="default" w:ascii="Times New Roman" w:hAnsi="Times New Roman" w:cs="Times New Roman"/>
                      <w:color w:val="auto"/>
                      <w:szCs w:val="21"/>
                    </w:rPr>
                    <w:t>m</w:t>
                  </w:r>
                  <w:r>
                    <w:rPr>
                      <w:rFonts w:hint="eastAsia" w:ascii="Times New Roman" w:hAnsi="Times New Roman" w:cs="Times New Roman"/>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261"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rPr>
                  </w:pPr>
                </w:p>
              </w:tc>
              <w:tc>
                <w:tcPr>
                  <w:tcW w:w="785"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eastAsia" w:ascii="Times New Roman" w:hAnsi="Times New Roman" w:cs="Times New Roman"/>
                      <w:color w:val="auto"/>
                      <w:szCs w:val="21"/>
                    </w:rPr>
                    <w:t>围栏</w:t>
                  </w:r>
                </w:p>
              </w:tc>
              <w:tc>
                <w:tcPr>
                  <w:tcW w:w="3952" w:type="pc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default" w:ascii="Times New Roman" w:hAnsi="Times New Roman" w:cs="Times New Roman"/>
                      <w:color w:val="auto"/>
                      <w:szCs w:val="21"/>
                    </w:rPr>
                    <w:t>光伏阵列区分区域进行布置，各个地块周围设置防护隔离围栏，采用</w:t>
                  </w:r>
                  <w:r>
                    <w:rPr>
                      <w:rFonts w:hint="eastAsia" w:ascii="Times New Roman" w:hAnsi="Times New Roman" w:cs="Times New Roman"/>
                      <w:color w:val="auto"/>
                      <w:szCs w:val="21"/>
                    </w:rPr>
                    <w:t>高</w:t>
                  </w:r>
                  <w:r>
                    <w:rPr>
                      <w:rFonts w:hint="default" w:ascii="Times New Roman" w:hAnsi="Times New Roman" w:cs="Times New Roman"/>
                      <w:color w:val="auto"/>
                      <w:szCs w:val="21"/>
                    </w:rPr>
                    <w:t>钢丝网围栏，高度为1.8m，光伏阵列区围栏</w:t>
                  </w:r>
                  <w:r>
                    <w:rPr>
                      <w:rFonts w:hint="eastAsia" w:ascii="Times New Roman" w:hAnsi="Times New Roman" w:cs="Times New Roman"/>
                      <w:color w:val="auto"/>
                      <w:szCs w:val="21"/>
                    </w:rPr>
                    <w:t>长度约为80km</w:t>
                  </w:r>
                  <w:r>
                    <w:rPr>
                      <w:rFonts w:hint="default" w:ascii="Times New Roman" w:hAnsi="Times New Roman" w:cs="Times New Roman"/>
                      <w:color w:val="auto"/>
                      <w:szCs w:val="21"/>
                    </w:rPr>
                    <w:t>；</w:t>
                  </w:r>
                  <w:r>
                    <w:rPr>
                      <w:rFonts w:hint="eastAsia" w:ascii="Times New Roman" w:hAnsi="Times New Roman" w:cs="Times New Roman"/>
                      <w:color w:val="auto"/>
                      <w:szCs w:val="21"/>
                    </w:rPr>
                    <w:t>升压</w:t>
                  </w:r>
                  <w:r>
                    <w:rPr>
                      <w:rFonts w:hint="default" w:ascii="Times New Roman" w:hAnsi="Times New Roman" w:cs="Times New Roman"/>
                      <w:color w:val="auto"/>
                      <w:szCs w:val="21"/>
                    </w:rPr>
                    <w:t>站内生活区、生产区采用铁艺围栏隔开，高度1.8m。升压站主入口采用电动伸缩门，并设置门禁系统。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261"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rPr>
                  </w:pPr>
                </w:p>
              </w:tc>
              <w:tc>
                <w:tcPr>
                  <w:tcW w:w="785"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eastAsia" w:ascii="Times New Roman" w:hAnsi="Times New Roman" w:cs="Times New Roman"/>
                      <w:color w:val="auto"/>
                      <w:szCs w:val="21"/>
                    </w:rPr>
                    <w:t>危险废物贮存间</w:t>
                  </w:r>
                </w:p>
              </w:tc>
              <w:tc>
                <w:tcPr>
                  <w:tcW w:w="3952" w:type="pc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default" w:ascii="Times New Roman" w:hAnsi="Times New Roman" w:cs="Times New Roman"/>
                      <w:color w:val="auto"/>
                      <w:szCs w:val="21"/>
                    </w:rPr>
                    <w:t>位于升压站内，地上一层砌体结构，共1座，占地</w:t>
                  </w:r>
                  <w:r>
                    <w:rPr>
                      <w:rFonts w:hint="eastAsia" w:ascii="Times New Roman" w:hAnsi="Times New Roman" w:cs="Times New Roman"/>
                      <w:color w:val="auto"/>
                      <w:szCs w:val="21"/>
                    </w:rPr>
                    <w:t>29</w:t>
                  </w:r>
                  <w:r>
                    <w:rPr>
                      <w:rFonts w:hint="default" w:ascii="Times New Roman" w:hAnsi="Times New Roman" w:cs="Times New Roman"/>
                      <w:color w:val="auto"/>
                      <w:szCs w:val="21"/>
                    </w:rPr>
                    <w:t>m</w:t>
                  </w:r>
                  <w:r>
                    <w:rPr>
                      <w:rFonts w:hint="default" w:ascii="Times New Roman" w:hAnsi="Times New Roman" w:cs="Times New Roman"/>
                      <w:color w:val="auto"/>
                      <w:szCs w:val="21"/>
                      <w:vertAlign w:val="superscript"/>
                    </w:rPr>
                    <w:t>2</w:t>
                  </w:r>
                  <w:r>
                    <w:rPr>
                      <w:rFonts w:hint="default" w:ascii="Times New Roman" w:hAnsi="Times New Roman" w:cs="Times New Roman"/>
                      <w:color w:val="auto"/>
                      <w:szCs w:val="21"/>
                    </w:rPr>
                    <w:t>，并设置防风、防雨、防晒、防渗（渗透系数≤10</w:t>
                  </w:r>
                  <w:r>
                    <w:rPr>
                      <w:rFonts w:hint="default" w:ascii="Times New Roman" w:hAnsi="Times New Roman" w:cs="Times New Roman"/>
                      <w:color w:val="auto"/>
                      <w:szCs w:val="21"/>
                      <w:vertAlign w:val="superscript"/>
                    </w:rPr>
                    <w:t>-10</w:t>
                  </w:r>
                  <w:r>
                    <w:rPr>
                      <w:rFonts w:hint="default" w:ascii="Times New Roman" w:hAnsi="Times New Roman" w:cs="Times New Roman"/>
                      <w:color w:val="auto"/>
                      <w:szCs w:val="21"/>
                    </w:rPr>
                    <w:t>cm/s）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261" w:type="pct"/>
                  <w:vMerge w:val="restar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eastAsia" w:ascii="Times New Roman" w:hAnsi="Times New Roman" w:cs="Times New Roman"/>
                      <w:color w:val="auto"/>
                      <w:szCs w:val="21"/>
                    </w:rPr>
                    <w:t>公用工程</w:t>
                  </w:r>
                </w:p>
              </w:tc>
              <w:tc>
                <w:tcPr>
                  <w:tcW w:w="785" w:type="pct"/>
                  <w:noWrap w:val="0"/>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给水</w:t>
                  </w:r>
                </w:p>
              </w:tc>
              <w:tc>
                <w:tcPr>
                  <w:tcW w:w="395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default" w:ascii="Times New Roman" w:hAnsi="Times New Roman" w:cs="Times New Roman"/>
                      <w:color w:val="auto"/>
                      <w:szCs w:val="21"/>
                    </w:rPr>
                    <w:t>施工用水</w:t>
                  </w:r>
                  <w:r>
                    <w:rPr>
                      <w:rFonts w:hint="eastAsia" w:ascii="Times New Roman" w:hAnsi="Times New Roman" w:cs="Times New Roman"/>
                      <w:color w:val="auto"/>
                      <w:szCs w:val="21"/>
                    </w:rPr>
                    <w:t>接自附近工程厂区</w:t>
                  </w:r>
                  <w:r>
                    <w:rPr>
                      <w:rFonts w:hint="default" w:ascii="Times New Roman" w:hAnsi="Times New Roman" w:cs="Times New Roman"/>
                      <w:color w:val="auto"/>
                      <w:szCs w:val="21"/>
                    </w:rPr>
                    <w:t>；运营期升压站内生活用水为自备水井，</w:t>
                  </w:r>
                  <w:r>
                    <w:rPr>
                      <w:rFonts w:hint="eastAsia" w:ascii="Times New Roman" w:hAnsi="Times New Roman" w:cs="Times New Roman"/>
                      <w:color w:val="auto"/>
                      <w:szCs w:val="21"/>
                    </w:rPr>
                    <w:t>太阳能光伏组件清洗用水</w:t>
                  </w:r>
                  <w:r>
                    <w:rPr>
                      <w:rFonts w:hint="default" w:ascii="Times New Roman" w:hAnsi="Times New Roman" w:cs="Times New Roman"/>
                      <w:color w:val="auto"/>
                      <w:szCs w:val="21"/>
                    </w:rPr>
                    <w:t>取自附近村里的水井，利用水车运至光伏阵列区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261"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rPr>
                  </w:pPr>
                </w:p>
              </w:tc>
              <w:tc>
                <w:tcPr>
                  <w:tcW w:w="785" w:type="pct"/>
                  <w:noWrap w:val="0"/>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排水</w:t>
                  </w:r>
                </w:p>
              </w:tc>
              <w:tc>
                <w:tcPr>
                  <w:tcW w:w="395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eastAsia" w:ascii="Times New Roman" w:hAnsi="Times New Roman" w:cs="Times New Roman"/>
                      <w:color w:val="auto"/>
                      <w:szCs w:val="21"/>
                    </w:rPr>
                    <w:t>管理区生活污水经化粪池处理（食堂废水经隔油池处理）后排入污水调节池，后经地埋式一体化污水处理设备处理后作为厂区地面抑尘、绿化使用，不外排；太阳能光伏组件清洗废水用于场地绿化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261"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rPr>
                  </w:pPr>
                </w:p>
              </w:tc>
              <w:tc>
                <w:tcPr>
                  <w:tcW w:w="785" w:type="pct"/>
                  <w:noWrap w:val="0"/>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供电</w:t>
                  </w:r>
                </w:p>
              </w:tc>
              <w:tc>
                <w:tcPr>
                  <w:tcW w:w="395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default" w:ascii="Times New Roman" w:hAnsi="Times New Roman" w:cs="Times New Roman"/>
                      <w:color w:val="auto"/>
                      <w:szCs w:val="21"/>
                    </w:rPr>
                    <w:t>施工电源从附近以10kV</w:t>
                  </w:r>
                  <w:r>
                    <w:rPr>
                      <w:rFonts w:hint="eastAsia" w:ascii="Times New Roman" w:hAnsi="Times New Roman" w:cs="Times New Roman"/>
                      <w:color w:val="auto"/>
                      <w:szCs w:val="21"/>
                    </w:rPr>
                    <w:t>引接，设变压器降压后供混凝土搅拌站、钢筋（钢结构）加工厂等生产建筑的用电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261"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rPr>
                  </w:pPr>
                </w:p>
              </w:tc>
              <w:tc>
                <w:tcPr>
                  <w:tcW w:w="785" w:type="pct"/>
                  <w:noWrap w:val="0"/>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供热</w:t>
                  </w:r>
                </w:p>
              </w:tc>
              <w:tc>
                <w:tcPr>
                  <w:tcW w:w="395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eastAsia" w:ascii="Times New Roman" w:hAnsi="Times New Roman" w:cs="Times New Roman"/>
                      <w:color w:val="auto"/>
                      <w:szCs w:val="21"/>
                    </w:rPr>
                    <w:t>运营期升压站</w:t>
                  </w:r>
                  <w:r>
                    <w:rPr>
                      <w:rFonts w:hint="default" w:ascii="Times New Roman" w:hAnsi="Times New Roman" w:cs="Times New Roman"/>
                      <w:color w:val="auto"/>
                      <w:szCs w:val="21"/>
                    </w:rPr>
                    <w:t>办公人员冬季以电暖气和空调采暖；夏季采用空调制冷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26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eastAsia" w:ascii="Times New Roman" w:hAnsi="Times New Roman" w:cs="Times New Roman"/>
                      <w:color w:val="auto"/>
                      <w:szCs w:val="21"/>
                    </w:rPr>
                    <w:t>临时工程</w:t>
                  </w:r>
                </w:p>
              </w:tc>
              <w:tc>
                <w:tcPr>
                  <w:tcW w:w="785" w:type="pct"/>
                  <w:noWrap w:val="0"/>
                  <w:vAlign w:val="center"/>
                </w:tcPr>
                <w:p>
                  <w:pPr>
                    <w:keepNext w:val="0"/>
                    <w:keepLines w:val="0"/>
                    <w:widowControl/>
                    <w:suppressLineNumbers w:val="0"/>
                    <w:spacing w:before="0" w:beforeAutospacing="0" w:after="0" w:afterAutospacing="0" w:line="240" w:lineRule="auto"/>
                    <w:ind w:left="0" w:right="0" w:firstLine="0" w:firstLineChars="0"/>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施工区</w:t>
                  </w:r>
                </w:p>
              </w:tc>
              <w:tc>
                <w:tcPr>
                  <w:tcW w:w="395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本工程施工工期较短，光伏电池组件布置集中，按</w:t>
                  </w:r>
                  <w:r>
                    <w:rPr>
                      <w:rFonts w:hint="eastAsia" w:cs="Times New Roman"/>
                      <w:color w:val="auto"/>
                      <w:szCs w:val="21"/>
                      <w:lang w:val="en-US" w:eastAsia="zh-CN"/>
                    </w:rPr>
                    <w:t>照</w:t>
                  </w:r>
                  <w:r>
                    <w:rPr>
                      <w:rFonts w:hint="default" w:ascii="Times New Roman" w:hAnsi="Times New Roman" w:cs="Times New Roman"/>
                      <w:color w:val="auto"/>
                      <w:szCs w:val="21"/>
                      <w:lang w:val="en-US" w:eastAsia="zh-CN"/>
                    </w:rPr>
                    <w:t>施工区集中布置原则，</w:t>
                  </w:r>
                  <w:r>
                    <w:rPr>
                      <w:rFonts w:hint="eastAsia" w:cs="Times New Roman"/>
                      <w:color w:val="auto"/>
                      <w:szCs w:val="21"/>
                      <w:lang w:val="en-US" w:eastAsia="zh-CN"/>
                    </w:rPr>
                    <w:t>光伏区布置一个施工区</w:t>
                  </w:r>
                  <w:r>
                    <w:rPr>
                      <w:rFonts w:hint="default" w:ascii="Times New Roman" w:hAnsi="Times New Roman" w:cs="Times New Roman"/>
                      <w:color w:val="auto"/>
                      <w:szCs w:val="21"/>
                      <w:lang w:val="en-US" w:eastAsia="zh-CN"/>
                    </w:rPr>
                    <w:t>。</w:t>
                  </w:r>
                  <w:r>
                    <w:rPr>
                      <w:rFonts w:hint="eastAsia" w:cs="Times New Roman"/>
                      <w:color w:val="auto"/>
                      <w:szCs w:val="21"/>
                      <w:lang w:val="en-US" w:eastAsia="zh-CN"/>
                    </w:rPr>
                    <w:t>施工区内建设的临时</w:t>
                  </w:r>
                  <w:r>
                    <w:rPr>
                      <w:rFonts w:hint="default" w:ascii="Times New Roman" w:hAnsi="Times New Roman" w:cs="Times New Roman"/>
                      <w:color w:val="auto"/>
                      <w:szCs w:val="21"/>
                      <w:lang w:val="en-US" w:eastAsia="zh-CN"/>
                    </w:rPr>
                    <w:t>工程主要有临时宿舍及办公室、材料及设备仓库、混凝土拌和站、小型修配站、材料设备堆场等临时生产设施和生活建筑设施</w:t>
                  </w:r>
                  <w:r>
                    <w:rPr>
                      <w:rFonts w:hint="eastAsia" w:cs="Times New Roman"/>
                      <w:color w:val="auto"/>
                      <w:szCs w:val="21"/>
                      <w:lang w:val="en-US" w:eastAsia="zh-CN"/>
                    </w:rPr>
                    <w:t>，</w:t>
                  </w:r>
                  <w:r>
                    <w:rPr>
                      <w:rFonts w:hint="default" w:ascii="Times New Roman" w:hAnsi="Times New Roman" w:cs="Times New Roman"/>
                      <w:color w:val="auto"/>
                      <w:szCs w:val="21"/>
                      <w:lang w:val="en-US" w:eastAsia="zh-CN"/>
                    </w:rPr>
                    <w:t>临时设施总占地约3000m</w:t>
                  </w:r>
                  <w:r>
                    <w:rPr>
                      <w:rFonts w:hint="default" w:ascii="Times New Roman" w:hAnsi="Times New Roman" w:cs="Times New Roman"/>
                      <w:color w:val="auto"/>
                      <w:szCs w:val="21"/>
                      <w:vertAlign w:val="superscript"/>
                      <w:lang w:val="en-US" w:eastAsia="zh-CN"/>
                    </w:rPr>
                    <w:t>2</w:t>
                  </w:r>
                  <w:r>
                    <w:rPr>
                      <w:rFonts w:hint="eastAsia" w:cs="Times New Roman"/>
                      <w:color w:val="auto"/>
                      <w:szCs w:val="21"/>
                      <w:lang w:val="en-US" w:eastAsia="zh-CN"/>
                    </w:rPr>
                    <w:t>。</w:t>
                  </w:r>
                </w:p>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eastAsia" w:cs="Times New Roman"/>
                      <w:color w:val="auto"/>
                      <w:szCs w:val="21"/>
                      <w:lang w:val="en-US" w:eastAsia="zh-CN"/>
                    </w:rPr>
                    <w:t>升压站施工区位于升压站西侧。升压站施工区临时工程有临时宿舍及办公室、材料及设备仓库、混凝土拌和站、小型修配站、材料设备堆场等，临时工程占地面积约为2000m</w:t>
                  </w:r>
                  <w:r>
                    <w:rPr>
                      <w:rFonts w:hint="eastAsia" w:cs="Times New Roman"/>
                      <w:color w:val="auto"/>
                      <w:szCs w:val="21"/>
                      <w:vertAlign w:val="superscript"/>
                      <w:lang w:val="en-US" w:eastAsia="zh-CN"/>
                    </w:rPr>
                    <w:t>2</w:t>
                  </w:r>
                  <w:r>
                    <w:rPr>
                      <w:rFonts w:hint="eastAsia" w:cs="Times New Roman"/>
                      <w:color w:val="auto"/>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261" w:type="pct"/>
                  <w:vMerge w:val="restar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eastAsia" w:ascii="Times New Roman" w:hAnsi="Times New Roman" w:cs="Times New Roman"/>
                      <w:color w:val="auto"/>
                      <w:szCs w:val="21"/>
                    </w:rPr>
                    <w:t>环保工程</w:t>
                  </w:r>
                </w:p>
              </w:tc>
              <w:tc>
                <w:tcPr>
                  <w:tcW w:w="785"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eastAsia" w:ascii="Times New Roman" w:hAnsi="Times New Roman" w:cs="Times New Roman"/>
                      <w:color w:val="auto"/>
                      <w:szCs w:val="21"/>
                    </w:rPr>
                    <w:t>施工期扬尘</w:t>
                  </w:r>
                </w:p>
              </w:tc>
              <w:tc>
                <w:tcPr>
                  <w:tcW w:w="395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default" w:ascii="Times New Roman" w:hAnsi="Times New Roman" w:cs="Times New Roman"/>
                      <w:color w:val="auto"/>
                      <w:szCs w:val="21"/>
                    </w:rPr>
                    <w:t>施工前及时通知周边居民，设置硬质围挡、出入车辆清洗、加强遮盖、及时清扫抑尘等措施；离村庄较近区域不在有风天气施工，适当增加临近居民侧围挡高度，增加临近居民处洒水抑尘次数，施工机械和车辆尽量避让居民居住区行驶以减少施工废气对居民的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261"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rPr>
                  </w:pPr>
                </w:p>
              </w:tc>
              <w:tc>
                <w:tcPr>
                  <w:tcW w:w="785"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eastAsia" w:ascii="Times New Roman" w:hAnsi="Times New Roman" w:cs="Times New Roman"/>
                      <w:color w:val="auto"/>
                      <w:szCs w:val="21"/>
                    </w:rPr>
                    <w:t>运营期废气</w:t>
                  </w:r>
                </w:p>
              </w:tc>
              <w:tc>
                <w:tcPr>
                  <w:tcW w:w="395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eastAsia" w:ascii="Times New Roman" w:hAnsi="Times New Roman" w:cs="Times New Roman"/>
                      <w:color w:val="auto"/>
                      <w:szCs w:val="21"/>
                    </w:rPr>
                    <w:t>本项目产生的废气为升压站污水处理站处理污水时产生的废气和食堂油烟，污水处理站采取地埋式，各池体加盖，并定期投放除臭剂；升压站食堂产生的油烟经高效油烟净化装置处理后屋顶排放。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261"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rPr>
                  </w:pPr>
                </w:p>
              </w:tc>
              <w:tc>
                <w:tcPr>
                  <w:tcW w:w="785"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eastAsia" w:ascii="Times New Roman" w:hAnsi="Times New Roman" w:cs="Times New Roman"/>
                      <w:color w:val="auto"/>
                      <w:szCs w:val="21"/>
                    </w:rPr>
                    <w:t>施工期废水</w:t>
                  </w:r>
                </w:p>
              </w:tc>
              <w:tc>
                <w:tcPr>
                  <w:tcW w:w="395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eastAsia" w:ascii="Times New Roman" w:hAnsi="Times New Roman" w:cs="Times New Roman"/>
                      <w:color w:val="auto"/>
                      <w:szCs w:val="21"/>
                    </w:rPr>
                    <w:t>主要为施工废水和施工人员的生活污水，施工废水和施工期生活污水回收利用作为洒水降尘使用。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261"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rPr>
                  </w:pPr>
                </w:p>
              </w:tc>
              <w:tc>
                <w:tcPr>
                  <w:tcW w:w="785"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eastAsia" w:ascii="Times New Roman" w:hAnsi="Times New Roman" w:cs="Times New Roman"/>
                      <w:color w:val="auto"/>
                      <w:szCs w:val="21"/>
                    </w:rPr>
                    <w:t>运营期废水</w:t>
                  </w:r>
                </w:p>
              </w:tc>
              <w:tc>
                <w:tcPr>
                  <w:tcW w:w="395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eastAsia" w:ascii="Times New Roman" w:hAnsi="Times New Roman" w:cs="Times New Roman"/>
                      <w:color w:val="auto"/>
                      <w:szCs w:val="21"/>
                    </w:rPr>
                    <w:t>太阳能光伏组件清洗废水用于场地绿化；管理区生活污水经化粪池处理（食堂废水经隔油池处理）后排入污水调节池，后经地埋式一体化污水处理设备处理后作为厂区地面抑尘、绿化使用，不外排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261"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rPr>
                  </w:pPr>
                </w:p>
              </w:tc>
              <w:tc>
                <w:tcPr>
                  <w:tcW w:w="785"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eastAsia" w:ascii="Times New Roman" w:hAnsi="Times New Roman" w:cs="Times New Roman"/>
                      <w:color w:val="auto"/>
                      <w:szCs w:val="21"/>
                    </w:rPr>
                    <w:t>施工期固废</w:t>
                  </w:r>
                </w:p>
              </w:tc>
              <w:tc>
                <w:tcPr>
                  <w:tcW w:w="395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lang w:val="en-US"/>
                    </w:rPr>
                  </w:pPr>
                  <w:r>
                    <w:rPr>
                      <w:rFonts w:hint="eastAsia" w:ascii="Times New Roman" w:hAnsi="Times New Roman" w:cs="Times New Roman"/>
                      <w:color w:val="auto"/>
                      <w:szCs w:val="21"/>
                    </w:rPr>
                    <w:t>项目施工期产生的固体废物包括土石方和生活垃圾。生活垃圾临时存放于垃圾箱内，委托环卫部门处理</w:t>
                  </w:r>
                  <w:r>
                    <w:rPr>
                      <w:rFonts w:hint="eastAsia" w:cs="Times New Roman"/>
                      <w:color w:val="auto"/>
                      <w:szCs w:val="21"/>
                      <w:lang w:eastAsia="zh-CN"/>
                    </w:rPr>
                    <w:t>；</w:t>
                  </w:r>
                  <w:r>
                    <w:rPr>
                      <w:rFonts w:hint="eastAsia" w:ascii="Times New Roman" w:hAnsi="Times New Roman" w:cs="Times New Roman"/>
                      <w:color w:val="auto"/>
                      <w:szCs w:val="21"/>
                    </w:rPr>
                    <w:t>土石方</w:t>
                  </w:r>
                  <w:r>
                    <w:rPr>
                      <w:rFonts w:hint="eastAsia" w:cs="Times New Roman"/>
                      <w:color w:val="auto"/>
                      <w:szCs w:val="21"/>
                      <w:lang w:val="en-US" w:eastAsia="zh-CN"/>
                    </w:rPr>
                    <w:t>部分</w:t>
                  </w:r>
                  <w:r>
                    <w:rPr>
                      <w:rFonts w:hint="eastAsia" w:ascii="Times New Roman" w:hAnsi="Times New Roman" w:cs="Times New Roman"/>
                      <w:color w:val="auto"/>
                      <w:szCs w:val="21"/>
                    </w:rPr>
                    <w:t>回填</w:t>
                  </w:r>
                  <w:r>
                    <w:rPr>
                      <w:rFonts w:hint="eastAsia" w:cs="Times New Roman"/>
                      <w:color w:val="auto"/>
                      <w:szCs w:val="21"/>
                      <w:lang w:eastAsia="zh-CN"/>
                    </w:rPr>
                    <w:t>，</w:t>
                  </w:r>
                  <w:r>
                    <w:rPr>
                      <w:rFonts w:hint="eastAsia" w:cs="Times New Roman"/>
                      <w:color w:val="auto"/>
                      <w:szCs w:val="21"/>
                      <w:lang w:val="en-US" w:eastAsia="zh-CN"/>
                    </w:rPr>
                    <w:t>剩余部分用于道路垫道和土地平整使用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261"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rPr>
                  </w:pPr>
                </w:p>
              </w:tc>
              <w:tc>
                <w:tcPr>
                  <w:tcW w:w="785"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eastAsia" w:ascii="Times New Roman" w:hAnsi="Times New Roman" w:cs="Times New Roman"/>
                      <w:color w:val="auto"/>
                      <w:szCs w:val="21"/>
                    </w:rPr>
                    <w:t>运营期固废</w:t>
                  </w:r>
                </w:p>
              </w:tc>
              <w:tc>
                <w:tcPr>
                  <w:tcW w:w="395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eastAsia" w:ascii="Times New Roman" w:hAnsi="Times New Roman" w:cs="Times New Roman"/>
                      <w:color w:val="auto"/>
                      <w:szCs w:val="21"/>
                    </w:rPr>
                    <w:t>废变压器油、废油桶、含油抹布及劳保用品集中收集在危险废物贮存间内后，委托有资质的单位定期转运及处置；废旧光伏组件收集后由生产厂家回收处理；办公人员的生活垃圾集中收集后统一由环卫部门处理；污水处理站污泥定期清掏用作农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261"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rPr>
                  </w:pPr>
                </w:p>
              </w:tc>
              <w:tc>
                <w:tcPr>
                  <w:tcW w:w="785"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eastAsia" w:ascii="Times New Roman" w:hAnsi="Times New Roman" w:cs="Times New Roman"/>
                      <w:color w:val="auto"/>
                      <w:szCs w:val="21"/>
                    </w:rPr>
                    <w:t>施工期噪声</w:t>
                  </w:r>
                </w:p>
              </w:tc>
              <w:tc>
                <w:tcPr>
                  <w:tcW w:w="395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default" w:ascii="Times New Roman" w:hAnsi="Times New Roman" w:cs="Times New Roman"/>
                      <w:color w:val="auto"/>
                      <w:szCs w:val="21"/>
                    </w:rPr>
                    <w:t>四周采用隔声防护措施；使用低噪声设备，严格控制施工时间，运输车辆减速、减少鸣笛，加强施工期监理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261"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rPr>
                  </w:pPr>
                </w:p>
              </w:tc>
              <w:tc>
                <w:tcPr>
                  <w:tcW w:w="785"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eastAsia" w:ascii="Times New Roman" w:hAnsi="Times New Roman" w:cs="Times New Roman"/>
                      <w:color w:val="auto"/>
                      <w:szCs w:val="21"/>
                    </w:rPr>
                    <w:t>生态</w:t>
                  </w:r>
                </w:p>
              </w:tc>
              <w:tc>
                <w:tcPr>
                  <w:tcW w:w="395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default" w:ascii="Times New Roman" w:hAnsi="Times New Roman" w:cs="Times New Roman"/>
                      <w:color w:val="auto"/>
                      <w:szCs w:val="21"/>
                    </w:rPr>
                    <w:t>项目施工期合理设计，尽量少占地，减少施工工期和施工占地范围，合理控制施工进度，以减轻施工对周围自然植被、水土流失等生态环境的影响</w:t>
                  </w:r>
                  <w:r>
                    <w:rPr>
                      <w:rFonts w:hint="eastAsia" w:ascii="Times New Roman" w:hAnsi="Times New Roman" w:cs="Times New Roman"/>
                      <w:color w:val="auto"/>
                      <w:szCs w:val="21"/>
                    </w:rPr>
                    <w:t>。</w:t>
                  </w:r>
                </w:p>
              </w:tc>
            </w:tr>
          </w:tbl>
          <w:p>
            <w:pPr>
              <w:pStyle w:val="5"/>
              <w:suppressLineNumbers w:val="0"/>
              <w:spacing w:before="0" w:after="0"/>
              <w:ind w:left="0" w:right="0" w:firstLine="482"/>
              <w:rPr>
                <w:rFonts w:hint="eastAsia" w:ascii="Times New Roman" w:hAnsi="Times New Roman" w:cs="Times New Roman"/>
                <w:color w:val="auto"/>
              </w:rPr>
            </w:pPr>
            <w:r>
              <w:rPr>
                <w:rFonts w:hint="eastAsia" w:ascii="Times New Roman" w:hAnsi="Times New Roman" w:cs="Times New Roman"/>
                <w:color w:val="auto"/>
              </w:rPr>
              <w:t>光伏电场工程</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本项目</w:t>
            </w:r>
            <w:r>
              <w:rPr>
                <w:rFonts w:hint="default" w:ascii="Times New Roman" w:hAnsi="Times New Roman" w:cs="Times New Roman"/>
                <w:color w:val="auto"/>
              </w:rPr>
              <w:t>200MW</w:t>
            </w:r>
            <w:r>
              <w:rPr>
                <w:rFonts w:hint="eastAsia" w:ascii="Times New Roman" w:hAnsi="Times New Roman" w:cs="Times New Roman"/>
                <w:color w:val="auto"/>
              </w:rPr>
              <w:t>光伏选用</w:t>
            </w:r>
            <w:r>
              <w:rPr>
                <w:rFonts w:hint="default" w:ascii="Times New Roman" w:hAnsi="Times New Roman" w:cs="Times New Roman"/>
                <w:color w:val="auto"/>
              </w:rPr>
              <w:t>363662</w:t>
            </w:r>
            <w:r>
              <w:rPr>
                <w:rFonts w:hint="eastAsia" w:ascii="Times New Roman" w:hAnsi="Times New Roman" w:cs="Times New Roman"/>
                <w:color w:val="auto"/>
              </w:rPr>
              <w:t>块峰值功率为</w:t>
            </w:r>
            <w:r>
              <w:rPr>
                <w:rFonts w:hint="default" w:ascii="Times New Roman" w:hAnsi="Times New Roman" w:cs="Times New Roman"/>
                <w:color w:val="auto"/>
              </w:rPr>
              <w:t>550W</w:t>
            </w:r>
            <w:r>
              <w:rPr>
                <w:rFonts w:hint="eastAsia" w:ascii="Times New Roman" w:hAnsi="Times New Roman" w:cs="Times New Roman"/>
                <w:color w:val="auto"/>
              </w:rPr>
              <w:t>的单晶硅单面光伏组件，光伏组件的固定支架采用双立柱支架结构形式，光伏组件离地高度按不小于</w:t>
            </w:r>
            <w:r>
              <w:rPr>
                <w:rFonts w:hint="default" w:ascii="Times New Roman" w:hAnsi="Times New Roman" w:cs="Times New Roman"/>
                <w:color w:val="auto"/>
              </w:rPr>
              <w:t>2.5m</w:t>
            </w:r>
            <w:r>
              <w:rPr>
                <w:rFonts w:hint="eastAsia" w:ascii="Times New Roman" w:hAnsi="Times New Roman" w:cs="Times New Roman"/>
                <w:color w:val="auto"/>
              </w:rPr>
              <w:t>。光伏组件布置采用</w:t>
            </w:r>
            <w:r>
              <w:rPr>
                <w:rFonts w:hint="default" w:ascii="Times New Roman" w:hAnsi="Times New Roman" w:cs="Times New Roman"/>
                <w:color w:val="auto"/>
              </w:rPr>
              <w:t>2×13</w:t>
            </w:r>
            <w:r>
              <w:rPr>
                <w:rFonts w:hint="eastAsia" w:ascii="Times New Roman" w:hAnsi="Times New Roman" w:cs="Times New Roman"/>
                <w:color w:val="auto"/>
              </w:rPr>
              <w:t>竖向布置方式，每个支架单元布置</w:t>
            </w:r>
            <w:r>
              <w:rPr>
                <w:rFonts w:hint="default" w:ascii="Times New Roman" w:hAnsi="Times New Roman" w:cs="Times New Roman"/>
                <w:color w:val="auto"/>
              </w:rPr>
              <w:t>26</w:t>
            </w:r>
            <w:r>
              <w:rPr>
                <w:rFonts w:hint="eastAsia" w:ascii="Times New Roman" w:hAnsi="Times New Roman" w:cs="Times New Roman"/>
                <w:color w:val="auto"/>
              </w:rPr>
              <w:t>块光伏组件，支架倾角南向</w:t>
            </w:r>
            <w:r>
              <w:rPr>
                <w:rFonts w:hint="default" w:ascii="Times New Roman" w:hAnsi="Times New Roman" w:cs="Times New Roman"/>
                <w:color w:val="auto"/>
              </w:rPr>
              <w:t>36</w:t>
            </w:r>
            <w:r>
              <w:rPr>
                <w:rFonts w:hint="eastAsia" w:ascii="Times New Roman" w:hAnsi="Times New Roman" w:cs="Times New Roman"/>
                <w:color w:val="auto"/>
              </w:rPr>
              <w:t>゜。项目采用</w:t>
            </w:r>
            <w:r>
              <w:rPr>
                <w:rFonts w:hint="default" w:ascii="Times New Roman" w:hAnsi="Times New Roman" w:cs="Times New Roman"/>
                <w:color w:val="auto"/>
              </w:rPr>
              <w:t>578</w:t>
            </w:r>
            <w:r>
              <w:rPr>
                <w:rFonts w:hint="eastAsia" w:ascii="Times New Roman" w:hAnsi="Times New Roman" w:cs="Times New Roman"/>
                <w:color w:val="auto"/>
              </w:rPr>
              <w:t>台</w:t>
            </w:r>
            <w:r>
              <w:rPr>
                <w:rFonts w:hint="default" w:ascii="Times New Roman" w:hAnsi="Times New Roman" w:cs="Times New Roman"/>
                <w:color w:val="auto"/>
              </w:rPr>
              <w:t>300kW</w:t>
            </w:r>
            <w:r>
              <w:rPr>
                <w:rFonts w:hint="eastAsia" w:ascii="Times New Roman" w:hAnsi="Times New Roman" w:cs="Times New Roman"/>
                <w:color w:val="auto"/>
              </w:rPr>
              <w:t>组串式并网逆变器、</w:t>
            </w:r>
            <w:r>
              <w:rPr>
                <w:rFonts w:hint="default" w:ascii="Times New Roman" w:hAnsi="Times New Roman" w:cs="Times New Roman"/>
                <w:color w:val="auto"/>
              </w:rPr>
              <w:t>5</w:t>
            </w:r>
            <w:r>
              <w:rPr>
                <w:rFonts w:hint="eastAsia" w:ascii="Times New Roman" w:hAnsi="Times New Roman" w:cs="Times New Roman"/>
                <w:color w:val="auto"/>
              </w:rPr>
              <w:t>7台</w:t>
            </w:r>
            <w:r>
              <w:rPr>
                <w:rFonts w:hint="default" w:ascii="Times New Roman" w:hAnsi="Times New Roman" w:cs="Times New Roman"/>
                <w:color w:val="auto"/>
              </w:rPr>
              <w:t>3300kVA</w:t>
            </w:r>
            <w:r>
              <w:rPr>
                <w:rFonts w:hint="eastAsia" w:ascii="Times New Roman" w:hAnsi="Times New Roman" w:cs="Times New Roman"/>
                <w:color w:val="auto"/>
              </w:rPr>
              <w:t>箱变。光伏电站共分为</w:t>
            </w:r>
            <w:r>
              <w:rPr>
                <w:rFonts w:hint="default" w:ascii="Times New Roman" w:hAnsi="Times New Roman" w:cs="Times New Roman"/>
                <w:color w:val="auto"/>
              </w:rPr>
              <w:t>5</w:t>
            </w:r>
            <w:r>
              <w:rPr>
                <w:rFonts w:hint="eastAsia" w:ascii="Times New Roman" w:hAnsi="Times New Roman" w:cs="Times New Roman"/>
                <w:color w:val="auto"/>
              </w:rPr>
              <w:t>7个</w:t>
            </w:r>
            <w:r>
              <w:rPr>
                <w:rFonts w:hint="default" w:ascii="Times New Roman" w:hAnsi="Times New Roman" w:cs="Times New Roman"/>
                <w:color w:val="auto"/>
              </w:rPr>
              <w:t>3.3MW</w:t>
            </w:r>
            <w:r>
              <w:rPr>
                <w:rFonts w:hint="eastAsia" w:ascii="Times New Roman" w:hAnsi="Times New Roman" w:cs="Times New Roman"/>
                <w:color w:val="auto"/>
              </w:rPr>
              <w:t>的光伏发电单元，每个发电单元设置</w:t>
            </w:r>
            <w:r>
              <w:rPr>
                <w:rFonts w:hint="default" w:ascii="Times New Roman" w:hAnsi="Times New Roman" w:cs="Times New Roman"/>
                <w:color w:val="auto"/>
              </w:rPr>
              <w:t>300kW</w:t>
            </w:r>
            <w:r>
              <w:rPr>
                <w:rFonts w:hint="eastAsia" w:ascii="Times New Roman" w:hAnsi="Times New Roman" w:cs="Times New Roman"/>
                <w:color w:val="auto"/>
              </w:rPr>
              <w:t>组串式并网逆变器与</w:t>
            </w:r>
            <w:r>
              <w:rPr>
                <w:rFonts w:hint="default" w:ascii="Times New Roman" w:hAnsi="Times New Roman" w:cs="Times New Roman"/>
                <w:color w:val="auto"/>
              </w:rPr>
              <w:t>1</w:t>
            </w:r>
            <w:r>
              <w:rPr>
                <w:rFonts w:hint="eastAsia" w:ascii="Times New Roman" w:hAnsi="Times New Roman" w:cs="Times New Roman"/>
                <w:color w:val="auto"/>
              </w:rPr>
              <w:t>台箱式变压器，组成光伏发电单元</w:t>
            </w:r>
            <w:r>
              <w:rPr>
                <w:rFonts w:hint="default" w:ascii="Times New Roman" w:hAnsi="Times New Roman" w:cs="Times New Roman"/>
                <w:color w:val="auto"/>
              </w:rPr>
              <w:t>-</w:t>
            </w:r>
            <w:r>
              <w:rPr>
                <w:rFonts w:hint="eastAsia" w:ascii="Times New Roman" w:hAnsi="Times New Roman" w:cs="Times New Roman"/>
                <w:color w:val="auto"/>
              </w:rPr>
              <w:t>箱式变压器单元接线，该单元接线将光伏发电单元逆变组件输出的</w:t>
            </w:r>
            <w:r>
              <w:rPr>
                <w:rFonts w:hint="default" w:ascii="Times New Roman" w:hAnsi="Times New Roman" w:cs="Times New Roman"/>
                <w:color w:val="auto"/>
              </w:rPr>
              <w:t>0.8kV</w:t>
            </w:r>
            <w:r>
              <w:rPr>
                <w:rFonts w:hint="eastAsia" w:ascii="Times New Roman" w:hAnsi="Times New Roman" w:cs="Times New Roman"/>
                <w:color w:val="auto"/>
              </w:rPr>
              <w:t>电压升至</w:t>
            </w:r>
            <w:r>
              <w:rPr>
                <w:rFonts w:hint="default" w:ascii="Times New Roman" w:hAnsi="Times New Roman" w:cs="Times New Roman"/>
                <w:color w:val="auto"/>
              </w:rPr>
              <w:t>35kV</w:t>
            </w:r>
            <w:r>
              <w:rPr>
                <w:rFonts w:hint="eastAsia" w:ascii="Times New Roman" w:hAnsi="Times New Roman" w:cs="Times New Roman"/>
                <w:color w:val="auto"/>
              </w:rPr>
              <w:t>，升压后通过</w:t>
            </w:r>
            <w:r>
              <w:rPr>
                <w:rFonts w:hint="default" w:ascii="Times New Roman" w:hAnsi="Times New Roman" w:cs="Times New Roman"/>
                <w:color w:val="auto"/>
              </w:rPr>
              <w:t>8</w:t>
            </w:r>
            <w:r>
              <w:rPr>
                <w:rFonts w:hint="eastAsia" w:ascii="Times New Roman" w:hAnsi="Times New Roman" w:cs="Times New Roman"/>
                <w:color w:val="auto"/>
              </w:rPr>
              <w:t>回</w:t>
            </w:r>
            <w:r>
              <w:rPr>
                <w:rFonts w:hint="default" w:ascii="Times New Roman" w:hAnsi="Times New Roman" w:cs="Times New Roman"/>
                <w:color w:val="auto"/>
              </w:rPr>
              <w:t>35kV</w:t>
            </w:r>
            <w:r>
              <w:rPr>
                <w:rFonts w:hint="eastAsia" w:ascii="Times New Roman" w:hAnsi="Times New Roman" w:cs="Times New Roman"/>
                <w:color w:val="auto"/>
              </w:rPr>
              <w:t>集电线路引至新建</w:t>
            </w:r>
            <w:r>
              <w:rPr>
                <w:rFonts w:hint="default" w:ascii="Times New Roman" w:hAnsi="Times New Roman" w:cs="Times New Roman"/>
                <w:color w:val="auto"/>
              </w:rPr>
              <w:t>220kV</w:t>
            </w:r>
            <w:r>
              <w:rPr>
                <w:rFonts w:hint="eastAsia" w:ascii="Times New Roman" w:hAnsi="Times New Roman" w:cs="Times New Roman"/>
                <w:color w:val="auto"/>
              </w:rPr>
              <w:t>升压站</w:t>
            </w:r>
            <w:r>
              <w:rPr>
                <w:rFonts w:hint="default" w:ascii="Times New Roman" w:hAnsi="Times New Roman" w:cs="Times New Roman"/>
                <w:color w:val="auto"/>
              </w:rPr>
              <w:t>35kV</w:t>
            </w:r>
            <w:r>
              <w:rPr>
                <w:rFonts w:hint="eastAsia" w:ascii="Times New Roman" w:hAnsi="Times New Roman" w:cs="Times New Roman"/>
                <w:color w:val="auto"/>
              </w:rPr>
              <w:t>配电室。</w:t>
            </w:r>
          </w:p>
          <w:p>
            <w:pPr>
              <w:pStyle w:val="5"/>
              <w:suppressLineNumbers w:val="0"/>
              <w:spacing w:before="0" w:after="0"/>
              <w:ind w:left="0" w:right="0" w:firstLine="482"/>
              <w:rPr>
                <w:rFonts w:hint="eastAsia" w:ascii="Times New Roman" w:hAnsi="Times New Roman" w:cs="Times New Roman"/>
                <w:color w:val="auto"/>
              </w:rPr>
            </w:pPr>
            <w:r>
              <w:rPr>
                <w:rFonts w:hint="eastAsia" w:ascii="Times New Roman" w:hAnsi="Times New Roman" w:cs="Times New Roman"/>
                <w:color w:val="auto"/>
              </w:rPr>
              <w:t>集电线路</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光伏场区至升压站的输电线路本工程采用</w:t>
            </w:r>
            <w:r>
              <w:rPr>
                <w:rFonts w:hint="default" w:ascii="Times New Roman" w:hAnsi="Times New Roman" w:cs="Times New Roman"/>
                <w:color w:val="auto"/>
              </w:rPr>
              <w:t>35kV</w:t>
            </w:r>
            <w:r>
              <w:rPr>
                <w:rFonts w:hint="eastAsia" w:ascii="Times New Roman" w:hAnsi="Times New Roman" w:cs="Times New Roman"/>
                <w:color w:val="auto"/>
              </w:rPr>
              <w:t>电压等级线路。场区内</w:t>
            </w:r>
            <w:r>
              <w:rPr>
                <w:rFonts w:hint="default" w:ascii="Times New Roman" w:hAnsi="Times New Roman" w:cs="Times New Roman"/>
                <w:color w:val="auto"/>
              </w:rPr>
              <w:t>5</w:t>
            </w:r>
            <w:r>
              <w:rPr>
                <w:rFonts w:hint="eastAsia" w:ascii="Times New Roman" w:hAnsi="Times New Roman" w:cs="Times New Roman"/>
                <w:color w:val="auto"/>
              </w:rPr>
              <w:t>7组光伏发电单元</w:t>
            </w:r>
            <w:r>
              <w:rPr>
                <w:rFonts w:hint="default" w:ascii="Times New Roman" w:hAnsi="Times New Roman" w:cs="Times New Roman"/>
                <w:color w:val="auto"/>
              </w:rPr>
              <w:t>-</w:t>
            </w:r>
            <w:r>
              <w:rPr>
                <w:rFonts w:hint="eastAsia" w:ascii="Times New Roman" w:hAnsi="Times New Roman" w:cs="Times New Roman"/>
                <w:color w:val="auto"/>
              </w:rPr>
              <w:t>箱式变电站拟分</w:t>
            </w:r>
            <w:r>
              <w:rPr>
                <w:rFonts w:hint="default" w:ascii="Times New Roman" w:hAnsi="Times New Roman" w:cs="Times New Roman"/>
                <w:color w:val="auto"/>
              </w:rPr>
              <w:t>8</w:t>
            </w:r>
            <w:r>
              <w:rPr>
                <w:rFonts w:hint="eastAsia" w:ascii="Times New Roman" w:hAnsi="Times New Roman" w:cs="Times New Roman"/>
                <w:color w:val="auto"/>
              </w:rPr>
              <w:t>回集电线路接入升压站</w:t>
            </w:r>
            <w:r>
              <w:rPr>
                <w:rFonts w:hint="default" w:ascii="Times New Roman" w:hAnsi="Times New Roman" w:cs="Times New Roman"/>
                <w:color w:val="auto"/>
              </w:rPr>
              <w:t>35kV</w:t>
            </w:r>
            <w:r>
              <w:rPr>
                <w:rFonts w:hint="eastAsia" w:ascii="Times New Roman" w:hAnsi="Times New Roman" w:cs="Times New Roman"/>
                <w:color w:val="auto"/>
              </w:rPr>
              <w:t>配电室。集电线路采用</w:t>
            </w:r>
            <w:r>
              <w:rPr>
                <w:rFonts w:hint="default" w:ascii="Times New Roman" w:hAnsi="Times New Roman" w:cs="Times New Roman"/>
                <w:color w:val="auto"/>
              </w:rPr>
              <w:t>35kV</w:t>
            </w:r>
            <w:r>
              <w:rPr>
                <w:rFonts w:hint="eastAsia" w:ascii="Times New Roman" w:hAnsi="Times New Roman" w:cs="Times New Roman"/>
                <w:color w:val="auto"/>
              </w:rPr>
              <w:t>交联聚乙烯绝缘电力电缆直埋连接</w:t>
            </w:r>
            <w:r>
              <w:rPr>
                <w:rFonts w:hint="eastAsia" w:ascii="Times New Roman" w:hAnsi="Times New Roman" w:cs="Times New Roman"/>
                <w:color w:val="auto"/>
                <w:lang w:eastAsia="zh-CN"/>
              </w:rPr>
              <w:t>。</w:t>
            </w:r>
          </w:p>
          <w:p>
            <w:pPr>
              <w:pStyle w:val="5"/>
              <w:suppressLineNumbers w:val="0"/>
              <w:spacing w:before="0" w:after="0"/>
              <w:ind w:left="0" w:right="0" w:firstLine="482"/>
              <w:rPr>
                <w:rFonts w:hint="eastAsia" w:ascii="Times New Roman" w:hAnsi="Times New Roman" w:cs="Times New Roman"/>
                <w:color w:val="auto"/>
              </w:rPr>
            </w:pPr>
            <w:r>
              <w:rPr>
                <w:rFonts w:hint="eastAsia" w:ascii="Times New Roman" w:hAnsi="Times New Roman" w:cs="Times New Roman"/>
                <w:color w:val="auto"/>
              </w:rPr>
              <w:t>发电量</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本工程选用单晶硅单面光伏组件，单块组件峰值功率为</w:t>
            </w:r>
            <w:r>
              <w:rPr>
                <w:rFonts w:hint="default" w:ascii="Times New Roman" w:hAnsi="Times New Roman" w:cs="Times New Roman"/>
                <w:color w:val="auto"/>
              </w:rPr>
              <w:t>550W</w:t>
            </w:r>
            <w:r>
              <w:rPr>
                <w:rFonts w:hint="eastAsia" w:ascii="Times New Roman" w:hAnsi="Times New Roman" w:cs="Times New Roman"/>
                <w:color w:val="auto"/>
              </w:rPr>
              <w:t>，本工程装机容量为</w:t>
            </w:r>
            <w:r>
              <w:rPr>
                <w:rFonts w:hint="default" w:ascii="Times New Roman" w:hAnsi="Times New Roman" w:cs="Times New Roman"/>
                <w:color w:val="auto"/>
              </w:rPr>
              <w:t>200MW</w:t>
            </w:r>
            <w:r>
              <w:rPr>
                <w:rFonts w:hint="eastAsia" w:ascii="Times New Roman" w:hAnsi="Times New Roman" w:cs="Times New Roman"/>
                <w:color w:val="auto"/>
              </w:rPr>
              <w:t>，共安装组件</w:t>
            </w:r>
            <w:r>
              <w:rPr>
                <w:rFonts w:hint="default" w:ascii="Times New Roman" w:hAnsi="Times New Roman" w:cs="Times New Roman"/>
                <w:color w:val="auto"/>
              </w:rPr>
              <w:t>363662</w:t>
            </w:r>
            <w:r>
              <w:rPr>
                <w:rFonts w:hint="eastAsia" w:ascii="Times New Roman" w:hAnsi="Times New Roman" w:cs="Times New Roman"/>
                <w:color w:val="auto"/>
              </w:rPr>
              <w:t>块。本工程共需配置</w:t>
            </w:r>
            <w:r>
              <w:rPr>
                <w:rFonts w:hint="default" w:ascii="Times New Roman" w:hAnsi="Times New Roman" w:cs="Times New Roman"/>
                <w:color w:val="auto"/>
              </w:rPr>
              <w:t>578</w:t>
            </w:r>
            <w:r>
              <w:rPr>
                <w:rFonts w:hint="eastAsia" w:ascii="Times New Roman" w:hAnsi="Times New Roman" w:cs="Times New Roman"/>
                <w:color w:val="auto"/>
              </w:rPr>
              <w:t>台</w:t>
            </w:r>
            <w:r>
              <w:rPr>
                <w:rFonts w:hint="default" w:ascii="Times New Roman" w:hAnsi="Times New Roman" w:cs="Times New Roman"/>
                <w:color w:val="auto"/>
              </w:rPr>
              <w:t>300kW</w:t>
            </w:r>
            <w:r>
              <w:rPr>
                <w:rFonts w:hint="eastAsia" w:ascii="Times New Roman" w:hAnsi="Times New Roman" w:cs="Times New Roman"/>
                <w:color w:val="auto"/>
              </w:rPr>
              <w:t>组串式并网逆变器、</w:t>
            </w:r>
            <w:r>
              <w:rPr>
                <w:rFonts w:hint="default" w:ascii="Times New Roman" w:hAnsi="Times New Roman" w:cs="Times New Roman"/>
                <w:color w:val="auto"/>
              </w:rPr>
              <w:t>5</w:t>
            </w:r>
            <w:r>
              <w:rPr>
                <w:rFonts w:hint="eastAsia" w:ascii="Times New Roman" w:hAnsi="Times New Roman" w:cs="Times New Roman"/>
                <w:color w:val="auto"/>
              </w:rPr>
              <w:t>7台箱式变压器，构成</w:t>
            </w:r>
            <w:r>
              <w:rPr>
                <w:rFonts w:hint="default" w:ascii="Times New Roman" w:hAnsi="Times New Roman" w:cs="Times New Roman"/>
                <w:color w:val="auto"/>
              </w:rPr>
              <w:t>5</w:t>
            </w:r>
            <w:r>
              <w:rPr>
                <w:rFonts w:hint="eastAsia" w:ascii="Times New Roman" w:hAnsi="Times New Roman" w:cs="Times New Roman"/>
                <w:color w:val="auto"/>
              </w:rPr>
              <w:t>7个升压变电单元。</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并网光伏发电系统的发电量与当地的太阳辐射量、光伏组件的总功率、系统的总效率等因素有关，经计算，本项目第一年发电量为</w:t>
            </w:r>
            <w:r>
              <w:rPr>
                <w:rFonts w:hint="default" w:ascii="Times New Roman" w:hAnsi="Times New Roman" w:cs="Times New Roman"/>
                <w:color w:val="auto"/>
              </w:rPr>
              <w:t>33836.52</w:t>
            </w:r>
            <w:r>
              <w:rPr>
                <w:rFonts w:hint="eastAsia" w:ascii="Times New Roman" w:hAnsi="Times New Roman" w:cs="Times New Roman"/>
                <w:color w:val="auto"/>
              </w:rPr>
              <w:t>万</w:t>
            </w:r>
            <w:r>
              <w:rPr>
                <w:rFonts w:hint="default" w:ascii="Times New Roman" w:hAnsi="Times New Roman" w:cs="Times New Roman"/>
                <w:color w:val="auto"/>
              </w:rPr>
              <w:t>kwh</w:t>
            </w:r>
            <w:r>
              <w:rPr>
                <w:rFonts w:hint="eastAsia" w:ascii="Times New Roman" w:hAnsi="Times New Roman" w:cs="Times New Roman"/>
                <w:color w:val="auto"/>
              </w:rPr>
              <w:t>。</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光伏组件输出功率在</w:t>
            </w:r>
            <w:r>
              <w:rPr>
                <w:rFonts w:hint="default" w:ascii="Times New Roman" w:hAnsi="Times New Roman" w:cs="Times New Roman"/>
                <w:color w:val="auto"/>
              </w:rPr>
              <w:t>25</w:t>
            </w:r>
            <w:r>
              <w:rPr>
                <w:rFonts w:hint="eastAsia" w:ascii="Times New Roman" w:hAnsi="Times New Roman" w:cs="Times New Roman"/>
                <w:color w:val="auto"/>
              </w:rPr>
              <w:t>年内会逐年衰减，本项目所选组件每年衰减</w:t>
            </w:r>
            <w:r>
              <w:rPr>
                <w:rFonts w:hint="default" w:ascii="Times New Roman" w:hAnsi="Times New Roman" w:cs="Times New Roman"/>
                <w:color w:val="auto"/>
              </w:rPr>
              <w:t>0.4%</w:t>
            </w:r>
            <w:r>
              <w:rPr>
                <w:rFonts w:hint="eastAsia" w:ascii="Times New Roman" w:hAnsi="Times New Roman" w:cs="Times New Roman"/>
                <w:color w:val="auto"/>
              </w:rPr>
              <w:t>，项目首年上网电量为</w:t>
            </w:r>
            <w:r>
              <w:rPr>
                <w:rFonts w:hint="default" w:ascii="Times New Roman" w:hAnsi="Times New Roman" w:cs="Times New Roman"/>
                <w:color w:val="auto"/>
              </w:rPr>
              <w:t>33836.52</w:t>
            </w:r>
            <w:r>
              <w:rPr>
                <w:rFonts w:hint="eastAsia" w:ascii="Times New Roman" w:hAnsi="Times New Roman" w:cs="Times New Roman"/>
                <w:color w:val="auto"/>
              </w:rPr>
              <w:t>万</w:t>
            </w:r>
            <w:r>
              <w:rPr>
                <w:rFonts w:hint="default" w:ascii="Times New Roman" w:hAnsi="Times New Roman" w:cs="Times New Roman"/>
                <w:color w:val="auto"/>
              </w:rPr>
              <w:t>kwh</w:t>
            </w:r>
            <w:r>
              <w:rPr>
                <w:rFonts w:hint="eastAsia" w:ascii="Times New Roman" w:hAnsi="Times New Roman" w:cs="Times New Roman"/>
                <w:color w:val="auto"/>
              </w:rPr>
              <w:t>，</w:t>
            </w:r>
            <w:r>
              <w:rPr>
                <w:rFonts w:hint="default" w:ascii="Times New Roman" w:hAnsi="Times New Roman" w:cs="Times New Roman"/>
                <w:color w:val="auto"/>
              </w:rPr>
              <w:t>25</w:t>
            </w:r>
            <w:r>
              <w:rPr>
                <w:rFonts w:hint="eastAsia" w:ascii="Times New Roman" w:hAnsi="Times New Roman" w:cs="Times New Roman"/>
                <w:color w:val="auto"/>
              </w:rPr>
              <w:t>年平均年发电量为</w:t>
            </w:r>
            <w:r>
              <w:rPr>
                <w:rFonts w:hint="default" w:ascii="Times New Roman" w:hAnsi="Times New Roman" w:cs="Times New Roman"/>
                <w:color w:val="auto"/>
              </w:rPr>
              <w:t>32209.11</w:t>
            </w:r>
            <w:r>
              <w:rPr>
                <w:rFonts w:hint="eastAsia" w:ascii="Times New Roman" w:hAnsi="Times New Roman" w:cs="Times New Roman"/>
                <w:color w:val="auto"/>
              </w:rPr>
              <w:t>万</w:t>
            </w:r>
            <w:r>
              <w:rPr>
                <w:rFonts w:hint="default" w:ascii="Times New Roman" w:hAnsi="Times New Roman" w:cs="Times New Roman"/>
                <w:color w:val="auto"/>
              </w:rPr>
              <w:t>kwh</w:t>
            </w:r>
            <w:r>
              <w:rPr>
                <w:rFonts w:hint="eastAsia" w:ascii="Times New Roman" w:hAnsi="Times New Roman" w:cs="Times New Roman"/>
                <w:color w:val="auto"/>
              </w:rPr>
              <w:t>，年均利用小时为</w:t>
            </w:r>
            <w:r>
              <w:rPr>
                <w:rFonts w:hint="default" w:ascii="Times New Roman" w:hAnsi="Times New Roman" w:cs="Times New Roman"/>
                <w:color w:val="auto"/>
              </w:rPr>
              <w:t>1610.5h</w:t>
            </w:r>
            <w:r>
              <w:rPr>
                <w:rFonts w:hint="eastAsia" w:ascii="Times New Roman" w:hAnsi="Times New Roman" w:cs="Times New Roman"/>
                <w:color w:val="auto"/>
              </w:rPr>
              <w:t>。</w:t>
            </w:r>
          </w:p>
          <w:p>
            <w:pPr>
              <w:pStyle w:val="5"/>
              <w:suppressLineNumbers w:val="0"/>
              <w:spacing w:before="0" w:after="0"/>
              <w:ind w:left="0" w:right="0" w:firstLine="482"/>
              <w:rPr>
                <w:rFonts w:hint="default" w:ascii="Times New Roman" w:hAnsi="Times New Roman" w:cs="Times New Roman"/>
                <w:color w:val="auto"/>
              </w:rPr>
            </w:pPr>
            <w:r>
              <w:rPr>
                <w:rFonts w:hint="eastAsia" w:ascii="Times New Roman" w:hAnsi="Times New Roman" w:cs="Times New Roman"/>
                <w:color w:val="auto"/>
              </w:rPr>
              <w:t>新建升压站</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本项目新建一座</w:t>
            </w:r>
            <w:r>
              <w:rPr>
                <w:rFonts w:hint="default" w:ascii="Times New Roman" w:hAnsi="Times New Roman" w:cs="Times New Roman"/>
                <w:color w:val="auto"/>
              </w:rPr>
              <w:t>220kV</w:t>
            </w:r>
            <w:r>
              <w:rPr>
                <w:rFonts w:hint="eastAsia" w:ascii="Times New Roman" w:hAnsi="Times New Roman" w:cs="Times New Roman"/>
                <w:color w:val="auto"/>
              </w:rPr>
              <w:t>升压站，建设</w:t>
            </w:r>
            <w:r>
              <w:rPr>
                <w:rFonts w:hint="eastAsia" w:cs="Times New Roman"/>
                <w:color w:val="auto"/>
                <w:lang w:val="en-US" w:eastAsia="zh-CN"/>
              </w:rPr>
              <w:t>2</w:t>
            </w:r>
            <w:r>
              <w:rPr>
                <w:rFonts w:hint="eastAsia" w:ascii="Times New Roman" w:hAnsi="Times New Roman" w:cs="Times New Roman"/>
                <w:color w:val="auto"/>
              </w:rPr>
              <w:t>台</w:t>
            </w:r>
            <w:r>
              <w:rPr>
                <w:rFonts w:hint="default" w:ascii="Times New Roman" w:hAnsi="Times New Roman" w:cs="Times New Roman"/>
                <w:color w:val="auto"/>
              </w:rPr>
              <w:t>200MVA</w:t>
            </w:r>
            <w:r>
              <w:rPr>
                <w:rFonts w:hint="eastAsia" w:ascii="Times New Roman" w:hAnsi="Times New Roman" w:cs="Times New Roman"/>
                <w:color w:val="auto"/>
              </w:rPr>
              <w:t>主变压器，</w:t>
            </w:r>
            <w:r>
              <w:rPr>
                <w:rFonts w:hint="eastAsia" w:cs="Times New Roman"/>
                <w:color w:val="auto"/>
                <w:lang w:val="en-US" w:eastAsia="zh-CN"/>
              </w:rPr>
              <w:t>一台本项目使用，另一台</w:t>
            </w:r>
            <w:r>
              <w:rPr>
                <w:rFonts w:hint="eastAsia" w:ascii="Times New Roman" w:hAnsi="Times New Roman" w:cs="Times New Roman"/>
                <w:color w:val="auto"/>
              </w:rPr>
              <w:t>丰宁振北200MW风电项目</w:t>
            </w:r>
            <w:r>
              <w:rPr>
                <w:rFonts w:hint="eastAsia" w:cs="Times New Roman"/>
                <w:color w:val="auto"/>
                <w:lang w:val="en-US" w:eastAsia="zh-CN"/>
              </w:rPr>
              <w:t>使用</w:t>
            </w:r>
            <w:r>
              <w:rPr>
                <w:rFonts w:hint="eastAsia" w:ascii="Times New Roman" w:hAnsi="Times New Roman" w:cs="Times New Roman"/>
                <w:color w:val="auto"/>
              </w:rPr>
              <w:t>。本项目不新建储能站，</w:t>
            </w:r>
            <w:r>
              <w:rPr>
                <w:rFonts w:hint="eastAsia" w:cs="Times New Roman"/>
                <w:color w:val="auto"/>
                <w:lang w:val="en-US" w:eastAsia="zh-CN"/>
              </w:rPr>
              <w:t>升压站内配套建设40MW/160MWh储能系统</w:t>
            </w:r>
            <w:r>
              <w:rPr>
                <w:rFonts w:hint="eastAsia" w:ascii="Times New Roman" w:hAnsi="Times New Roman" w:cs="Times New Roman"/>
                <w:color w:val="auto"/>
              </w:rPr>
              <w:t>，升压站占地面积</w:t>
            </w:r>
            <w:r>
              <w:rPr>
                <w:rFonts w:hint="eastAsia" w:ascii="Times New Roman" w:hAnsi="Times New Roman" w:cs="Times New Roman"/>
                <w:color w:val="auto"/>
                <w:lang w:val="en-US" w:eastAsia="zh-CN"/>
              </w:rPr>
              <w:t>18086</w:t>
            </w:r>
            <w:r>
              <w:rPr>
                <w:rFonts w:hint="default" w:ascii="Times New Roman" w:hAnsi="Times New Roman" w:cs="Times New Roman"/>
                <w:color w:val="auto"/>
              </w:rPr>
              <w:t>m</w:t>
            </w:r>
            <w:r>
              <w:rPr>
                <w:rFonts w:hint="default" w:ascii="Times New Roman" w:hAnsi="Times New Roman" w:cs="Times New Roman"/>
                <w:color w:val="auto"/>
                <w:vertAlign w:val="superscript"/>
              </w:rPr>
              <w:t>2</w:t>
            </w:r>
            <w:r>
              <w:rPr>
                <w:rFonts w:hint="eastAsia" w:ascii="Times New Roman" w:hAnsi="Times New Roman" w:cs="Times New Roman"/>
                <w:color w:val="auto"/>
              </w:rPr>
              <w:t>。</w:t>
            </w:r>
            <w:r>
              <w:rPr>
                <w:rFonts w:hint="default" w:ascii="Times New Roman" w:hAnsi="Times New Roman" w:cs="Times New Roman"/>
                <w:color w:val="auto"/>
              </w:rPr>
              <w:t>220kV</w:t>
            </w:r>
            <w:r>
              <w:rPr>
                <w:rFonts w:hint="eastAsia" w:ascii="Times New Roman" w:hAnsi="Times New Roman" w:cs="Times New Roman"/>
                <w:color w:val="auto"/>
              </w:rPr>
              <w:t>升压站分为生活办公区和配电装置区，生活办公区位于站内西北侧，配电装置区位于站区的东北侧。配电装置区内设备由东至西依次为</w:t>
            </w:r>
            <w:r>
              <w:rPr>
                <w:rFonts w:hint="default" w:ascii="Times New Roman" w:hAnsi="Times New Roman" w:cs="Times New Roman"/>
                <w:color w:val="auto"/>
              </w:rPr>
              <w:t>220kV</w:t>
            </w:r>
            <w:r>
              <w:rPr>
                <w:rFonts w:hint="eastAsia" w:ascii="Times New Roman" w:hAnsi="Times New Roman" w:cs="Times New Roman"/>
                <w:color w:val="auto"/>
              </w:rPr>
              <w:t>配电装置、主变压器、</w:t>
            </w:r>
            <w:r>
              <w:rPr>
                <w:rFonts w:hint="default" w:ascii="Times New Roman" w:hAnsi="Times New Roman" w:cs="Times New Roman"/>
                <w:color w:val="auto"/>
              </w:rPr>
              <w:t>35kV</w:t>
            </w:r>
            <w:r>
              <w:rPr>
                <w:rFonts w:hint="eastAsia" w:ascii="Times New Roman" w:hAnsi="Times New Roman" w:cs="Times New Roman"/>
                <w:color w:val="auto"/>
              </w:rPr>
              <w:t>配电装置；无功补偿装置设置在主变的东南及西南侧，接地变、站变设置在主变的南侧，</w:t>
            </w:r>
            <w:r>
              <w:rPr>
                <w:rFonts w:hint="default" w:ascii="Times New Roman" w:hAnsi="Times New Roman" w:cs="Times New Roman"/>
                <w:color w:val="auto"/>
              </w:rPr>
              <w:t>10kV</w:t>
            </w:r>
            <w:r>
              <w:rPr>
                <w:rFonts w:hint="eastAsia" w:ascii="Times New Roman" w:hAnsi="Times New Roman" w:cs="Times New Roman"/>
                <w:color w:val="auto"/>
              </w:rPr>
              <w:t>备变设置在主变的东北侧</w:t>
            </w:r>
            <w:r>
              <w:rPr>
                <w:rFonts w:hint="eastAsia" w:cs="Times New Roman"/>
                <w:color w:val="auto"/>
                <w:lang w:eastAsia="zh-CN"/>
              </w:rPr>
              <w:t>，</w:t>
            </w:r>
            <w:r>
              <w:rPr>
                <w:rFonts w:hint="eastAsia" w:cs="Times New Roman"/>
                <w:color w:val="auto"/>
                <w:lang w:val="en-US" w:eastAsia="zh-CN"/>
              </w:rPr>
              <w:t>储能系统位于升压站东南角</w:t>
            </w:r>
            <w:r>
              <w:rPr>
                <w:rFonts w:hint="eastAsia" w:ascii="Times New Roman" w:hAnsi="Times New Roman" w:cs="Times New Roman"/>
                <w:color w:val="auto"/>
              </w:rPr>
              <w:t>。</w:t>
            </w:r>
          </w:p>
          <w:p>
            <w:pPr>
              <w:pStyle w:val="5"/>
              <w:suppressLineNumbers w:val="0"/>
              <w:spacing w:before="0" w:after="0"/>
              <w:ind w:left="0" w:right="0" w:firstLine="482"/>
              <w:rPr>
                <w:rFonts w:hint="default" w:ascii="Times New Roman" w:hAnsi="Times New Roman" w:cs="Times New Roman"/>
                <w:color w:val="auto"/>
              </w:rPr>
            </w:pPr>
            <w:r>
              <w:rPr>
                <w:rFonts w:hint="eastAsia" w:ascii="Times New Roman" w:hAnsi="Times New Roman" w:cs="Times New Roman"/>
                <w:color w:val="auto"/>
              </w:rPr>
              <w:t>道路工程</w:t>
            </w:r>
          </w:p>
          <w:p>
            <w:pPr>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lang w:val="en-US" w:eastAsia="zh-CN"/>
              </w:rPr>
            </w:pPr>
            <w:r>
              <w:rPr>
                <w:rFonts w:hint="eastAsia" w:ascii="Times New Roman" w:hAnsi="Times New Roman" w:cs="Times New Roman"/>
                <w:color w:val="auto"/>
              </w:rPr>
              <w:t>项目范围内有省道</w:t>
            </w:r>
            <w:r>
              <w:rPr>
                <w:rFonts w:hint="default" w:ascii="Times New Roman" w:hAnsi="Times New Roman" w:cs="Times New Roman"/>
                <w:color w:val="auto"/>
              </w:rPr>
              <w:t>S301</w:t>
            </w:r>
            <w:r>
              <w:rPr>
                <w:rFonts w:hint="eastAsia" w:ascii="Times New Roman" w:hAnsi="Times New Roman" w:cs="Times New Roman"/>
                <w:color w:val="auto"/>
              </w:rPr>
              <w:t>、</w:t>
            </w:r>
            <w:r>
              <w:rPr>
                <w:rFonts w:hint="default" w:ascii="Times New Roman" w:hAnsi="Times New Roman" w:cs="Times New Roman"/>
                <w:color w:val="auto"/>
              </w:rPr>
              <w:t>S304</w:t>
            </w:r>
            <w:r>
              <w:rPr>
                <w:rFonts w:hint="eastAsia" w:ascii="Times New Roman" w:hAnsi="Times New Roman" w:cs="Times New Roman"/>
                <w:color w:val="auto"/>
              </w:rPr>
              <w:t>和县道</w:t>
            </w:r>
            <w:r>
              <w:rPr>
                <w:rFonts w:hint="default" w:ascii="Times New Roman" w:hAnsi="Times New Roman" w:cs="Times New Roman"/>
                <w:color w:val="auto"/>
              </w:rPr>
              <w:t>X506</w:t>
            </w:r>
            <w:r>
              <w:rPr>
                <w:rFonts w:hint="eastAsia" w:ascii="Times New Roman" w:hAnsi="Times New Roman" w:cs="Times New Roman"/>
                <w:color w:val="auto"/>
              </w:rPr>
              <w:t>、</w:t>
            </w:r>
            <w:r>
              <w:rPr>
                <w:rFonts w:hint="default" w:ascii="Times New Roman" w:hAnsi="Times New Roman" w:cs="Times New Roman"/>
                <w:color w:val="auto"/>
              </w:rPr>
              <w:t>X509</w:t>
            </w:r>
            <w:r>
              <w:rPr>
                <w:rFonts w:hint="eastAsia" w:ascii="Times New Roman" w:hAnsi="Times New Roman" w:cs="Times New Roman"/>
                <w:color w:val="auto"/>
              </w:rPr>
              <w:t>通过，对外交通条件便利。</w:t>
            </w:r>
            <w:r>
              <w:rPr>
                <w:rFonts w:hint="eastAsia" w:ascii="Times New Roman" w:hAnsi="Times New Roman" w:cs="Times New Roman"/>
                <w:color w:val="auto"/>
                <w:lang w:val="en-US" w:eastAsia="zh-CN"/>
              </w:rPr>
              <w:t>光伏电站道路主要依托现有道路，仅修建升压站进场道路和部分电站检修道路。进场道路面积为880m</w:t>
            </w:r>
            <w:r>
              <w:rPr>
                <w:rFonts w:hint="eastAsia" w:ascii="Times New Roman" w:hAnsi="Times New Roman" w:cs="Times New Roman"/>
                <w:color w:val="auto"/>
                <w:vertAlign w:val="superscript"/>
                <w:lang w:val="en-US" w:eastAsia="zh-CN"/>
              </w:rPr>
              <w:t>2</w:t>
            </w:r>
            <w:r>
              <w:rPr>
                <w:rFonts w:hint="eastAsia" w:ascii="Times New Roman" w:hAnsi="Times New Roman" w:cs="Times New Roman"/>
                <w:color w:val="auto"/>
                <w:lang w:val="en-US" w:eastAsia="zh-CN"/>
              </w:rPr>
              <w:t>，新建电站检修道路面积为124501m</w:t>
            </w:r>
            <w:r>
              <w:rPr>
                <w:rFonts w:hint="eastAsia" w:ascii="Times New Roman" w:hAnsi="Times New Roman" w:cs="Times New Roman"/>
                <w:color w:val="auto"/>
                <w:vertAlign w:val="superscript"/>
                <w:lang w:val="en-US" w:eastAsia="zh-CN"/>
              </w:rPr>
              <w:t>2</w:t>
            </w:r>
            <w:r>
              <w:rPr>
                <w:rFonts w:hint="eastAsia" w:ascii="Times New Roman" w:hAnsi="Times New Roman" w:cs="Times New Roman"/>
                <w:color w:val="auto"/>
                <w:lang w:val="en-US" w:eastAsia="zh-CN"/>
              </w:rPr>
              <w:t>。新</w:t>
            </w:r>
            <w:r>
              <w:rPr>
                <w:rFonts w:hint="eastAsia" w:ascii="Times New Roman" w:hAnsi="Times New Roman" w:cs="Times New Roman"/>
                <w:color w:val="auto"/>
              </w:rPr>
              <w:t>建</w:t>
            </w:r>
            <w:r>
              <w:rPr>
                <w:rFonts w:hint="eastAsia" w:ascii="Times New Roman" w:hAnsi="Times New Roman" w:cs="Times New Roman"/>
                <w:color w:val="auto"/>
                <w:lang w:val="en-US" w:eastAsia="zh-CN"/>
              </w:rPr>
              <w:t>道路</w:t>
            </w:r>
            <w:r>
              <w:rPr>
                <w:rFonts w:hint="eastAsia" w:ascii="Times New Roman" w:hAnsi="Times New Roman" w:cs="Times New Roman"/>
                <w:color w:val="auto"/>
              </w:rPr>
              <w:t>宽度为4m～6m，路面采用泥结石路面。设计时速15km/h，最大纵坡8%，平曲线最小半径25m。</w:t>
            </w:r>
            <w:r>
              <w:rPr>
                <w:rFonts w:hint="eastAsia" w:ascii="Times New Roman" w:hAnsi="Times New Roman" w:cs="Times New Roman"/>
                <w:color w:val="auto"/>
                <w:lang w:val="en-US" w:eastAsia="zh-CN"/>
              </w:rPr>
              <w:t>在施工完成后</w:t>
            </w:r>
            <w:r>
              <w:rPr>
                <w:rFonts w:hint="eastAsia" w:cs="Times New Roman"/>
                <w:color w:val="auto"/>
                <w:lang w:val="en-US" w:eastAsia="zh-CN"/>
              </w:rPr>
              <w:t>，施工道路部分修建成光伏电站检修道路，部分进行覆土绿化，恢复成未施工时土地状态。修建成光伏电站检修道路部分具体位置见施工方案章节道路布置内容。</w:t>
            </w:r>
          </w:p>
          <w:p>
            <w:pPr>
              <w:pStyle w:val="5"/>
              <w:suppressLineNumbers w:val="0"/>
              <w:spacing w:before="0" w:after="0"/>
              <w:ind w:left="0" w:right="0" w:firstLine="482"/>
              <w:rPr>
                <w:rFonts w:hint="default" w:ascii="Times New Roman" w:hAnsi="Times New Roman" w:cs="Times New Roman"/>
                <w:color w:val="auto"/>
              </w:rPr>
            </w:pPr>
            <w:r>
              <w:rPr>
                <w:rFonts w:hint="eastAsia" w:ascii="Times New Roman" w:hAnsi="Times New Roman" w:cs="Times New Roman"/>
                <w:color w:val="auto"/>
              </w:rPr>
              <w:t>围栏工程</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光伏阵列区分区域进行布置，各个地块周围设置防护隔离围栏，采用高钢丝网围栏，高度为</w:t>
            </w:r>
            <w:r>
              <w:rPr>
                <w:rFonts w:hint="default" w:ascii="Times New Roman" w:hAnsi="Times New Roman" w:cs="Times New Roman"/>
                <w:color w:val="auto"/>
              </w:rPr>
              <w:t>1.8m</w:t>
            </w:r>
            <w:r>
              <w:rPr>
                <w:rFonts w:hint="eastAsia" w:ascii="Times New Roman" w:hAnsi="Times New Roman" w:cs="Times New Roman"/>
                <w:color w:val="auto"/>
              </w:rPr>
              <w:t>，光伏阵列区围栏长度约为</w:t>
            </w:r>
            <w:r>
              <w:rPr>
                <w:rFonts w:hint="default" w:ascii="Times New Roman" w:hAnsi="Times New Roman" w:cs="Times New Roman"/>
                <w:color w:val="auto"/>
              </w:rPr>
              <w:t>80km</w:t>
            </w:r>
            <w:r>
              <w:rPr>
                <w:rFonts w:hint="eastAsia" w:ascii="Times New Roman" w:hAnsi="Times New Roman" w:cs="Times New Roman"/>
                <w:color w:val="auto"/>
              </w:rPr>
              <w:t>；升压站内生活区、生产区采用铁艺围栏隔开，高度</w:t>
            </w:r>
            <w:r>
              <w:rPr>
                <w:rFonts w:hint="default" w:ascii="Times New Roman" w:hAnsi="Times New Roman" w:cs="Times New Roman"/>
                <w:color w:val="auto"/>
              </w:rPr>
              <w:t>1.8m</w:t>
            </w:r>
            <w:r>
              <w:rPr>
                <w:rFonts w:hint="eastAsia" w:ascii="Times New Roman" w:hAnsi="Times New Roman" w:cs="Times New Roman"/>
                <w:color w:val="auto"/>
              </w:rPr>
              <w:t>。升压站主入口采用电动伸缩门，并设置门禁系统。</w:t>
            </w:r>
          </w:p>
          <w:p>
            <w:pPr>
              <w:pStyle w:val="4"/>
              <w:numPr>
                <w:ilvl w:val="1"/>
                <w:numId w:val="12"/>
              </w:numPr>
              <w:suppressLineNumbers w:val="0"/>
              <w:tabs>
                <w:tab w:val="left" w:pos="0"/>
              </w:tabs>
              <w:spacing w:before="0" w:after="0"/>
              <w:ind w:right="0" w:firstLine="482"/>
              <w:rPr>
                <w:rFonts w:hint="default" w:cs="Times New Roman"/>
                <w:color w:val="auto"/>
              </w:rPr>
            </w:pPr>
            <w:r>
              <w:rPr>
                <w:rFonts w:hint="eastAsia" w:cs="Times New Roman"/>
                <w:color w:val="auto"/>
              </w:rPr>
              <w:t>土石方</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工程建设期土石方挖填总量102607.1</w:t>
            </w:r>
            <w:r>
              <w:rPr>
                <w:rFonts w:hint="default" w:ascii="Times New Roman" w:hAnsi="Times New Roman" w:cs="Times New Roman"/>
                <w:color w:val="auto"/>
              </w:rPr>
              <w:t>m</w:t>
            </w:r>
            <w:r>
              <w:rPr>
                <w:rFonts w:hint="eastAsia" w:ascii="Times New Roman" w:hAnsi="Times New Roman" w:cs="Times New Roman"/>
                <w:color w:val="auto"/>
                <w:vertAlign w:val="superscript"/>
              </w:rPr>
              <w:t>3</w:t>
            </w:r>
            <w:r>
              <w:rPr>
                <w:rFonts w:hint="eastAsia" w:ascii="Times New Roman" w:hAnsi="Times New Roman" w:cs="Times New Roman"/>
                <w:color w:val="auto"/>
              </w:rPr>
              <w:t>，项目不设弃土场，不设弃渣场，开挖土石方</w:t>
            </w:r>
            <w:r>
              <w:rPr>
                <w:rFonts w:hint="eastAsia" w:ascii="Times New Roman" w:hAnsi="Times New Roman" w:cs="Times New Roman"/>
                <w:color w:val="auto"/>
                <w:lang w:val="en-US" w:eastAsia="zh-CN"/>
              </w:rPr>
              <w:t>部分</w:t>
            </w:r>
            <w:r>
              <w:rPr>
                <w:rFonts w:hint="eastAsia" w:ascii="Times New Roman" w:hAnsi="Times New Roman" w:cs="Times New Roman"/>
                <w:color w:val="auto"/>
              </w:rPr>
              <w:t>回填</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剩余部分作为道路垫道</w:t>
            </w:r>
            <w:r>
              <w:rPr>
                <w:rFonts w:hint="eastAsia" w:cs="Times New Roman"/>
                <w:color w:val="auto"/>
                <w:lang w:val="en-US" w:eastAsia="zh-CN"/>
              </w:rPr>
              <w:t>和土地平整</w:t>
            </w:r>
            <w:r>
              <w:rPr>
                <w:rFonts w:hint="eastAsia" w:ascii="Times New Roman" w:hAnsi="Times New Roman" w:cs="Times New Roman"/>
                <w:color w:val="auto"/>
                <w:lang w:val="en-US" w:eastAsia="zh-CN"/>
              </w:rPr>
              <w:t>使用</w:t>
            </w:r>
            <w:r>
              <w:rPr>
                <w:rFonts w:hint="eastAsia" w:ascii="Times New Roman" w:hAnsi="Times New Roman" w:cs="Times New Roman"/>
                <w:color w:val="auto"/>
              </w:rPr>
              <w:t>。土石方平衡表见下表。</w:t>
            </w:r>
          </w:p>
          <w:p>
            <w:pPr>
              <w:pStyle w:val="33"/>
              <w:keepNext w:val="0"/>
              <w:keepLines w:val="0"/>
              <w:suppressLineNumbers w:val="0"/>
              <w:spacing w:before="0" w:beforeAutospacing="0" w:after="0" w:afterAutospacing="0"/>
              <w:ind w:right="0"/>
              <w:rPr>
                <w:rFonts w:hint="default" w:ascii="Times New Roman" w:hAnsi="Times New Roman" w:cs="Times New Roman"/>
                <w:color w:val="auto"/>
              </w:rPr>
            </w:pPr>
            <w:r>
              <w:rPr>
                <w:rFonts w:ascii="Times New Roman" w:hAnsi="Times New Roman" w:cs="Times New Roman"/>
                <w:color w:val="auto"/>
              </w:rPr>
              <w:t>项目土石方数量表 单位：m</w:t>
            </w:r>
            <w:r>
              <w:rPr>
                <w:rFonts w:ascii="Times New Roman" w:hAnsi="Times New Roman" w:cs="Times New Roman"/>
                <w:color w:val="auto"/>
                <w:vertAlign w:val="superscript"/>
              </w:rPr>
              <w:t>3</w:t>
            </w:r>
          </w:p>
          <w:tbl>
            <w:tblPr>
              <w:tblStyle w:val="20"/>
              <w:tblW w:w="823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98"/>
              <w:gridCol w:w="1048"/>
              <w:gridCol w:w="1021"/>
              <w:gridCol w:w="933"/>
              <w:gridCol w:w="1155"/>
              <w:gridCol w:w="900"/>
              <w:gridCol w:w="9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98" w:type="dxa"/>
                  <w:vMerge w:val="restart"/>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b/>
                      <w:bCs/>
                      <w:color w:val="auto"/>
                    </w:rPr>
                  </w:pPr>
                  <w:r>
                    <w:rPr>
                      <w:rFonts w:hint="eastAsia" w:ascii="Times New Roman" w:hAnsi="Times New Roman" w:cs="Times New Roman"/>
                      <w:b/>
                      <w:bCs/>
                      <w:color w:val="auto"/>
                    </w:rPr>
                    <w:t>建设项目</w:t>
                  </w:r>
                </w:p>
              </w:tc>
              <w:tc>
                <w:tcPr>
                  <w:tcW w:w="1048" w:type="dxa"/>
                  <w:vMerge w:val="restart"/>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b/>
                      <w:bCs/>
                      <w:color w:val="auto"/>
                    </w:rPr>
                  </w:pPr>
                  <w:r>
                    <w:rPr>
                      <w:rFonts w:hint="eastAsia" w:ascii="Times New Roman" w:hAnsi="Times New Roman" w:cs="Times New Roman"/>
                      <w:b/>
                      <w:bCs/>
                      <w:color w:val="auto"/>
                    </w:rPr>
                    <w:t>挖方</w:t>
                  </w:r>
                </w:p>
              </w:tc>
              <w:tc>
                <w:tcPr>
                  <w:tcW w:w="1021" w:type="dxa"/>
                  <w:vMerge w:val="restart"/>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b/>
                      <w:bCs/>
                      <w:color w:val="auto"/>
                    </w:rPr>
                  </w:pPr>
                  <w:r>
                    <w:rPr>
                      <w:rFonts w:hint="eastAsia" w:ascii="Times New Roman" w:hAnsi="Times New Roman" w:cs="Times New Roman"/>
                      <w:b/>
                      <w:bCs/>
                      <w:color w:val="auto"/>
                    </w:rPr>
                    <w:t>填方</w:t>
                  </w:r>
                </w:p>
              </w:tc>
              <w:tc>
                <w:tcPr>
                  <w:tcW w:w="2088" w:type="dxa"/>
                  <w:gridSpan w:val="2"/>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b/>
                      <w:bCs/>
                      <w:color w:val="auto"/>
                    </w:rPr>
                  </w:pPr>
                  <w:r>
                    <w:rPr>
                      <w:rFonts w:hint="eastAsia" w:ascii="Times New Roman" w:hAnsi="Times New Roman" w:cs="Times New Roman"/>
                      <w:b/>
                      <w:bCs/>
                      <w:color w:val="auto"/>
                    </w:rPr>
                    <w:t>调出</w:t>
                  </w:r>
                </w:p>
              </w:tc>
              <w:tc>
                <w:tcPr>
                  <w:tcW w:w="1875" w:type="dxa"/>
                  <w:gridSpan w:val="2"/>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b/>
                      <w:bCs/>
                      <w:color w:val="auto"/>
                    </w:rPr>
                  </w:pPr>
                  <w:r>
                    <w:rPr>
                      <w:rFonts w:hint="eastAsia" w:ascii="Times New Roman" w:hAnsi="Times New Roman" w:cs="Times New Roman"/>
                      <w:b/>
                      <w:bCs/>
                      <w:color w:val="auto"/>
                    </w:rPr>
                    <w:t>调入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98" w:type="dxa"/>
                  <w:vMerge w:val="continue"/>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p>
              </w:tc>
              <w:tc>
                <w:tcPr>
                  <w:tcW w:w="1048" w:type="dxa"/>
                  <w:vMerge w:val="continue"/>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p>
              </w:tc>
              <w:tc>
                <w:tcPr>
                  <w:tcW w:w="1021" w:type="dxa"/>
                  <w:vMerge w:val="continue"/>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p>
              </w:tc>
              <w:tc>
                <w:tcPr>
                  <w:tcW w:w="933"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b/>
                      <w:bCs/>
                      <w:color w:val="auto"/>
                    </w:rPr>
                  </w:pPr>
                  <w:r>
                    <w:rPr>
                      <w:rFonts w:hint="eastAsia" w:ascii="Times New Roman" w:hAnsi="Times New Roman" w:cs="Times New Roman"/>
                      <w:b/>
                      <w:bCs/>
                      <w:color w:val="auto"/>
                    </w:rPr>
                    <w:t>数量</w:t>
                  </w:r>
                </w:p>
              </w:tc>
              <w:tc>
                <w:tcPr>
                  <w:tcW w:w="1155"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b/>
                      <w:bCs/>
                      <w:color w:val="auto"/>
                    </w:rPr>
                  </w:pPr>
                  <w:r>
                    <w:rPr>
                      <w:rFonts w:hint="eastAsia" w:ascii="Times New Roman" w:hAnsi="Times New Roman" w:cs="Times New Roman"/>
                      <w:b/>
                      <w:bCs/>
                      <w:color w:val="auto"/>
                    </w:rPr>
                    <w:t>去向</w:t>
                  </w:r>
                </w:p>
              </w:tc>
              <w:tc>
                <w:tcPr>
                  <w:tcW w:w="90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b/>
                      <w:bCs/>
                      <w:color w:val="auto"/>
                    </w:rPr>
                  </w:pPr>
                  <w:r>
                    <w:rPr>
                      <w:rFonts w:hint="eastAsia" w:ascii="Times New Roman" w:hAnsi="Times New Roman" w:cs="Times New Roman"/>
                      <w:b/>
                      <w:bCs/>
                      <w:color w:val="auto"/>
                    </w:rPr>
                    <w:t>数量</w:t>
                  </w:r>
                </w:p>
              </w:tc>
              <w:tc>
                <w:tcPr>
                  <w:tcW w:w="975"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b/>
                      <w:bCs/>
                      <w:color w:val="auto"/>
                    </w:rPr>
                  </w:pPr>
                  <w:r>
                    <w:rPr>
                      <w:rFonts w:hint="eastAsia" w:ascii="Times New Roman" w:hAnsi="Times New Roman" w:cs="Times New Roman"/>
                      <w:b/>
                      <w:bCs/>
                      <w:color w:val="auto"/>
                    </w:rPr>
                    <w:t>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98" w:type="dxa"/>
                  <w:tcBorders>
                    <w:top w:val="nil"/>
                    <w:left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光伏场区</w:t>
                  </w:r>
                </w:p>
              </w:tc>
              <w:tc>
                <w:tcPr>
                  <w:tcW w:w="1048" w:type="dxa"/>
                  <w:tcBorders>
                    <w:top w:val="single" w:color="auto" w:sz="4" w:space="0"/>
                    <w:left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25365</w:t>
                  </w:r>
                </w:p>
              </w:tc>
              <w:tc>
                <w:tcPr>
                  <w:tcW w:w="1021" w:type="dxa"/>
                  <w:tcBorders>
                    <w:top w:val="single" w:color="auto" w:sz="4" w:space="0"/>
                    <w:left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eastAsia="宋体" w:cs="Times New Roman"/>
                      <w:color w:val="auto"/>
                      <w:lang w:val="en-US" w:eastAsia="zh-CN"/>
                    </w:rPr>
                  </w:pPr>
                  <w:r>
                    <w:rPr>
                      <w:rFonts w:hint="eastAsia" w:cs="Times New Roman"/>
                      <w:color w:val="auto"/>
                      <w:lang w:val="en-US" w:eastAsia="zh-CN"/>
                    </w:rPr>
                    <w:t>15473</w:t>
                  </w:r>
                </w:p>
              </w:tc>
              <w:tc>
                <w:tcPr>
                  <w:tcW w:w="933"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eastAsia="宋体" w:cs="Times New Roman"/>
                      <w:color w:val="auto"/>
                      <w:lang w:val="en-US" w:eastAsia="zh-CN"/>
                    </w:rPr>
                  </w:pPr>
                  <w:r>
                    <w:rPr>
                      <w:rFonts w:hint="eastAsia" w:cs="Times New Roman"/>
                      <w:color w:val="auto"/>
                      <w:lang w:val="en-US" w:eastAsia="zh-CN"/>
                    </w:rPr>
                    <w:t>9892</w:t>
                  </w:r>
                </w:p>
              </w:tc>
              <w:tc>
                <w:tcPr>
                  <w:tcW w:w="1155"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eastAsia="宋体" w:cs="Times New Roman"/>
                      <w:color w:val="auto"/>
                      <w:lang w:val="en-US" w:eastAsia="zh-CN"/>
                    </w:rPr>
                  </w:pPr>
                  <w:r>
                    <w:rPr>
                      <w:rFonts w:hint="eastAsia" w:cs="Times New Roman"/>
                      <w:color w:val="auto"/>
                      <w:lang w:val="en-US" w:eastAsia="zh-CN"/>
                    </w:rPr>
                    <w:t>土地平整</w:t>
                  </w:r>
                </w:p>
              </w:tc>
              <w:tc>
                <w:tcPr>
                  <w:tcW w:w="90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0</w:t>
                  </w:r>
                </w:p>
              </w:tc>
              <w:tc>
                <w:tcPr>
                  <w:tcW w:w="975"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98"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集电线路直埋电缆</w:t>
                  </w:r>
                </w:p>
              </w:tc>
              <w:tc>
                <w:tcPr>
                  <w:tcW w:w="1048"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eastAsia="宋体" w:cs="Times New Roman"/>
                      <w:color w:val="auto"/>
                      <w:lang w:val="en-US" w:eastAsia="zh-CN"/>
                    </w:rPr>
                  </w:pPr>
                  <w:r>
                    <w:rPr>
                      <w:rFonts w:hint="eastAsia" w:cs="Times New Roman"/>
                      <w:color w:val="auto"/>
                      <w:lang w:val="en-US" w:eastAsia="zh-CN"/>
                    </w:rPr>
                    <w:t>78930</w:t>
                  </w:r>
                </w:p>
              </w:tc>
              <w:tc>
                <w:tcPr>
                  <w:tcW w:w="1021"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eastAsia="宋体" w:cs="Times New Roman"/>
                      <w:color w:val="auto"/>
                      <w:lang w:val="en-US" w:eastAsia="zh-CN"/>
                    </w:rPr>
                  </w:pPr>
                  <w:r>
                    <w:rPr>
                      <w:rFonts w:hint="eastAsia" w:cs="Times New Roman"/>
                      <w:color w:val="auto"/>
                      <w:lang w:val="en-US" w:eastAsia="zh-CN"/>
                    </w:rPr>
                    <w:t>39465</w:t>
                  </w:r>
                </w:p>
              </w:tc>
              <w:tc>
                <w:tcPr>
                  <w:tcW w:w="933"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lang w:val="en-US" w:eastAsia="zh-CN"/>
                    </w:rPr>
                    <w:t>39465</w:t>
                  </w:r>
                </w:p>
              </w:tc>
              <w:tc>
                <w:tcPr>
                  <w:tcW w:w="1155"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lang w:val="en-US" w:eastAsia="zh-CN"/>
                    </w:rPr>
                    <w:t>土地平整</w:t>
                  </w:r>
                </w:p>
              </w:tc>
              <w:tc>
                <w:tcPr>
                  <w:tcW w:w="90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0</w:t>
                  </w:r>
                </w:p>
              </w:tc>
              <w:tc>
                <w:tcPr>
                  <w:tcW w:w="975"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98" w:type="dxa"/>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升压站</w:t>
                  </w:r>
                </w:p>
              </w:tc>
              <w:tc>
                <w:tcPr>
                  <w:tcW w:w="1048"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8316.1</w:t>
                  </w:r>
                </w:p>
              </w:tc>
              <w:tc>
                <w:tcPr>
                  <w:tcW w:w="1021"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3316.1</w:t>
                  </w:r>
                </w:p>
              </w:tc>
              <w:tc>
                <w:tcPr>
                  <w:tcW w:w="933"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5000</w:t>
                  </w:r>
                </w:p>
              </w:tc>
              <w:tc>
                <w:tcPr>
                  <w:tcW w:w="1155"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eastAsia="宋体" w:cs="Times New Roman"/>
                      <w:color w:val="auto"/>
                      <w:lang w:val="en-US" w:eastAsia="zh-CN"/>
                    </w:rPr>
                  </w:pPr>
                  <w:r>
                    <w:rPr>
                      <w:rFonts w:hint="eastAsia" w:ascii="Times New Roman" w:hAnsi="Times New Roman" w:cs="Times New Roman"/>
                      <w:color w:val="auto"/>
                    </w:rPr>
                    <w:t>进场道路</w:t>
                  </w:r>
                  <w:r>
                    <w:rPr>
                      <w:rFonts w:hint="eastAsia" w:cs="Times New Roman"/>
                      <w:color w:val="auto"/>
                      <w:lang w:val="en-US" w:eastAsia="zh-CN"/>
                    </w:rPr>
                    <w:t>及光伏区检修道路</w:t>
                  </w:r>
                </w:p>
              </w:tc>
              <w:tc>
                <w:tcPr>
                  <w:tcW w:w="90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0</w:t>
                  </w:r>
                </w:p>
              </w:tc>
              <w:tc>
                <w:tcPr>
                  <w:tcW w:w="975"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98"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eastAsia="宋体" w:cs="Times New Roman"/>
                      <w:color w:val="auto"/>
                      <w:lang w:val="en-US" w:eastAsia="zh-CN"/>
                    </w:rPr>
                  </w:pPr>
                  <w:r>
                    <w:rPr>
                      <w:rFonts w:hint="eastAsia" w:ascii="Times New Roman" w:hAnsi="Times New Roman" w:cs="Times New Roman"/>
                      <w:color w:val="auto"/>
                    </w:rPr>
                    <w:t>进场道路</w:t>
                  </w:r>
                  <w:r>
                    <w:rPr>
                      <w:rFonts w:hint="eastAsia" w:cs="Times New Roman"/>
                      <w:color w:val="auto"/>
                      <w:lang w:val="en-US" w:eastAsia="zh-CN"/>
                    </w:rPr>
                    <w:t>及光伏区检修道路</w:t>
                  </w:r>
                </w:p>
              </w:tc>
              <w:tc>
                <w:tcPr>
                  <w:tcW w:w="1048"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61360</w:t>
                  </w:r>
                </w:p>
              </w:tc>
              <w:tc>
                <w:tcPr>
                  <w:tcW w:w="1021"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66360</w:t>
                  </w:r>
                </w:p>
              </w:tc>
              <w:tc>
                <w:tcPr>
                  <w:tcW w:w="933"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0</w:t>
                  </w:r>
                </w:p>
              </w:tc>
              <w:tc>
                <w:tcPr>
                  <w:tcW w:w="1155"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w:t>
                  </w:r>
                </w:p>
              </w:tc>
              <w:tc>
                <w:tcPr>
                  <w:tcW w:w="90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5000</w:t>
                  </w:r>
                </w:p>
              </w:tc>
              <w:tc>
                <w:tcPr>
                  <w:tcW w:w="975"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升压站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98"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合计</w:t>
                  </w:r>
                </w:p>
              </w:tc>
              <w:tc>
                <w:tcPr>
                  <w:tcW w:w="1048"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102607.1</w:t>
                  </w:r>
                </w:p>
              </w:tc>
              <w:tc>
                <w:tcPr>
                  <w:tcW w:w="1021"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102607.</w:t>
                  </w:r>
                  <w:r>
                    <w:rPr>
                      <w:rFonts w:hint="eastAsia" w:cs="Times New Roman"/>
                      <w:color w:val="auto"/>
                      <w:lang w:val="en-US" w:eastAsia="zh-CN"/>
                    </w:rPr>
                    <w:t>1</w:t>
                  </w:r>
                  <w:r>
                    <w:rPr>
                      <w:rFonts w:hint="default" w:ascii="Times New Roman" w:hAnsi="Times New Roman" w:cs="Times New Roman"/>
                      <w:color w:val="auto"/>
                    </w:rPr>
                    <w:cr/>
                  </w:r>
                </w:p>
              </w:tc>
              <w:tc>
                <w:tcPr>
                  <w:tcW w:w="933"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5000</w:t>
                  </w:r>
                </w:p>
              </w:tc>
              <w:tc>
                <w:tcPr>
                  <w:tcW w:w="1155"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w:t>
                  </w:r>
                </w:p>
              </w:tc>
              <w:tc>
                <w:tcPr>
                  <w:tcW w:w="90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5000</w:t>
                  </w:r>
                </w:p>
              </w:tc>
              <w:tc>
                <w:tcPr>
                  <w:tcW w:w="975"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w:t>
                  </w:r>
                </w:p>
              </w:tc>
            </w:tr>
          </w:tbl>
          <w:p>
            <w:pPr>
              <w:pStyle w:val="4"/>
              <w:numPr>
                <w:ilvl w:val="1"/>
                <w:numId w:val="12"/>
              </w:numPr>
              <w:suppressLineNumbers w:val="0"/>
              <w:tabs>
                <w:tab w:val="left" w:pos="0"/>
              </w:tabs>
              <w:spacing w:before="0" w:after="0"/>
              <w:ind w:right="0" w:firstLine="482"/>
              <w:rPr>
                <w:rFonts w:hint="default" w:cs="Times New Roman"/>
                <w:color w:val="auto"/>
              </w:rPr>
            </w:pPr>
            <w:r>
              <w:rPr>
                <w:rFonts w:hint="eastAsia" w:cs="Times New Roman"/>
                <w:color w:val="auto"/>
              </w:rPr>
              <w:t>施工设备：</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本项目施工设备见下表：</w:t>
            </w:r>
          </w:p>
          <w:p>
            <w:pPr>
              <w:pStyle w:val="33"/>
              <w:keepNext w:val="0"/>
              <w:keepLines w:val="0"/>
              <w:suppressLineNumbers w:val="0"/>
              <w:spacing w:before="0" w:beforeAutospacing="0" w:after="0" w:afterAutospacing="0"/>
              <w:ind w:right="0"/>
              <w:rPr>
                <w:rFonts w:hint="default" w:ascii="Times New Roman" w:hAnsi="Times New Roman" w:cs="Times New Roman"/>
                <w:color w:val="auto"/>
              </w:rPr>
            </w:pPr>
            <w:r>
              <w:rPr>
                <w:rFonts w:ascii="Times New Roman" w:hAnsi="Times New Roman" w:cs="Times New Roman"/>
                <w:color w:val="auto"/>
              </w:rPr>
              <w:t>施工期主要设备表</w:t>
            </w:r>
          </w:p>
          <w:tbl>
            <w:tblPr>
              <w:tblStyle w:val="2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86"/>
              <w:gridCol w:w="2771"/>
              <w:gridCol w:w="2450"/>
              <w:gridCol w:w="16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86"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序号</w:t>
                  </w:r>
                </w:p>
              </w:tc>
              <w:tc>
                <w:tcPr>
                  <w:tcW w:w="1690"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名称</w:t>
                  </w:r>
                </w:p>
              </w:tc>
              <w:tc>
                <w:tcPr>
                  <w:tcW w:w="1494"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单位</w:t>
                  </w:r>
                </w:p>
              </w:tc>
              <w:tc>
                <w:tcPr>
                  <w:tcW w:w="1028"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86"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w:t>
                  </w:r>
                </w:p>
              </w:tc>
              <w:tc>
                <w:tcPr>
                  <w:tcW w:w="1690"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混凝土搅拌站</w:t>
                  </w:r>
                </w:p>
              </w:tc>
              <w:tc>
                <w:tcPr>
                  <w:tcW w:w="1494"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台</w:t>
                  </w:r>
                </w:p>
              </w:tc>
              <w:tc>
                <w:tcPr>
                  <w:tcW w:w="1028"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86"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2</w:t>
                  </w:r>
                </w:p>
              </w:tc>
              <w:tc>
                <w:tcPr>
                  <w:tcW w:w="1690"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插入式振捣棒</w:t>
                  </w:r>
                </w:p>
              </w:tc>
              <w:tc>
                <w:tcPr>
                  <w:tcW w:w="1494"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条</w:t>
                  </w:r>
                </w:p>
              </w:tc>
              <w:tc>
                <w:tcPr>
                  <w:tcW w:w="1028"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86"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3</w:t>
                  </w:r>
                </w:p>
              </w:tc>
              <w:tc>
                <w:tcPr>
                  <w:tcW w:w="1690"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平板振捣器</w:t>
                  </w:r>
                </w:p>
              </w:tc>
              <w:tc>
                <w:tcPr>
                  <w:tcW w:w="1494"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台</w:t>
                  </w:r>
                </w:p>
              </w:tc>
              <w:tc>
                <w:tcPr>
                  <w:tcW w:w="1028"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86"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4</w:t>
                  </w:r>
                </w:p>
              </w:tc>
              <w:tc>
                <w:tcPr>
                  <w:tcW w:w="1690"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钢筋拉直机</w:t>
                  </w:r>
                </w:p>
              </w:tc>
              <w:tc>
                <w:tcPr>
                  <w:tcW w:w="1494"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台</w:t>
                  </w:r>
                </w:p>
              </w:tc>
              <w:tc>
                <w:tcPr>
                  <w:tcW w:w="1028"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86"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5</w:t>
                  </w:r>
                </w:p>
              </w:tc>
              <w:tc>
                <w:tcPr>
                  <w:tcW w:w="1690"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钢筋切断机</w:t>
                  </w:r>
                </w:p>
              </w:tc>
              <w:tc>
                <w:tcPr>
                  <w:tcW w:w="1494"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台</w:t>
                  </w:r>
                </w:p>
              </w:tc>
              <w:tc>
                <w:tcPr>
                  <w:tcW w:w="1028"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86" w:type="pc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default" w:ascii="Times New Roman" w:hAnsi="Times New Roman" w:cs="Times New Roman"/>
                      <w:color w:val="auto"/>
                    </w:rPr>
                    <w:t>6</w:t>
                  </w:r>
                </w:p>
              </w:tc>
              <w:tc>
                <w:tcPr>
                  <w:tcW w:w="1690" w:type="pc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钢筋弯曲机</w:t>
                  </w:r>
                </w:p>
              </w:tc>
              <w:tc>
                <w:tcPr>
                  <w:tcW w:w="1494" w:type="pc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台</w:t>
                  </w:r>
                </w:p>
              </w:tc>
              <w:tc>
                <w:tcPr>
                  <w:tcW w:w="1028" w:type="pc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default" w:ascii="Times New Roman" w:hAnsi="Times New Roman" w:cs="Times New Roman"/>
                      <w:color w:val="auto"/>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86" w:type="pc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default" w:ascii="Times New Roman" w:hAnsi="Times New Roman" w:cs="Times New Roman"/>
                      <w:color w:val="auto"/>
                    </w:rPr>
                    <w:t>7</w:t>
                  </w:r>
                </w:p>
              </w:tc>
              <w:tc>
                <w:tcPr>
                  <w:tcW w:w="1690" w:type="pc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钢筋弯钩机</w:t>
                  </w:r>
                </w:p>
              </w:tc>
              <w:tc>
                <w:tcPr>
                  <w:tcW w:w="1494" w:type="pc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台</w:t>
                  </w:r>
                </w:p>
              </w:tc>
              <w:tc>
                <w:tcPr>
                  <w:tcW w:w="1028" w:type="pc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default" w:ascii="Times New Roman" w:hAnsi="Times New Roman" w:cs="Times New Roman"/>
                      <w:color w:val="auto"/>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86" w:type="pc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default" w:ascii="Times New Roman" w:hAnsi="Times New Roman" w:cs="Times New Roman"/>
                      <w:color w:val="auto"/>
                    </w:rPr>
                    <w:t>8</w:t>
                  </w:r>
                </w:p>
              </w:tc>
              <w:tc>
                <w:tcPr>
                  <w:tcW w:w="1690" w:type="pc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蛙式打夯机</w:t>
                  </w:r>
                </w:p>
              </w:tc>
              <w:tc>
                <w:tcPr>
                  <w:tcW w:w="1494" w:type="pc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台</w:t>
                  </w:r>
                </w:p>
              </w:tc>
              <w:tc>
                <w:tcPr>
                  <w:tcW w:w="1028" w:type="pc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default" w:ascii="Times New Roman" w:hAnsi="Times New Roman" w:cs="Times New Roman"/>
                      <w:color w:val="auto"/>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86" w:type="pc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default" w:ascii="Times New Roman" w:hAnsi="Times New Roman" w:cs="Times New Roman"/>
                      <w:color w:val="auto"/>
                    </w:rPr>
                    <w:t>9</w:t>
                  </w:r>
                </w:p>
              </w:tc>
              <w:tc>
                <w:tcPr>
                  <w:tcW w:w="1690" w:type="pc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无齿砂轮锯</w:t>
                  </w:r>
                </w:p>
              </w:tc>
              <w:tc>
                <w:tcPr>
                  <w:tcW w:w="1494" w:type="pc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台</w:t>
                  </w:r>
                </w:p>
              </w:tc>
              <w:tc>
                <w:tcPr>
                  <w:tcW w:w="1028" w:type="pc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default" w:ascii="Times New Roman" w:hAnsi="Times New Roman" w:cs="Times New Roman"/>
                      <w:color w:val="auto"/>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86" w:type="pc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default" w:ascii="Times New Roman" w:hAnsi="Times New Roman" w:cs="Times New Roman"/>
                      <w:color w:val="auto"/>
                    </w:rPr>
                    <w:t>10</w:t>
                  </w:r>
                </w:p>
              </w:tc>
              <w:tc>
                <w:tcPr>
                  <w:tcW w:w="1690" w:type="pc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电平刨</w:t>
                  </w:r>
                </w:p>
              </w:tc>
              <w:tc>
                <w:tcPr>
                  <w:tcW w:w="1494" w:type="pc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台</w:t>
                  </w:r>
                </w:p>
              </w:tc>
              <w:tc>
                <w:tcPr>
                  <w:tcW w:w="1028" w:type="pc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default" w:ascii="Times New Roman" w:hAnsi="Times New Roman" w:cs="Times New Roman"/>
                      <w:color w:val="auto"/>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86" w:type="pc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default" w:ascii="Times New Roman" w:hAnsi="Times New Roman" w:cs="Times New Roman"/>
                      <w:color w:val="auto"/>
                    </w:rPr>
                    <w:t>11</w:t>
                  </w:r>
                </w:p>
              </w:tc>
              <w:tc>
                <w:tcPr>
                  <w:tcW w:w="1690" w:type="pc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砂浆机</w:t>
                  </w:r>
                </w:p>
              </w:tc>
              <w:tc>
                <w:tcPr>
                  <w:tcW w:w="1494" w:type="pc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台</w:t>
                  </w:r>
                </w:p>
              </w:tc>
              <w:tc>
                <w:tcPr>
                  <w:tcW w:w="1028" w:type="pc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default" w:ascii="Times New Roman" w:hAnsi="Times New Roman" w:cs="Times New Roman"/>
                      <w:color w:val="auto"/>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86" w:type="pc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default" w:ascii="Times New Roman" w:hAnsi="Times New Roman" w:cs="Times New Roman"/>
                      <w:color w:val="auto"/>
                    </w:rPr>
                    <w:t>12</w:t>
                  </w:r>
                </w:p>
              </w:tc>
              <w:tc>
                <w:tcPr>
                  <w:tcW w:w="1690" w:type="pc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空气压缩机</w:t>
                  </w:r>
                </w:p>
              </w:tc>
              <w:tc>
                <w:tcPr>
                  <w:tcW w:w="1494" w:type="pc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台</w:t>
                  </w:r>
                </w:p>
              </w:tc>
              <w:tc>
                <w:tcPr>
                  <w:tcW w:w="1028" w:type="pc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default" w:ascii="Times New Roman" w:hAnsi="Times New Roman" w:cs="Times New Roman"/>
                      <w:color w:val="auto"/>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86" w:type="pc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default" w:ascii="Times New Roman" w:hAnsi="Times New Roman" w:cs="Times New Roman"/>
                      <w:color w:val="auto"/>
                    </w:rPr>
                    <w:t>13</w:t>
                  </w:r>
                </w:p>
              </w:tc>
              <w:tc>
                <w:tcPr>
                  <w:tcW w:w="1690" w:type="pc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消防水泵</w:t>
                  </w:r>
                </w:p>
              </w:tc>
              <w:tc>
                <w:tcPr>
                  <w:tcW w:w="1494" w:type="pc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台</w:t>
                  </w:r>
                </w:p>
              </w:tc>
              <w:tc>
                <w:tcPr>
                  <w:tcW w:w="1028" w:type="pc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default" w:ascii="Times New Roman" w:hAnsi="Times New Roman" w:cs="Times New Roman"/>
                      <w:color w:val="auto"/>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86" w:type="pc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default" w:ascii="Times New Roman" w:hAnsi="Times New Roman" w:cs="Times New Roman"/>
                      <w:color w:val="auto"/>
                    </w:rPr>
                    <w:t>14</w:t>
                  </w:r>
                </w:p>
              </w:tc>
              <w:tc>
                <w:tcPr>
                  <w:tcW w:w="1690" w:type="pc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电焊机</w:t>
                  </w:r>
                </w:p>
              </w:tc>
              <w:tc>
                <w:tcPr>
                  <w:tcW w:w="1494" w:type="pc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台</w:t>
                  </w:r>
                </w:p>
              </w:tc>
              <w:tc>
                <w:tcPr>
                  <w:tcW w:w="1028" w:type="pc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default" w:ascii="Times New Roman" w:hAnsi="Times New Roman" w:cs="Times New Roman"/>
                      <w:color w:val="auto"/>
                    </w:rPr>
                    <w:t>60</w:t>
                  </w:r>
                </w:p>
              </w:tc>
            </w:tr>
          </w:tbl>
          <w:p>
            <w:pPr>
              <w:pStyle w:val="4"/>
              <w:suppressLineNumbers w:val="0"/>
              <w:spacing w:before="0" w:after="0"/>
              <w:ind w:left="0" w:right="0" w:firstLine="482"/>
              <w:rPr>
                <w:rFonts w:hint="default" w:cs="Times New Roman"/>
                <w:color w:val="auto"/>
              </w:rPr>
            </w:pPr>
            <w:r>
              <w:rPr>
                <w:rFonts w:hint="eastAsia" w:cs="Times New Roman"/>
                <w:color w:val="auto"/>
              </w:rPr>
              <w:t>主要生产设备</w:t>
            </w:r>
          </w:p>
          <w:p>
            <w:pPr>
              <w:pStyle w:val="33"/>
              <w:keepNext w:val="0"/>
              <w:keepLines w:val="0"/>
              <w:suppressLineNumbers w:val="0"/>
              <w:spacing w:before="0" w:beforeAutospacing="0" w:after="0" w:afterAutospacing="0"/>
              <w:ind w:right="0"/>
              <w:rPr>
                <w:rFonts w:hint="default" w:ascii="Times New Roman" w:hAnsi="Times New Roman" w:cs="Times New Roman"/>
                <w:color w:val="auto"/>
              </w:rPr>
            </w:pPr>
            <w:r>
              <w:rPr>
                <w:rFonts w:ascii="Times New Roman" w:hAnsi="Times New Roman" w:cs="Times New Roman"/>
                <w:color w:val="auto"/>
              </w:rPr>
              <w:t>主要生产设备一览表</w:t>
            </w:r>
          </w:p>
          <w:tbl>
            <w:tblPr>
              <w:tblStyle w:val="20"/>
              <w:tblW w:w="8166" w:type="dxa"/>
              <w:tblInd w:w="93" w:type="dxa"/>
              <w:tblLayout w:type="fixed"/>
              <w:tblCellMar>
                <w:top w:w="0" w:type="dxa"/>
                <w:left w:w="108" w:type="dxa"/>
                <w:bottom w:w="0" w:type="dxa"/>
                <w:right w:w="108" w:type="dxa"/>
              </w:tblCellMar>
            </w:tblPr>
            <w:tblGrid>
              <w:gridCol w:w="603"/>
              <w:gridCol w:w="2119"/>
              <w:gridCol w:w="3221"/>
              <w:gridCol w:w="600"/>
              <w:gridCol w:w="675"/>
              <w:gridCol w:w="948"/>
            </w:tblGrid>
            <w:tr>
              <w:tblPrEx>
                <w:tblCellMar>
                  <w:top w:w="0" w:type="dxa"/>
                  <w:left w:w="108" w:type="dxa"/>
                  <w:bottom w:w="0" w:type="dxa"/>
                  <w:right w:w="108" w:type="dxa"/>
                </w:tblCellMar>
              </w:tblPrEx>
              <w:trPr>
                <w:trHeight w:val="57" w:hRule="atLeast"/>
              </w:trPr>
              <w:tc>
                <w:tcPr>
                  <w:tcW w:w="603" w:type="dxa"/>
                  <w:tcBorders>
                    <w:top w:val="single" w:color="474747" w:sz="8" w:space="0"/>
                    <w:left w:val="single" w:color="474747"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b/>
                      <w:bCs/>
                      <w:color w:val="auto"/>
                      <w:szCs w:val="21"/>
                    </w:rPr>
                  </w:pPr>
                  <w:r>
                    <w:rPr>
                      <w:rFonts w:hint="eastAsia" w:ascii="Times New Roman" w:hAnsi="Times New Roman" w:cs="Times New Roman"/>
                      <w:b/>
                      <w:bCs/>
                      <w:color w:val="auto"/>
                      <w:szCs w:val="21"/>
                    </w:rPr>
                    <w:t>序号</w:t>
                  </w:r>
                </w:p>
              </w:tc>
              <w:tc>
                <w:tcPr>
                  <w:tcW w:w="2119" w:type="dxa"/>
                  <w:tcBorders>
                    <w:top w:val="single" w:color="474747"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b/>
                      <w:bCs/>
                      <w:color w:val="auto"/>
                      <w:szCs w:val="21"/>
                    </w:rPr>
                  </w:pPr>
                  <w:r>
                    <w:rPr>
                      <w:rFonts w:hint="eastAsia" w:ascii="Times New Roman" w:hAnsi="Times New Roman" w:cs="Times New Roman"/>
                      <w:b/>
                      <w:bCs/>
                      <w:color w:val="auto"/>
                      <w:szCs w:val="21"/>
                    </w:rPr>
                    <w:t>名称</w:t>
                  </w:r>
                </w:p>
              </w:tc>
              <w:tc>
                <w:tcPr>
                  <w:tcW w:w="3221" w:type="dxa"/>
                  <w:tcBorders>
                    <w:top w:val="single" w:color="474747"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b/>
                      <w:bCs/>
                      <w:color w:val="auto"/>
                      <w:szCs w:val="21"/>
                    </w:rPr>
                  </w:pPr>
                  <w:r>
                    <w:rPr>
                      <w:rFonts w:hint="eastAsia" w:ascii="Times New Roman" w:hAnsi="Times New Roman" w:cs="Times New Roman"/>
                      <w:b/>
                      <w:bCs/>
                      <w:color w:val="auto"/>
                      <w:szCs w:val="21"/>
                    </w:rPr>
                    <w:t>型号、规格及技术数据</w:t>
                  </w:r>
                </w:p>
              </w:tc>
              <w:tc>
                <w:tcPr>
                  <w:tcW w:w="600" w:type="dxa"/>
                  <w:tcBorders>
                    <w:top w:val="single" w:color="474747"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b/>
                      <w:bCs/>
                      <w:color w:val="auto"/>
                      <w:szCs w:val="21"/>
                    </w:rPr>
                  </w:pPr>
                  <w:r>
                    <w:rPr>
                      <w:rFonts w:hint="eastAsia" w:ascii="Times New Roman" w:hAnsi="Times New Roman" w:cs="Times New Roman"/>
                      <w:b/>
                      <w:bCs/>
                      <w:color w:val="auto"/>
                      <w:szCs w:val="21"/>
                    </w:rPr>
                    <w:t>单位</w:t>
                  </w:r>
                </w:p>
              </w:tc>
              <w:tc>
                <w:tcPr>
                  <w:tcW w:w="675" w:type="dxa"/>
                  <w:tcBorders>
                    <w:top w:val="single" w:color="474747"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b/>
                      <w:bCs/>
                      <w:color w:val="auto"/>
                      <w:szCs w:val="21"/>
                    </w:rPr>
                  </w:pPr>
                  <w:r>
                    <w:rPr>
                      <w:rFonts w:hint="eastAsia" w:ascii="Times New Roman" w:hAnsi="Times New Roman" w:cs="Times New Roman"/>
                      <w:b/>
                      <w:bCs/>
                      <w:color w:val="auto"/>
                      <w:szCs w:val="21"/>
                    </w:rPr>
                    <w:t>数量</w:t>
                  </w:r>
                </w:p>
              </w:tc>
              <w:tc>
                <w:tcPr>
                  <w:tcW w:w="948" w:type="dxa"/>
                  <w:tcBorders>
                    <w:top w:val="single" w:color="474747" w:sz="8" w:space="0"/>
                    <w:left w:val="single" w:color="888E93" w:sz="8" w:space="0"/>
                    <w:bottom w:val="single" w:color="888E93"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b/>
                      <w:bCs/>
                      <w:color w:val="auto"/>
                      <w:szCs w:val="21"/>
                    </w:rPr>
                  </w:pPr>
                  <w:r>
                    <w:rPr>
                      <w:rFonts w:hint="eastAsia" w:ascii="Times New Roman" w:hAnsi="Times New Roman" w:cs="Times New Roman"/>
                      <w:b/>
                      <w:bCs/>
                      <w:color w:val="auto"/>
                      <w:szCs w:val="21"/>
                    </w:rPr>
                    <w:t>备注</w:t>
                  </w:r>
                </w:p>
              </w:tc>
            </w:tr>
            <w:tr>
              <w:tblPrEx>
                <w:tblCellMar>
                  <w:top w:w="0" w:type="dxa"/>
                  <w:left w:w="108" w:type="dxa"/>
                  <w:bottom w:w="0" w:type="dxa"/>
                  <w:right w:w="108" w:type="dxa"/>
                </w:tblCellMar>
              </w:tblPrEx>
              <w:trPr>
                <w:trHeight w:val="57" w:hRule="atLeast"/>
              </w:trPr>
              <w:tc>
                <w:tcPr>
                  <w:tcW w:w="603" w:type="dxa"/>
                  <w:tcBorders>
                    <w:top w:val="single" w:color="888E93" w:sz="8" w:space="0"/>
                    <w:left w:val="single" w:color="474747"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一</w:t>
                  </w:r>
                </w:p>
              </w:tc>
              <w:tc>
                <w:tcPr>
                  <w:tcW w:w="7563" w:type="dxa"/>
                  <w:gridSpan w:val="5"/>
                  <w:tcBorders>
                    <w:top w:val="single" w:color="888E93" w:sz="8" w:space="0"/>
                    <w:left w:val="single" w:color="888E93" w:sz="8" w:space="0"/>
                    <w:bottom w:val="single" w:color="888E93"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主变压器部分</w:t>
                  </w:r>
                </w:p>
              </w:tc>
            </w:tr>
            <w:tr>
              <w:tblPrEx>
                <w:tblCellMar>
                  <w:top w:w="0" w:type="dxa"/>
                  <w:left w:w="108" w:type="dxa"/>
                  <w:bottom w:w="0" w:type="dxa"/>
                  <w:right w:w="108" w:type="dxa"/>
                </w:tblCellMar>
              </w:tblPrEx>
              <w:trPr>
                <w:trHeight w:val="1593" w:hRule="atLeast"/>
              </w:trPr>
              <w:tc>
                <w:tcPr>
                  <w:tcW w:w="603" w:type="dxa"/>
                  <w:tcBorders>
                    <w:top w:val="single" w:color="888E93" w:sz="8" w:space="0"/>
                    <w:left w:val="single" w:color="474747"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1</w:t>
                  </w:r>
                </w:p>
              </w:tc>
              <w:tc>
                <w:tcPr>
                  <w:tcW w:w="2119"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主变</w:t>
                  </w:r>
                </w:p>
              </w:tc>
              <w:tc>
                <w:tcPr>
                  <w:tcW w:w="3221"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SFZ18-200MVA/220kV满足三级能效</w:t>
                  </w:r>
                </w:p>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230±8x1.25%/38.5kVYN,d11</w:t>
                  </w:r>
                </w:p>
              </w:tc>
              <w:tc>
                <w:tcPr>
                  <w:tcW w:w="600"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台</w:t>
                  </w:r>
                </w:p>
              </w:tc>
              <w:tc>
                <w:tcPr>
                  <w:tcW w:w="675"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eastAsia="宋体" w:cs="Times New Roman"/>
                      <w:color w:val="auto"/>
                      <w:szCs w:val="21"/>
                      <w:lang w:eastAsia="zh-CN"/>
                    </w:rPr>
                  </w:pPr>
                  <w:r>
                    <w:rPr>
                      <w:rFonts w:hint="eastAsia" w:cs="Times New Roman"/>
                      <w:color w:val="auto"/>
                      <w:szCs w:val="21"/>
                      <w:lang w:val="en-US" w:eastAsia="zh-CN"/>
                    </w:rPr>
                    <w:t>2</w:t>
                  </w:r>
                </w:p>
              </w:tc>
              <w:tc>
                <w:tcPr>
                  <w:tcW w:w="948" w:type="dxa"/>
                  <w:tcBorders>
                    <w:top w:val="single" w:color="888E93" w:sz="8" w:space="0"/>
                    <w:left w:val="single" w:color="888E93" w:sz="8" w:space="0"/>
                    <w:bottom w:val="single" w:color="888E93"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本项目用一台，振北风电项目用一台</w:t>
                  </w:r>
                </w:p>
              </w:tc>
            </w:tr>
            <w:tr>
              <w:tblPrEx>
                <w:tblCellMar>
                  <w:top w:w="0" w:type="dxa"/>
                  <w:left w:w="108" w:type="dxa"/>
                  <w:bottom w:w="0" w:type="dxa"/>
                  <w:right w:w="108" w:type="dxa"/>
                </w:tblCellMar>
              </w:tblPrEx>
              <w:trPr>
                <w:trHeight w:val="57" w:hRule="atLeast"/>
              </w:trPr>
              <w:tc>
                <w:tcPr>
                  <w:tcW w:w="603" w:type="dxa"/>
                  <w:tcBorders>
                    <w:top w:val="single" w:color="888E93" w:sz="8" w:space="0"/>
                    <w:left w:val="single" w:color="474747"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2</w:t>
                  </w:r>
                </w:p>
              </w:tc>
              <w:tc>
                <w:tcPr>
                  <w:tcW w:w="2119"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中性点间隙接地保护装置</w:t>
                  </w:r>
                </w:p>
              </w:tc>
              <w:tc>
                <w:tcPr>
                  <w:tcW w:w="3221"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220型</w:t>
                  </w:r>
                </w:p>
              </w:tc>
              <w:tc>
                <w:tcPr>
                  <w:tcW w:w="600"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套</w:t>
                  </w:r>
                </w:p>
              </w:tc>
              <w:tc>
                <w:tcPr>
                  <w:tcW w:w="675"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eastAsia="宋体" w:cs="Times New Roman"/>
                      <w:color w:val="auto"/>
                      <w:szCs w:val="21"/>
                      <w:lang w:eastAsia="zh-CN"/>
                    </w:rPr>
                  </w:pPr>
                  <w:r>
                    <w:rPr>
                      <w:rFonts w:hint="eastAsia" w:cs="Times New Roman"/>
                      <w:color w:val="auto"/>
                      <w:szCs w:val="21"/>
                      <w:lang w:val="en-US" w:eastAsia="zh-CN"/>
                    </w:rPr>
                    <w:t>2</w:t>
                  </w:r>
                </w:p>
              </w:tc>
              <w:tc>
                <w:tcPr>
                  <w:tcW w:w="948" w:type="dxa"/>
                  <w:tcBorders>
                    <w:top w:val="single" w:color="888E93" w:sz="8" w:space="0"/>
                    <w:left w:val="single" w:color="888E93" w:sz="8" w:space="0"/>
                    <w:bottom w:val="single" w:color="888E93"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r>
            <w:tr>
              <w:tblPrEx>
                <w:tblCellMar>
                  <w:top w:w="0" w:type="dxa"/>
                  <w:left w:w="108" w:type="dxa"/>
                  <w:bottom w:w="0" w:type="dxa"/>
                  <w:right w:w="108" w:type="dxa"/>
                </w:tblCellMar>
              </w:tblPrEx>
              <w:trPr>
                <w:trHeight w:val="57" w:hRule="atLeast"/>
              </w:trPr>
              <w:tc>
                <w:tcPr>
                  <w:tcW w:w="603" w:type="dxa"/>
                  <w:tcBorders>
                    <w:top w:val="single" w:color="888E93" w:sz="8" w:space="0"/>
                    <w:left w:val="single" w:color="474747"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3</w:t>
                  </w:r>
                </w:p>
              </w:tc>
              <w:tc>
                <w:tcPr>
                  <w:tcW w:w="2119"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充氮灭火装置</w:t>
                  </w:r>
                </w:p>
              </w:tc>
              <w:tc>
                <w:tcPr>
                  <w:tcW w:w="3221"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c>
                <w:tcPr>
                  <w:tcW w:w="600"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套</w:t>
                  </w:r>
                </w:p>
              </w:tc>
              <w:tc>
                <w:tcPr>
                  <w:tcW w:w="675"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eastAsia="宋体" w:cs="Times New Roman"/>
                      <w:color w:val="auto"/>
                      <w:szCs w:val="21"/>
                      <w:lang w:eastAsia="zh-CN"/>
                    </w:rPr>
                  </w:pPr>
                  <w:r>
                    <w:rPr>
                      <w:rFonts w:hint="eastAsia" w:cs="Times New Roman"/>
                      <w:color w:val="auto"/>
                      <w:szCs w:val="21"/>
                      <w:lang w:val="en-US" w:eastAsia="zh-CN"/>
                    </w:rPr>
                    <w:t>2</w:t>
                  </w:r>
                </w:p>
              </w:tc>
              <w:tc>
                <w:tcPr>
                  <w:tcW w:w="948" w:type="dxa"/>
                  <w:tcBorders>
                    <w:top w:val="single" w:color="888E93" w:sz="8" w:space="0"/>
                    <w:left w:val="single" w:color="888E93" w:sz="8" w:space="0"/>
                    <w:bottom w:val="single" w:color="888E93"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200MVA主变用</w:t>
                  </w:r>
                </w:p>
              </w:tc>
            </w:tr>
            <w:tr>
              <w:tblPrEx>
                <w:tblCellMar>
                  <w:top w:w="0" w:type="dxa"/>
                  <w:left w:w="108" w:type="dxa"/>
                  <w:bottom w:w="0" w:type="dxa"/>
                  <w:right w:w="108" w:type="dxa"/>
                </w:tblCellMar>
              </w:tblPrEx>
              <w:trPr>
                <w:trHeight w:val="57" w:hRule="atLeast"/>
              </w:trPr>
              <w:tc>
                <w:tcPr>
                  <w:tcW w:w="603" w:type="dxa"/>
                  <w:tcBorders>
                    <w:top w:val="single" w:color="888E93" w:sz="8" w:space="0"/>
                    <w:left w:val="single" w:color="474747"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4</w:t>
                  </w:r>
                </w:p>
              </w:tc>
              <w:tc>
                <w:tcPr>
                  <w:tcW w:w="2119"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端子箱</w:t>
                  </w:r>
                </w:p>
              </w:tc>
              <w:tc>
                <w:tcPr>
                  <w:tcW w:w="3221"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ZXW-2/3带百叶窗钢底座</w:t>
                  </w:r>
                </w:p>
              </w:tc>
              <w:tc>
                <w:tcPr>
                  <w:tcW w:w="600"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个</w:t>
                  </w:r>
                </w:p>
              </w:tc>
              <w:tc>
                <w:tcPr>
                  <w:tcW w:w="675"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eastAsia="宋体" w:cs="Times New Roman"/>
                      <w:color w:val="auto"/>
                      <w:szCs w:val="21"/>
                      <w:lang w:val="en-US" w:eastAsia="zh-CN"/>
                    </w:rPr>
                  </w:pPr>
                  <w:r>
                    <w:rPr>
                      <w:rFonts w:hint="eastAsia" w:cs="Times New Roman"/>
                      <w:color w:val="auto"/>
                      <w:szCs w:val="21"/>
                      <w:lang w:val="en-US" w:eastAsia="zh-CN"/>
                    </w:rPr>
                    <w:t>2</w:t>
                  </w:r>
                </w:p>
              </w:tc>
              <w:tc>
                <w:tcPr>
                  <w:tcW w:w="948" w:type="dxa"/>
                  <w:tcBorders>
                    <w:top w:val="single" w:color="888E93" w:sz="8" w:space="0"/>
                    <w:left w:val="single" w:color="888E93" w:sz="8" w:space="0"/>
                    <w:bottom w:val="single" w:color="888E93"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r>
            <w:tr>
              <w:tblPrEx>
                <w:tblCellMar>
                  <w:top w:w="0" w:type="dxa"/>
                  <w:left w:w="108" w:type="dxa"/>
                  <w:bottom w:w="0" w:type="dxa"/>
                  <w:right w:w="108" w:type="dxa"/>
                </w:tblCellMar>
              </w:tblPrEx>
              <w:trPr>
                <w:trHeight w:val="57" w:hRule="atLeast"/>
              </w:trPr>
              <w:tc>
                <w:tcPr>
                  <w:tcW w:w="603" w:type="dxa"/>
                  <w:tcBorders>
                    <w:top w:val="single" w:color="888E93" w:sz="8" w:space="0"/>
                    <w:left w:val="single" w:color="474747"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5</w:t>
                  </w:r>
                </w:p>
              </w:tc>
              <w:tc>
                <w:tcPr>
                  <w:tcW w:w="2119"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检修箱</w:t>
                  </w:r>
                </w:p>
              </w:tc>
              <w:tc>
                <w:tcPr>
                  <w:tcW w:w="3221"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ZXW-2/3</w:t>
                  </w:r>
                </w:p>
              </w:tc>
              <w:tc>
                <w:tcPr>
                  <w:tcW w:w="600"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个</w:t>
                  </w:r>
                </w:p>
              </w:tc>
              <w:tc>
                <w:tcPr>
                  <w:tcW w:w="675"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eastAsia="宋体" w:cs="Times New Roman"/>
                      <w:color w:val="auto"/>
                      <w:szCs w:val="21"/>
                      <w:lang w:eastAsia="zh-CN"/>
                    </w:rPr>
                  </w:pPr>
                  <w:r>
                    <w:rPr>
                      <w:rFonts w:hint="eastAsia" w:cs="Times New Roman"/>
                      <w:color w:val="auto"/>
                      <w:szCs w:val="21"/>
                      <w:lang w:val="en-US" w:eastAsia="zh-CN"/>
                    </w:rPr>
                    <w:t>2</w:t>
                  </w:r>
                </w:p>
              </w:tc>
              <w:tc>
                <w:tcPr>
                  <w:tcW w:w="948" w:type="dxa"/>
                  <w:tcBorders>
                    <w:top w:val="single" w:color="888E93" w:sz="8" w:space="0"/>
                    <w:left w:val="single" w:color="888E93" w:sz="8" w:space="0"/>
                    <w:bottom w:val="single" w:color="888E93"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r>
            <w:tr>
              <w:tblPrEx>
                <w:tblCellMar>
                  <w:top w:w="0" w:type="dxa"/>
                  <w:left w:w="108" w:type="dxa"/>
                  <w:bottom w:w="0" w:type="dxa"/>
                  <w:right w:w="108" w:type="dxa"/>
                </w:tblCellMar>
              </w:tblPrEx>
              <w:trPr>
                <w:trHeight w:val="544" w:hRule="atLeast"/>
              </w:trPr>
              <w:tc>
                <w:tcPr>
                  <w:tcW w:w="603" w:type="dxa"/>
                  <w:vMerge w:val="restart"/>
                  <w:tcBorders>
                    <w:top w:val="single" w:color="888E93" w:sz="8" w:space="0"/>
                    <w:left w:val="single" w:color="474747"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二</w:t>
                  </w:r>
                </w:p>
              </w:tc>
              <w:tc>
                <w:tcPr>
                  <w:tcW w:w="7563" w:type="dxa"/>
                  <w:gridSpan w:val="5"/>
                  <w:tcBorders>
                    <w:top w:val="single" w:color="888E93" w:sz="8" w:space="0"/>
                    <w:left w:val="single" w:color="888E93" w:sz="8" w:space="0"/>
                    <w:bottom w:val="single" w:color="888E93"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220kV屋外配电装置部分</w:t>
                  </w:r>
                </w:p>
              </w:tc>
            </w:tr>
            <w:tr>
              <w:tblPrEx>
                <w:tblCellMar>
                  <w:top w:w="0" w:type="dxa"/>
                  <w:left w:w="108" w:type="dxa"/>
                  <w:bottom w:w="0" w:type="dxa"/>
                  <w:right w:w="108" w:type="dxa"/>
                </w:tblCellMar>
              </w:tblPrEx>
              <w:trPr>
                <w:trHeight w:val="57" w:hRule="atLeast"/>
              </w:trPr>
              <w:tc>
                <w:tcPr>
                  <w:tcW w:w="603" w:type="dxa"/>
                  <w:vMerge w:val="restart"/>
                  <w:tcBorders>
                    <w:top w:val="single" w:color="888E93" w:sz="8" w:space="0"/>
                    <w:left w:val="single" w:color="474747"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1</w:t>
                  </w:r>
                </w:p>
              </w:tc>
              <w:tc>
                <w:tcPr>
                  <w:tcW w:w="2119" w:type="dxa"/>
                  <w:vMerge w:val="restart"/>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220kVGIS组合器(含断路器)</w:t>
                  </w:r>
                </w:p>
              </w:tc>
              <w:tc>
                <w:tcPr>
                  <w:tcW w:w="3221"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出线间隔</w:t>
                  </w:r>
                </w:p>
              </w:tc>
              <w:tc>
                <w:tcPr>
                  <w:tcW w:w="600" w:type="dxa"/>
                  <w:vMerge w:val="restart"/>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套</w:t>
                  </w:r>
                </w:p>
              </w:tc>
              <w:tc>
                <w:tcPr>
                  <w:tcW w:w="675" w:type="dxa"/>
                  <w:vMerge w:val="restart"/>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eastAsia="宋体" w:cs="Times New Roman"/>
                      <w:color w:val="auto"/>
                      <w:szCs w:val="21"/>
                      <w:lang w:eastAsia="zh-CN"/>
                    </w:rPr>
                  </w:pPr>
                  <w:r>
                    <w:rPr>
                      <w:rFonts w:hint="eastAsia" w:cs="Times New Roman"/>
                      <w:color w:val="auto"/>
                      <w:szCs w:val="21"/>
                      <w:lang w:val="en-US" w:eastAsia="zh-CN"/>
                    </w:rPr>
                    <w:t>2</w:t>
                  </w:r>
                </w:p>
              </w:tc>
              <w:tc>
                <w:tcPr>
                  <w:tcW w:w="948" w:type="dxa"/>
                  <w:vMerge w:val="restart"/>
                  <w:tcBorders>
                    <w:top w:val="single" w:color="888E93" w:sz="8" w:space="0"/>
                    <w:left w:val="single" w:color="888E93" w:sz="8" w:space="0"/>
                    <w:bottom w:val="single" w:color="888E93"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户内型</w:t>
                  </w:r>
                </w:p>
              </w:tc>
            </w:tr>
            <w:tr>
              <w:tblPrEx>
                <w:tblCellMar>
                  <w:top w:w="0" w:type="dxa"/>
                  <w:left w:w="108" w:type="dxa"/>
                  <w:bottom w:w="0" w:type="dxa"/>
                  <w:right w:w="108" w:type="dxa"/>
                </w:tblCellMar>
              </w:tblPrEx>
              <w:trPr>
                <w:trHeight w:val="57" w:hRule="atLeast"/>
              </w:trPr>
              <w:tc>
                <w:tcPr>
                  <w:tcW w:w="603" w:type="dxa"/>
                  <w:vMerge w:val="continue"/>
                  <w:tcBorders>
                    <w:top w:val="single" w:color="888E93" w:sz="8" w:space="0"/>
                    <w:left w:val="single" w:color="474747"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c>
                <w:tcPr>
                  <w:tcW w:w="2119" w:type="dxa"/>
                  <w:vMerge w:val="continue"/>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c>
                <w:tcPr>
                  <w:tcW w:w="3221"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252kV3150A50kA(3s)</w:t>
                  </w:r>
                </w:p>
              </w:tc>
              <w:tc>
                <w:tcPr>
                  <w:tcW w:w="600" w:type="dxa"/>
                  <w:vMerge w:val="continue"/>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c>
                <w:tcPr>
                  <w:tcW w:w="675" w:type="dxa"/>
                  <w:vMerge w:val="continue"/>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c>
                <w:tcPr>
                  <w:tcW w:w="948" w:type="dxa"/>
                  <w:vMerge w:val="continue"/>
                  <w:tcBorders>
                    <w:top w:val="single" w:color="888E93" w:sz="8" w:space="0"/>
                    <w:left w:val="single" w:color="888E93" w:sz="8" w:space="0"/>
                    <w:bottom w:val="single" w:color="888E93"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r>
            <w:tr>
              <w:tblPrEx>
                <w:tblCellMar>
                  <w:top w:w="0" w:type="dxa"/>
                  <w:left w:w="108" w:type="dxa"/>
                  <w:bottom w:w="0" w:type="dxa"/>
                  <w:right w:w="108" w:type="dxa"/>
                </w:tblCellMar>
              </w:tblPrEx>
              <w:trPr>
                <w:trHeight w:val="57" w:hRule="atLeast"/>
              </w:trPr>
              <w:tc>
                <w:tcPr>
                  <w:tcW w:w="603" w:type="dxa"/>
                  <w:vMerge w:val="restart"/>
                  <w:tcBorders>
                    <w:top w:val="single" w:color="888E93" w:sz="8" w:space="0"/>
                    <w:left w:val="single" w:color="474747"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2</w:t>
                  </w:r>
                </w:p>
              </w:tc>
              <w:tc>
                <w:tcPr>
                  <w:tcW w:w="2119" w:type="dxa"/>
                  <w:vMerge w:val="restart"/>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220kVGIS组合器(含断路器)</w:t>
                  </w:r>
                </w:p>
              </w:tc>
              <w:tc>
                <w:tcPr>
                  <w:tcW w:w="3221"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主进间隔</w:t>
                  </w:r>
                </w:p>
              </w:tc>
              <w:tc>
                <w:tcPr>
                  <w:tcW w:w="600" w:type="dxa"/>
                  <w:vMerge w:val="restart"/>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套</w:t>
                  </w:r>
                </w:p>
              </w:tc>
              <w:tc>
                <w:tcPr>
                  <w:tcW w:w="675" w:type="dxa"/>
                  <w:vMerge w:val="restart"/>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eastAsia="宋体" w:cs="Times New Roman"/>
                      <w:color w:val="auto"/>
                      <w:szCs w:val="21"/>
                      <w:lang w:eastAsia="zh-CN"/>
                    </w:rPr>
                  </w:pPr>
                  <w:r>
                    <w:rPr>
                      <w:rFonts w:hint="eastAsia" w:cs="Times New Roman"/>
                      <w:color w:val="auto"/>
                      <w:szCs w:val="21"/>
                      <w:lang w:val="en-US" w:eastAsia="zh-CN"/>
                    </w:rPr>
                    <w:t>1</w:t>
                  </w:r>
                </w:p>
              </w:tc>
              <w:tc>
                <w:tcPr>
                  <w:tcW w:w="948" w:type="dxa"/>
                  <w:vMerge w:val="restart"/>
                  <w:tcBorders>
                    <w:top w:val="single" w:color="888E93" w:sz="8" w:space="0"/>
                    <w:left w:val="single" w:color="888E93" w:sz="8" w:space="0"/>
                    <w:bottom w:val="single" w:color="888E93"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户内型</w:t>
                  </w:r>
                </w:p>
              </w:tc>
            </w:tr>
            <w:tr>
              <w:tblPrEx>
                <w:tblCellMar>
                  <w:top w:w="0" w:type="dxa"/>
                  <w:left w:w="108" w:type="dxa"/>
                  <w:bottom w:w="0" w:type="dxa"/>
                  <w:right w:w="108" w:type="dxa"/>
                </w:tblCellMar>
              </w:tblPrEx>
              <w:trPr>
                <w:trHeight w:val="57" w:hRule="atLeast"/>
              </w:trPr>
              <w:tc>
                <w:tcPr>
                  <w:tcW w:w="603" w:type="dxa"/>
                  <w:vMerge w:val="continue"/>
                  <w:tcBorders>
                    <w:top w:val="single" w:color="888E93" w:sz="8" w:space="0"/>
                    <w:left w:val="single" w:color="474747"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c>
                <w:tcPr>
                  <w:tcW w:w="2119" w:type="dxa"/>
                  <w:vMerge w:val="continue"/>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c>
                <w:tcPr>
                  <w:tcW w:w="3221"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252kV3150A50kA(3s)</w:t>
                  </w:r>
                </w:p>
              </w:tc>
              <w:tc>
                <w:tcPr>
                  <w:tcW w:w="600" w:type="dxa"/>
                  <w:vMerge w:val="continue"/>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c>
                <w:tcPr>
                  <w:tcW w:w="675" w:type="dxa"/>
                  <w:vMerge w:val="continue"/>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c>
                <w:tcPr>
                  <w:tcW w:w="948" w:type="dxa"/>
                  <w:vMerge w:val="continue"/>
                  <w:tcBorders>
                    <w:top w:val="single" w:color="888E93" w:sz="8" w:space="0"/>
                    <w:left w:val="single" w:color="888E93" w:sz="8" w:space="0"/>
                    <w:bottom w:val="single" w:color="888E93"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r>
            <w:tr>
              <w:tblPrEx>
                <w:tblCellMar>
                  <w:top w:w="0" w:type="dxa"/>
                  <w:left w:w="108" w:type="dxa"/>
                  <w:bottom w:w="0" w:type="dxa"/>
                  <w:right w:w="108" w:type="dxa"/>
                </w:tblCellMar>
              </w:tblPrEx>
              <w:trPr>
                <w:trHeight w:val="57" w:hRule="atLeast"/>
              </w:trPr>
              <w:tc>
                <w:tcPr>
                  <w:tcW w:w="603" w:type="dxa"/>
                  <w:vMerge w:val="restart"/>
                  <w:tcBorders>
                    <w:top w:val="single" w:color="888E93" w:sz="8" w:space="0"/>
                    <w:left w:val="single" w:color="474747"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3</w:t>
                  </w:r>
                </w:p>
              </w:tc>
              <w:tc>
                <w:tcPr>
                  <w:tcW w:w="2119" w:type="dxa"/>
                  <w:vMerge w:val="restart"/>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220kVGIS组合器(含PT、隔离开关)</w:t>
                  </w:r>
                </w:p>
              </w:tc>
              <w:tc>
                <w:tcPr>
                  <w:tcW w:w="3221"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PT间隔</w:t>
                  </w:r>
                </w:p>
              </w:tc>
              <w:tc>
                <w:tcPr>
                  <w:tcW w:w="600" w:type="dxa"/>
                  <w:vMerge w:val="restart"/>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套</w:t>
                  </w:r>
                </w:p>
              </w:tc>
              <w:tc>
                <w:tcPr>
                  <w:tcW w:w="675" w:type="dxa"/>
                  <w:vMerge w:val="restart"/>
                  <w:tcBorders>
                    <w:top w:val="single" w:color="888E93" w:sz="8" w:space="0"/>
                    <w:left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eastAsia="宋体" w:cs="Times New Roman"/>
                      <w:color w:val="auto"/>
                      <w:szCs w:val="21"/>
                      <w:lang w:eastAsia="zh-CN"/>
                    </w:rPr>
                  </w:pPr>
                  <w:r>
                    <w:rPr>
                      <w:rFonts w:hint="eastAsia" w:cs="Times New Roman"/>
                      <w:color w:val="auto"/>
                      <w:szCs w:val="21"/>
                      <w:lang w:val="en-US" w:eastAsia="zh-CN"/>
                    </w:rPr>
                    <w:t>2</w:t>
                  </w:r>
                </w:p>
              </w:tc>
              <w:tc>
                <w:tcPr>
                  <w:tcW w:w="948" w:type="dxa"/>
                  <w:vMerge w:val="restart"/>
                  <w:tcBorders>
                    <w:top w:val="single" w:color="888E93" w:sz="8" w:space="0"/>
                    <w:left w:val="single" w:color="888E93" w:sz="8" w:space="0"/>
                    <w:bottom w:val="single" w:color="888E93"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户内型</w:t>
                  </w:r>
                </w:p>
              </w:tc>
            </w:tr>
            <w:tr>
              <w:tblPrEx>
                <w:tblCellMar>
                  <w:top w:w="0" w:type="dxa"/>
                  <w:left w:w="108" w:type="dxa"/>
                  <w:bottom w:w="0" w:type="dxa"/>
                  <w:right w:w="108" w:type="dxa"/>
                </w:tblCellMar>
              </w:tblPrEx>
              <w:trPr>
                <w:trHeight w:val="57" w:hRule="atLeast"/>
              </w:trPr>
              <w:tc>
                <w:tcPr>
                  <w:tcW w:w="603" w:type="dxa"/>
                  <w:vMerge w:val="continue"/>
                  <w:tcBorders>
                    <w:top w:val="single" w:color="888E93" w:sz="8" w:space="0"/>
                    <w:left w:val="single" w:color="474747"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c>
                <w:tcPr>
                  <w:tcW w:w="2119" w:type="dxa"/>
                  <w:vMerge w:val="continue"/>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c>
                <w:tcPr>
                  <w:tcW w:w="3221"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252kV3150A50kA(3s)</w:t>
                  </w:r>
                </w:p>
              </w:tc>
              <w:tc>
                <w:tcPr>
                  <w:tcW w:w="600" w:type="dxa"/>
                  <w:vMerge w:val="continue"/>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c>
                <w:tcPr>
                  <w:tcW w:w="675" w:type="dxa"/>
                  <w:vMerge w:val="continue"/>
                  <w:tcBorders>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c>
                <w:tcPr>
                  <w:tcW w:w="948" w:type="dxa"/>
                  <w:vMerge w:val="continue"/>
                  <w:tcBorders>
                    <w:top w:val="single" w:color="888E93" w:sz="8" w:space="0"/>
                    <w:left w:val="single" w:color="888E93" w:sz="8" w:space="0"/>
                    <w:bottom w:val="single" w:color="888E93"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r>
            <w:tr>
              <w:tblPrEx>
                <w:tblCellMar>
                  <w:top w:w="0" w:type="dxa"/>
                  <w:left w:w="108" w:type="dxa"/>
                  <w:bottom w:w="0" w:type="dxa"/>
                  <w:right w:w="108" w:type="dxa"/>
                </w:tblCellMar>
              </w:tblPrEx>
              <w:trPr>
                <w:trHeight w:val="57" w:hRule="atLeast"/>
              </w:trPr>
              <w:tc>
                <w:tcPr>
                  <w:tcW w:w="603" w:type="dxa"/>
                  <w:vMerge w:val="restart"/>
                  <w:tcBorders>
                    <w:top w:val="single" w:color="888E93" w:sz="8" w:space="0"/>
                    <w:left w:val="single" w:color="474747"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4</w:t>
                  </w:r>
                </w:p>
              </w:tc>
              <w:tc>
                <w:tcPr>
                  <w:tcW w:w="2119" w:type="dxa"/>
                  <w:vMerge w:val="restart"/>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220kV电容式电压互感器</w:t>
                  </w:r>
                </w:p>
              </w:tc>
              <w:tc>
                <w:tcPr>
                  <w:tcW w:w="3221"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220/√3/0.1/√3/0.1/√3kV</w:t>
                  </w:r>
                </w:p>
              </w:tc>
              <w:tc>
                <w:tcPr>
                  <w:tcW w:w="600" w:type="dxa"/>
                  <w:vMerge w:val="restart"/>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台</w:t>
                  </w:r>
                </w:p>
              </w:tc>
              <w:tc>
                <w:tcPr>
                  <w:tcW w:w="675" w:type="dxa"/>
                  <w:vMerge w:val="restart"/>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eastAsia="宋体" w:cs="Times New Roman"/>
                      <w:color w:val="auto"/>
                      <w:szCs w:val="21"/>
                      <w:lang w:eastAsia="zh-CN"/>
                    </w:rPr>
                  </w:pPr>
                  <w:r>
                    <w:rPr>
                      <w:rFonts w:hint="eastAsia" w:cs="Times New Roman"/>
                      <w:color w:val="auto"/>
                      <w:szCs w:val="21"/>
                      <w:lang w:val="en-US" w:eastAsia="zh-CN"/>
                    </w:rPr>
                    <w:t>2</w:t>
                  </w:r>
                </w:p>
              </w:tc>
              <w:tc>
                <w:tcPr>
                  <w:tcW w:w="948" w:type="dxa"/>
                  <w:vMerge w:val="restart"/>
                  <w:tcBorders>
                    <w:top w:val="single" w:color="888E93" w:sz="8" w:space="0"/>
                    <w:left w:val="single" w:color="888E93" w:sz="8" w:space="0"/>
                    <w:bottom w:val="single" w:color="888E93"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户外型</w:t>
                  </w:r>
                </w:p>
              </w:tc>
            </w:tr>
            <w:tr>
              <w:tblPrEx>
                <w:tblCellMar>
                  <w:top w:w="0" w:type="dxa"/>
                  <w:left w:w="108" w:type="dxa"/>
                  <w:bottom w:w="0" w:type="dxa"/>
                  <w:right w:w="108" w:type="dxa"/>
                </w:tblCellMar>
              </w:tblPrEx>
              <w:trPr>
                <w:trHeight w:val="57" w:hRule="atLeast"/>
              </w:trPr>
              <w:tc>
                <w:tcPr>
                  <w:tcW w:w="603" w:type="dxa"/>
                  <w:vMerge w:val="continue"/>
                  <w:tcBorders>
                    <w:top w:val="single" w:color="888E93" w:sz="8" w:space="0"/>
                    <w:left w:val="single" w:color="474747"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c>
                <w:tcPr>
                  <w:tcW w:w="2119" w:type="dxa"/>
                  <w:vMerge w:val="continue"/>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c>
                <w:tcPr>
                  <w:tcW w:w="3221"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二次准确级：0.2(3P)/0.2(3P)</w:t>
                  </w:r>
                </w:p>
              </w:tc>
              <w:tc>
                <w:tcPr>
                  <w:tcW w:w="600" w:type="dxa"/>
                  <w:vMerge w:val="continue"/>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c>
                <w:tcPr>
                  <w:tcW w:w="675" w:type="dxa"/>
                  <w:vMerge w:val="continue"/>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c>
                <w:tcPr>
                  <w:tcW w:w="948" w:type="dxa"/>
                  <w:vMerge w:val="continue"/>
                  <w:tcBorders>
                    <w:top w:val="single" w:color="888E93" w:sz="8" w:space="0"/>
                    <w:left w:val="single" w:color="888E93" w:sz="8" w:space="0"/>
                    <w:bottom w:val="single" w:color="888E93"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r>
            <w:tr>
              <w:tblPrEx>
                <w:tblCellMar>
                  <w:top w:w="0" w:type="dxa"/>
                  <w:left w:w="108" w:type="dxa"/>
                  <w:bottom w:w="0" w:type="dxa"/>
                  <w:right w:w="108" w:type="dxa"/>
                </w:tblCellMar>
              </w:tblPrEx>
              <w:trPr>
                <w:trHeight w:val="57" w:hRule="atLeast"/>
              </w:trPr>
              <w:tc>
                <w:tcPr>
                  <w:tcW w:w="603" w:type="dxa"/>
                  <w:tcBorders>
                    <w:top w:val="single" w:color="888E93" w:sz="8" w:space="0"/>
                    <w:left w:val="single" w:color="474747"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5</w:t>
                  </w:r>
                </w:p>
              </w:tc>
              <w:tc>
                <w:tcPr>
                  <w:tcW w:w="2119"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氧化锌避雷器</w:t>
                  </w:r>
                </w:p>
              </w:tc>
              <w:tc>
                <w:tcPr>
                  <w:tcW w:w="3221"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Y10W-204/532(附在线监测仪)</w:t>
                  </w:r>
                </w:p>
              </w:tc>
              <w:tc>
                <w:tcPr>
                  <w:tcW w:w="600"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台</w:t>
                  </w:r>
                </w:p>
              </w:tc>
              <w:tc>
                <w:tcPr>
                  <w:tcW w:w="675"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6</w:t>
                  </w:r>
                </w:p>
              </w:tc>
              <w:tc>
                <w:tcPr>
                  <w:tcW w:w="948" w:type="dxa"/>
                  <w:tcBorders>
                    <w:top w:val="single" w:color="888E93" w:sz="8" w:space="0"/>
                    <w:left w:val="single" w:color="888E93" w:sz="8" w:space="0"/>
                    <w:bottom w:val="single" w:color="888E93"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户外型</w:t>
                  </w:r>
                </w:p>
              </w:tc>
            </w:tr>
            <w:tr>
              <w:tblPrEx>
                <w:tblCellMar>
                  <w:top w:w="0" w:type="dxa"/>
                  <w:left w:w="108" w:type="dxa"/>
                  <w:bottom w:w="0" w:type="dxa"/>
                  <w:right w:w="108" w:type="dxa"/>
                </w:tblCellMar>
              </w:tblPrEx>
              <w:trPr>
                <w:trHeight w:val="57" w:hRule="atLeast"/>
              </w:trPr>
              <w:tc>
                <w:tcPr>
                  <w:tcW w:w="603" w:type="dxa"/>
                  <w:tcBorders>
                    <w:top w:val="single" w:color="888E93" w:sz="8" w:space="0"/>
                    <w:left w:val="single" w:color="474747"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6</w:t>
                  </w:r>
                </w:p>
              </w:tc>
              <w:tc>
                <w:tcPr>
                  <w:tcW w:w="2119"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检修箱</w:t>
                  </w:r>
                </w:p>
              </w:tc>
              <w:tc>
                <w:tcPr>
                  <w:tcW w:w="3221"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ZXW-2/3</w:t>
                  </w:r>
                </w:p>
              </w:tc>
              <w:tc>
                <w:tcPr>
                  <w:tcW w:w="600"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个</w:t>
                  </w:r>
                </w:p>
              </w:tc>
              <w:tc>
                <w:tcPr>
                  <w:tcW w:w="675"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eastAsia="宋体" w:cs="Times New Roman"/>
                      <w:color w:val="auto"/>
                      <w:szCs w:val="21"/>
                      <w:lang w:eastAsia="zh-CN"/>
                    </w:rPr>
                  </w:pPr>
                  <w:r>
                    <w:rPr>
                      <w:rFonts w:hint="eastAsia" w:cs="Times New Roman"/>
                      <w:color w:val="auto"/>
                      <w:szCs w:val="21"/>
                      <w:lang w:val="en-US" w:eastAsia="zh-CN"/>
                    </w:rPr>
                    <w:t>2</w:t>
                  </w:r>
                </w:p>
              </w:tc>
              <w:tc>
                <w:tcPr>
                  <w:tcW w:w="948" w:type="dxa"/>
                  <w:tcBorders>
                    <w:top w:val="single" w:color="888E93" w:sz="8" w:space="0"/>
                    <w:left w:val="single" w:color="888E93" w:sz="8" w:space="0"/>
                    <w:bottom w:val="single" w:color="888E93"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r>
            <w:tr>
              <w:tblPrEx>
                <w:tblCellMar>
                  <w:top w:w="0" w:type="dxa"/>
                  <w:left w:w="108" w:type="dxa"/>
                  <w:bottom w:w="0" w:type="dxa"/>
                  <w:right w:w="108" w:type="dxa"/>
                </w:tblCellMar>
              </w:tblPrEx>
              <w:trPr>
                <w:trHeight w:val="57" w:hRule="atLeast"/>
              </w:trPr>
              <w:tc>
                <w:tcPr>
                  <w:tcW w:w="603" w:type="dxa"/>
                  <w:tcBorders>
                    <w:top w:val="single" w:color="888E93" w:sz="8" w:space="0"/>
                    <w:left w:val="single" w:color="474747"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三</w:t>
                  </w:r>
                </w:p>
              </w:tc>
              <w:tc>
                <w:tcPr>
                  <w:tcW w:w="7563" w:type="dxa"/>
                  <w:gridSpan w:val="5"/>
                  <w:tcBorders>
                    <w:top w:val="single" w:color="888E93" w:sz="8" w:space="0"/>
                    <w:left w:val="single" w:color="888E93" w:sz="8" w:space="0"/>
                    <w:bottom w:val="single" w:color="888E93"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35kV屋内配电装置(带预制舱)</w:t>
                  </w:r>
                </w:p>
              </w:tc>
            </w:tr>
            <w:tr>
              <w:tblPrEx>
                <w:tblCellMar>
                  <w:top w:w="0" w:type="dxa"/>
                  <w:left w:w="108" w:type="dxa"/>
                  <w:bottom w:w="0" w:type="dxa"/>
                  <w:right w:w="108" w:type="dxa"/>
                </w:tblCellMar>
              </w:tblPrEx>
              <w:trPr>
                <w:trHeight w:val="312" w:hRule="atLeast"/>
              </w:trPr>
              <w:tc>
                <w:tcPr>
                  <w:tcW w:w="603" w:type="dxa"/>
                  <w:vMerge w:val="restart"/>
                  <w:tcBorders>
                    <w:top w:val="single" w:color="888E93" w:sz="8" w:space="0"/>
                    <w:left w:val="single" w:color="474747"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1</w:t>
                  </w:r>
                </w:p>
              </w:tc>
              <w:tc>
                <w:tcPr>
                  <w:tcW w:w="2119" w:type="dxa"/>
                  <w:vMerge w:val="restart"/>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高压开关柜(主变进线开关柜)</w:t>
                  </w:r>
                </w:p>
              </w:tc>
              <w:tc>
                <w:tcPr>
                  <w:tcW w:w="3221" w:type="dxa"/>
                  <w:vMerge w:val="restart"/>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KYN61-40.5/2500A-31.5kA(配真空开关)</w:t>
                  </w:r>
                </w:p>
              </w:tc>
              <w:tc>
                <w:tcPr>
                  <w:tcW w:w="600" w:type="dxa"/>
                  <w:vMerge w:val="restart"/>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面</w:t>
                  </w:r>
                </w:p>
              </w:tc>
              <w:tc>
                <w:tcPr>
                  <w:tcW w:w="675" w:type="dxa"/>
                  <w:vMerge w:val="restart"/>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2</w:t>
                  </w:r>
                </w:p>
              </w:tc>
              <w:tc>
                <w:tcPr>
                  <w:tcW w:w="948" w:type="dxa"/>
                  <w:vMerge w:val="restart"/>
                  <w:tcBorders>
                    <w:top w:val="single" w:color="888E93" w:sz="8" w:space="0"/>
                    <w:left w:val="single" w:color="888E93" w:sz="8" w:space="0"/>
                    <w:bottom w:val="single" w:color="888E93"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r>
            <w:tr>
              <w:tblPrEx>
                <w:tblCellMar>
                  <w:top w:w="0" w:type="dxa"/>
                  <w:left w:w="108" w:type="dxa"/>
                  <w:bottom w:w="0" w:type="dxa"/>
                  <w:right w:w="108" w:type="dxa"/>
                </w:tblCellMar>
              </w:tblPrEx>
              <w:trPr>
                <w:trHeight w:val="312" w:hRule="atLeast"/>
              </w:trPr>
              <w:tc>
                <w:tcPr>
                  <w:tcW w:w="603" w:type="dxa"/>
                  <w:vMerge w:val="continue"/>
                  <w:tcBorders>
                    <w:top w:val="single" w:color="888E93" w:sz="8" w:space="0"/>
                    <w:left w:val="single" w:color="474747"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c>
                <w:tcPr>
                  <w:tcW w:w="2119" w:type="dxa"/>
                  <w:vMerge w:val="continue"/>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c>
                <w:tcPr>
                  <w:tcW w:w="3221" w:type="dxa"/>
                  <w:vMerge w:val="continue"/>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c>
                <w:tcPr>
                  <w:tcW w:w="600" w:type="dxa"/>
                  <w:vMerge w:val="continue"/>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c>
                <w:tcPr>
                  <w:tcW w:w="675" w:type="dxa"/>
                  <w:vMerge w:val="continue"/>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c>
                <w:tcPr>
                  <w:tcW w:w="948" w:type="dxa"/>
                  <w:vMerge w:val="continue"/>
                  <w:tcBorders>
                    <w:top w:val="single" w:color="888E93" w:sz="8" w:space="0"/>
                    <w:left w:val="single" w:color="888E93" w:sz="8" w:space="0"/>
                    <w:bottom w:val="single" w:color="888E93"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r>
            <w:tr>
              <w:tblPrEx>
                <w:tblCellMar>
                  <w:top w:w="0" w:type="dxa"/>
                  <w:left w:w="108" w:type="dxa"/>
                  <w:bottom w:w="0" w:type="dxa"/>
                  <w:right w:w="108" w:type="dxa"/>
                </w:tblCellMar>
              </w:tblPrEx>
              <w:trPr>
                <w:trHeight w:val="312" w:hRule="atLeast"/>
              </w:trPr>
              <w:tc>
                <w:tcPr>
                  <w:tcW w:w="603" w:type="dxa"/>
                  <w:tcBorders>
                    <w:top w:val="single" w:color="888E93" w:sz="8" w:space="0"/>
                    <w:left w:val="single" w:color="474747"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eastAsia="宋体" w:cs="Times New Roman"/>
                      <w:color w:val="auto"/>
                      <w:szCs w:val="21"/>
                      <w:lang w:val="en-US" w:eastAsia="zh-CN"/>
                    </w:rPr>
                  </w:pPr>
                  <w:r>
                    <w:rPr>
                      <w:rFonts w:hint="eastAsia" w:cs="Times New Roman"/>
                      <w:color w:val="auto"/>
                      <w:szCs w:val="21"/>
                      <w:lang w:val="en-US" w:eastAsia="zh-CN"/>
                    </w:rPr>
                    <w:t>2</w:t>
                  </w:r>
                </w:p>
              </w:tc>
              <w:tc>
                <w:tcPr>
                  <w:tcW w:w="2119"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lang w:val="en-US" w:eastAsia="zh-CN"/>
                    </w:rPr>
                    <w:t xml:space="preserve">高压开关柜（主变进线断路器 </w:t>
                  </w:r>
                </w:p>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lang w:val="en-US" w:eastAsia="zh-CN"/>
                    </w:rPr>
                    <w:t>柜）</w:t>
                  </w:r>
                </w:p>
              </w:tc>
              <w:tc>
                <w:tcPr>
                  <w:tcW w:w="3221"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c>
                <w:tcPr>
                  <w:tcW w:w="600"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c>
                <w:tcPr>
                  <w:tcW w:w="675"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default" w:cs="Times New Roman"/>
                      <w:color w:val="auto"/>
                      <w:szCs w:val="21"/>
                      <w:lang w:val="en-US" w:eastAsia="zh-CN"/>
                    </w:rPr>
                  </w:pPr>
                  <w:r>
                    <w:rPr>
                      <w:rFonts w:hint="eastAsia" w:cs="Times New Roman"/>
                      <w:color w:val="auto"/>
                      <w:szCs w:val="21"/>
                      <w:lang w:val="en-US" w:eastAsia="zh-CN"/>
                    </w:rPr>
                    <w:t>2</w:t>
                  </w:r>
                </w:p>
              </w:tc>
              <w:tc>
                <w:tcPr>
                  <w:tcW w:w="948" w:type="dxa"/>
                  <w:tcBorders>
                    <w:top w:val="single" w:color="888E93" w:sz="8" w:space="0"/>
                    <w:left w:val="single" w:color="888E93" w:sz="8" w:space="0"/>
                    <w:bottom w:val="single" w:color="888E93"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r>
            <w:tr>
              <w:tblPrEx>
                <w:tblCellMar>
                  <w:top w:w="0" w:type="dxa"/>
                  <w:left w:w="108" w:type="dxa"/>
                  <w:bottom w:w="0" w:type="dxa"/>
                  <w:right w:w="108" w:type="dxa"/>
                </w:tblCellMar>
              </w:tblPrEx>
              <w:trPr>
                <w:trHeight w:val="312" w:hRule="atLeast"/>
              </w:trPr>
              <w:tc>
                <w:tcPr>
                  <w:tcW w:w="603" w:type="dxa"/>
                  <w:tcBorders>
                    <w:top w:val="single" w:color="888E93" w:sz="8" w:space="0"/>
                    <w:left w:val="single" w:color="474747"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eastAsia="宋体" w:cs="Times New Roman"/>
                      <w:color w:val="auto"/>
                      <w:szCs w:val="21"/>
                      <w:lang w:val="en-US" w:eastAsia="zh-CN"/>
                    </w:rPr>
                  </w:pPr>
                  <w:r>
                    <w:rPr>
                      <w:rFonts w:hint="eastAsia" w:cs="Times New Roman"/>
                      <w:color w:val="auto"/>
                      <w:szCs w:val="21"/>
                      <w:lang w:val="en-US" w:eastAsia="zh-CN"/>
                    </w:rPr>
                    <w:t>3</w:t>
                  </w:r>
                </w:p>
              </w:tc>
              <w:tc>
                <w:tcPr>
                  <w:tcW w:w="2119"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lang w:val="en-US" w:eastAsia="zh-CN"/>
                    </w:rPr>
                    <w:t>高压开关柜（主变进线隔离柜）</w:t>
                  </w:r>
                </w:p>
              </w:tc>
              <w:tc>
                <w:tcPr>
                  <w:tcW w:w="3221"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c>
                <w:tcPr>
                  <w:tcW w:w="600"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c>
                <w:tcPr>
                  <w:tcW w:w="675"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default" w:cs="Times New Roman"/>
                      <w:color w:val="auto"/>
                      <w:szCs w:val="21"/>
                      <w:lang w:val="en-US" w:eastAsia="zh-CN"/>
                    </w:rPr>
                  </w:pPr>
                  <w:r>
                    <w:rPr>
                      <w:rFonts w:hint="eastAsia" w:cs="Times New Roman"/>
                      <w:color w:val="auto"/>
                      <w:szCs w:val="21"/>
                      <w:lang w:val="en-US" w:eastAsia="zh-CN"/>
                    </w:rPr>
                    <w:t>2</w:t>
                  </w:r>
                </w:p>
              </w:tc>
              <w:tc>
                <w:tcPr>
                  <w:tcW w:w="948" w:type="dxa"/>
                  <w:tcBorders>
                    <w:top w:val="single" w:color="888E93" w:sz="8" w:space="0"/>
                    <w:left w:val="single" w:color="888E93" w:sz="8" w:space="0"/>
                    <w:bottom w:val="single" w:color="888E93"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r>
            <w:tr>
              <w:tblPrEx>
                <w:tblCellMar>
                  <w:top w:w="0" w:type="dxa"/>
                  <w:left w:w="108" w:type="dxa"/>
                  <w:bottom w:w="0" w:type="dxa"/>
                  <w:right w:w="108" w:type="dxa"/>
                </w:tblCellMar>
              </w:tblPrEx>
              <w:trPr>
                <w:trHeight w:val="312" w:hRule="atLeast"/>
              </w:trPr>
              <w:tc>
                <w:tcPr>
                  <w:tcW w:w="603" w:type="dxa"/>
                  <w:vMerge w:val="restart"/>
                  <w:tcBorders>
                    <w:top w:val="single" w:color="888E93" w:sz="8" w:space="0"/>
                    <w:left w:val="single" w:color="474747"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4</w:t>
                  </w:r>
                </w:p>
              </w:tc>
              <w:tc>
                <w:tcPr>
                  <w:tcW w:w="2119" w:type="dxa"/>
                  <w:vMerge w:val="restart"/>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高压开关柜(集电线路柜)</w:t>
                  </w:r>
                </w:p>
              </w:tc>
              <w:tc>
                <w:tcPr>
                  <w:tcW w:w="3221" w:type="dxa"/>
                  <w:vMerge w:val="restart"/>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KYN61-40.5/1250A-31.5kA(配真空开关)</w:t>
                  </w:r>
                </w:p>
              </w:tc>
              <w:tc>
                <w:tcPr>
                  <w:tcW w:w="600" w:type="dxa"/>
                  <w:vMerge w:val="restart"/>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面</w:t>
                  </w:r>
                </w:p>
              </w:tc>
              <w:tc>
                <w:tcPr>
                  <w:tcW w:w="675" w:type="dxa"/>
                  <w:vMerge w:val="restart"/>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16</w:t>
                  </w:r>
                </w:p>
              </w:tc>
              <w:tc>
                <w:tcPr>
                  <w:tcW w:w="948" w:type="dxa"/>
                  <w:vMerge w:val="restart"/>
                  <w:tcBorders>
                    <w:top w:val="single" w:color="888E93" w:sz="8" w:space="0"/>
                    <w:left w:val="single" w:color="888E93" w:sz="8" w:space="0"/>
                    <w:bottom w:val="single" w:color="888E93"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r>
            <w:tr>
              <w:tblPrEx>
                <w:tblCellMar>
                  <w:top w:w="0" w:type="dxa"/>
                  <w:left w:w="108" w:type="dxa"/>
                  <w:bottom w:w="0" w:type="dxa"/>
                  <w:right w:w="108" w:type="dxa"/>
                </w:tblCellMar>
              </w:tblPrEx>
              <w:trPr>
                <w:trHeight w:val="312" w:hRule="atLeast"/>
              </w:trPr>
              <w:tc>
                <w:tcPr>
                  <w:tcW w:w="603" w:type="dxa"/>
                  <w:vMerge w:val="continue"/>
                  <w:tcBorders>
                    <w:top w:val="single" w:color="888E93" w:sz="8" w:space="0"/>
                    <w:left w:val="single" w:color="474747"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c>
                <w:tcPr>
                  <w:tcW w:w="2119" w:type="dxa"/>
                  <w:vMerge w:val="continue"/>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c>
                <w:tcPr>
                  <w:tcW w:w="3221" w:type="dxa"/>
                  <w:vMerge w:val="continue"/>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c>
                <w:tcPr>
                  <w:tcW w:w="600" w:type="dxa"/>
                  <w:vMerge w:val="continue"/>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c>
                <w:tcPr>
                  <w:tcW w:w="675" w:type="dxa"/>
                  <w:vMerge w:val="continue"/>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c>
                <w:tcPr>
                  <w:tcW w:w="948" w:type="dxa"/>
                  <w:vMerge w:val="continue"/>
                  <w:tcBorders>
                    <w:top w:val="single" w:color="888E93" w:sz="8" w:space="0"/>
                    <w:left w:val="single" w:color="888E93" w:sz="8" w:space="0"/>
                    <w:bottom w:val="single" w:color="888E93"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r>
            <w:tr>
              <w:tblPrEx>
                <w:tblCellMar>
                  <w:top w:w="0" w:type="dxa"/>
                  <w:left w:w="108" w:type="dxa"/>
                  <w:bottom w:w="0" w:type="dxa"/>
                  <w:right w:w="108" w:type="dxa"/>
                </w:tblCellMar>
              </w:tblPrEx>
              <w:trPr>
                <w:trHeight w:val="57" w:hRule="atLeast"/>
              </w:trPr>
              <w:tc>
                <w:tcPr>
                  <w:tcW w:w="603" w:type="dxa"/>
                  <w:tcBorders>
                    <w:top w:val="single" w:color="888E93" w:sz="8" w:space="0"/>
                    <w:left w:val="single" w:color="474747"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eastAsia="宋体" w:cs="Times New Roman"/>
                      <w:color w:val="auto"/>
                      <w:szCs w:val="21"/>
                      <w:lang w:eastAsia="zh-CN"/>
                    </w:rPr>
                  </w:pPr>
                  <w:r>
                    <w:rPr>
                      <w:rFonts w:hint="eastAsia" w:cs="Times New Roman"/>
                      <w:color w:val="auto"/>
                      <w:szCs w:val="21"/>
                      <w:lang w:val="en-US" w:eastAsia="zh-CN"/>
                    </w:rPr>
                    <w:t>5</w:t>
                  </w:r>
                </w:p>
              </w:tc>
              <w:tc>
                <w:tcPr>
                  <w:tcW w:w="2119"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高压开关柜(PT柜)</w:t>
                  </w:r>
                </w:p>
              </w:tc>
              <w:tc>
                <w:tcPr>
                  <w:tcW w:w="3221"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KYN61-40.5/1250A-31.5kA</w:t>
                  </w:r>
                </w:p>
              </w:tc>
              <w:tc>
                <w:tcPr>
                  <w:tcW w:w="600"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面</w:t>
                  </w:r>
                </w:p>
              </w:tc>
              <w:tc>
                <w:tcPr>
                  <w:tcW w:w="675"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eastAsia="宋体" w:cs="Times New Roman"/>
                      <w:color w:val="auto"/>
                      <w:szCs w:val="21"/>
                      <w:lang w:eastAsia="zh-CN"/>
                    </w:rPr>
                  </w:pPr>
                  <w:r>
                    <w:rPr>
                      <w:rFonts w:hint="eastAsia" w:cs="Times New Roman"/>
                      <w:color w:val="auto"/>
                      <w:szCs w:val="21"/>
                      <w:lang w:val="en-US" w:eastAsia="zh-CN"/>
                    </w:rPr>
                    <w:t>4</w:t>
                  </w:r>
                </w:p>
              </w:tc>
              <w:tc>
                <w:tcPr>
                  <w:tcW w:w="948" w:type="dxa"/>
                  <w:tcBorders>
                    <w:top w:val="single" w:color="888E93" w:sz="8" w:space="0"/>
                    <w:left w:val="single" w:color="888E93" w:sz="8" w:space="0"/>
                    <w:bottom w:val="single" w:color="888E93"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r>
            <w:tr>
              <w:tblPrEx>
                <w:tblCellMar>
                  <w:top w:w="0" w:type="dxa"/>
                  <w:left w:w="108" w:type="dxa"/>
                  <w:bottom w:w="0" w:type="dxa"/>
                  <w:right w:w="108" w:type="dxa"/>
                </w:tblCellMar>
              </w:tblPrEx>
              <w:trPr>
                <w:trHeight w:val="312" w:hRule="atLeast"/>
              </w:trPr>
              <w:tc>
                <w:tcPr>
                  <w:tcW w:w="603" w:type="dxa"/>
                  <w:vMerge w:val="restart"/>
                  <w:tcBorders>
                    <w:top w:val="single" w:color="888E93" w:sz="8" w:space="0"/>
                    <w:left w:val="single" w:color="474747"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eastAsia="宋体" w:cs="Times New Roman"/>
                      <w:color w:val="auto"/>
                      <w:szCs w:val="21"/>
                      <w:lang w:eastAsia="zh-CN"/>
                    </w:rPr>
                  </w:pPr>
                  <w:r>
                    <w:rPr>
                      <w:rFonts w:hint="eastAsia" w:cs="Times New Roman"/>
                      <w:color w:val="auto"/>
                      <w:szCs w:val="21"/>
                      <w:lang w:val="en-US" w:eastAsia="zh-CN"/>
                    </w:rPr>
                    <w:t>6</w:t>
                  </w:r>
                </w:p>
              </w:tc>
              <w:tc>
                <w:tcPr>
                  <w:tcW w:w="2119" w:type="dxa"/>
                  <w:vMerge w:val="restart"/>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高压开关柜(SVG柜)</w:t>
                  </w:r>
                </w:p>
              </w:tc>
              <w:tc>
                <w:tcPr>
                  <w:tcW w:w="3221" w:type="dxa"/>
                  <w:vMerge w:val="restart"/>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KYN61-40.5/1250A-31.5kA(配SF6断路器)</w:t>
                  </w:r>
                </w:p>
              </w:tc>
              <w:tc>
                <w:tcPr>
                  <w:tcW w:w="600" w:type="dxa"/>
                  <w:vMerge w:val="restart"/>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面</w:t>
                  </w:r>
                </w:p>
              </w:tc>
              <w:tc>
                <w:tcPr>
                  <w:tcW w:w="675" w:type="dxa"/>
                  <w:vMerge w:val="restart"/>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eastAsia="宋体" w:cs="Times New Roman"/>
                      <w:color w:val="auto"/>
                      <w:szCs w:val="21"/>
                      <w:lang w:eastAsia="zh-CN"/>
                    </w:rPr>
                  </w:pPr>
                  <w:r>
                    <w:rPr>
                      <w:rFonts w:hint="eastAsia" w:cs="Times New Roman"/>
                      <w:color w:val="auto"/>
                      <w:szCs w:val="21"/>
                      <w:lang w:val="en-US" w:eastAsia="zh-CN"/>
                    </w:rPr>
                    <w:t>4</w:t>
                  </w:r>
                </w:p>
              </w:tc>
              <w:tc>
                <w:tcPr>
                  <w:tcW w:w="948" w:type="dxa"/>
                  <w:vMerge w:val="restart"/>
                  <w:tcBorders>
                    <w:top w:val="single" w:color="888E93" w:sz="8" w:space="0"/>
                    <w:left w:val="single" w:color="888E93" w:sz="8" w:space="0"/>
                    <w:bottom w:val="single" w:color="888E93"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r>
            <w:tr>
              <w:tblPrEx>
                <w:tblCellMar>
                  <w:top w:w="0" w:type="dxa"/>
                  <w:left w:w="108" w:type="dxa"/>
                  <w:bottom w:w="0" w:type="dxa"/>
                  <w:right w:w="108" w:type="dxa"/>
                </w:tblCellMar>
              </w:tblPrEx>
              <w:trPr>
                <w:trHeight w:val="312" w:hRule="atLeast"/>
              </w:trPr>
              <w:tc>
                <w:tcPr>
                  <w:tcW w:w="603" w:type="dxa"/>
                  <w:vMerge w:val="continue"/>
                  <w:tcBorders>
                    <w:top w:val="single" w:color="888E93" w:sz="8" w:space="0"/>
                    <w:left w:val="single" w:color="474747"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c>
                <w:tcPr>
                  <w:tcW w:w="2119" w:type="dxa"/>
                  <w:vMerge w:val="continue"/>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c>
                <w:tcPr>
                  <w:tcW w:w="3221" w:type="dxa"/>
                  <w:vMerge w:val="continue"/>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c>
                <w:tcPr>
                  <w:tcW w:w="600" w:type="dxa"/>
                  <w:vMerge w:val="continue"/>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c>
                <w:tcPr>
                  <w:tcW w:w="675" w:type="dxa"/>
                  <w:vMerge w:val="continue"/>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c>
                <w:tcPr>
                  <w:tcW w:w="948" w:type="dxa"/>
                  <w:vMerge w:val="continue"/>
                  <w:tcBorders>
                    <w:top w:val="single" w:color="888E93" w:sz="8" w:space="0"/>
                    <w:left w:val="single" w:color="888E93" w:sz="8" w:space="0"/>
                    <w:bottom w:val="single" w:color="888E93"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r>
            <w:tr>
              <w:tblPrEx>
                <w:tblCellMar>
                  <w:top w:w="0" w:type="dxa"/>
                  <w:left w:w="108" w:type="dxa"/>
                  <w:bottom w:w="0" w:type="dxa"/>
                  <w:right w:w="108" w:type="dxa"/>
                </w:tblCellMar>
              </w:tblPrEx>
              <w:trPr>
                <w:trHeight w:val="312" w:hRule="atLeast"/>
              </w:trPr>
              <w:tc>
                <w:tcPr>
                  <w:tcW w:w="603" w:type="dxa"/>
                  <w:vMerge w:val="restart"/>
                  <w:tcBorders>
                    <w:top w:val="single" w:color="888E93" w:sz="8" w:space="0"/>
                    <w:left w:val="single" w:color="474747"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eastAsia="宋体" w:cs="Times New Roman"/>
                      <w:color w:val="auto"/>
                      <w:szCs w:val="21"/>
                      <w:lang w:eastAsia="zh-CN"/>
                    </w:rPr>
                  </w:pPr>
                  <w:r>
                    <w:rPr>
                      <w:rFonts w:hint="eastAsia" w:cs="Times New Roman"/>
                      <w:color w:val="auto"/>
                      <w:szCs w:val="21"/>
                      <w:lang w:val="en-US" w:eastAsia="zh-CN"/>
                    </w:rPr>
                    <w:t>7</w:t>
                  </w:r>
                </w:p>
              </w:tc>
              <w:tc>
                <w:tcPr>
                  <w:tcW w:w="2119" w:type="dxa"/>
                  <w:vMerge w:val="restart"/>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高压开关柜(FC柜)</w:t>
                  </w:r>
                </w:p>
              </w:tc>
              <w:tc>
                <w:tcPr>
                  <w:tcW w:w="3221" w:type="dxa"/>
                  <w:vMerge w:val="restart"/>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KYN61-40.5/1250A-31.5kA(配SF6断路器)</w:t>
                  </w:r>
                </w:p>
              </w:tc>
              <w:tc>
                <w:tcPr>
                  <w:tcW w:w="600" w:type="dxa"/>
                  <w:vMerge w:val="restart"/>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面</w:t>
                  </w:r>
                </w:p>
              </w:tc>
              <w:tc>
                <w:tcPr>
                  <w:tcW w:w="675" w:type="dxa"/>
                  <w:vMerge w:val="restart"/>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eastAsia="宋体" w:cs="Times New Roman"/>
                      <w:color w:val="auto"/>
                      <w:szCs w:val="21"/>
                      <w:lang w:eastAsia="zh-CN"/>
                    </w:rPr>
                  </w:pPr>
                  <w:r>
                    <w:rPr>
                      <w:rFonts w:hint="eastAsia" w:cs="Times New Roman"/>
                      <w:color w:val="auto"/>
                      <w:szCs w:val="21"/>
                      <w:lang w:val="en-US" w:eastAsia="zh-CN"/>
                    </w:rPr>
                    <w:t>4</w:t>
                  </w:r>
                </w:p>
              </w:tc>
              <w:tc>
                <w:tcPr>
                  <w:tcW w:w="948" w:type="dxa"/>
                  <w:vMerge w:val="restart"/>
                  <w:tcBorders>
                    <w:top w:val="single" w:color="888E93" w:sz="8" w:space="0"/>
                    <w:left w:val="single" w:color="888E93" w:sz="8" w:space="0"/>
                    <w:bottom w:val="single" w:color="888E93"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r>
            <w:tr>
              <w:tblPrEx>
                <w:tblCellMar>
                  <w:top w:w="0" w:type="dxa"/>
                  <w:left w:w="108" w:type="dxa"/>
                  <w:bottom w:w="0" w:type="dxa"/>
                  <w:right w:w="108" w:type="dxa"/>
                </w:tblCellMar>
              </w:tblPrEx>
              <w:trPr>
                <w:trHeight w:val="312" w:hRule="atLeast"/>
              </w:trPr>
              <w:tc>
                <w:tcPr>
                  <w:tcW w:w="603" w:type="dxa"/>
                  <w:vMerge w:val="continue"/>
                  <w:tcBorders>
                    <w:top w:val="single" w:color="888E93" w:sz="8" w:space="0"/>
                    <w:left w:val="single" w:color="474747"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c>
                <w:tcPr>
                  <w:tcW w:w="2119" w:type="dxa"/>
                  <w:vMerge w:val="continue"/>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c>
                <w:tcPr>
                  <w:tcW w:w="3221" w:type="dxa"/>
                  <w:vMerge w:val="continue"/>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c>
                <w:tcPr>
                  <w:tcW w:w="600" w:type="dxa"/>
                  <w:vMerge w:val="continue"/>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c>
                <w:tcPr>
                  <w:tcW w:w="675" w:type="dxa"/>
                  <w:vMerge w:val="continue"/>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c>
                <w:tcPr>
                  <w:tcW w:w="948" w:type="dxa"/>
                  <w:vMerge w:val="continue"/>
                  <w:tcBorders>
                    <w:top w:val="single" w:color="888E93" w:sz="8" w:space="0"/>
                    <w:left w:val="single" w:color="888E93" w:sz="8" w:space="0"/>
                    <w:bottom w:val="single" w:color="888E93"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r>
            <w:tr>
              <w:tblPrEx>
                <w:tblCellMar>
                  <w:top w:w="0" w:type="dxa"/>
                  <w:left w:w="108" w:type="dxa"/>
                  <w:bottom w:w="0" w:type="dxa"/>
                  <w:right w:w="108" w:type="dxa"/>
                </w:tblCellMar>
              </w:tblPrEx>
              <w:trPr>
                <w:trHeight w:val="57" w:hRule="atLeast"/>
              </w:trPr>
              <w:tc>
                <w:tcPr>
                  <w:tcW w:w="603" w:type="dxa"/>
                  <w:tcBorders>
                    <w:top w:val="single" w:color="888E93" w:sz="8" w:space="0"/>
                    <w:left w:val="single" w:color="474747"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eastAsia="宋体" w:cs="Times New Roman"/>
                      <w:color w:val="auto"/>
                      <w:szCs w:val="21"/>
                      <w:lang w:eastAsia="zh-CN"/>
                    </w:rPr>
                  </w:pPr>
                  <w:r>
                    <w:rPr>
                      <w:rFonts w:hint="eastAsia" w:cs="Times New Roman"/>
                      <w:color w:val="auto"/>
                      <w:szCs w:val="21"/>
                      <w:lang w:val="en-US" w:eastAsia="zh-CN"/>
                    </w:rPr>
                    <w:t>8</w:t>
                  </w:r>
                </w:p>
              </w:tc>
              <w:tc>
                <w:tcPr>
                  <w:tcW w:w="2119"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高压开关柜(站变柜)</w:t>
                  </w:r>
                </w:p>
              </w:tc>
              <w:tc>
                <w:tcPr>
                  <w:tcW w:w="3221"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KYN61-40.5/1250A-31.5kA(配真空开关)</w:t>
                  </w:r>
                </w:p>
              </w:tc>
              <w:tc>
                <w:tcPr>
                  <w:tcW w:w="600"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面</w:t>
                  </w:r>
                </w:p>
              </w:tc>
              <w:tc>
                <w:tcPr>
                  <w:tcW w:w="675"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1</w:t>
                  </w:r>
                </w:p>
              </w:tc>
              <w:tc>
                <w:tcPr>
                  <w:tcW w:w="948" w:type="dxa"/>
                  <w:tcBorders>
                    <w:top w:val="single" w:color="888E93" w:sz="8" w:space="0"/>
                    <w:left w:val="single" w:color="888E93" w:sz="8" w:space="0"/>
                    <w:bottom w:val="single" w:color="888E93"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r>
            <w:tr>
              <w:tblPrEx>
                <w:tblCellMar>
                  <w:top w:w="0" w:type="dxa"/>
                  <w:left w:w="108" w:type="dxa"/>
                  <w:bottom w:w="0" w:type="dxa"/>
                  <w:right w:w="108" w:type="dxa"/>
                </w:tblCellMar>
              </w:tblPrEx>
              <w:trPr>
                <w:trHeight w:val="57" w:hRule="atLeast"/>
              </w:trPr>
              <w:tc>
                <w:tcPr>
                  <w:tcW w:w="603" w:type="dxa"/>
                  <w:tcBorders>
                    <w:top w:val="single" w:color="888E93" w:sz="8" w:space="0"/>
                    <w:left w:val="single" w:color="474747"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eastAsia="宋体" w:cs="Times New Roman"/>
                      <w:color w:val="auto"/>
                      <w:szCs w:val="21"/>
                      <w:lang w:eastAsia="zh-CN"/>
                    </w:rPr>
                  </w:pPr>
                  <w:r>
                    <w:rPr>
                      <w:rFonts w:hint="eastAsia" w:cs="Times New Roman"/>
                      <w:color w:val="auto"/>
                      <w:szCs w:val="21"/>
                      <w:lang w:val="en-US" w:eastAsia="zh-CN"/>
                    </w:rPr>
                    <w:t>9</w:t>
                  </w:r>
                </w:p>
              </w:tc>
              <w:tc>
                <w:tcPr>
                  <w:tcW w:w="2119"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接地小车</w:t>
                  </w:r>
                </w:p>
              </w:tc>
              <w:tc>
                <w:tcPr>
                  <w:tcW w:w="3221"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c>
                <w:tcPr>
                  <w:tcW w:w="600"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套</w:t>
                  </w:r>
                </w:p>
              </w:tc>
              <w:tc>
                <w:tcPr>
                  <w:tcW w:w="675"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eastAsia="宋体" w:cs="Times New Roman"/>
                      <w:color w:val="auto"/>
                      <w:szCs w:val="21"/>
                      <w:lang w:eastAsia="zh-CN"/>
                    </w:rPr>
                  </w:pPr>
                  <w:r>
                    <w:rPr>
                      <w:rFonts w:hint="eastAsia" w:cs="Times New Roman"/>
                      <w:color w:val="auto"/>
                      <w:szCs w:val="21"/>
                      <w:lang w:val="en-US" w:eastAsia="zh-CN"/>
                    </w:rPr>
                    <w:t>3</w:t>
                  </w:r>
                </w:p>
              </w:tc>
              <w:tc>
                <w:tcPr>
                  <w:tcW w:w="948" w:type="dxa"/>
                  <w:tcBorders>
                    <w:top w:val="single" w:color="888E93" w:sz="8" w:space="0"/>
                    <w:left w:val="single" w:color="888E93" w:sz="8" w:space="0"/>
                    <w:bottom w:val="single" w:color="888E93"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r>
            <w:tr>
              <w:tblPrEx>
                <w:tblCellMar>
                  <w:top w:w="0" w:type="dxa"/>
                  <w:left w:w="108" w:type="dxa"/>
                  <w:bottom w:w="0" w:type="dxa"/>
                  <w:right w:w="108" w:type="dxa"/>
                </w:tblCellMar>
              </w:tblPrEx>
              <w:trPr>
                <w:trHeight w:val="57" w:hRule="atLeast"/>
              </w:trPr>
              <w:tc>
                <w:tcPr>
                  <w:tcW w:w="603" w:type="dxa"/>
                  <w:tcBorders>
                    <w:top w:val="single" w:color="888E93" w:sz="8" w:space="0"/>
                    <w:left w:val="single" w:color="474747"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10</w:t>
                  </w:r>
                </w:p>
              </w:tc>
              <w:tc>
                <w:tcPr>
                  <w:tcW w:w="2119"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SF6环境在线监测装置</w:t>
                  </w:r>
                </w:p>
              </w:tc>
              <w:tc>
                <w:tcPr>
                  <w:tcW w:w="3221"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c>
                <w:tcPr>
                  <w:tcW w:w="600"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套</w:t>
                  </w:r>
                </w:p>
              </w:tc>
              <w:tc>
                <w:tcPr>
                  <w:tcW w:w="675"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eastAsia="宋体" w:cs="Times New Roman"/>
                      <w:color w:val="auto"/>
                      <w:szCs w:val="21"/>
                      <w:lang w:eastAsia="zh-CN"/>
                    </w:rPr>
                  </w:pPr>
                  <w:r>
                    <w:rPr>
                      <w:rFonts w:hint="eastAsia" w:cs="Times New Roman"/>
                      <w:color w:val="auto"/>
                      <w:szCs w:val="21"/>
                      <w:lang w:val="en-US" w:eastAsia="zh-CN"/>
                    </w:rPr>
                    <w:t>2</w:t>
                  </w:r>
                </w:p>
              </w:tc>
              <w:tc>
                <w:tcPr>
                  <w:tcW w:w="948" w:type="dxa"/>
                  <w:tcBorders>
                    <w:top w:val="single" w:color="888E93" w:sz="8" w:space="0"/>
                    <w:left w:val="single" w:color="888E93" w:sz="8" w:space="0"/>
                    <w:bottom w:val="single" w:color="888E93"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r>
            <w:tr>
              <w:tblPrEx>
                <w:tblCellMar>
                  <w:top w:w="0" w:type="dxa"/>
                  <w:left w:w="108" w:type="dxa"/>
                  <w:bottom w:w="0" w:type="dxa"/>
                  <w:right w:w="108" w:type="dxa"/>
                </w:tblCellMar>
              </w:tblPrEx>
              <w:trPr>
                <w:trHeight w:val="57" w:hRule="atLeast"/>
              </w:trPr>
              <w:tc>
                <w:tcPr>
                  <w:tcW w:w="603" w:type="dxa"/>
                  <w:tcBorders>
                    <w:top w:val="single" w:color="888E93" w:sz="8" w:space="0"/>
                    <w:left w:val="single" w:color="474747"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四</w:t>
                  </w:r>
                </w:p>
              </w:tc>
              <w:tc>
                <w:tcPr>
                  <w:tcW w:w="7563" w:type="dxa"/>
                  <w:gridSpan w:val="5"/>
                  <w:tcBorders>
                    <w:top w:val="single" w:color="888E93" w:sz="8" w:space="0"/>
                    <w:left w:val="single" w:color="888E93" w:sz="8" w:space="0"/>
                    <w:bottom w:val="single" w:color="888E93"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无功补偿装置</w:t>
                  </w:r>
                </w:p>
              </w:tc>
            </w:tr>
            <w:tr>
              <w:tblPrEx>
                <w:tblCellMar>
                  <w:top w:w="0" w:type="dxa"/>
                  <w:left w:w="108" w:type="dxa"/>
                  <w:bottom w:w="0" w:type="dxa"/>
                  <w:right w:w="108" w:type="dxa"/>
                </w:tblCellMar>
              </w:tblPrEx>
              <w:trPr>
                <w:trHeight w:val="312" w:hRule="atLeast"/>
              </w:trPr>
              <w:tc>
                <w:tcPr>
                  <w:tcW w:w="603" w:type="dxa"/>
                  <w:vMerge w:val="restart"/>
                  <w:tcBorders>
                    <w:top w:val="single" w:color="888E93" w:sz="8" w:space="0"/>
                    <w:left w:val="single" w:color="474747"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1</w:t>
                  </w:r>
                </w:p>
              </w:tc>
              <w:tc>
                <w:tcPr>
                  <w:tcW w:w="2119" w:type="dxa"/>
                  <w:vMerge w:val="restart"/>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SVG动态无功补偿成套装置</w:t>
                  </w:r>
                </w:p>
              </w:tc>
              <w:tc>
                <w:tcPr>
                  <w:tcW w:w="3221" w:type="dxa"/>
                  <w:vMerge w:val="restart"/>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可实现±25Mvar</w:t>
                  </w:r>
                </w:p>
              </w:tc>
              <w:tc>
                <w:tcPr>
                  <w:tcW w:w="600" w:type="dxa"/>
                  <w:vMerge w:val="restart"/>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套</w:t>
                  </w:r>
                </w:p>
              </w:tc>
              <w:tc>
                <w:tcPr>
                  <w:tcW w:w="675" w:type="dxa"/>
                  <w:vMerge w:val="restart"/>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eastAsia="宋体" w:cs="Times New Roman"/>
                      <w:color w:val="auto"/>
                      <w:szCs w:val="21"/>
                      <w:lang w:eastAsia="zh-CN"/>
                    </w:rPr>
                  </w:pPr>
                  <w:r>
                    <w:rPr>
                      <w:rFonts w:hint="eastAsia" w:cs="Times New Roman"/>
                      <w:color w:val="auto"/>
                      <w:szCs w:val="21"/>
                      <w:lang w:val="en-US" w:eastAsia="zh-CN"/>
                    </w:rPr>
                    <w:t>4</w:t>
                  </w:r>
                </w:p>
              </w:tc>
              <w:tc>
                <w:tcPr>
                  <w:tcW w:w="948" w:type="dxa"/>
                  <w:vMerge w:val="restart"/>
                  <w:tcBorders>
                    <w:top w:val="single" w:color="888E93" w:sz="8" w:space="0"/>
                    <w:left w:val="single" w:color="888E93" w:sz="8" w:space="0"/>
                    <w:bottom w:val="single" w:color="888E93"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r>
            <w:tr>
              <w:tblPrEx>
                <w:tblCellMar>
                  <w:top w:w="0" w:type="dxa"/>
                  <w:left w:w="108" w:type="dxa"/>
                  <w:bottom w:w="0" w:type="dxa"/>
                  <w:right w:w="108" w:type="dxa"/>
                </w:tblCellMar>
              </w:tblPrEx>
              <w:trPr>
                <w:trHeight w:val="312" w:hRule="atLeast"/>
              </w:trPr>
              <w:tc>
                <w:tcPr>
                  <w:tcW w:w="603" w:type="dxa"/>
                  <w:vMerge w:val="continue"/>
                  <w:tcBorders>
                    <w:top w:val="single" w:color="888E93" w:sz="8" w:space="0"/>
                    <w:left w:val="single" w:color="474747"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c>
                <w:tcPr>
                  <w:tcW w:w="2119" w:type="dxa"/>
                  <w:vMerge w:val="continue"/>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c>
                <w:tcPr>
                  <w:tcW w:w="3221" w:type="dxa"/>
                  <w:vMerge w:val="continue"/>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c>
                <w:tcPr>
                  <w:tcW w:w="600" w:type="dxa"/>
                  <w:vMerge w:val="continue"/>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c>
                <w:tcPr>
                  <w:tcW w:w="675" w:type="dxa"/>
                  <w:vMerge w:val="continue"/>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c>
                <w:tcPr>
                  <w:tcW w:w="948" w:type="dxa"/>
                  <w:vMerge w:val="continue"/>
                  <w:tcBorders>
                    <w:top w:val="single" w:color="888E93" w:sz="8" w:space="0"/>
                    <w:left w:val="single" w:color="888E93" w:sz="8" w:space="0"/>
                    <w:bottom w:val="single" w:color="888E93"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r>
            <w:tr>
              <w:tblPrEx>
                <w:tblCellMar>
                  <w:top w:w="0" w:type="dxa"/>
                  <w:left w:w="108" w:type="dxa"/>
                  <w:bottom w:w="0" w:type="dxa"/>
                  <w:right w:w="108" w:type="dxa"/>
                </w:tblCellMar>
              </w:tblPrEx>
              <w:trPr>
                <w:trHeight w:val="57" w:hRule="atLeast"/>
              </w:trPr>
              <w:tc>
                <w:tcPr>
                  <w:tcW w:w="603" w:type="dxa"/>
                  <w:tcBorders>
                    <w:top w:val="single" w:color="888E93" w:sz="8" w:space="0"/>
                    <w:left w:val="single" w:color="474747"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eastAsia" w:ascii="Times New Roman" w:hAnsi="Times New Roman" w:cs="Times New Roman"/>
                      <w:color w:val="auto"/>
                      <w:szCs w:val="21"/>
                    </w:rPr>
                    <w:t>2</w:t>
                  </w:r>
                </w:p>
              </w:tc>
              <w:tc>
                <w:tcPr>
                  <w:tcW w:w="2119"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FC电容器组</w:t>
                  </w:r>
                </w:p>
              </w:tc>
              <w:tc>
                <w:tcPr>
                  <w:tcW w:w="3221"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5Mvar</w:t>
                  </w:r>
                </w:p>
              </w:tc>
              <w:tc>
                <w:tcPr>
                  <w:tcW w:w="600"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套</w:t>
                  </w:r>
                </w:p>
              </w:tc>
              <w:tc>
                <w:tcPr>
                  <w:tcW w:w="675"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eastAsia="宋体" w:cs="Times New Roman"/>
                      <w:color w:val="auto"/>
                      <w:szCs w:val="21"/>
                      <w:lang w:eastAsia="zh-CN"/>
                    </w:rPr>
                  </w:pPr>
                  <w:r>
                    <w:rPr>
                      <w:rFonts w:hint="eastAsia" w:cs="Times New Roman"/>
                      <w:color w:val="auto"/>
                      <w:szCs w:val="21"/>
                      <w:lang w:val="en-US" w:eastAsia="zh-CN"/>
                    </w:rPr>
                    <w:t>4</w:t>
                  </w:r>
                </w:p>
              </w:tc>
              <w:tc>
                <w:tcPr>
                  <w:tcW w:w="948" w:type="dxa"/>
                  <w:tcBorders>
                    <w:top w:val="single" w:color="888E93" w:sz="8" w:space="0"/>
                    <w:left w:val="single" w:color="888E93" w:sz="8" w:space="0"/>
                    <w:bottom w:val="single" w:color="888E93"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r>
            <w:tr>
              <w:tblPrEx>
                <w:tblCellMar>
                  <w:top w:w="0" w:type="dxa"/>
                  <w:left w:w="108" w:type="dxa"/>
                  <w:bottom w:w="0" w:type="dxa"/>
                  <w:right w:w="108" w:type="dxa"/>
                </w:tblCellMar>
              </w:tblPrEx>
              <w:trPr>
                <w:trHeight w:val="57" w:hRule="atLeast"/>
              </w:trPr>
              <w:tc>
                <w:tcPr>
                  <w:tcW w:w="603" w:type="dxa"/>
                  <w:tcBorders>
                    <w:top w:val="single" w:color="888E93" w:sz="8" w:space="0"/>
                    <w:left w:val="single" w:color="474747"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3</w:t>
                  </w:r>
                </w:p>
              </w:tc>
              <w:tc>
                <w:tcPr>
                  <w:tcW w:w="2119"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户外配电装置检修箱</w:t>
                  </w:r>
                </w:p>
              </w:tc>
              <w:tc>
                <w:tcPr>
                  <w:tcW w:w="3221"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ZXW-2/3户外落地式</w:t>
                  </w:r>
                </w:p>
              </w:tc>
              <w:tc>
                <w:tcPr>
                  <w:tcW w:w="600"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个</w:t>
                  </w:r>
                </w:p>
              </w:tc>
              <w:tc>
                <w:tcPr>
                  <w:tcW w:w="675"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eastAsia="宋体" w:cs="Times New Roman"/>
                      <w:color w:val="auto"/>
                      <w:szCs w:val="21"/>
                      <w:lang w:eastAsia="zh-CN"/>
                    </w:rPr>
                  </w:pPr>
                  <w:r>
                    <w:rPr>
                      <w:rFonts w:hint="eastAsia" w:cs="Times New Roman"/>
                      <w:color w:val="auto"/>
                      <w:szCs w:val="21"/>
                      <w:lang w:val="en-US" w:eastAsia="zh-CN"/>
                    </w:rPr>
                    <w:t>4</w:t>
                  </w:r>
                </w:p>
              </w:tc>
              <w:tc>
                <w:tcPr>
                  <w:tcW w:w="948" w:type="dxa"/>
                  <w:tcBorders>
                    <w:top w:val="single" w:color="888E93" w:sz="8" w:space="0"/>
                    <w:left w:val="single" w:color="888E93" w:sz="8" w:space="0"/>
                    <w:bottom w:val="single" w:color="888E93"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r>
            <w:tr>
              <w:tblPrEx>
                <w:tblCellMar>
                  <w:top w:w="0" w:type="dxa"/>
                  <w:left w:w="108" w:type="dxa"/>
                  <w:bottom w:w="0" w:type="dxa"/>
                  <w:right w:w="108" w:type="dxa"/>
                </w:tblCellMar>
              </w:tblPrEx>
              <w:trPr>
                <w:trHeight w:val="57" w:hRule="atLeast"/>
              </w:trPr>
              <w:tc>
                <w:tcPr>
                  <w:tcW w:w="603" w:type="dxa"/>
                  <w:tcBorders>
                    <w:top w:val="single" w:color="888E93" w:sz="8" w:space="0"/>
                    <w:left w:val="single" w:color="474747"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五</w:t>
                  </w:r>
                </w:p>
              </w:tc>
              <w:tc>
                <w:tcPr>
                  <w:tcW w:w="7563" w:type="dxa"/>
                  <w:gridSpan w:val="5"/>
                  <w:tcBorders>
                    <w:top w:val="single" w:color="888E93" w:sz="8" w:space="0"/>
                    <w:left w:val="single" w:color="888E93" w:sz="8" w:space="0"/>
                    <w:bottom w:val="single" w:color="888E93"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380/220V所用电</w:t>
                  </w:r>
                </w:p>
              </w:tc>
            </w:tr>
            <w:tr>
              <w:tblPrEx>
                <w:tblCellMar>
                  <w:top w:w="0" w:type="dxa"/>
                  <w:left w:w="108" w:type="dxa"/>
                  <w:bottom w:w="0" w:type="dxa"/>
                  <w:right w:w="108" w:type="dxa"/>
                </w:tblCellMar>
              </w:tblPrEx>
              <w:trPr>
                <w:trHeight w:val="57" w:hRule="atLeast"/>
              </w:trPr>
              <w:tc>
                <w:tcPr>
                  <w:tcW w:w="603" w:type="dxa"/>
                  <w:tcBorders>
                    <w:top w:val="single" w:color="888E93" w:sz="8" w:space="0"/>
                    <w:left w:val="single" w:color="474747"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1</w:t>
                  </w:r>
                </w:p>
              </w:tc>
              <w:tc>
                <w:tcPr>
                  <w:tcW w:w="2119"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35kV站用干式变压器</w:t>
                  </w:r>
                </w:p>
              </w:tc>
              <w:tc>
                <w:tcPr>
                  <w:tcW w:w="3221"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SCB-630/35满足三级能效</w:t>
                  </w:r>
                </w:p>
              </w:tc>
              <w:tc>
                <w:tcPr>
                  <w:tcW w:w="600"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台</w:t>
                  </w:r>
                </w:p>
              </w:tc>
              <w:tc>
                <w:tcPr>
                  <w:tcW w:w="675"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1</w:t>
                  </w:r>
                </w:p>
              </w:tc>
              <w:tc>
                <w:tcPr>
                  <w:tcW w:w="948" w:type="dxa"/>
                  <w:tcBorders>
                    <w:top w:val="single" w:color="888E93" w:sz="8" w:space="0"/>
                    <w:left w:val="single" w:color="888E93" w:sz="8" w:space="0"/>
                    <w:bottom w:val="single" w:color="888E93"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r>
            <w:tr>
              <w:tblPrEx>
                <w:tblCellMar>
                  <w:top w:w="0" w:type="dxa"/>
                  <w:left w:w="108" w:type="dxa"/>
                  <w:bottom w:w="0" w:type="dxa"/>
                  <w:right w:w="108" w:type="dxa"/>
                </w:tblCellMar>
              </w:tblPrEx>
              <w:trPr>
                <w:trHeight w:val="57" w:hRule="atLeast"/>
              </w:trPr>
              <w:tc>
                <w:tcPr>
                  <w:tcW w:w="603" w:type="dxa"/>
                  <w:tcBorders>
                    <w:top w:val="single" w:color="888E93" w:sz="8" w:space="0"/>
                    <w:left w:val="single" w:color="474747"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2</w:t>
                  </w:r>
                </w:p>
              </w:tc>
              <w:tc>
                <w:tcPr>
                  <w:tcW w:w="2119"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接地变成套装置</w:t>
                  </w:r>
                </w:p>
              </w:tc>
              <w:tc>
                <w:tcPr>
                  <w:tcW w:w="3221"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DKSC-4300/38.511.11Ω，2000A</w:t>
                  </w:r>
                </w:p>
              </w:tc>
              <w:tc>
                <w:tcPr>
                  <w:tcW w:w="600"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套</w:t>
                  </w:r>
                </w:p>
              </w:tc>
              <w:tc>
                <w:tcPr>
                  <w:tcW w:w="675"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1</w:t>
                  </w:r>
                </w:p>
              </w:tc>
              <w:tc>
                <w:tcPr>
                  <w:tcW w:w="948" w:type="dxa"/>
                  <w:tcBorders>
                    <w:top w:val="single" w:color="888E93" w:sz="8" w:space="0"/>
                    <w:left w:val="single" w:color="888E93" w:sz="8" w:space="0"/>
                    <w:bottom w:val="single" w:color="888E93"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r>
            <w:tr>
              <w:tblPrEx>
                <w:tblCellMar>
                  <w:top w:w="0" w:type="dxa"/>
                  <w:left w:w="108" w:type="dxa"/>
                  <w:bottom w:w="0" w:type="dxa"/>
                  <w:right w:w="108" w:type="dxa"/>
                </w:tblCellMar>
              </w:tblPrEx>
              <w:trPr>
                <w:trHeight w:val="57" w:hRule="atLeast"/>
              </w:trPr>
              <w:tc>
                <w:tcPr>
                  <w:tcW w:w="603" w:type="dxa"/>
                  <w:tcBorders>
                    <w:top w:val="single" w:color="888E93" w:sz="8" w:space="0"/>
                    <w:left w:val="single" w:color="474747"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3</w:t>
                  </w:r>
                </w:p>
              </w:tc>
              <w:tc>
                <w:tcPr>
                  <w:tcW w:w="2119"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低压抽屉配电柜</w:t>
                  </w:r>
                </w:p>
              </w:tc>
              <w:tc>
                <w:tcPr>
                  <w:tcW w:w="3221"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MNS(放置于35kV一次预制舱内)</w:t>
                  </w:r>
                </w:p>
              </w:tc>
              <w:tc>
                <w:tcPr>
                  <w:tcW w:w="600"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面</w:t>
                  </w:r>
                </w:p>
              </w:tc>
              <w:tc>
                <w:tcPr>
                  <w:tcW w:w="675"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9</w:t>
                  </w:r>
                </w:p>
              </w:tc>
              <w:tc>
                <w:tcPr>
                  <w:tcW w:w="948" w:type="dxa"/>
                  <w:tcBorders>
                    <w:top w:val="single" w:color="888E93" w:sz="8" w:space="0"/>
                    <w:left w:val="single" w:color="888E93" w:sz="8" w:space="0"/>
                    <w:bottom w:val="single" w:color="888E93"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r>
            <w:tr>
              <w:tblPrEx>
                <w:tblCellMar>
                  <w:top w:w="0" w:type="dxa"/>
                  <w:left w:w="108" w:type="dxa"/>
                  <w:bottom w:w="0" w:type="dxa"/>
                  <w:right w:w="108" w:type="dxa"/>
                </w:tblCellMar>
              </w:tblPrEx>
              <w:trPr>
                <w:trHeight w:val="57" w:hRule="atLeast"/>
              </w:trPr>
              <w:tc>
                <w:tcPr>
                  <w:tcW w:w="603" w:type="dxa"/>
                  <w:tcBorders>
                    <w:top w:val="single" w:color="888E93" w:sz="8" w:space="0"/>
                    <w:left w:val="single" w:color="474747"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4</w:t>
                  </w:r>
                </w:p>
              </w:tc>
              <w:tc>
                <w:tcPr>
                  <w:tcW w:w="2119"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10kV备用电源系统</w:t>
                  </w:r>
                </w:p>
              </w:tc>
              <w:tc>
                <w:tcPr>
                  <w:tcW w:w="3221"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c>
                <w:tcPr>
                  <w:tcW w:w="600"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项</w:t>
                  </w:r>
                </w:p>
              </w:tc>
              <w:tc>
                <w:tcPr>
                  <w:tcW w:w="675"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1</w:t>
                  </w:r>
                </w:p>
              </w:tc>
              <w:tc>
                <w:tcPr>
                  <w:tcW w:w="948" w:type="dxa"/>
                  <w:tcBorders>
                    <w:top w:val="single" w:color="888E93" w:sz="8" w:space="0"/>
                    <w:left w:val="single" w:color="888E93" w:sz="8" w:space="0"/>
                    <w:bottom w:val="single" w:color="888E93"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r>
            <w:tr>
              <w:tblPrEx>
                <w:tblCellMar>
                  <w:top w:w="0" w:type="dxa"/>
                  <w:left w:w="108" w:type="dxa"/>
                  <w:bottom w:w="0" w:type="dxa"/>
                  <w:right w:w="108" w:type="dxa"/>
                </w:tblCellMar>
              </w:tblPrEx>
              <w:trPr>
                <w:trHeight w:val="57" w:hRule="atLeast"/>
              </w:trPr>
              <w:tc>
                <w:tcPr>
                  <w:tcW w:w="603" w:type="dxa"/>
                  <w:tcBorders>
                    <w:top w:val="single" w:color="888E93" w:sz="8" w:space="0"/>
                    <w:left w:val="single" w:color="474747"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六</w:t>
                  </w:r>
                </w:p>
              </w:tc>
              <w:tc>
                <w:tcPr>
                  <w:tcW w:w="7563" w:type="dxa"/>
                  <w:gridSpan w:val="5"/>
                  <w:tcBorders>
                    <w:top w:val="single" w:color="888E93" w:sz="8" w:space="0"/>
                    <w:left w:val="single" w:color="888E93" w:sz="8" w:space="0"/>
                    <w:bottom w:val="single" w:color="888E93"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照明部分</w:t>
                  </w:r>
                </w:p>
              </w:tc>
            </w:tr>
            <w:tr>
              <w:tblPrEx>
                <w:tblCellMar>
                  <w:top w:w="0" w:type="dxa"/>
                  <w:left w:w="108" w:type="dxa"/>
                  <w:bottom w:w="0" w:type="dxa"/>
                  <w:right w:w="108" w:type="dxa"/>
                </w:tblCellMar>
              </w:tblPrEx>
              <w:trPr>
                <w:trHeight w:val="57" w:hRule="atLeast"/>
              </w:trPr>
              <w:tc>
                <w:tcPr>
                  <w:tcW w:w="603" w:type="dxa"/>
                  <w:tcBorders>
                    <w:top w:val="single" w:color="888E93" w:sz="8" w:space="0"/>
                    <w:left w:val="single" w:color="474747"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1</w:t>
                  </w:r>
                </w:p>
              </w:tc>
              <w:tc>
                <w:tcPr>
                  <w:tcW w:w="2119"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室外照明箱</w:t>
                  </w:r>
                </w:p>
              </w:tc>
              <w:tc>
                <w:tcPr>
                  <w:tcW w:w="3221"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XRM2</w:t>
                  </w:r>
                </w:p>
              </w:tc>
              <w:tc>
                <w:tcPr>
                  <w:tcW w:w="600"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个</w:t>
                  </w:r>
                </w:p>
              </w:tc>
              <w:tc>
                <w:tcPr>
                  <w:tcW w:w="675"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1</w:t>
                  </w:r>
                </w:p>
              </w:tc>
              <w:tc>
                <w:tcPr>
                  <w:tcW w:w="948" w:type="dxa"/>
                  <w:tcBorders>
                    <w:top w:val="single" w:color="888E93" w:sz="8" w:space="0"/>
                    <w:left w:val="single" w:color="888E93" w:sz="8" w:space="0"/>
                    <w:bottom w:val="single" w:color="888E93"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r>
            <w:tr>
              <w:tblPrEx>
                <w:tblCellMar>
                  <w:top w:w="0" w:type="dxa"/>
                  <w:left w:w="108" w:type="dxa"/>
                  <w:bottom w:w="0" w:type="dxa"/>
                  <w:right w:w="108" w:type="dxa"/>
                </w:tblCellMar>
              </w:tblPrEx>
              <w:trPr>
                <w:trHeight w:val="57" w:hRule="atLeast"/>
              </w:trPr>
              <w:tc>
                <w:tcPr>
                  <w:tcW w:w="603" w:type="dxa"/>
                  <w:tcBorders>
                    <w:top w:val="single" w:color="888E93" w:sz="8" w:space="0"/>
                    <w:left w:val="single" w:color="474747" w:sz="8" w:space="0"/>
                    <w:bottom w:val="single" w:color="474747"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2</w:t>
                  </w:r>
                </w:p>
              </w:tc>
              <w:tc>
                <w:tcPr>
                  <w:tcW w:w="2119" w:type="dxa"/>
                  <w:tcBorders>
                    <w:top w:val="single" w:color="888E93" w:sz="8" w:space="0"/>
                    <w:left w:val="single" w:color="888E93" w:sz="8" w:space="0"/>
                    <w:bottom w:val="single" w:color="474747"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庭院灯(带灯杆)</w:t>
                  </w:r>
                </w:p>
              </w:tc>
              <w:tc>
                <w:tcPr>
                  <w:tcW w:w="3221" w:type="dxa"/>
                  <w:tcBorders>
                    <w:top w:val="single" w:color="888E93" w:sz="8" w:space="0"/>
                    <w:left w:val="single" w:color="888E93" w:sz="8" w:space="0"/>
                    <w:bottom w:val="single" w:color="474747"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220V2x20W(LED光源)</w:t>
                  </w:r>
                </w:p>
              </w:tc>
              <w:tc>
                <w:tcPr>
                  <w:tcW w:w="600" w:type="dxa"/>
                  <w:tcBorders>
                    <w:top w:val="single" w:color="888E93" w:sz="8" w:space="0"/>
                    <w:left w:val="single" w:color="888E93" w:sz="8" w:space="0"/>
                    <w:bottom w:val="single" w:color="474747"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套</w:t>
                  </w:r>
                </w:p>
              </w:tc>
              <w:tc>
                <w:tcPr>
                  <w:tcW w:w="675" w:type="dxa"/>
                  <w:tcBorders>
                    <w:top w:val="single" w:color="888E93" w:sz="8" w:space="0"/>
                    <w:left w:val="single" w:color="888E93" w:sz="8" w:space="0"/>
                    <w:bottom w:val="single" w:color="474747"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50</w:t>
                  </w:r>
                </w:p>
              </w:tc>
              <w:tc>
                <w:tcPr>
                  <w:tcW w:w="948" w:type="dxa"/>
                  <w:tcBorders>
                    <w:top w:val="single" w:color="888E93" w:sz="8" w:space="0"/>
                    <w:left w:val="single" w:color="888E93" w:sz="8" w:space="0"/>
                    <w:bottom w:val="single" w:color="474747"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r>
            <w:tr>
              <w:tblPrEx>
                <w:tblCellMar>
                  <w:top w:w="0" w:type="dxa"/>
                  <w:left w:w="108" w:type="dxa"/>
                  <w:bottom w:w="0" w:type="dxa"/>
                  <w:right w:w="108" w:type="dxa"/>
                </w:tblCellMar>
              </w:tblPrEx>
              <w:trPr>
                <w:trHeight w:val="57" w:hRule="atLeast"/>
              </w:trPr>
              <w:tc>
                <w:tcPr>
                  <w:tcW w:w="603" w:type="dxa"/>
                  <w:tcBorders>
                    <w:top w:val="single" w:color="888E93" w:sz="8" w:space="0"/>
                    <w:left w:val="single" w:color="474747"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3</w:t>
                  </w:r>
                </w:p>
              </w:tc>
              <w:tc>
                <w:tcPr>
                  <w:tcW w:w="2119"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投光灯</w:t>
                  </w:r>
                </w:p>
              </w:tc>
              <w:tc>
                <w:tcPr>
                  <w:tcW w:w="3221"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220V1x80W(LED光源)</w:t>
                  </w:r>
                </w:p>
              </w:tc>
              <w:tc>
                <w:tcPr>
                  <w:tcW w:w="600"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套</w:t>
                  </w:r>
                </w:p>
              </w:tc>
              <w:tc>
                <w:tcPr>
                  <w:tcW w:w="675"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30</w:t>
                  </w:r>
                </w:p>
              </w:tc>
              <w:tc>
                <w:tcPr>
                  <w:tcW w:w="948" w:type="dxa"/>
                  <w:tcBorders>
                    <w:top w:val="single" w:color="888E93" w:sz="8" w:space="0"/>
                    <w:left w:val="single" w:color="888E93" w:sz="8" w:space="0"/>
                    <w:bottom w:val="single" w:color="888E93"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r>
            <w:tr>
              <w:tblPrEx>
                <w:tblCellMar>
                  <w:top w:w="0" w:type="dxa"/>
                  <w:left w:w="108" w:type="dxa"/>
                  <w:bottom w:w="0" w:type="dxa"/>
                  <w:right w:w="108" w:type="dxa"/>
                </w:tblCellMar>
              </w:tblPrEx>
              <w:trPr>
                <w:trHeight w:val="57" w:hRule="atLeast"/>
              </w:trPr>
              <w:tc>
                <w:tcPr>
                  <w:tcW w:w="603" w:type="dxa"/>
                  <w:tcBorders>
                    <w:top w:val="single" w:color="888E93" w:sz="8" w:space="0"/>
                    <w:left w:val="single" w:color="474747"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4</w:t>
                  </w:r>
                </w:p>
              </w:tc>
              <w:tc>
                <w:tcPr>
                  <w:tcW w:w="2119"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疏散照明控制系统</w:t>
                  </w:r>
                </w:p>
              </w:tc>
              <w:tc>
                <w:tcPr>
                  <w:tcW w:w="3221"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c>
                <w:tcPr>
                  <w:tcW w:w="600"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套</w:t>
                  </w:r>
                </w:p>
              </w:tc>
              <w:tc>
                <w:tcPr>
                  <w:tcW w:w="675"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1</w:t>
                  </w:r>
                </w:p>
              </w:tc>
              <w:tc>
                <w:tcPr>
                  <w:tcW w:w="948" w:type="dxa"/>
                  <w:tcBorders>
                    <w:top w:val="single" w:color="888E93" w:sz="8" w:space="0"/>
                    <w:left w:val="single" w:color="888E93" w:sz="8" w:space="0"/>
                    <w:bottom w:val="single" w:color="888E93"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r>
            <w:tr>
              <w:tblPrEx>
                <w:tblCellMar>
                  <w:top w:w="0" w:type="dxa"/>
                  <w:left w:w="108" w:type="dxa"/>
                  <w:bottom w:w="0" w:type="dxa"/>
                  <w:right w:w="108" w:type="dxa"/>
                </w:tblCellMar>
              </w:tblPrEx>
              <w:trPr>
                <w:trHeight w:val="57" w:hRule="atLeast"/>
              </w:trPr>
              <w:tc>
                <w:tcPr>
                  <w:tcW w:w="603" w:type="dxa"/>
                  <w:tcBorders>
                    <w:top w:val="single" w:color="888E93" w:sz="8" w:space="0"/>
                    <w:left w:val="single" w:color="474747"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eastAsia" w:ascii="Times New Roman" w:hAnsi="Times New Roman" w:cs="Times New Roman"/>
                      <w:color w:val="auto"/>
                      <w:szCs w:val="21"/>
                    </w:rPr>
                    <w:t>七</w:t>
                  </w:r>
                </w:p>
              </w:tc>
              <w:tc>
                <w:tcPr>
                  <w:tcW w:w="7563" w:type="dxa"/>
                  <w:gridSpan w:val="5"/>
                  <w:tcBorders>
                    <w:top w:val="single" w:color="888E93" w:sz="8" w:space="0"/>
                    <w:left w:val="single" w:color="888E93" w:sz="8" w:space="0"/>
                    <w:bottom w:val="single" w:color="888E93"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光伏组件</w:t>
                  </w:r>
                </w:p>
              </w:tc>
            </w:tr>
            <w:tr>
              <w:tblPrEx>
                <w:tblCellMar>
                  <w:top w:w="0" w:type="dxa"/>
                  <w:left w:w="108" w:type="dxa"/>
                  <w:bottom w:w="0" w:type="dxa"/>
                  <w:right w:w="108" w:type="dxa"/>
                </w:tblCellMar>
              </w:tblPrEx>
              <w:trPr>
                <w:trHeight w:val="57" w:hRule="atLeast"/>
              </w:trPr>
              <w:tc>
                <w:tcPr>
                  <w:tcW w:w="603" w:type="dxa"/>
                  <w:tcBorders>
                    <w:top w:val="single" w:color="888E93" w:sz="8" w:space="0"/>
                    <w:left w:val="single" w:color="474747"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eastAsia" w:ascii="Times New Roman" w:hAnsi="Times New Roman" w:cs="Times New Roman"/>
                      <w:color w:val="auto"/>
                      <w:szCs w:val="21"/>
                    </w:rPr>
                    <w:t>1</w:t>
                  </w:r>
                </w:p>
              </w:tc>
              <w:tc>
                <w:tcPr>
                  <w:tcW w:w="2119"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单晶硅单面光伏组件</w:t>
                  </w:r>
                </w:p>
              </w:tc>
              <w:tc>
                <w:tcPr>
                  <w:tcW w:w="3221"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550W</w:t>
                  </w:r>
                </w:p>
              </w:tc>
              <w:tc>
                <w:tcPr>
                  <w:tcW w:w="600"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块</w:t>
                  </w:r>
                </w:p>
              </w:tc>
              <w:tc>
                <w:tcPr>
                  <w:tcW w:w="675"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363662</w:t>
                  </w:r>
                </w:p>
              </w:tc>
              <w:tc>
                <w:tcPr>
                  <w:tcW w:w="948" w:type="dxa"/>
                  <w:tcBorders>
                    <w:top w:val="single" w:color="888E93" w:sz="8" w:space="0"/>
                    <w:left w:val="single" w:color="888E93" w:sz="8" w:space="0"/>
                    <w:bottom w:val="single" w:color="888E93"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r>
            <w:tr>
              <w:tblPrEx>
                <w:tblCellMar>
                  <w:top w:w="0" w:type="dxa"/>
                  <w:left w:w="108" w:type="dxa"/>
                  <w:bottom w:w="0" w:type="dxa"/>
                  <w:right w:w="108" w:type="dxa"/>
                </w:tblCellMar>
              </w:tblPrEx>
              <w:trPr>
                <w:trHeight w:val="57" w:hRule="atLeast"/>
              </w:trPr>
              <w:tc>
                <w:tcPr>
                  <w:tcW w:w="603" w:type="dxa"/>
                  <w:tcBorders>
                    <w:top w:val="single" w:color="888E93" w:sz="8" w:space="0"/>
                    <w:left w:val="single" w:color="474747"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eastAsia" w:ascii="Times New Roman" w:hAnsi="Times New Roman" w:cs="Times New Roman"/>
                      <w:color w:val="auto"/>
                      <w:szCs w:val="21"/>
                    </w:rPr>
                    <w:t>2</w:t>
                  </w:r>
                </w:p>
              </w:tc>
              <w:tc>
                <w:tcPr>
                  <w:tcW w:w="2119"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组串式并网逆变器</w:t>
                  </w:r>
                </w:p>
              </w:tc>
              <w:tc>
                <w:tcPr>
                  <w:tcW w:w="3221"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300kW</w:t>
                  </w:r>
                </w:p>
              </w:tc>
              <w:tc>
                <w:tcPr>
                  <w:tcW w:w="600"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eastAsia" w:ascii="Times New Roman" w:hAnsi="Times New Roman" w:cs="Times New Roman"/>
                      <w:color w:val="auto"/>
                      <w:szCs w:val="21"/>
                    </w:rPr>
                    <w:t>台</w:t>
                  </w:r>
                </w:p>
              </w:tc>
              <w:tc>
                <w:tcPr>
                  <w:tcW w:w="675"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eastAsia" w:ascii="Times New Roman" w:hAnsi="Times New Roman" w:cs="Times New Roman"/>
                      <w:color w:val="auto"/>
                      <w:szCs w:val="21"/>
                    </w:rPr>
                    <w:t>578</w:t>
                  </w:r>
                </w:p>
              </w:tc>
              <w:tc>
                <w:tcPr>
                  <w:tcW w:w="948" w:type="dxa"/>
                  <w:tcBorders>
                    <w:top w:val="single" w:color="888E93" w:sz="8" w:space="0"/>
                    <w:left w:val="single" w:color="888E93" w:sz="8" w:space="0"/>
                    <w:bottom w:val="single" w:color="888E93"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r>
            <w:tr>
              <w:tblPrEx>
                <w:tblCellMar>
                  <w:top w:w="0" w:type="dxa"/>
                  <w:left w:w="108" w:type="dxa"/>
                  <w:bottom w:w="0" w:type="dxa"/>
                  <w:right w:w="108" w:type="dxa"/>
                </w:tblCellMar>
              </w:tblPrEx>
              <w:trPr>
                <w:trHeight w:val="57" w:hRule="atLeast"/>
              </w:trPr>
              <w:tc>
                <w:tcPr>
                  <w:tcW w:w="603" w:type="dxa"/>
                  <w:tcBorders>
                    <w:top w:val="single" w:color="888E93" w:sz="8" w:space="0"/>
                    <w:left w:val="single" w:color="474747"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eastAsia" w:ascii="Times New Roman" w:hAnsi="Times New Roman" w:cs="Times New Roman"/>
                      <w:color w:val="auto"/>
                      <w:szCs w:val="21"/>
                    </w:rPr>
                    <w:t>3</w:t>
                  </w:r>
                </w:p>
              </w:tc>
              <w:tc>
                <w:tcPr>
                  <w:tcW w:w="2119"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eastAsia" w:ascii="Times New Roman" w:hAnsi="Times New Roman" w:cs="Times New Roman"/>
                      <w:color w:val="auto"/>
                      <w:szCs w:val="21"/>
                    </w:rPr>
                    <w:t>箱式变压器</w:t>
                  </w:r>
                </w:p>
              </w:tc>
              <w:tc>
                <w:tcPr>
                  <w:tcW w:w="3221"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ascii="Times New Roman" w:hAnsi="Times New Roman" w:cs="Times New Roman"/>
                      <w:color w:val="auto"/>
                      <w:szCs w:val="21"/>
                    </w:rPr>
                    <w:t>3300kVA</w:t>
                  </w:r>
                </w:p>
              </w:tc>
              <w:tc>
                <w:tcPr>
                  <w:tcW w:w="600"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eastAsia" w:ascii="Times New Roman" w:hAnsi="Times New Roman" w:cs="Times New Roman"/>
                      <w:color w:val="auto"/>
                      <w:szCs w:val="21"/>
                    </w:rPr>
                    <w:t>台</w:t>
                  </w:r>
                </w:p>
              </w:tc>
              <w:tc>
                <w:tcPr>
                  <w:tcW w:w="675"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szCs w:val="21"/>
                    </w:rPr>
                  </w:pPr>
                  <w:r>
                    <w:rPr>
                      <w:rFonts w:hint="eastAsia" w:ascii="Times New Roman" w:hAnsi="Times New Roman" w:cs="Times New Roman"/>
                      <w:color w:val="auto"/>
                      <w:szCs w:val="21"/>
                    </w:rPr>
                    <w:t>57</w:t>
                  </w:r>
                </w:p>
              </w:tc>
              <w:tc>
                <w:tcPr>
                  <w:tcW w:w="948" w:type="dxa"/>
                  <w:tcBorders>
                    <w:top w:val="single" w:color="888E93" w:sz="8" w:space="0"/>
                    <w:left w:val="single" w:color="888E93" w:sz="8" w:space="0"/>
                    <w:bottom w:val="single" w:color="888E93"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r>
            <w:tr>
              <w:tblPrEx>
                <w:tblCellMar>
                  <w:top w:w="0" w:type="dxa"/>
                  <w:left w:w="108" w:type="dxa"/>
                  <w:bottom w:w="0" w:type="dxa"/>
                  <w:right w:w="108" w:type="dxa"/>
                </w:tblCellMar>
              </w:tblPrEx>
              <w:trPr>
                <w:trHeight w:val="57" w:hRule="atLeast"/>
              </w:trPr>
              <w:tc>
                <w:tcPr>
                  <w:tcW w:w="603" w:type="dxa"/>
                  <w:tcBorders>
                    <w:top w:val="single" w:color="888E93" w:sz="8" w:space="0"/>
                    <w:left w:val="single" w:color="474747"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eastAsia="宋体" w:cs="Times New Roman"/>
                      <w:color w:val="auto"/>
                      <w:szCs w:val="21"/>
                      <w:lang w:val="en-US" w:eastAsia="zh-CN"/>
                    </w:rPr>
                  </w:pPr>
                  <w:r>
                    <w:rPr>
                      <w:rFonts w:hint="eastAsia" w:cs="Times New Roman"/>
                      <w:color w:val="auto"/>
                      <w:szCs w:val="21"/>
                      <w:lang w:val="en-US" w:eastAsia="zh-CN"/>
                    </w:rPr>
                    <w:t>八</w:t>
                  </w:r>
                </w:p>
              </w:tc>
              <w:tc>
                <w:tcPr>
                  <w:tcW w:w="7563" w:type="dxa"/>
                  <w:gridSpan w:val="5"/>
                  <w:tcBorders>
                    <w:top w:val="single" w:color="888E93" w:sz="8" w:space="0"/>
                    <w:left w:val="single" w:color="888E93" w:sz="8" w:space="0"/>
                    <w:bottom w:val="single" w:color="888E93"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r>
                    <w:rPr>
                      <w:rFonts w:hint="eastAsia" w:cs="Times New Roman"/>
                      <w:color w:val="auto"/>
                      <w:szCs w:val="21"/>
                      <w:lang w:val="en-US" w:eastAsia="zh-CN"/>
                    </w:rPr>
                    <w:t>储能部分</w:t>
                  </w:r>
                </w:p>
              </w:tc>
            </w:tr>
            <w:tr>
              <w:tblPrEx>
                <w:tblCellMar>
                  <w:top w:w="0" w:type="dxa"/>
                  <w:left w:w="108" w:type="dxa"/>
                  <w:bottom w:w="0" w:type="dxa"/>
                  <w:right w:w="108" w:type="dxa"/>
                </w:tblCellMar>
              </w:tblPrEx>
              <w:trPr>
                <w:trHeight w:val="57" w:hRule="atLeast"/>
              </w:trPr>
              <w:tc>
                <w:tcPr>
                  <w:tcW w:w="603" w:type="dxa"/>
                  <w:tcBorders>
                    <w:top w:val="single" w:color="888E93" w:sz="8" w:space="0"/>
                    <w:left w:val="single" w:color="474747"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eastAsia="宋体" w:cs="Times New Roman"/>
                      <w:color w:val="auto"/>
                      <w:szCs w:val="21"/>
                      <w:lang w:val="en-US" w:eastAsia="zh-CN"/>
                    </w:rPr>
                  </w:pPr>
                  <w:r>
                    <w:rPr>
                      <w:rFonts w:hint="eastAsia" w:cs="Times New Roman"/>
                      <w:color w:val="auto"/>
                      <w:szCs w:val="21"/>
                      <w:lang w:val="en-US" w:eastAsia="zh-CN"/>
                    </w:rPr>
                    <w:t>1</w:t>
                  </w:r>
                </w:p>
              </w:tc>
              <w:tc>
                <w:tcPr>
                  <w:tcW w:w="2119"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锂电池储能系统</w:t>
                  </w:r>
                </w:p>
              </w:tc>
              <w:tc>
                <w:tcPr>
                  <w:tcW w:w="3221"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40MW/160MWh</w:t>
                  </w:r>
                </w:p>
              </w:tc>
              <w:tc>
                <w:tcPr>
                  <w:tcW w:w="600"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eastAsia="宋体" w:cs="Times New Roman"/>
                      <w:color w:val="auto"/>
                      <w:szCs w:val="21"/>
                      <w:lang w:val="en-US" w:eastAsia="zh-CN"/>
                    </w:rPr>
                  </w:pPr>
                  <w:r>
                    <w:rPr>
                      <w:rFonts w:hint="eastAsia" w:cs="Times New Roman"/>
                      <w:color w:val="auto"/>
                      <w:szCs w:val="21"/>
                      <w:lang w:val="en-US" w:eastAsia="zh-CN"/>
                    </w:rPr>
                    <w:t>套</w:t>
                  </w:r>
                </w:p>
              </w:tc>
              <w:tc>
                <w:tcPr>
                  <w:tcW w:w="675" w:type="dxa"/>
                  <w:tcBorders>
                    <w:top w:val="single" w:color="888E93" w:sz="8" w:space="0"/>
                    <w:left w:val="single" w:color="888E93" w:sz="8" w:space="0"/>
                    <w:bottom w:val="single" w:color="888E93" w:sz="8" w:space="0"/>
                    <w:right w:val="single" w:color="888E93"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eastAsia="宋体" w:cs="Times New Roman"/>
                      <w:color w:val="auto"/>
                      <w:szCs w:val="21"/>
                      <w:lang w:val="en-US" w:eastAsia="zh-CN"/>
                    </w:rPr>
                  </w:pPr>
                  <w:r>
                    <w:rPr>
                      <w:rFonts w:hint="eastAsia" w:cs="Times New Roman"/>
                      <w:color w:val="auto"/>
                      <w:szCs w:val="21"/>
                      <w:lang w:val="en-US" w:eastAsia="zh-CN"/>
                    </w:rPr>
                    <w:t>1</w:t>
                  </w:r>
                </w:p>
              </w:tc>
              <w:tc>
                <w:tcPr>
                  <w:tcW w:w="948" w:type="dxa"/>
                  <w:tcBorders>
                    <w:top w:val="single" w:color="888E93" w:sz="8" w:space="0"/>
                    <w:left w:val="single" w:color="888E93" w:sz="8" w:space="0"/>
                    <w:bottom w:val="single" w:color="888E93" w:sz="8" w:space="0"/>
                    <w:right w:val="single" w:color="474747" w:sz="8" w:space="0"/>
                  </w:tcBorders>
                  <w:shd w:val="clear" w:color="auto" w:fill="FFFFFF"/>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szCs w:val="21"/>
                    </w:rPr>
                  </w:pPr>
                </w:p>
              </w:tc>
            </w:tr>
          </w:tbl>
          <w:p>
            <w:pPr>
              <w:pStyle w:val="4"/>
              <w:suppressLineNumbers w:val="0"/>
              <w:spacing w:before="0" w:after="0"/>
              <w:ind w:left="0" w:right="0" w:firstLine="482"/>
              <w:rPr>
                <w:rFonts w:hint="default" w:cs="Times New Roman"/>
                <w:color w:val="auto"/>
              </w:rPr>
            </w:pPr>
            <w:r>
              <w:rPr>
                <w:rFonts w:hint="eastAsia" w:cs="Times New Roman"/>
                <w:color w:val="auto"/>
              </w:rPr>
              <w:t>原辅材料及能源消耗</w:t>
            </w:r>
          </w:p>
          <w:p>
            <w:pPr>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lang w:val="en-US" w:eastAsia="zh-CN"/>
              </w:rPr>
            </w:pPr>
            <w:r>
              <w:rPr>
                <w:rFonts w:hint="default" w:ascii="Times New Roman" w:hAnsi="Times New Roman" w:cs="Times New Roman"/>
                <w:color w:val="auto"/>
              </w:rPr>
              <w:t>本项目为利用光伏发电板块发电及输送电力的项目，无需原辅材料。主要为变压器油、水、电能源的消耗。</w:t>
            </w:r>
            <w:r>
              <w:rPr>
                <w:rFonts w:hint="eastAsia" w:cs="Times New Roman"/>
                <w:color w:val="auto"/>
                <w:lang w:val="en-US" w:eastAsia="zh-CN"/>
              </w:rPr>
              <w:t>变压器油主要是升压站主变压器消耗，主变压器每五年检修一次，变压器油年消耗量为1.7t/a。光伏电站内的箱式变压器为干式变压器，不消耗变压器油。</w:t>
            </w:r>
          </w:p>
          <w:p>
            <w:pPr>
              <w:pStyle w:val="33"/>
              <w:keepNext w:val="0"/>
              <w:keepLines w:val="0"/>
              <w:suppressLineNumbers w:val="0"/>
              <w:spacing w:before="0" w:beforeAutospacing="0" w:after="0" w:afterAutospacing="0"/>
              <w:ind w:right="0"/>
              <w:rPr>
                <w:rFonts w:hint="default" w:ascii="Times New Roman" w:hAnsi="Times New Roman" w:cs="Times New Roman"/>
                <w:color w:val="auto"/>
              </w:rPr>
            </w:pPr>
            <w:r>
              <w:rPr>
                <w:rFonts w:hint="default" w:ascii="Times New Roman" w:hAnsi="Times New Roman" w:cs="Times New Roman"/>
                <w:color w:val="auto"/>
              </w:rPr>
              <w:t>项目主要原辅材料及能源消耗</w:t>
            </w:r>
          </w:p>
          <w:tbl>
            <w:tblPr>
              <w:tblStyle w:val="2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93"/>
              <w:gridCol w:w="1168"/>
              <w:gridCol w:w="1052"/>
              <w:gridCol w:w="1169"/>
              <w:gridCol w:w="41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23"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序号</w:t>
                  </w:r>
                </w:p>
              </w:tc>
              <w:tc>
                <w:tcPr>
                  <w:tcW w:w="71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名称</w:t>
                  </w:r>
                </w:p>
              </w:tc>
              <w:tc>
                <w:tcPr>
                  <w:tcW w:w="64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用量</w:t>
                  </w:r>
                </w:p>
              </w:tc>
              <w:tc>
                <w:tcPr>
                  <w:tcW w:w="713"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单位</w:t>
                  </w:r>
                </w:p>
              </w:tc>
              <w:tc>
                <w:tcPr>
                  <w:tcW w:w="2508"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23"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w:t>
                  </w:r>
                </w:p>
              </w:tc>
              <w:tc>
                <w:tcPr>
                  <w:tcW w:w="71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变压器油</w:t>
                  </w:r>
                </w:p>
              </w:tc>
              <w:tc>
                <w:tcPr>
                  <w:tcW w:w="64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eastAsia="宋体" w:cs="Times New Roman"/>
                      <w:color w:val="auto"/>
                      <w:lang w:val="en-US" w:eastAsia="zh-CN"/>
                    </w:rPr>
                  </w:pPr>
                  <w:r>
                    <w:rPr>
                      <w:rFonts w:hint="eastAsia" w:cs="Times New Roman"/>
                      <w:color w:val="auto"/>
                      <w:lang w:val="en-US" w:eastAsia="zh-CN"/>
                    </w:rPr>
                    <w:t>1.7</w:t>
                  </w:r>
                </w:p>
              </w:tc>
              <w:tc>
                <w:tcPr>
                  <w:tcW w:w="713"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t/a</w:t>
                  </w:r>
                </w:p>
              </w:tc>
              <w:tc>
                <w:tcPr>
                  <w:tcW w:w="2508"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eastAsia="宋体" w:cs="Times New Roman"/>
                      <w:color w:val="auto"/>
                      <w:lang w:val="en-US" w:eastAsia="zh-CN"/>
                    </w:rPr>
                  </w:pPr>
                  <w:r>
                    <w:rPr>
                      <w:rFonts w:hint="default" w:ascii="Times New Roman" w:hAnsi="Times New Roman" w:cs="Times New Roman"/>
                      <w:color w:val="auto"/>
                    </w:rPr>
                    <w:t>升压站</w:t>
                  </w:r>
                  <w:r>
                    <w:rPr>
                      <w:rFonts w:hint="eastAsia" w:cs="Times New Roman"/>
                      <w:color w:val="auto"/>
                      <w:lang w:val="en-US" w:eastAsia="zh-CN"/>
                    </w:rPr>
                    <w:t>主变压器消耗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23"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2</w:t>
                  </w:r>
                </w:p>
              </w:tc>
              <w:tc>
                <w:tcPr>
                  <w:tcW w:w="71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新鲜水</w:t>
                  </w:r>
                </w:p>
              </w:tc>
              <w:tc>
                <w:tcPr>
                  <w:tcW w:w="64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2</w:t>
                  </w:r>
                  <w:r>
                    <w:rPr>
                      <w:rFonts w:hint="eastAsia" w:ascii="Times New Roman" w:hAnsi="Times New Roman" w:cs="Times New Roman"/>
                      <w:color w:val="auto"/>
                    </w:rPr>
                    <w:t>880</w:t>
                  </w:r>
                </w:p>
              </w:tc>
              <w:tc>
                <w:tcPr>
                  <w:tcW w:w="713"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m</w:t>
                  </w:r>
                  <w:r>
                    <w:rPr>
                      <w:rFonts w:hint="default" w:ascii="Times New Roman" w:hAnsi="Times New Roman" w:cs="Times New Roman"/>
                      <w:color w:val="auto"/>
                      <w:vertAlign w:val="superscript"/>
                    </w:rPr>
                    <w:t>3</w:t>
                  </w:r>
                  <w:r>
                    <w:rPr>
                      <w:rFonts w:hint="default" w:ascii="Times New Roman" w:hAnsi="Times New Roman" w:cs="Times New Roman"/>
                      <w:color w:val="auto"/>
                    </w:rPr>
                    <w:t>/a</w:t>
                  </w:r>
                </w:p>
              </w:tc>
              <w:tc>
                <w:tcPr>
                  <w:tcW w:w="2508"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升压站生活用水由自备水井供给，太阳能光伏组件清洗用水取自附近村里的水井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23"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3</w:t>
                  </w:r>
                </w:p>
              </w:tc>
              <w:tc>
                <w:tcPr>
                  <w:tcW w:w="71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电</w:t>
                  </w:r>
                </w:p>
              </w:tc>
              <w:tc>
                <w:tcPr>
                  <w:tcW w:w="64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79</w:t>
                  </w:r>
                </w:p>
              </w:tc>
              <w:tc>
                <w:tcPr>
                  <w:tcW w:w="713"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万kWh/a</w:t>
                  </w:r>
                </w:p>
              </w:tc>
              <w:tc>
                <w:tcPr>
                  <w:tcW w:w="2508"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当地供电系统提供</w:t>
                  </w:r>
                </w:p>
              </w:tc>
            </w:tr>
          </w:tbl>
          <w:p>
            <w:pPr>
              <w:pStyle w:val="4"/>
              <w:suppressLineNumbers w:val="0"/>
              <w:spacing w:before="0" w:after="0"/>
              <w:ind w:left="0" w:right="0" w:firstLine="482"/>
              <w:rPr>
                <w:rFonts w:hint="default" w:cs="Times New Roman"/>
                <w:color w:val="auto"/>
              </w:rPr>
            </w:pPr>
            <w:r>
              <w:rPr>
                <w:rFonts w:hint="eastAsia" w:cs="Times New Roman"/>
                <w:color w:val="auto"/>
              </w:rPr>
              <w:t>劳动定员</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项目日常驻站人员为</w:t>
            </w:r>
            <w:r>
              <w:rPr>
                <w:rFonts w:hint="eastAsia" w:ascii="Times New Roman" w:hAnsi="Times New Roman" w:cs="Times New Roman"/>
                <w:color w:val="auto"/>
              </w:rPr>
              <w:t>24</w:t>
            </w:r>
            <w:r>
              <w:rPr>
                <w:rFonts w:hint="default" w:ascii="Times New Roman" w:hAnsi="Times New Roman" w:cs="Times New Roman"/>
                <w:color w:val="auto"/>
              </w:rPr>
              <w:t>人，负责光伏区及升压站等运行和日常维护工作。</w:t>
            </w:r>
          </w:p>
          <w:p>
            <w:pPr>
              <w:pStyle w:val="4"/>
              <w:suppressLineNumbers w:val="0"/>
              <w:spacing w:before="0" w:after="0"/>
              <w:ind w:left="0" w:right="0" w:firstLine="482"/>
              <w:rPr>
                <w:rFonts w:hint="default" w:cs="Times New Roman"/>
                <w:color w:val="auto"/>
              </w:rPr>
            </w:pPr>
            <w:r>
              <w:rPr>
                <w:rFonts w:hint="eastAsia" w:cs="Times New Roman"/>
                <w:color w:val="auto"/>
              </w:rPr>
              <w:t>公用工程及辅助设施</w:t>
            </w:r>
          </w:p>
          <w:p>
            <w:pPr>
              <w:pStyle w:val="5"/>
              <w:suppressLineNumbers w:val="0"/>
              <w:spacing w:before="0" w:after="0"/>
              <w:ind w:left="0" w:right="0" w:firstLine="482"/>
              <w:rPr>
                <w:rFonts w:hint="eastAsia" w:ascii="Times New Roman" w:hAnsi="Times New Roman" w:cs="Times New Roman"/>
                <w:color w:val="auto"/>
              </w:rPr>
            </w:pPr>
            <w:r>
              <w:rPr>
                <w:rFonts w:hint="eastAsia" w:ascii="Times New Roman" w:hAnsi="Times New Roman" w:cs="Times New Roman"/>
                <w:color w:val="auto"/>
              </w:rPr>
              <w:t>给水</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本项目运营期用水为生活用水和太阳能光伏组件清洗用水。</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运营期升压站内生活用水为自备水井，根据河北省《生活与服务业 用水定额 第1部分：居民生活》（DB13/T 5450.1-2021），并结合项目实际情况，本项目劳动定员24人，生活用水按20m</w:t>
            </w:r>
            <w:r>
              <w:rPr>
                <w:rFonts w:hint="eastAsia" w:ascii="Times New Roman" w:hAnsi="Times New Roman" w:cs="Times New Roman"/>
                <w:color w:val="auto"/>
                <w:vertAlign w:val="superscript"/>
              </w:rPr>
              <w:t>3</w:t>
            </w:r>
            <w:r>
              <w:rPr>
                <w:rFonts w:hint="eastAsia" w:ascii="Times New Roman" w:hAnsi="Times New Roman" w:cs="Times New Roman"/>
                <w:color w:val="auto"/>
              </w:rPr>
              <w:t>/a·人计，生活用水量480m</w:t>
            </w:r>
            <w:r>
              <w:rPr>
                <w:rFonts w:hint="eastAsia" w:ascii="Times New Roman" w:hAnsi="Times New Roman" w:cs="Times New Roman"/>
                <w:color w:val="auto"/>
                <w:vertAlign w:val="superscript"/>
              </w:rPr>
              <w:t>3</w:t>
            </w:r>
            <w:r>
              <w:rPr>
                <w:rFonts w:hint="eastAsia" w:ascii="Times New Roman" w:hAnsi="Times New Roman" w:cs="Times New Roman"/>
                <w:color w:val="auto"/>
              </w:rPr>
              <w:t>/a，1.32m</w:t>
            </w:r>
            <w:r>
              <w:rPr>
                <w:rFonts w:hint="eastAsia" w:ascii="Times New Roman" w:hAnsi="Times New Roman" w:cs="Times New Roman"/>
                <w:color w:val="auto"/>
                <w:vertAlign w:val="superscript"/>
              </w:rPr>
              <w:t>3</w:t>
            </w:r>
            <w:r>
              <w:rPr>
                <w:rFonts w:hint="eastAsia" w:ascii="Times New Roman" w:hAnsi="Times New Roman" w:cs="Times New Roman"/>
                <w:color w:val="auto"/>
              </w:rPr>
              <w:t>/d。</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本项目运营期太阳能电池组件容易积尘影响发电效率，故应对电池组件进行清洗，以保证电池组件的发电效率，当发电量减少10-15%时应清理组件。项目光伏组件采取人工操作喷雾式水枪进行清洗。太阳能光伏组件清洗用水取自附近村里的水井，利用水车运至光伏阵列区，光伏组件清洗用水为局部间断性用水，清洗次数按每年2次考虑，类比同类型光伏电站清洗用水量，清洗1MW的硅晶板需水量约为6.0m</w:t>
            </w:r>
            <w:r>
              <w:rPr>
                <w:rFonts w:hint="eastAsia" w:ascii="Times New Roman" w:hAnsi="Times New Roman" w:cs="Times New Roman"/>
                <w:color w:val="auto"/>
                <w:vertAlign w:val="superscript"/>
              </w:rPr>
              <w:t>3</w:t>
            </w:r>
            <w:r>
              <w:rPr>
                <w:rFonts w:hint="eastAsia" w:ascii="Times New Roman" w:hAnsi="Times New Roman" w:cs="Times New Roman"/>
                <w:color w:val="auto"/>
              </w:rPr>
              <w:t>，则单次清洗耗水量约1200m</w:t>
            </w:r>
            <w:r>
              <w:rPr>
                <w:rFonts w:hint="eastAsia" w:ascii="Times New Roman" w:hAnsi="Times New Roman" w:cs="Times New Roman"/>
                <w:color w:val="auto"/>
                <w:vertAlign w:val="superscript"/>
              </w:rPr>
              <w:t>3</w:t>
            </w:r>
            <w:r>
              <w:rPr>
                <w:rFonts w:hint="eastAsia" w:ascii="Times New Roman" w:hAnsi="Times New Roman" w:cs="Times New Roman"/>
                <w:color w:val="auto"/>
              </w:rPr>
              <w:t>，全年累计消耗2400m</w:t>
            </w:r>
            <w:r>
              <w:rPr>
                <w:rFonts w:hint="eastAsia" w:ascii="Times New Roman" w:hAnsi="Times New Roman" w:cs="Times New Roman"/>
                <w:color w:val="auto"/>
                <w:vertAlign w:val="superscript"/>
              </w:rPr>
              <w:t>3</w:t>
            </w:r>
            <w:r>
              <w:rPr>
                <w:rFonts w:hint="eastAsia" w:ascii="Times New Roman" w:hAnsi="Times New Roman" w:cs="Times New Roman"/>
                <w:color w:val="auto"/>
              </w:rPr>
              <w:t>，折合6.58m</w:t>
            </w:r>
            <w:r>
              <w:rPr>
                <w:rFonts w:hint="eastAsia" w:ascii="Times New Roman" w:hAnsi="Times New Roman" w:cs="Times New Roman"/>
                <w:color w:val="auto"/>
                <w:vertAlign w:val="superscript"/>
              </w:rPr>
              <w:t>3</w:t>
            </w:r>
            <w:r>
              <w:rPr>
                <w:rFonts w:hint="eastAsia" w:ascii="Times New Roman" w:hAnsi="Times New Roman" w:cs="Times New Roman"/>
                <w:color w:val="auto"/>
              </w:rPr>
              <w:t>/d。</w:t>
            </w:r>
          </w:p>
          <w:p>
            <w:pPr>
              <w:pStyle w:val="5"/>
              <w:suppressLineNumbers w:val="0"/>
              <w:spacing w:before="0" w:after="0"/>
              <w:ind w:left="0" w:right="0" w:firstLine="482"/>
              <w:rPr>
                <w:rFonts w:hint="eastAsia" w:ascii="Times New Roman" w:hAnsi="Times New Roman" w:cs="Times New Roman"/>
                <w:color w:val="auto"/>
              </w:rPr>
            </w:pPr>
            <w:r>
              <w:rPr>
                <w:rFonts w:hint="eastAsia" w:ascii="Times New Roman" w:hAnsi="Times New Roman" w:cs="Times New Roman"/>
                <w:color w:val="auto"/>
              </w:rPr>
              <w:t>排水</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项目废水主要为生活污水及食堂废水、太阳能光伏组件清洗废水。</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生活污水产生量按用水量的80%计，则废水产生量为1.06m</w:t>
            </w:r>
            <w:r>
              <w:rPr>
                <w:rFonts w:hint="eastAsia" w:ascii="Times New Roman" w:hAnsi="Times New Roman" w:cs="Times New Roman"/>
                <w:color w:val="auto"/>
                <w:vertAlign w:val="superscript"/>
              </w:rPr>
              <w:t>3</w:t>
            </w:r>
            <w:r>
              <w:rPr>
                <w:rFonts w:hint="eastAsia" w:ascii="Times New Roman" w:hAnsi="Times New Roman" w:cs="Times New Roman"/>
                <w:color w:val="auto"/>
              </w:rPr>
              <w:t xml:space="preserve">/d（384m³/a），污水量少，水质简单，食堂废水隔油处理后与生活污水共同排入防渗化粪池，经厂区地埋式一体化污水处理设备处理后用于厂区地面抑尘、绿化，一体化污水处理设备采取“水解酸化+生物接触氧化工艺+MBR”工艺处理，达到《城市污水再生利用 城市杂用水水质》（GB/T18920-2020）中水质标准。 </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太阳能板组件清洗过程为间断性清洗，废水主要污染物为SS，水质简单，且废水量小，可就地淋洒用于场区植被绿化，自然蒸发。</w:t>
            </w:r>
          </w:p>
          <w:p>
            <w:pPr>
              <w:pStyle w:val="5"/>
              <w:suppressLineNumbers w:val="0"/>
              <w:spacing w:before="0" w:after="0"/>
              <w:ind w:left="0" w:right="0" w:firstLine="482"/>
              <w:rPr>
                <w:rFonts w:hint="eastAsia" w:ascii="Times New Roman" w:hAnsi="Times New Roman" w:cs="Times New Roman"/>
                <w:color w:val="auto"/>
              </w:rPr>
            </w:pPr>
            <w:r>
              <w:rPr>
                <w:rFonts w:hint="eastAsia" w:ascii="Times New Roman" w:hAnsi="Times New Roman" w:cs="Times New Roman"/>
                <w:color w:val="auto"/>
              </w:rPr>
              <w:t>供电</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施工期间，场址周围无电力线路，需从就近村庄引入外部国网线路。</w:t>
            </w:r>
          </w:p>
          <w:p>
            <w:pPr>
              <w:pStyle w:val="5"/>
              <w:suppressLineNumbers w:val="0"/>
              <w:spacing w:before="0" w:after="0"/>
              <w:ind w:left="0" w:right="0" w:firstLine="482"/>
              <w:rPr>
                <w:rFonts w:hint="default" w:ascii="Times New Roman" w:hAnsi="Times New Roman" w:cs="Times New Roman"/>
                <w:color w:val="auto"/>
              </w:rPr>
            </w:pPr>
            <w:r>
              <w:rPr>
                <w:rFonts w:hint="eastAsia" w:ascii="Times New Roman" w:hAnsi="Times New Roman" w:cs="Times New Roman"/>
                <w:color w:val="auto"/>
              </w:rPr>
              <w:t>供暖</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本项目办公人员冬季以电暖气和空调采暖；夏季采用空调制冷。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19" w:hRule="atLeast"/>
          <w:jc w:val="center"/>
        </w:trPr>
        <w:tc>
          <w:tcPr>
            <w:tcW w:w="710"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总平面及现场布置</w:t>
            </w:r>
          </w:p>
        </w:tc>
        <w:tc>
          <w:tcPr>
            <w:tcW w:w="8420" w:type="dxa"/>
            <w:noWrap w:val="0"/>
            <w:vAlign w:val="center"/>
          </w:tcPr>
          <w:p>
            <w:pPr>
              <w:pStyle w:val="3"/>
              <w:keepLines w:val="0"/>
              <w:numPr>
                <w:ilvl w:val="0"/>
                <w:numId w:val="13"/>
              </w:numPr>
              <w:suppressLineNumbers w:val="0"/>
              <w:spacing w:before="120" w:beforeAutospacing="0" w:after="0" w:afterAutospacing="0"/>
              <w:ind w:right="0" w:firstLine="482"/>
              <w:rPr>
                <w:rFonts w:hint="default"/>
                <w:color w:val="auto"/>
              </w:rPr>
            </w:pPr>
            <w:r>
              <w:rPr>
                <w:rFonts w:hint="eastAsia"/>
                <w:color w:val="auto"/>
              </w:rPr>
              <w:t>工程布局情况：</w:t>
            </w:r>
          </w:p>
          <w:p>
            <w:pPr>
              <w:keepNext w:val="0"/>
              <w:keepLines w:val="0"/>
              <w:suppressLineNumbers w:val="0"/>
              <w:spacing w:before="0" w:beforeAutospacing="0" w:after="0" w:afterAutospacing="0"/>
              <w:ind w:left="0" w:right="0" w:firstLine="480"/>
              <w:rPr>
                <w:rFonts w:hint="default"/>
                <w:color w:val="auto"/>
                <w:lang w:val="en-US" w:eastAsia="zh-CN"/>
              </w:rPr>
            </w:pPr>
            <w:r>
              <w:rPr>
                <w:rFonts w:hint="eastAsia"/>
                <w:color w:val="auto"/>
              </w:rPr>
              <w:t>项目主要分为220kV升压站</w:t>
            </w:r>
            <w:r>
              <w:rPr>
                <w:rFonts w:hint="eastAsia"/>
                <w:color w:val="auto"/>
                <w:lang w:eastAsia="zh-CN"/>
              </w:rPr>
              <w:t>、</w:t>
            </w:r>
            <w:r>
              <w:rPr>
                <w:rFonts w:hint="eastAsia"/>
                <w:color w:val="auto"/>
              </w:rPr>
              <w:t>光伏发电区</w:t>
            </w:r>
            <w:r>
              <w:rPr>
                <w:rFonts w:hint="eastAsia"/>
                <w:color w:val="auto"/>
                <w:lang w:val="en-US" w:eastAsia="zh-CN"/>
              </w:rPr>
              <w:t>和进场道路</w:t>
            </w:r>
            <w:r>
              <w:rPr>
                <w:rFonts w:hint="eastAsia"/>
                <w:color w:val="auto"/>
              </w:rPr>
              <w:t>，升压站位于整个光伏场区东部，位于电气出线便利、交通方便的位置。</w:t>
            </w:r>
            <w:r>
              <w:rPr>
                <w:rFonts w:hint="eastAsia"/>
                <w:color w:val="auto"/>
                <w:lang w:val="en-US" w:eastAsia="zh-CN"/>
              </w:rPr>
              <w:t>进场道路为升压站进场道路，从升压站大门连接至升压站南侧乡村水泥路。具体工程布局情况见图2-2项目总平面布置图。</w:t>
            </w:r>
          </w:p>
          <w:p>
            <w:pPr>
              <w:pStyle w:val="4"/>
              <w:suppressLineNumbers w:val="0"/>
              <w:spacing w:before="0" w:after="0"/>
              <w:ind w:left="0" w:right="0" w:firstLine="482"/>
              <w:rPr>
                <w:rFonts w:hint="eastAsia"/>
                <w:color w:val="auto"/>
              </w:rPr>
            </w:pPr>
            <w:r>
              <w:rPr>
                <w:rFonts w:hint="eastAsia"/>
                <w:color w:val="auto"/>
                <w:lang w:val="en-US" w:eastAsia="zh-CN"/>
              </w:rPr>
              <w:t>光伏</w:t>
            </w:r>
            <w:r>
              <w:rPr>
                <w:rFonts w:hint="eastAsia"/>
                <w:color w:val="auto"/>
              </w:rPr>
              <w:t>区的布置方案</w:t>
            </w:r>
          </w:p>
          <w:p>
            <w:pPr>
              <w:keepNext w:val="0"/>
              <w:keepLines w:val="0"/>
              <w:suppressLineNumbers w:val="0"/>
              <w:spacing w:before="0" w:beforeAutospacing="0" w:after="0" w:afterAutospacing="0"/>
              <w:ind w:left="0" w:right="0" w:firstLine="480"/>
              <w:rPr>
                <w:rFonts w:hint="eastAsia"/>
                <w:color w:val="auto"/>
              </w:rPr>
            </w:pPr>
            <w:r>
              <w:rPr>
                <w:rFonts w:hint="eastAsia"/>
                <w:color w:val="auto"/>
              </w:rPr>
              <w:t>本项目200MW光伏全部采用550W单晶硅单面光伏组件363662块，光伏发电系统有57个约3.3MW容量光伏发电单元，光伏发电单元采用固定式支架，倾角为36°。</w:t>
            </w:r>
          </w:p>
          <w:p>
            <w:pPr>
              <w:keepNext w:val="0"/>
              <w:keepLines w:val="0"/>
              <w:suppressLineNumbers w:val="0"/>
              <w:spacing w:before="0" w:beforeAutospacing="0" w:after="0" w:afterAutospacing="0"/>
              <w:ind w:left="0" w:right="0" w:firstLine="480"/>
              <w:rPr>
                <w:rFonts w:hint="default"/>
                <w:color w:val="auto"/>
                <w:lang w:val="en-US" w:eastAsia="zh-CN"/>
              </w:rPr>
            </w:pPr>
            <w:r>
              <w:rPr>
                <w:rFonts w:hint="eastAsia"/>
                <w:color w:val="auto"/>
              </w:rPr>
              <w:t>本工程采用组串式方案，其中每26块550W单晶硅单面光伏组件串联为1个组串回路，每个发电单元设置300kW组串式逆变器与1台3300kVA箱式变电站。为了避开场内已有的道路以及其他不可利用区域，将光伏阵列区分区域进行布置，各个地块周围设置防护隔离围栏，各地块之间均有检修道路连通，统一进行管理。</w:t>
            </w:r>
            <w:r>
              <w:rPr>
                <w:rFonts w:hint="eastAsia"/>
                <w:color w:val="auto"/>
                <w:lang w:val="en-US" w:eastAsia="zh-CN"/>
              </w:rPr>
              <w:t>检修道路部分为现有道路，部分新建，新建道路面积为124501m</w:t>
            </w:r>
            <w:r>
              <w:rPr>
                <w:rFonts w:hint="eastAsia"/>
                <w:color w:val="auto"/>
                <w:vertAlign w:val="superscript"/>
                <w:lang w:val="en-US" w:eastAsia="zh-CN"/>
              </w:rPr>
              <w:t>2</w:t>
            </w:r>
            <w:r>
              <w:rPr>
                <w:rFonts w:hint="eastAsia"/>
                <w:color w:val="auto"/>
                <w:lang w:val="en-US" w:eastAsia="zh-CN"/>
              </w:rPr>
              <w:t>。</w:t>
            </w:r>
          </w:p>
          <w:p>
            <w:pPr>
              <w:keepNext w:val="0"/>
              <w:keepLines w:val="0"/>
              <w:suppressLineNumbers w:val="0"/>
              <w:spacing w:before="0" w:beforeAutospacing="0" w:after="0" w:afterAutospacing="0"/>
              <w:ind w:left="0" w:right="0" w:firstLine="480"/>
              <w:rPr>
                <w:rFonts w:hint="eastAsia"/>
                <w:color w:val="auto"/>
              </w:rPr>
            </w:pPr>
            <w:r>
              <w:rPr>
                <w:rFonts w:hint="eastAsia"/>
                <w:color w:val="auto"/>
              </w:rPr>
              <w:t>本项目为“牧光互补”项目，土地综合利用开发方式为“牧光互补”形式，即按照光伏复合项目相关建设标准和要求把光伏组件架高，在光伏组件下种植牧草。</w:t>
            </w:r>
          </w:p>
          <w:p>
            <w:pPr>
              <w:keepNext w:val="0"/>
              <w:keepLines w:val="0"/>
              <w:suppressLineNumbers w:val="0"/>
              <w:bidi w:val="0"/>
              <w:spacing w:before="0" w:beforeAutospacing="0" w:after="0" w:afterAutospacing="0"/>
              <w:ind w:left="0" w:right="0"/>
              <w:rPr>
                <w:rFonts w:hint="eastAsia"/>
                <w:color w:val="auto"/>
              </w:rPr>
            </w:pPr>
            <w:r>
              <w:rPr>
                <w:rFonts w:hint="eastAsia"/>
                <w:color w:val="auto"/>
              </w:rPr>
              <w:t>拟建工程总平面布置见下图。</w:t>
            </w:r>
          </w:p>
          <w:p>
            <w:pPr>
              <w:keepNext w:val="0"/>
              <w:keepLines w:val="0"/>
              <w:suppressLineNumbers w:val="0"/>
              <w:bidi w:val="0"/>
              <w:spacing w:before="0" w:beforeAutospacing="0" w:after="0" w:afterAutospacing="0"/>
              <w:ind w:left="0" w:leftChars="0" w:right="0" w:firstLine="0" w:firstLineChars="0"/>
              <w:rPr>
                <w:rFonts w:hint="eastAsia" w:eastAsia="宋体"/>
                <w:color w:val="auto"/>
                <w:lang w:eastAsia="zh-CN"/>
              </w:rPr>
            </w:pPr>
            <w:r>
              <w:rPr>
                <w:rFonts w:hint="default"/>
                <w:color w:val="auto"/>
                <w:sz w:val="24"/>
              </w:rPr>
              <mc:AlternateContent>
                <mc:Choice Requires="wps">
                  <w:drawing>
                    <wp:anchor distT="0" distB="0" distL="114300" distR="114300" simplePos="0" relativeHeight="251675648" behindDoc="0" locked="0" layoutInCell="1" allowOverlap="1">
                      <wp:simplePos x="0" y="0"/>
                      <wp:positionH relativeFrom="column">
                        <wp:posOffset>3848100</wp:posOffset>
                      </wp:positionH>
                      <wp:positionV relativeFrom="paragraph">
                        <wp:posOffset>1067435</wp:posOffset>
                      </wp:positionV>
                      <wp:extent cx="647065" cy="324485"/>
                      <wp:effectExtent l="320675" t="4445" r="22860" b="375920"/>
                      <wp:wrapNone/>
                      <wp:docPr id="20" name="矩形标注 20"/>
                      <wp:cNvGraphicFramePr/>
                      <a:graphic xmlns:a="http://schemas.openxmlformats.org/drawingml/2006/main">
                        <a:graphicData uri="http://schemas.microsoft.com/office/word/2010/wordprocessingShape">
                          <wps:wsp>
                            <wps:cNvSpPr/>
                            <wps:spPr>
                              <a:xfrm>
                                <a:off x="5248910" y="1988185"/>
                                <a:ext cx="647065" cy="324485"/>
                              </a:xfrm>
                              <a:prstGeom prst="wedgeRectCallout">
                                <a:avLst>
                                  <a:gd name="adj1" fmla="val -98871"/>
                                  <a:gd name="adj2" fmla="val 159393"/>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pPr>
                                    <w:ind w:left="0" w:leftChars="0" w:firstLine="0" w:firstLineChars="0"/>
                                    <w:jc w:val="both"/>
                                    <w:rPr>
                                      <w:rFonts w:hint="eastAsia" w:eastAsia="宋体"/>
                                      <w:sz w:val="21"/>
                                      <w:szCs w:val="21"/>
                                      <w:lang w:val="en-US" w:eastAsia="zh-CN"/>
                                    </w:rPr>
                                  </w:pPr>
                                  <w:r>
                                    <w:rPr>
                                      <w:rFonts w:hint="eastAsia"/>
                                      <w:sz w:val="21"/>
                                      <w:szCs w:val="21"/>
                                      <w:lang w:val="en-US" w:eastAsia="zh-CN"/>
                                    </w:rPr>
                                    <w:t>升压站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03pt;margin-top:84.05pt;height:25.55pt;width:50.95pt;z-index:251675648;v-text-anchor:middle;mso-width-relative:page;mso-height-relative:page;" fillcolor="#FFFFFF [3201]" filled="t" stroked="t" coordsize="21600,21600" o:gfxdata="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BpcpWD2AAAAAsBAAAPAAAAAAAAAAEAIAAAACIAAABkcnMv&#10;ZG93bnJldi54bWxQSwECFAAUAAAACACHTuJA5hmu7K4CAABZBQAADgAAAAAAAAABACAAAAAnAQAA&#10;ZHJzL2Uyb0RvYy54bWxQSwUGAAAAAAYABgBZAQAARwYAAAAA&#10;" adj="-10556,45229">
                      <v:fill on="t" focussize="0,0"/>
                      <v:stroke weight="0.25pt" color="#000000 [3213]" joinstyle="round"/>
                      <v:imagedata o:title=""/>
                      <o:lock v:ext="edit" aspectratio="f"/>
                      <v:textbox>
                        <w:txbxContent>
                          <w:p>
                            <w:pPr>
                              <w:ind w:left="0" w:leftChars="0" w:firstLine="0" w:firstLineChars="0"/>
                              <w:jc w:val="both"/>
                              <w:rPr>
                                <w:rFonts w:hint="eastAsia" w:eastAsia="宋体"/>
                                <w:sz w:val="21"/>
                                <w:szCs w:val="21"/>
                                <w:lang w:val="en-US" w:eastAsia="zh-CN"/>
                              </w:rPr>
                            </w:pPr>
                            <w:r>
                              <w:rPr>
                                <w:rFonts w:hint="eastAsia"/>
                                <w:sz w:val="21"/>
                                <w:szCs w:val="21"/>
                                <w:lang w:val="en-US" w:eastAsia="zh-CN"/>
                              </w:rPr>
                              <w:t>升压站</w:t>
                            </w:r>
                          </w:p>
                        </w:txbxContent>
                      </v:textbox>
                    </v:shape>
                  </w:pict>
                </mc:Fallback>
              </mc:AlternateContent>
            </w:r>
            <w:r>
              <w:rPr>
                <w:rFonts w:hint="eastAsia" w:eastAsia="宋体"/>
                <w:color w:val="auto"/>
                <w:lang w:eastAsia="zh-CN"/>
              </w:rPr>
              <w:drawing>
                <wp:inline distT="0" distB="0" distL="114300" distR="114300">
                  <wp:extent cx="5203190" cy="3561080"/>
                  <wp:effectExtent l="0" t="0" r="16510" b="1270"/>
                  <wp:docPr id="11" name="图片 11" descr="ab6fc8de0ec92179b58c0fdb644945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ab6fc8de0ec92179b58c0fdb644945ad"/>
                          <pic:cNvPicPr>
                            <a:picLocks noChangeAspect="1"/>
                          </pic:cNvPicPr>
                        </pic:nvPicPr>
                        <pic:blipFill>
                          <a:blip r:embed="rId28"/>
                          <a:stretch>
                            <a:fillRect/>
                          </a:stretch>
                        </pic:blipFill>
                        <pic:spPr>
                          <a:xfrm>
                            <a:off x="0" y="0"/>
                            <a:ext cx="5203190" cy="3561080"/>
                          </a:xfrm>
                          <a:prstGeom prst="rect">
                            <a:avLst/>
                          </a:prstGeom>
                        </pic:spPr>
                      </pic:pic>
                    </a:graphicData>
                  </a:graphic>
                </wp:inline>
              </w:drawing>
            </w:r>
          </w:p>
          <w:p>
            <w:pPr>
              <w:pStyle w:val="34"/>
              <w:keepNext w:val="0"/>
              <w:keepLines w:val="0"/>
              <w:suppressLineNumbers w:val="0"/>
              <w:bidi w:val="0"/>
              <w:spacing w:before="0" w:beforeAutospacing="0" w:after="0" w:afterAutospacing="0"/>
              <w:ind w:right="0"/>
              <w:rPr>
                <w:rFonts w:hint="eastAsia"/>
                <w:color w:val="auto"/>
              </w:rPr>
            </w:pPr>
            <w:r>
              <w:rPr>
                <w:rFonts w:hint="eastAsia"/>
                <w:color w:val="auto"/>
              </w:rPr>
              <w:t>项目总平面布置图</w:t>
            </w:r>
          </w:p>
          <w:p>
            <w:pPr>
              <w:pStyle w:val="4"/>
              <w:suppressLineNumbers w:val="0"/>
              <w:spacing w:before="0" w:after="0"/>
              <w:ind w:left="0" w:right="0" w:firstLine="482"/>
              <w:rPr>
                <w:rFonts w:hint="eastAsia"/>
                <w:color w:val="auto"/>
              </w:rPr>
            </w:pPr>
            <w:r>
              <w:rPr>
                <w:rFonts w:hint="eastAsia"/>
                <w:color w:val="auto"/>
              </w:rPr>
              <w:t>升压站的布置方案</w:t>
            </w:r>
          </w:p>
          <w:p>
            <w:pPr>
              <w:keepNext w:val="0"/>
              <w:keepLines w:val="0"/>
              <w:suppressLineNumbers w:val="0"/>
              <w:spacing w:before="0" w:beforeAutospacing="0" w:after="0" w:afterAutospacing="0"/>
              <w:ind w:left="0" w:right="0" w:firstLine="480"/>
              <w:rPr>
                <w:rFonts w:hint="default"/>
                <w:color w:val="auto"/>
              </w:rPr>
            </w:pPr>
            <w:r>
              <w:rPr>
                <w:rFonts w:hint="eastAsia"/>
                <w:color w:val="auto"/>
              </w:rPr>
              <w:t>升压站分为生活办公区和配电装置区，生活办公区位于站内西北侧，配电装置区位于站区的东北侧。配电装置区内设备由东至西依次为220kV配电装置、主变压器、35kV配电装置；无功补偿装置设置在主变的东南及西南侧，接地变、站变设置在主变的南侧，10kV备变设置在主变的东北侧</w:t>
            </w:r>
            <w:r>
              <w:rPr>
                <w:rFonts w:hint="eastAsia"/>
                <w:color w:val="auto"/>
                <w:lang w:eastAsia="zh-CN"/>
              </w:rPr>
              <w:t>，</w:t>
            </w:r>
            <w:r>
              <w:rPr>
                <w:rFonts w:hint="eastAsia"/>
                <w:color w:val="auto"/>
                <w:lang w:val="en-US" w:eastAsia="zh-CN"/>
              </w:rPr>
              <w:t>储能系统位于升压站东南角</w:t>
            </w:r>
            <w:r>
              <w:rPr>
                <w:rFonts w:hint="eastAsia"/>
                <w:color w:val="auto"/>
              </w:rPr>
              <w:t>。</w:t>
            </w:r>
          </w:p>
          <w:p>
            <w:pPr>
              <w:keepNext w:val="0"/>
              <w:keepLines w:val="0"/>
              <w:suppressLineNumbers w:val="0"/>
              <w:spacing w:before="0" w:beforeAutospacing="0" w:after="0" w:afterAutospacing="0"/>
              <w:ind w:left="0" w:right="0" w:firstLine="480"/>
              <w:rPr>
                <w:rFonts w:hint="eastAsia"/>
                <w:color w:val="auto"/>
              </w:rPr>
            </w:pPr>
            <w:r>
              <w:rPr>
                <w:rFonts w:hint="eastAsia"/>
                <w:color w:val="auto"/>
              </w:rPr>
              <w:t>升压站平面布置见下图</w:t>
            </w:r>
          </w:p>
          <w:p>
            <w:pPr>
              <w:keepNext w:val="0"/>
              <w:keepLines w:val="0"/>
              <w:suppressLineNumbers w:val="0"/>
              <w:spacing w:before="0" w:beforeAutospacing="0" w:after="0" w:afterAutospacing="0"/>
              <w:ind w:left="0" w:right="0" w:firstLine="0" w:firstLineChars="0"/>
              <w:rPr>
                <w:rFonts w:hint="eastAsia"/>
                <w:color w:val="auto"/>
              </w:rPr>
            </w:pPr>
            <w:r>
              <w:rPr>
                <w:rFonts w:hint="eastAsia"/>
                <w:color w:val="auto"/>
                <w:lang w:eastAsia="zh-CN"/>
              </w:rPr>
              <w:drawing>
                <wp:inline distT="0" distB="0" distL="114300" distR="114300">
                  <wp:extent cx="5259070" cy="5846445"/>
                  <wp:effectExtent l="0" t="0" r="17780" b="1905"/>
                  <wp:docPr id="51" name="图片 51" descr="b4495d8d17c06695f00d9335dbf63f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b4495d8d17c06695f00d9335dbf63f93"/>
                          <pic:cNvPicPr>
                            <a:picLocks noChangeAspect="1"/>
                          </pic:cNvPicPr>
                        </pic:nvPicPr>
                        <pic:blipFill>
                          <a:blip r:embed="rId29"/>
                          <a:srcRect r="31952"/>
                          <a:stretch>
                            <a:fillRect/>
                          </a:stretch>
                        </pic:blipFill>
                        <pic:spPr>
                          <a:xfrm>
                            <a:off x="0" y="0"/>
                            <a:ext cx="5259070" cy="5846445"/>
                          </a:xfrm>
                          <a:prstGeom prst="rect">
                            <a:avLst/>
                          </a:prstGeom>
                        </pic:spPr>
                      </pic:pic>
                    </a:graphicData>
                  </a:graphic>
                </wp:inline>
              </w:drawing>
            </w:r>
          </w:p>
          <w:p>
            <w:pPr>
              <w:pStyle w:val="34"/>
              <w:keepNext w:val="0"/>
              <w:keepLines w:val="0"/>
              <w:suppressLineNumbers w:val="0"/>
              <w:spacing w:before="0" w:beforeAutospacing="0" w:after="0" w:afterAutospacing="0"/>
              <w:ind w:right="0"/>
              <w:rPr>
                <w:rFonts w:hint="default"/>
                <w:color w:val="auto"/>
              </w:rPr>
            </w:pPr>
            <w:r>
              <w:rPr>
                <w:color w:val="auto"/>
              </w:rPr>
              <w:t>升压站平面布置图</w:t>
            </w:r>
          </w:p>
          <w:p>
            <w:pPr>
              <w:pStyle w:val="4"/>
              <w:suppressLineNumbers w:val="0"/>
              <w:bidi w:val="0"/>
              <w:spacing w:before="0" w:after="0"/>
              <w:ind w:left="0" w:right="0"/>
              <w:rPr>
                <w:rFonts w:hint="default"/>
                <w:color w:val="auto"/>
                <w:lang w:val="en-US" w:eastAsia="zh-CN"/>
              </w:rPr>
            </w:pPr>
            <w:r>
              <w:rPr>
                <w:rFonts w:hint="eastAsia"/>
                <w:color w:val="auto"/>
                <w:lang w:val="en-US" w:eastAsia="zh-CN"/>
              </w:rPr>
              <w:t>进场道路布置方案</w:t>
            </w:r>
          </w:p>
          <w:p>
            <w:pPr>
              <w:keepNext w:val="0"/>
              <w:keepLines w:val="0"/>
              <w:suppressLineNumbers w:val="0"/>
              <w:spacing w:before="0" w:beforeAutospacing="0" w:after="0" w:afterAutospacing="0"/>
              <w:ind w:left="0" w:right="0"/>
              <w:rPr>
                <w:rFonts w:hint="eastAsia"/>
                <w:color w:val="auto"/>
                <w:lang w:val="en-US" w:eastAsia="zh-CN"/>
              </w:rPr>
            </w:pPr>
            <w:r>
              <w:rPr>
                <w:rFonts w:hint="eastAsia"/>
                <w:color w:val="auto"/>
                <w:lang w:val="en-US" w:eastAsia="zh-CN"/>
              </w:rPr>
              <w:t>升压站</w:t>
            </w:r>
            <w:r>
              <w:rPr>
                <w:rFonts w:hint="default"/>
                <w:color w:val="auto"/>
                <w:lang w:val="en-US" w:eastAsia="zh-CN"/>
              </w:rPr>
              <w:t>进场道路从升压站大门连接至升压站南侧乡村水泥路</w:t>
            </w:r>
            <w:r>
              <w:rPr>
                <w:rFonts w:hint="eastAsia"/>
                <w:color w:val="auto"/>
                <w:lang w:val="en-US" w:eastAsia="zh-CN"/>
              </w:rPr>
              <w:t>，面积880m</w:t>
            </w:r>
            <w:r>
              <w:rPr>
                <w:rFonts w:hint="eastAsia"/>
                <w:color w:val="auto"/>
                <w:vertAlign w:val="superscript"/>
                <w:lang w:val="en-US" w:eastAsia="zh-CN"/>
              </w:rPr>
              <w:t>2</w:t>
            </w:r>
            <w:r>
              <w:rPr>
                <w:rFonts w:hint="default"/>
                <w:color w:val="auto"/>
                <w:lang w:val="en-US" w:eastAsia="zh-CN"/>
              </w:rPr>
              <w:t>。</w:t>
            </w:r>
            <w:r>
              <w:rPr>
                <w:rFonts w:hint="eastAsia"/>
                <w:color w:val="auto"/>
                <w:lang w:val="en-US" w:eastAsia="zh-CN"/>
              </w:rPr>
              <w:t>具体布置见下图。</w:t>
            </w:r>
          </w:p>
          <w:p>
            <w:pPr>
              <w:keepNext w:val="0"/>
              <w:keepLines w:val="0"/>
              <w:suppressLineNumbers w:val="0"/>
              <w:bidi w:val="0"/>
              <w:spacing w:before="0" w:beforeAutospacing="0" w:after="0" w:afterAutospacing="0"/>
              <w:ind w:left="0" w:leftChars="0" w:right="0" w:firstLine="0" w:firstLineChars="0"/>
              <w:rPr>
                <w:rFonts w:hint="default"/>
                <w:color w:val="auto"/>
                <w:lang w:val="en-US" w:eastAsia="zh-CN"/>
              </w:rPr>
            </w:pPr>
            <w:r>
              <w:rPr>
                <w:rFonts w:hint="default"/>
                <w:color w:val="auto"/>
                <w:lang w:val="en-US" w:eastAsia="zh-CN"/>
              </w:rPr>
              <w:drawing>
                <wp:inline distT="0" distB="0" distL="114300" distR="114300">
                  <wp:extent cx="5208905" cy="3461385"/>
                  <wp:effectExtent l="0" t="0" r="10795" b="5715"/>
                  <wp:docPr id="52" name="图片 52" descr="2413d4d2218fb9f4e8ec6556afce89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2413d4d2218fb9f4e8ec6556afce89c8"/>
                          <pic:cNvPicPr>
                            <a:picLocks noChangeAspect="1"/>
                          </pic:cNvPicPr>
                        </pic:nvPicPr>
                        <pic:blipFill>
                          <a:blip r:embed="rId30"/>
                          <a:stretch>
                            <a:fillRect/>
                          </a:stretch>
                        </pic:blipFill>
                        <pic:spPr>
                          <a:xfrm>
                            <a:off x="0" y="0"/>
                            <a:ext cx="5208905" cy="3461385"/>
                          </a:xfrm>
                          <a:prstGeom prst="rect">
                            <a:avLst/>
                          </a:prstGeom>
                        </pic:spPr>
                      </pic:pic>
                    </a:graphicData>
                  </a:graphic>
                </wp:inline>
              </w:drawing>
            </w:r>
          </w:p>
          <w:p>
            <w:pPr>
              <w:pStyle w:val="34"/>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升压站进场道路</w:t>
            </w:r>
            <w:r>
              <w:rPr>
                <w:rFonts w:hint="default"/>
                <w:color w:val="auto"/>
                <w:lang w:val="en-US" w:eastAsia="zh-CN"/>
              </w:rPr>
              <w:t>平面布置图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19" w:hRule="atLeast"/>
          <w:jc w:val="center"/>
        </w:trPr>
        <w:tc>
          <w:tcPr>
            <w:tcW w:w="710"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施工方案</w:t>
            </w:r>
          </w:p>
        </w:tc>
        <w:tc>
          <w:tcPr>
            <w:tcW w:w="8420" w:type="dxa"/>
            <w:noWrap w:val="0"/>
            <w:vAlign w:val="center"/>
          </w:tcPr>
          <w:p>
            <w:pPr>
              <w:pStyle w:val="3"/>
              <w:keepLines w:val="0"/>
              <w:numPr>
                <w:ilvl w:val="0"/>
                <w:numId w:val="14"/>
              </w:numPr>
              <w:suppressLineNumbers w:val="0"/>
              <w:spacing w:before="120" w:beforeAutospacing="0" w:after="0" w:afterAutospacing="0"/>
              <w:ind w:right="0" w:firstLine="482"/>
              <w:rPr>
                <w:rFonts w:hint="default" w:ascii="Times New Roman" w:hAnsi="Times New Roman" w:cs="Times New Roman"/>
                <w:color w:val="auto"/>
              </w:rPr>
            </w:pPr>
            <w:r>
              <w:rPr>
                <w:rFonts w:hint="eastAsia" w:ascii="Times New Roman" w:hAnsi="Times New Roman" w:cs="Times New Roman"/>
                <w:color w:val="auto"/>
              </w:rPr>
              <w:t>建设工程</w:t>
            </w:r>
            <w:r>
              <w:rPr>
                <w:rFonts w:hint="default" w:ascii="Times New Roman" w:hAnsi="Times New Roman" w:cs="Times New Roman"/>
                <w:color w:val="auto"/>
              </w:rPr>
              <w:t>施工</w:t>
            </w:r>
            <w:r>
              <w:rPr>
                <w:rFonts w:hint="eastAsia" w:ascii="Times New Roman" w:hAnsi="Times New Roman" w:cs="Times New Roman"/>
                <w:color w:val="auto"/>
              </w:rPr>
              <w:t>工艺：</w:t>
            </w:r>
          </w:p>
          <w:p>
            <w:pPr>
              <w:pStyle w:val="4"/>
              <w:suppressLineNumbers w:val="0"/>
              <w:spacing w:before="0" w:after="0"/>
              <w:ind w:left="0" w:right="0" w:firstLine="482"/>
              <w:rPr>
                <w:rFonts w:hint="default" w:cs="Times New Roman"/>
                <w:color w:val="auto"/>
              </w:rPr>
            </w:pPr>
            <w:r>
              <w:rPr>
                <w:rFonts w:hint="default" w:cs="Times New Roman"/>
                <w:color w:val="auto"/>
              </w:rPr>
              <w:t>升压站</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本工程升压站的主要建（构）筑物有</w:t>
            </w:r>
            <w:r>
              <w:rPr>
                <w:rFonts w:hint="eastAsia" w:ascii="Times New Roman" w:hAnsi="Times New Roman" w:cs="Times New Roman"/>
                <w:color w:val="auto"/>
              </w:rPr>
              <w:t>生活办公</w:t>
            </w:r>
            <w:r>
              <w:rPr>
                <w:rFonts w:hint="default" w:ascii="Times New Roman" w:hAnsi="Times New Roman" w:cs="Times New Roman"/>
                <w:color w:val="auto"/>
              </w:rPr>
              <w:t>楼和35kV配电室。施工顺序为：施工准备――基础开挖――地基处理――基础混凝土浇筑――基础回填――混凝土框架柱――梁楼板浇筑――墙体砌筑――室内外装修及给排水系统施工――电气设备就位安装调试。</w:t>
            </w:r>
          </w:p>
          <w:p>
            <w:pPr>
              <w:pStyle w:val="4"/>
              <w:suppressLineNumbers w:val="0"/>
              <w:spacing w:before="0" w:after="0"/>
              <w:ind w:left="0" w:right="0" w:firstLine="482"/>
              <w:rPr>
                <w:rFonts w:hint="default" w:cs="Times New Roman"/>
                <w:color w:val="auto"/>
              </w:rPr>
            </w:pPr>
            <w:r>
              <w:rPr>
                <w:rFonts w:hint="default" w:cs="Times New Roman"/>
                <w:color w:val="auto"/>
              </w:rPr>
              <w:t>光伏发电区</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本项目施工工艺流程污染节点情况可见下图。</w:t>
            </w:r>
          </w:p>
          <w:p>
            <w:pPr>
              <w:keepNext w:val="0"/>
              <w:keepLines w:val="0"/>
              <w:suppressLineNumbers w:val="0"/>
              <w:spacing w:before="0" w:beforeAutospacing="0" w:after="0" w:afterAutospacing="0"/>
              <w:ind w:left="0" w:right="0" w:firstLine="0" w:firstLineChars="0"/>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5279390" cy="1558290"/>
                  <wp:effectExtent l="0" t="0" r="3810" b="3810"/>
                  <wp:docPr id="1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64"/>
                          <pic:cNvPicPr>
                            <a:picLocks noChangeAspect="1"/>
                          </pic:cNvPicPr>
                        </pic:nvPicPr>
                        <pic:blipFill>
                          <a:blip r:embed="rId31"/>
                          <a:stretch>
                            <a:fillRect/>
                          </a:stretch>
                        </pic:blipFill>
                        <pic:spPr>
                          <a:xfrm>
                            <a:off x="0" y="0"/>
                            <a:ext cx="5279390" cy="1558290"/>
                          </a:xfrm>
                          <a:prstGeom prst="rect">
                            <a:avLst/>
                          </a:prstGeom>
                          <a:noFill/>
                          <a:ln>
                            <a:noFill/>
                          </a:ln>
                        </pic:spPr>
                      </pic:pic>
                    </a:graphicData>
                  </a:graphic>
                </wp:inline>
              </w:drawing>
            </w:r>
          </w:p>
          <w:p>
            <w:pPr>
              <w:pStyle w:val="34"/>
              <w:keepNext w:val="0"/>
              <w:keepLines w:val="0"/>
              <w:suppressLineNumbers w:val="0"/>
              <w:spacing w:before="0" w:beforeAutospacing="0" w:after="0" w:afterAutospacing="0"/>
              <w:ind w:right="0"/>
              <w:rPr>
                <w:rFonts w:hint="default" w:ascii="Times New Roman" w:hAnsi="Times New Roman" w:cs="Times New Roman"/>
                <w:color w:val="auto"/>
              </w:rPr>
            </w:pPr>
            <w:r>
              <w:rPr>
                <w:rFonts w:hint="default" w:ascii="Times New Roman" w:hAnsi="Times New Roman" w:cs="Times New Roman"/>
                <w:color w:val="auto"/>
              </w:rPr>
              <w:t>施工期工艺流程及污染节点图</w:t>
            </w:r>
          </w:p>
          <w:p>
            <w:pPr>
              <w:pStyle w:val="5"/>
              <w:suppressLineNumbers w:val="0"/>
              <w:spacing w:before="0" w:after="0"/>
              <w:ind w:left="0" w:right="0" w:firstLine="482"/>
              <w:rPr>
                <w:rFonts w:hint="default" w:ascii="Times New Roman" w:hAnsi="Times New Roman" w:cs="Times New Roman"/>
                <w:color w:val="auto"/>
              </w:rPr>
            </w:pPr>
            <w:r>
              <w:rPr>
                <w:rFonts w:hint="default" w:ascii="Times New Roman" w:hAnsi="Times New Roman" w:cs="Times New Roman"/>
                <w:color w:val="auto"/>
              </w:rPr>
              <w:t>场地平整</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本项目建设区域光伏场区多沟谷低山丘陵，地段相对较厚，山势较缓，冲沟发育，在施工建设前需要对场地内进行平整。</w:t>
            </w:r>
          </w:p>
          <w:p>
            <w:pPr>
              <w:pStyle w:val="5"/>
              <w:suppressLineNumbers w:val="0"/>
              <w:spacing w:before="0" w:after="0"/>
              <w:ind w:left="0" w:right="0" w:firstLine="482"/>
              <w:rPr>
                <w:rFonts w:hint="default" w:ascii="Times New Roman" w:hAnsi="Times New Roman" w:cs="Times New Roman"/>
                <w:color w:val="auto"/>
              </w:rPr>
            </w:pPr>
            <w:r>
              <w:rPr>
                <w:rFonts w:hint="default" w:ascii="Times New Roman" w:hAnsi="Times New Roman" w:cs="Times New Roman"/>
                <w:color w:val="auto"/>
              </w:rPr>
              <w:t>光伏列阵基础施工</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基础施工工序主要包括：引孔、下桩及回填或灌浆等。</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基础钻孔时，采用螺旋钻杆式钻孔机，钻孔深度一般应大于设计深度20cm，以便在钻杆拔出时会有部分塌孔和钻杆上的土方掉落孔底后孔深仍能保证设计深度。</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钻孔形成后，把预制桩吊装就位，桩基施工应符合相关技术规定。最后进行回填原状土夯实或回填灌浆料。</w:t>
            </w:r>
          </w:p>
          <w:p>
            <w:pPr>
              <w:pStyle w:val="5"/>
              <w:suppressLineNumbers w:val="0"/>
              <w:spacing w:before="0" w:after="0"/>
              <w:ind w:left="0" w:right="0" w:firstLine="482"/>
              <w:rPr>
                <w:rFonts w:hint="default" w:ascii="Times New Roman" w:hAnsi="Times New Roman" w:cs="Times New Roman"/>
                <w:color w:val="auto"/>
              </w:rPr>
            </w:pPr>
            <w:r>
              <w:rPr>
                <w:rFonts w:hint="default" w:ascii="Times New Roman" w:hAnsi="Times New Roman" w:cs="Times New Roman"/>
                <w:color w:val="auto"/>
              </w:rPr>
              <w:t>光伏组件安装</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光伏组件的安装分为两部分：支架安装、电池组件安装。</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本工程电池组件采用固定支架安装，待电池组件基础验收合格后，进行电池组件及支架的安装。每个发电单元的支架表面应平整，各组件应对整齐并成一直线，倾角必须符合设计要求；构件连接螺栓必须加防松垫片并拧紧。</w:t>
            </w:r>
          </w:p>
          <w:p>
            <w:pPr>
              <w:pStyle w:val="5"/>
              <w:suppressLineNumbers w:val="0"/>
              <w:spacing w:before="0" w:after="0"/>
              <w:ind w:left="0" w:right="0" w:firstLine="482"/>
              <w:rPr>
                <w:rFonts w:hint="default" w:ascii="Times New Roman" w:hAnsi="Times New Roman" w:cs="Times New Roman"/>
                <w:color w:val="auto"/>
              </w:rPr>
            </w:pPr>
            <w:r>
              <w:rPr>
                <w:rFonts w:hint="default" w:ascii="Times New Roman" w:hAnsi="Times New Roman" w:cs="Times New Roman"/>
                <w:color w:val="auto"/>
              </w:rPr>
              <w:t>箱式变压器的安装</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 xml:space="preserve">箱变采用汽车吊吊装就位。吊装就位后要及时调整加固，确保施工安全及安装质量。在安装完毕后，接上试验电缆接头，按国家有关试验规程进行试验。 </w:t>
            </w:r>
          </w:p>
          <w:p>
            <w:pPr>
              <w:pStyle w:val="5"/>
              <w:suppressLineNumbers w:val="0"/>
              <w:spacing w:before="0" w:after="0"/>
              <w:ind w:left="0" w:right="0" w:firstLine="482"/>
              <w:rPr>
                <w:rFonts w:hint="default" w:ascii="Times New Roman" w:hAnsi="Times New Roman" w:cs="Times New Roman"/>
                <w:color w:val="auto"/>
              </w:rPr>
            </w:pPr>
            <w:r>
              <w:rPr>
                <w:rFonts w:hint="default" w:ascii="Times New Roman" w:hAnsi="Times New Roman" w:cs="Times New Roman"/>
                <w:color w:val="auto"/>
              </w:rPr>
              <w:t>集电线路施工</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场内电缆敷设为直埋敷设。</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地表清理：首先对地表杂物和植被进行清理。</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基础开挖：采用小型挖掘机设备并辅以人工开挖，开挖深度不得小于0.7m，开挖出的土方分层就近堆放在埋沟旁边1.5m范围内。</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电缆安装：电缆直埋敷设于壕沟内，并沿电缆全长的上、下紧邻侧铺以厚度100mm的细砂。</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土方回填：将电缆沟两侧的土方按照顺序回填到电缆沟内，回填土中不容许有石块、冻土块、工业废料和垃圾。为了降低电缆沟受雨水冲刷的影响，电缆沟回填时必须分层夯实，且高出现状地面0.2~0.3m。电缆与水沟交叉处，电缆需穿钢管敷设，且埋深距沟底不应小于2m。</w:t>
            </w:r>
          </w:p>
          <w:p>
            <w:pPr>
              <w:pStyle w:val="5"/>
              <w:suppressLineNumbers w:val="0"/>
              <w:spacing w:before="0" w:after="0"/>
              <w:ind w:left="0" w:right="0" w:firstLine="482"/>
              <w:rPr>
                <w:rFonts w:hint="default" w:ascii="Times New Roman" w:hAnsi="Times New Roman" w:cs="Times New Roman"/>
                <w:color w:val="auto"/>
              </w:rPr>
            </w:pPr>
            <w:r>
              <w:rPr>
                <w:rFonts w:hint="default" w:ascii="Times New Roman" w:hAnsi="Times New Roman" w:cs="Times New Roman"/>
                <w:color w:val="auto"/>
              </w:rPr>
              <w:t>道路及围栏施工</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进场道路：伏场区周围有多条县乡道路通过，由现有道路进入光伏场区。</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场内检修道路：光伏场场</w:t>
            </w:r>
            <w:r>
              <w:rPr>
                <w:rFonts w:hint="eastAsia" w:ascii="Times New Roman" w:hAnsi="Times New Roman" w:cs="Times New Roman"/>
                <w:color w:val="auto"/>
              </w:rPr>
              <w:t>内</w:t>
            </w:r>
            <w:r>
              <w:rPr>
                <w:rFonts w:hint="default" w:ascii="Times New Roman" w:hAnsi="Times New Roman" w:cs="Times New Roman"/>
                <w:color w:val="auto"/>
              </w:rPr>
              <w:t>道路路面宽度为4</w:t>
            </w:r>
            <w:r>
              <w:rPr>
                <w:rFonts w:hint="eastAsia" w:ascii="Times New Roman" w:hAnsi="Times New Roman" w:cs="Times New Roman"/>
                <w:color w:val="auto"/>
              </w:rPr>
              <w:t>-6</w:t>
            </w:r>
            <w:r>
              <w:rPr>
                <w:rFonts w:hint="default" w:ascii="Times New Roman" w:hAnsi="Times New Roman" w:cs="Times New Roman"/>
                <w:color w:val="auto"/>
              </w:rPr>
              <w:t>m，单车道，设计时速15km/h，最大纵坡</w:t>
            </w:r>
            <w:r>
              <w:rPr>
                <w:rFonts w:hint="eastAsia" w:ascii="Times New Roman" w:hAnsi="Times New Roman" w:cs="Times New Roman"/>
                <w:color w:val="auto"/>
              </w:rPr>
              <w:t>8</w:t>
            </w:r>
            <w:r>
              <w:rPr>
                <w:rFonts w:hint="default" w:ascii="Times New Roman" w:hAnsi="Times New Roman" w:cs="Times New Roman"/>
                <w:color w:val="auto"/>
              </w:rPr>
              <w:t>%，平曲线最小半径</w:t>
            </w:r>
            <w:r>
              <w:rPr>
                <w:rFonts w:hint="eastAsia" w:ascii="Times New Roman" w:hAnsi="Times New Roman" w:cs="Times New Roman"/>
                <w:color w:val="auto"/>
              </w:rPr>
              <w:t>25</w:t>
            </w:r>
            <w:r>
              <w:rPr>
                <w:rFonts w:hint="default" w:ascii="Times New Roman" w:hAnsi="Times New Roman" w:cs="Times New Roman"/>
                <w:color w:val="auto"/>
              </w:rPr>
              <w:t>m</w:t>
            </w:r>
            <w:r>
              <w:rPr>
                <w:rFonts w:hint="eastAsia" w:ascii="Times New Roman" w:hAnsi="Times New Roman" w:cs="Times New Roman"/>
                <w:color w:val="auto"/>
              </w:rPr>
              <w:t>。</w:t>
            </w:r>
            <w:r>
              <w:rPr>
                <w:rFonts w:hint="default" w:ascii="Times New Roman" w:hAnsi="Times New Roman" w:cs="Times New Roman"/>
                <w:color w:val="auto"/>
              </w:rPr>
              <w:t>场地平整时进行修整，保证施工车辆能够通行，施工结束后作为检修道路。</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围栏：采用高钢丝网围栏，高度为1.8m。</w:t>
            </w:r>
          </w:p>
          <w:p>
            <w:pPr>
              <w:pStyle w:val="4"/>
              <w:suppressLineNumbers w:val="0"/>
              <w:bidi w:val="0"/>
              <w:spacing w:before="0" w:after="0"/>
              <w:ind w:left="0" w:right="0"/>
              <w:rPr>
                <w:rFonts w:hint="eastAsia"/>
                <w:color w:val="auto"/>
                <w:lang w:val="en-US" w:eastAsia="zh-CN"/>
              </w:rPr>
            </w:pPr>
            <w:r>
              <w:rPr>
                <w:rFonts w:hint="eastAsia"/>
                <w:color w:val="auto"/>
                <w:lang w:val="en-US" w:eastAsia="zh-CN"/>
              </w:rPr>
              <w:t>集电线路</w:t>
            </w:r>
          </w:p>
          <w:p>
            <w:pPr>
              <w:pStyle w:val="41"/>
              <w:keepNext w:val="0"/>
              <w:keepLines w:val="0"/>
              <w:suppressLineNumbers w:val="0"/>
              <w:spacing w:before="0" w:beforeAutospacing="0" w:after="0" w:afterAutospacing="0"/>
              <w:ind w:left="0" w:right="0" w:firstLine="480"/>
              <w:rPr>
                <w:rFonts w:hint="eastAsia"/>
                <w:color w:val="auto"/>
                <w:lang w:val="en-US" w:eastAsia="zh-CN"/>
              </w:rPr>
            </w:pPr>
            <w:r>
              <w:rPr>
                <w:rFonts w:hint="eastAsia"/>
                <w:color w:val="auto"/>
              </w:rPr>
              <w:t>本</w:t>
            </w:r>
            <w:r>
              <w:rPr>
                <w:rFonts w:hint="eastAsia"/>
                <w:color w:val="auto"/>
                <w:lang w:val="en-US" w:eastAsia="zh-CN"/>
              </w:rPr>
              <w:t>项目集电线路</w:t>
            </w:r>
            <w:r>
              <w:rPr>
                <w:rFonts w:hint="eastAsia"/>
                <w:color w:val="auto"/>
              </w:rPr>
              <w:t>工程采用直埋敷设于地下电缆沟，同沟并行敷设时，相互净距不小于250毫米。电缆埋设深度：电缆外皮至地面距离，不小于0.7米，当位于车行道时，不宜小于1米。当敷设于耕地下时，埋深应适当增加，且不小于1m。直埋敷设于冻土地区时，宜埋入冻土层以下，无法深埋时，可在沿电缆全长的上、下紧邻侧铺以厚度不小于100毫米的河沙层，再沿电缆全长覆盖混凝土保护板，这样可防止电缆在运行中受到损坏。所有控制电缆和电力电缆的施工，按设计要求和相关规范进行。直埋电缆敷设要先开挖电缆沟，将沟底用沙土垫平整，电缆敷设后填埋一层沙土，再铺保护盖板，上部用原土回填。电缆沟采用0.5m</w:t>
            </w:r>
            <w:r>
              <w:rPr>
                <w:rFonts w:hint="eastAsia"/>
                <w:color w:val="auto"/>
                <w:vertAlign w:val="superscript"/>
              </w:rPr>
              <w:t>3</w:t>
            </w:r>
            <w:r>
              <w:rPr>
                <w:rFonts w:hint="eastAsia"/>
                <w:color w:val="auto"/>
              </w:rPr>
              <w:t>反铲挖掘机配合人工开挖（石方段采用钻爆法施工），开挖土石就近堆放，用于后期回填。砂土回填为人工回填，压实采用蛙式打夯机夯实。</w:t>
            </w:r>
          </w:p>
          <w:p>
            <w:pPr>
              <w:pStyle w:val="3"/>
              <w:keepLines w:val="0"/>
              <w:suppressLineNumbers w:val="0"/>
              <w:bidi w:val="0"/>
              <w:spacing w:beforeAutospacing="0" w:after="0" w:afterAutospacing="0"/>
              <w:ind w:right="0"/>
              <w:rPr>
                <w:rFonts w:hint="default"/>
                <w:color w:val="auto"/>
                <w:lang w:val="en-US" w:eastAsia="zh-CN"/>
              </w:rPr>
            </w:pPr>
            <w:r>
              <w:rPr>
                <w:rFonts w:hint="eastAsia"/>
                <w:color w:val="auto"/>
                <w:lang w:val="en-US" w:eastAsia="zh-CN"/>
              </w:rPr>
              <w:t>施工临时占地</w:t>
            </w:r>
          </w:p>
          <w:p>
            <w:pPr>
              <w:keepNext w:val="0"/>
              <w:keepLines w:val="0"/>
              <w:suppressLineNumbers w:val="0"/>
              <w:spacing w:before="0" w:beforeAutospacing="0" w:after="0" w:afterAutospacing="0"/>
              <w:ind w:left="0" w:right="0"/>
              <w:rPr>
                <w:rFonts w:hint="default"/>
                <w:color w:val="auto"/>
                <w:lang w:val="en-US" w:eastAsia="zh-CN"/>
              </w:rPr>
            </w:pPr>
            <w:r>
              <w:rPr>
                <w:rFonts w:hint="eastAsia"/>
                <w:color w:val="auto"/>
                <w:lang w:val="en-US" w:eastAsia="zh-CN"/>
              </w:rPr>
              <w:t>施工期除了影响项目的占地范围外，为了便于施工，还会有临时占地，临时占地在施工期结束后需要进行恢复，恢复成不劣于扰动前的状况。施工期临时占地主要是施工便道和施工临时用地</w:t>
            </w:r>
          </w:p>
          <w:p>
            <w:pPr>
              <w:pStyle w:val="4"/>
              <w:suppressLineNumbers w:val="0"/>
              <w:bidi w:val="0"/>
              <w:spacing w:before="0" w:after="0"/>
              <w:ind w:left="0" w:right="0"/>
              <w:rPr>
                <w:rFonts w:hint="eastAsia"/>
                <w:color w:val="auto"/>
                <w:lang w:val="en-US" w:eastAsia="zh-CN"/>
              </w:rPr>
            </w:pPr>
            <w:r>
              <w:rPr>
                <w:rFonts w:hint="eastAsia"/>
                <w:color w:val="auto"/>
                <w:lang w:val="en-US" w:eastAsia="zh-CN"/>
              </w:rPr>
              <w:t>施工便道</w:t>
            </w:r>
          </w:p>
          <w:p>
            <w:pPr>
              <w:keepNext w:val="0"/>
              <w:keepLines w:val="0"/>
              <w:suppressLineNumbers w:val="0"/>
              <w:spacing w:before="0" w:beforeAutospacing="0" w:after="0" w:afterAutospacing="0"/>
              <w:ind w:left="0" w:right="0"/>
              <w:rPr>
                <w:rFonts w:hint="default"/>
                <w:color w:val="auto"/>
                <w:lang w:val="en-US" w:eastAsia="zh-CN"/>
              </w:rPr>
            </w:pPr>
            <w:r>
              <w:rPr>
                <w:rFonts w:hint="eastAsia"/>
                <w:color w:val="auto"/>
                <w:lang w:val="en-US" w:eastAsia="zh-CN"/>
              </w:rPr>
              <w:t>在施工期建设时，为方便施工运输车辆、人员通过，要建设施工便道，施工便道分为两种，一种是施工期结束后恢复成不劣于扰动前土地状况的，另一种是施工期结束后将其改建成光伏电站检修道路保留的。</w:t>
            </w:r>
          </w:p>
          <w:p>
            <w:pPr>
              <w:pStyle w:val="5"/>
              <w:suppressLineNumbers w:val="0"/>
              <w:bidi w:val="0"/>
              <w:spacing w:before="0" w:after="0"/>
              <w:ind w:left="0" w:right="0"/>
              <w:rPr>
                <w:rFonts w:hint="eastAsia"/>
                <w:color w:val="auto"/>
                <w:lang w:val="en-US" w:eastAsia="zh-CN"/>
              </w:rPr>
            </w:pPr>
            <w:r>
              <w:rPr>
                <w:rFonts w:hint="eastAsia"/>
                <w:color w:val="auto"/>
                <w:lang w:val="en-US" w:eastAsia="zh-CN"/>
              </w:rPr>
              <w:t>施工期结束后恢复的施工便道</w:t>
            </w:r>
          </w:p>
          <w:p>
            <w:pPr>
              <w:keepNext w:val="0"/>
              <w:keepLines w:val="0"/>
              <w:suppressLineNumbers w:val="0"/>
              <w:spacing w:before="0" w:beforeAutospacing="0" w:after="0" w:afterAutospacing="0"/>
              <w:ind w:left="0" w:right="0"/>
              <w:rPr>
                <w:rFonts w:hint="default"/>
                <w:color w:val="auto"/>
                <w:lang w:val="en-US" w:eastAsia="zh-CN"/>
              </w:rPr>
            </w:pPr>
            <w:r>
              <w:rPr>
                <w:rFonts w:hint="eastAsia"/>
                <w:color w:val="auto"/>
                <w:lang w:val="en-US" w:eastAsia="zh-CN"/>
              </w:rPr>
              <w:t>部分施工便道在施工期结束后要进行恢复，恢复成不劣于扰动前的状况。扰动前为耕地的，施工后恢复成耕地，扰动前为牧草地的，施工后重新覆土种植牧草。</w:t>
            </w:r>
          </w:p>
          <w:p>
            <w:pPr>
              <w:pStyle w:val="5"/>
              <w:suppressLineNumbers w:val="0"/>
              <w:bidi w:val="0"/>
              <w:spacing w:before="0" w:after="0"/>
              <w:ind w:left="0" w:right="0"/>
              <w:rPr>
                <w:rFonts w:hint="default"/>
                <w:color w:val="auto"/>
                <w:lang w:val="en-US" w:eastAsia="zh-CN"/>
              </w:rPr>
            </w:pPr>
            <w:r>
              <w:rPr>
                <w:rFonts w:hint="eastAsia"/>
                <w:color w:val="auto"/>
                <w:lang w:val="en-US" w:eastAsia="zh-CN"/>
              </w:rPr>
              <w:t>施工期结束后转变为光伏区检修道路的施工便道</w:t>
            </w:r>
          </w:p>
          <w:p>
            <w:pPr>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color w:val="auto"/>
                <w:lang w:val="en-US" w:eastAsia="zh-CN"/>
              </w:rPr>
              <w:t>部分施工便道在施工期结束后进行改建，改建成光伏区检修道路。改建道路面积为</w:t>
            </w:r>
            <w:r>
              <w:rPr>
                <w:rFonts w:hint="eastAsia" w:ascii="Times New Roman" w:hAnsi="Times New Roman" w:cs="Times New Roman"/>
                <w:color w:val="auto"/>
                <w:lang w:val="en-US" w:eastAsia="zh-CN"/>
              </w:rPr>
              <w:t>124501m</w:t>
            </w:r>
            <w:r>
              <w:rPr>
                <w:rFonts w:hint="eastAsia" w:ascii="Times New Roman" w:hAnsi="Times New Roman" w:cs="Times New Roman"/>
                <w:color w:val="auto"/>
                <w:vertAlign w:val="superscript"/>
                <w:lang w:val="en-US" w:eastAsia="zh-CN"/>
              </w:rPr>
              <w:t>2</w:t>
            </w:r>
            <w:r>
              <w:rPr>
                <w:rFonts w:hint="eastAsia" w:cs="Times New Roman"/>
                <w:color w:val="auto"/>
                <w:vertAlign w:val="baseline"/>
                <w:lang w:val="en-US" w:eastAsia="zh-CN"/>
              </w:rPr>
              <w:t>。</w:t>
            </w:r>
            <w:r>
              <w:rPr>
                <w:rFonts w:hint="eastAsia" w:cs="Times New Roman"/>
                <w:color w:val="auto"/>
                <w:lang w:val="en-US" w:eastAsia="zh-CN"/>
              </w:rPr>
              <w:t>改建后</w:t>
            </w:r>
            <w:r>
              <w:rPr>
                <w:rFonts w:hint="eastAsia" w:ascii="Times New Roman" w:hAnsi="Times New Roman" w:cs="Times New Roman"/>
                <w:color w:val="auto"/>
                <w:lang w:val="en-US" w:eastAsia="zh-CN"/>
              </w:rPr>
              <w:t>道路</w:t>
            </w:r>
            <w:r>
              <w:rPr>
                <w:rFonts w:hint="eastAsia" w:ascii="Times New Roman" w:hAnsi="Times New Roman" w:cs="Times New Roman"/>
                <w:color w:val="auto"/>
              </w:rPr>
              <w:t>宽度为4m～6m，路面采用泥结石路面。设计时速15km/h，最大纵坡8%，平曲线最小半径25m。</w:t>
            </w:r>
          </w:p>
          <w:p>
            <w:pPr>
              <w:keepNext w:val="0"/>
              <w:keepLines w:val="0"/>
              <w:suppressLineNumbers w:val="0"/>
              <w:spacing w:before="0" w:beforeAutospacing="0" w:after="0" w:afterAutospacing="0"/>
              <w:ind w:left="0" w:right="0"/>
              <w:rPr>
                <w:rFonts w:hint="eastAsia" w:cs="Times New Roman"/>
                <w:color w:val="auto"/>
                <w:lang w:val="en-US" w:eastAsia="zh-CN"/>
              </w:rPr>
            </w:pPr>
            <w:r>
              <w:rPr>
                <w:rFonts w:hint="eastAsia" w:cs="Times New Roman"/>
                <w:color w:val="auto"/>
                <w:lang w:val="en-US" w:eastAsia="zh-CN"/>
              </w:rPr>
              <w:t>改建道路具体位置见下图。</w:t>
            </w:r>
          </w:p>
          <w:p>
            <w:pPr>
              <w:keepNext w:val="0"/>
              <w:keepLines w:val="0"/>
              <w:suppressLineNumbers w:val="0"/>
              <w:bidi w:val="0"/>
              <w:spacing w:before="0" w:beforeAutospacing="0" w:after="0" w:afterAutospacing="0"/>
              <w:ind w:left="0" w:leftChars="0" w:right="0" w:firstLine="0" w:firstLineChars="0"/>
              <w:rPr>
                <w:rFonts w:hint="default"/>
                <w:color w:val="auto"/>
                <w:lang w:val="en-US" w:eastAsia="zh-CN"/>
              </w:rPr>
            </w:pPr>
            <w:r>
              <w:rPr>
                <w:rFonts w:hint="default"/>
                <w:color w:val="auto"/>
                <w:lang w:val="en-US" w:eastAsia="zh-CN"/>
              </w:rPr>
              <w:drawing>
                <wp:inline distT="0" distB="0" distL="114300" distR="114300">
                  <wp:extent cx="5207000" cy="3547745"/>
                  <wp:effectExtent l="0" t="0" r="12700" b="14605"/>
                  <wp:docPr id="56" name="图片 56" descr="5cab4bc4deff8cd906093c9b10acbc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5cab4bc4deff8cd906093c9b10acbc82"/>
                          <pic:cNvPicPr>
                            <a:picLocks noChangeAspect="1"/>
                          </pic:cNvPicPr>
                        </pic:nvPicPr>
                        <pic:blipFill>
                          <a:blip r:embed="rId32"/>
                          <a:stretch>
                            <a:fillRect/>
                          </a:stretch>
                        </pic:blipFill>
                        <pic:spPr>
                          <a:xfrm>
                            <a:off x="0" y="0"/>
                            <a:ext cx="5207000" cy="3547745"/>
                          </a:xfrm>
                          <a:prstGeom prst="rect">
                            <a:avLst/>
                          </a:prstGeom>
                        </pic:spPr>
                      </pic:pic>
                    </a:graphicData>
                  </a:graphic>
                </wp:inline>
              </w:drawing>
            </w:r>
          </w:p>
          <w:p>
            <w:pPr>
              <w:pStyle w:val="34"/>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改建道路位置图（整体）</w:t>
            </w:r>
          </w:p>
          <w:p>
            <w:pPr>
              <w:pStyle w:val="34"/>
              <w:keepNext w:val="0"/>
              <w:keepLines w:val="0"/>
              <w:numPr>
                <w:ilvl w:val="0"/>
                <w:numId w:val="0"/>
              </w:numPr>
              <w:suppressLineNumbers w:val="0"/>
              <w:bidi w:val="0"/>
              <w:spacing w:before="0" w:beforeAutospacing="0" w:after="0" w:afterAutospacing="0"/>
              <w:ind w:leftChars="0" w:right="0"/>
              <w:jc w:val="both"/>
              <w:rPr>
                <w:rFonts w:hint="default"/>
                <w:color w:val="auto"/>
                <w:lang w:val="en-US" w:eastAsia="zh-CN"/>
              </w:rPr>
            </w:pPr>
            <w:r>
              <w:rPr>
                <w:rFonts w:hint="default"/>
                <w:color w:val="auto"/>
                <w:lang w:val="en-US" w:eastAsia="zh-CN"/>
              </w:rPr>
              <w:drawing>
                <wp:inline distT="0" distB="0" distL="114300" distR="114300">
                  <wp:extent cx="5202555" cy="3515360"/>
                  <wp:effectExtent l="0" t="0" r="17145" b="8890"/>
                  <wp:docPr id="57" name="图片 57" descr="1c01f29af04528ae16c336c5601e4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1c01f29af04528ae16c336c5601e4504"/>
                          <pic:cNvPicPr>
                            <a:picLocks noChangeAspect="1"/>
                          </pic:cNvPicPr>
                        </pic:nvPicPr>
                        <pic:blipFill>
                          <a:blip r:embed="rId33"/>
                          <a:stretch>
                            <a:fillRect/>
                          </a:stretch>
                        </pic:blipFill>
                        <pic:spPr>
                          <a:xfrm>
                            <a:off x="0" y="0"/>
                            <a:ext cx="5202555" cy="3515360"/>
                          </a:xfrm>
                          <a:prstGeom prst="rect">
                            <a:avLst/>
                          </a:prstGeom>
                        </pic:spPr>
                      </pic:pic>
                    </a:graphicData>
                  </a:graphic>
                </wp:inline>
              </w:drawing>
            </w:r>
          </w:p>
          <w:p>
            <w:pPr>
              <w:pStyle w:val="34"/>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改建道路位置图（</w:t>
            </w:r>
            <w:r>
              <w:rPr>
                <w:rFonts w:hint="eastAsia"/>
                <w:color w:val="auto"/>
                <w:lang w:val="en-US" w:eastAsia="zh-CN"/>
              </w:rPr>
              <w:t>局部</w:t>
            </w:r>
            <w:r>
              <w:rPr>
                <w:rFonts w:hint="default"/>
                <w:color w:val="auto"/>
                <w:lang w:val="en-US" w:eastAsia="zh-CN"/>
              </w:rPr>
              <w:t>）</w:t>
            </w:r>
          </w:p>
          <w:p>
            <w:pPr>
              <w:keepNext w:val="0"/>
              <w:keepLines w:val="0"/>
              <w:suppressLineNumbers w:val="0"/>
              <w:bidi w:val="0"/>
              <w:spacing w:before="0" w:beforeAutospacing="0" w:after="0" w:afterAutospacing="0"/>
              <w:ind w:left="0" w:leftChars="0" w:right="0" w:firstLine="0" w:firstLineChars="0"/>
              <w:rPr>
                <w:rFonts w:hint="default"/>
                <w:color w:val="auto"/>
                <w:lang w:val="en-US" w:eastAsia="zh-CN"/>
              </w:rPr>
            </w:pPr>
            <w:r>
              <w:rPr>
                <w:rFonts w:hint="default"/>
                <w:color w:val="auto"/>
                <w:lang w:val="en-US" w:eastAsia="zh-CN"/>
              </w:rPr>
              <w:drawing>
                <wp:inline distT="0" distB="0" distL="114300" distR="114300">
                  <wp:extent cx="5203190" cy="3682365"/>
                  <wp:effectExtent l="0" t="0" r="16510" b="13335"/>
                  <wp:docPr id="60" name="图片 60" descr="d7f84c911cfcb1ee3682a5fc53ecbf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d7f84c911cfcb1ee3682a5fc53ecbf6b"/>
                          <pic:cNvPicPr>
                            <a:picLocks noChangeAspect="1"/>
                          </pic:cNvPicPr>
                        </pic:nvPicPr>
                        <pic:blipFill>
                          <a:blip r:embed="rId34"/>
                          <a:stretch>
                            <a:fillRect/>
                          </a:stretch>
                        </pic:blipFill>
                        <pic:spPr>
                          <a:xfrm>
                            <a:off x="0" y="0"/>
                            <a:ext cx="5203190" cy="3682365"/>
                          </a:xfrm>
                          <a:prstGeom prst="rect">
                            <a:avLst/>
                          </a:prstGeom>
                        </pic:spPr>
                      </pic:pic>
                    </a:graphicData>
                  </a:graphic>
                </wp:inline>
              </w:drawing>
            </w:r>
          </w:p>
          <w:p>
            <w:pPr>
              <w:pStyle w:val="34"/>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改建道路位置图（局部）</w:t>
            </w:r>
          </w:p>
          <w:p>
            <w:pPr>
              <w:pStyle w:val="34"/>
              <w:keepNext w:val="0"/>
              <w:keepLines w:val="0"/>
              <w:numPr>
                <w:ilvl w:val="0"/>
                <w:numId w:val="0"/>
              </w:numPr>
              <w:suppressLineNumbers w:val="0"/>
              <w:bidi w:val="0"/>
              <w:spacing w:before="0" w:beforeAutospacing="0" w:after="0" w:afterAutospacing="0"/>
              <w:ind w:leftChars="0" w:right="0"/>
              <w:jc w:val="both"/>
              <w:rPr>
                <w:rFonts w:hint="default"/>
                <w:color w:val="auto"/>
                <w:lang w:val="en-US" w:eastAsia="zh-CN"/>
              </w:rPr>
            </w:pPr>
            <w:r>
              <w:rPr>
                <w:rFonts w:hint="default"/>
                <w:color w:val="auto"/>
                <w:lang w:val="en-US" w:eastAsia="zh-CN"/>
              </w:rPr>
              <w:drawing>
                <wp:inline distT="0" distB="0" distL="114300" distR="114300">
                  <wp:extent cx="5208905" cy="3684905"/>
                  <wp:effectExtent l="0" t="0" r="10795" b="10795"/>
                  <wp:docPr id="59" name="图片 59" descr="2ca9531639459236590944649de4fb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2ca9531639459236590944649de4fbfd"/>
                          <pic:cNvPicPr>
                            <a:picLocks noChangeAspect="1"/>
                          </pic:cNvPicPr>
                        </pic:nvPicPr>
                        <pic:blipFill>
                          <a:blip r:embed="rId35"/>
                          <a:stretch>
                            <a:fillRect/>
                          </a:stretch>
                        </pic:blipFill>
                        <pic:spPr>
                          <a:xfrm>
                            <a:off x="0" y="0"/>
                            <a:ext cx="5208905" cy="3684905"/>
                          </a:xfrm>
                          <a:prstGeom prst="rect">
                            <a:avLst/>
                          </a:prstGeom>
                        </pic:spPr>
                      </pic:pic>
                    </a:graphicData>
                  </a:graphic>
                </wp:inline>
              </w:drawing>
            </w:r>
          </w:p>
          <w:p>
            <w:pPr>
              <w:pStyle w:val="34"/>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改建道路位置图（局部）</w:t>
            </w:r>
          </w:p>
          <w:p>
            <w:pPr>
              <w:pStyle w:val="34"/>
              <w:keepNext w:val="0"/>
              <w:keepLines w:val="0"/>
              <w:numPr>
                <w:ilvl w:val="0"/>
                <w:numId w:val="0"/>
              </w:numPr>
              <w:suppressLineNumbers w:val="0"/>
              <w:bidi w:val="0"/>
              <w:spacing w:before="0" w:beforeAutospacing="0" w:after="0" w:afterAutospacing="0"/>
              <w:ind w:leftChars="0" w:right="0"/>
              <w:jc w:val="both"/>
              <w:rPr>
                <w:rFonts w:hint="default"/>
                <w:color w:val="auto"/>
                <w:lang w:val="en-US" w:eastAsia="zh-CN"/>
              </w:rPr>
            </w:pPr>
            <w:r>
              <w:rPr>
                <w:rFonts w:hint="default"/>
                <w:color w:val="auto"/>
                <w:lang w:val="en-US" w:eastAsia="zh-CN"/>
              </w:rPr>
              <w:drawing>
                <wp:inline distT="0" distB="0" distL="114300" distR="114300">
                  <wp:extent cx="5205095" cy="3615690"/>
                  <wp:effectExtent l="0" t="0" r="14605" b="3810"/>
                  <wp:docPr id="61" name="图片 61" descr="096f45b8561787eb1d236515d52f4a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096f45b8561787eb1d236515d52f4ae2"/>
                          <pic:cNvPicPr>
                            <a:picLocks noChangeAspect="1"/>
                          </pic:cNvPicPr>
                        </pic:nvPicPr>
                        <pic:blipFill>
                          <a:blip r:embed="rId36"/>
                          <a:stretch>
                            <a:fillRect/>
                          </a:stretch>
                        </pic:blipFill>
                        <pic:spPr>
                          <a:xfrm>
                            <a:off x="0" y="0"/>
                            <a:ext cx="5205095" cy="3615690"/>
                          </a:xfrm>
                          <a:prstGeom prst="rect">
                            <a:avLst/>
                          </a:prstGeom>
                        </pic:spPr>
                      </pic:pic>
                    </a:graphicData>
                  </a:graphic>
                </wp:inline>
              </w:drawing>
            </w:r>
          </w:p>
          <w:p>
            <w:pPr>
              <w:pStyle w:val="34"/>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改建道路位置图（局部）</w:t>
            </w:r>
          </w:p>
          <w:p>
            <w:pPr>
              <w:pStyle w:val="4"/>
              <w:suppressLineNumbers w:val="0"/>
              <w:bidi w:val="0"/>
              <w:spacing w:before="0" w:after="0"/>
              <w:ind w:left="0" w:right="0"/>
              <w:rPr>
                <w:rFonts w:hint="eastAsia"/>
                <w:color w:val="auto"/>
                <w:lang w:val="en-US" w:eastAsia="zh-CN"/>
              </w:rPr>
            </w:pPr>
            <w:r>
              <w:rPr>
                <w:rFonts w:hint="eastAsia"/>
                <w:color w:val="auto"/>
                <w:lang w:val="en-US" w:eastAsia="zh-CN"/>
              </w:rPr>
              <w:t>施工临时用地</w:t>
            </w:r>
          </w:p>
          <w:p>
            <w:pPr>
              <w:keepNext w:val="0"/>
              <w:keepLines w:val="0"/>
              <w:suppressLineNumbers w:val="0"/>
              <w:spacing w:before="0" w:beforeAutospacing="0" w:after="0" w:afterAutospacing="0"/>
              <w:ind w:left="0" w:right="0"/>
              <w:rPr>
                <w:rFonts w:hint="default"/>
                <w:color w:val="auto"/>
                <w:lang w:val="en-US" w:eastAsia="zh-CN"/>
              </w:rPr>
            </w:pPr>
            <w:r>
              <w:rPr>
                <w:rFonts w:hint="eastAsia"/>
                <w:color w:val="auto"/>
                <w:lang w:val="en-US" w:eastAsia="zh-CN"/>
              </w:rPr>
              <w:t>施工期给施工人员提供住宿，办公条件，并给施工材料提供堆放场地，需要临时租用项目占地范围外的土地作为施工临时用地。本项目光伏区设置一个施工临时用地，升压站设置一个施工临时用地。</w:t>
            </w:r>
          </w:p>
          <w:p>
            <w:pPr>
              <w:pStyle w:val="5"/>
              <w:suppressLineNumbers w:val="0"/>
              <w:bidi w:val="0"/>
              <w:spacing w:before="0" w:after="0"/>
              <w:ind w:left="0" w:right="0"/>
              <w:rPr>
                <w:rFonts w:hint="eastAsia"/>
                <w:color w:val="auto"/>
                <w:lang w:val="en-US" w:eastAsia="zh-CN"/>
              </w:rPr>
            </w:pPr>
            <w:r>
              <w:rPr>
                <w:rFonts w:hint="eastAsia"/>
                <w:color w:val="auto"/>
                <w:lang w:val="en-US" w:eastAsia="zh-CN"/>
              </w:rPr>
              <w:t>光伏电站施工临时用地</w:t>
            </w:r>
          </w:p>
          <w:p>
            <w:pPr>
              <w:keepNext w:val="0"/>
              <w:keepLines w:val="0"/>
              <w:suppressLineNumbers w:val="0"/>
              <w:bidi w:val="0"/>
              <w:spacing w:before="0" w:beforeAutospacing="0" w:after="0" w:afterAutospacing="0"/>
              <w:ind w:left="0" w:right="0"/>
              <w:rPr>
                <w:rFonts w:hint="eastAsia"/>
                <w:color w:val="auto"/>
                <w:lang w:val="en-US" w:eastAsia="zh-CN"/>
              </w:rPr>
            </w:pPr>
            <w:r>
              <w:rPr>
                <w:rFonts w:hint="default"/>
                <w:color w:val="auto"/>
                <w:lang w:val="en-US" w:eastAsia="zh-CN"/>
              </w:rPr>
              <w:t>本工程施工工期较短，光伏电池组件布置集中，按</w:t>
            </w:r>
            <w:r>
              <w:rPr>
                <w:rFonts w:hint="eastAsia"/>
                <w:color w:val="auto"/>
                <w:lang w:val="en-US" w:eastAsia="zh-CN"/>
              </w:rPr>
              <w:t>照</w:t>
            </w:r>
            <w:r>
              <w:rPr>
                <w:rFonts w:hint="default"/>
                <w:color w:val="auto"/>
                <w:lang w:val="en-US" w:eastAsia="zh-CN"/>
              </w:rPr>
              <w:t>施工区集中布置原则，</w:t>
            </w:r>
            <w:r>
              <w:rPr>
                <w:rFonts w:hint="eastAsia"/>
                <w:color w:val="auto"/>
                <w:lang w:val="en-US" w:eastAsia="zh-CN"/>
              </w:rPr>
              <w:t>光伏区布置一个施工区</w:t>
            </w:r>
            <w:r>
              <w:rPr>
                <w:rFonts w:hint="default"/>
                <w:color w:val="auto"/>
                <w:lang w:val="en-US" w:eastAsia="zh-CN"/>
              </w:rPr>
              <w:t>。</w:t>
            </w:r>
            <w:r>
              <w:rPr>
                <w:rFonts w:hint="eastAsia"/>
                <w:color w:val="auto"/>
                <w:lang w:val="en-US" w:eastAsia="zh-CN"/>
              </w:rPr>
              <w:t>施工区内建设的临时</w:t>
            </w:r>
            <w:r>
              <w:rPr>
                <w:rFonts w:hint="default"/>
                <w:color w:val="auto"/>
                <w:lang w:val="en-US" w:eastAsia="zh-CN"/>
              </w:rPr>
              <w:t>工程主要有临时宿舍及办公室、材料及设备仓库、混凝土拌和站、小型修配站、材料设备堆场等临时生产设施和生活建筑设施</w:t>
            </w:r>
            <w:r>
              <w:rPr>
                <w:rFonts w:hint="eastAsia"/>
                <w:color w:val="auto"/>
                <w:lang w:val="en-US" w:eastAsia="zh-CN"/>
              </w:rPr>
              <w:t>，</w:t>
            </w:r>
            <w:r>
              <w:rPr>
                <w:rFonts w:hint="default"/>
                <w:color w:val="auto"/>
                <w:lang w:val="en-US" w:eastAsia="zh-CN"/>
              </w:rPr>
              <w:t>临时设施总占地约3000m</w:t>
            </w:r>
            <w:r>
              <w:rPr>
                <w:rFonts w:hint="default"/>
                <w:color w:val="auto"/>
                <w:vertAlign w:val="superscript"/>
                <w:lang w:val="en-US" w:eastAsia="zh-CN"/>
              </w:rPr>
              <w:t>2</w:t>
            </w:r>
            <w:r>
              <w:rPr>
                <w:rFonts w:hint="eastAsia"/>
                <w:color w:val="auto"/>
                <w:lang w:val="en-US" w:eastAsia="zh-CN"/>
              </w:rPr>
              <w:t>。</w:t>
            </w:r>
          </w:p>
          <w:p>
            <w:pPr>
              <w:keepNext w:val="0"/>
              <w:keepLines w:val="0"/>
              <w:suppressLineNumbers w:val="0"/>
              <w:bidi w:val="0"/>
              <w:spacing w:before="0" w:beforeAutospacing="0" w:after="0" w:afterAutospacing="0"/>
              <w:ind w:left="0" w:right="0"/>
              <w:rPr>
                <w:rFonts w:hint="eastAsia"/>
                <w:color w:val="auto"/>
                <w:lang w:val="en-US" w:eastAsia="zh-CN"/>
              </w:rPr>
            </w:pPr>
            <w:r>
              <w:rPr>
                <w:rFonts w:hint="eastAsia"/>
                <w:color w:val="auto"/>
                <w:lang w:val="en-US" w:eastAsia="zh-CN"/>
              </w:rPr>
              <w:t>光伏电站施工临时用地位置如下图所示。</w:t>
            </w:r>
          </w:p>
          <w:p>
            <w:pPr>
              <w:keepNext w:val="0"/>
              <w:keepLines w:val="0"/>
              <w:suppressLineNumbers w:val="0"/>
              <w:bidi w:val="0"/>
              <w:spacing w:before="0" w:beforeAutospacing="0" w:after="0" w:afterAutospacing="0"/>
              <w:ind w:left="0" w:leftChars="0" w:right="0" w:firstLine="0" w:firstLineChars="0"/>
              <w:rPr>
                <w:rFonts w:hint="eastAsia"/>
                <w:color w:val="auto"/>
                <w:lang w:val="en-US" w:eastAsia="zh-CN"/>
              </w:rPr>
            </w:pPr>
            <w:r>
              <w:rPr>
                <w:rFonts w:hint="default"/>
                <w:color w:val="auto"/>
                <w:sz w:val="24"/>
              </w:rPr>
              <mc:AlternateContent>
                <mc:Choice Requires="wps">
                  <w:drawing>
                    <wp:anchor distT="0" distB="0" distL="114300" distR="114300" simplePos="0" relativeHeight="251670528" behindDoc="0" locked="0" layoutInCell="1" allowOverlap="1">
                      <wp:simplePos x="0" y="0"/>
                      <wp:positionH relativeFrom="column">
                        <wp:posOffset>1047115</wp:posOffset>
                      </wp:positionH>
                      <wp:positionV relativeFrom="paragraph">
                        <wp:posOffset>1143635</wp:posOffset>
                      </wp:positionV>
                      <wp:extent cx="656590" cy="408305"/>
                      <wp:effectExtent l="5080" t="4445" r="271780" b="292100"/>
                      <wp:wrapNone/>
                      <wp:docPr id="22" name="矩形标注 22"/>
                      <wp:cNvGraphicFramePr/>
                      <a:graphic xmlns:a="http://schemas.openxmlformats.org/drawingml/2006/main">
                        <a:graphicData uri="http://schemas.microsoft.com/office/word/2010/wordprocessingShape">
                          <wps:wsp>
                            <wps:cNvSpPr/>
                            <wps:spPr>
                              <a:xfrm>
                                <a:off x="2247900" y="6107430"/>
                                <a:ext cx="656590" cy="408305"/>
                              </a:xfrm>
                              <a:prstGeom prst="wedgeRectCallout">
                                <a:avLst>
                                  <a:gd name="adj1" fmla="val 89139"/>
                                  <a:gd name="adj2" fmla="val 116410"/>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both"/>
                                    <w:textAlignment w:val="auto"/>
                                    <w:rPr>
                                      <w:rFonts w:hint="default" w:eastAsia="宋体"/>
                                      <w:sz w:val="18"/>
                                      <w:szCs w:val="18"/>
                                      <w:lang w:val="en-US" w:eastAsia="zh-CN"/>
                                    </w:rPr>
                                  </w:pPr>
                                  <w:r>
                                    <w:rPr>
                                      <w:rFonts w:hint="eastAsia"/>
                                      <w:sz w:val="18"/>
                                      <w:szCs w:val="18"/>
                                      <w:lang w:val="en-US" w:eastAsia="zh-CN"/>
                                    </w:rPr>
                                    <w:t>光伏电站临时占地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82.45pt;margin-top:90.05pt;height:32.15pt;width:51.7pt;z-index:251670528;v-text-anchor:middle;mso-width-relative:page;mso-height-relative:page;" fillcolor="#FFFFFF [3201]" filled="t" stroked="t" coordsize="21600,21600" o:gfxdata="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Cs5gbjYAAAACwEAAA8AAAAAAAAAAQAgAAAAIgAAAGRycy9k&#10;b3ducmV2LnhtbFBLAQIUABQAAAAIAIdO4kDS3+tmrQIAAFgFAAAOAAAAAAAAAAEAIAAAACcBAABk&#10;cnMvZTJvRG9jLnhtbFBLBQYAAAAABgAGAFkBAABGBgAAAAA=&#10;" adj="30054,35945">
                      <v:fill on="t" focussize="0,0"/>
                      <v:stroke weight="0.25pt" color="#000000 [3213]" joinstyle="round"/>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both"/>
                              <w:textAlignment w:val="auto"/>
                              <w:rPr>
                                <w:rFonts w:hint="default" w:eastAsia="宋体"/>
                                <w:sz w:val="18"/>
                                <w:szCs w:val="18"/>
                                <w:lang w:val="en-US" w:eastAsia="zh-CN"/>
                              </w:rPr>
                            </w:pPr>
                            <w:r>
                              <w:rPr>
                                <w:rFonts w:hint="eastAsia"/>
                                <w:sz w:val="18"/>
                                <w:szCs w:val="18"/>
                                <w:lang w:val="en-US" w:eastAsia="zh-CN"/>
                              </w:rPr>
                              <w:t>光伏电站临时占地</w:t>
                            </w:r>
                          </w:p>
                        </w:txbxContent>
                      </v:textbox>
                    </v:shape>
                  </w:pict>
                </mc:Fallback>
              </mc:AlternateContent>
            </w:r>
            <w:r>
              <w:rPr>
                <w:rFonts w:hint="default"/>
                <w:color w:val="auto"/>
                <w:sz w:val="24"/>
              </w:rPr>
              <mc:AlternateContent>
                <mc:Choice Requires="wps">
                  <w:drawing>
                    <wp:anchor distT="0" distB="0" distL="114300" distR="114300" simplePos="0" relativeHeight="251669504" behindDoc="0" locked="0" layoutInCell="1" allowOverlap="1">
                      <wp:simplePos x="0" y="0"/>
                      <wp:positionH relativeFrom="column">
                        <wp:posOffset>1932940</wp:posOffset>
                      </wp:positionH>
                      <wp:positionV relativeFrom="paragraph">
                        <wp:posOffset>1790065</wp:posOffset>
                      </wp:positionV>
                      <wp:extent cx="85725" cy="75565"/>
                      <wp:effectExtent l="12700" t="12700" r="15875" b="26035"/>
                      <wp:wrapNone/>
                      <wp:docPr id="21" name="五角星 21"/>
                      <wp:cNvGraphicFramePr/>
                      <a:graphic xmlns:a="http://schemas.openxmlformats.org/drawingml/2006/main">
                        <a:graphicData uri="http://schemas.microsoft.com/office/word/2010/wordprocessingShape">
                          <wps:wsp>
                            <wps:cNvSpPr/>
                            <wps:spPr>
                              <a:xfrm>
                                <a:off x="3362325" y="6593205"/>
                                <a:ext cx="85725" cy="75565"/>
                              </a:xfrm>
                              <a:prstGeom prst="star5">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52.2pt;margin-top:140.95pt;height:5.95pt;width:6.75pt;z-index:251669504;v-text-anchor:middle;mso-width-relative:page;mso-height-relative:page;" fillcolor="#00B050" filled="t" stroked="t" coordsize="85725,75565" o:gfxdata="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LMPQs2gAAAAsBAAAPAAAAAAAAAAEAIAAAACIAAABkcnMv&#10;ZG93bnJldi54bWxQSwECFAAUAAAACACHTuJATTFP9HMCAADsBAAADgAAAAAAAAABACAAAAApAQAA&#10;ZHJzL2Uyb0RvYy54bWxQSwUGAAAAAAYABgBZAQAADgYAAAAA&#10;" path="m0,28863l32744,28863,42862,0,52980,28863,85724,28863,59234,46701,69352,75564,42862,57726,16372,75564,26490,46701xe">
                      <v:path o:connectlocs="42862,0;0,28863;16372,75564;69352,75564;85724,28863" o:connectangles="247,164,82,82,0"/>
                      <v:fill on="t" focussize="0,0"/>
                      <v:stroke weight="2pt" color="#00B050 [3204]" joinstyle="round"/>
                      <v:imagedata o:title=""/>
                      <o:lock v:ext="edit" aspectratio="f"/>
                    </v:shape>
                  </w:pict>
                </mc:Fallback>
              </mc:AlternateContent>
            </w:r>
            <w:r>
              <w:rPr>
                <w:rFonts w:hint="eastAsia"/>
                <w:color w:val="auto"/>
                <w:lang w:val="en-US" w:eastAsia="zh-CN"/>
              </w:rPr>
              <w:drawing>
                <wp:inline distT="0" distB="0" distL="114300" distR="114300">
                  <wp:extent cx="5203190" cy="3561080"/>
                  <wp:effectExtent l="0" t="0" r="16510" b="1270"/>
                  <wp:docPr id="12" name="图片 12" descr="ab6fc8de0ec92179b58c0fdb644945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ab6fc8de0ec92179b58c0fdb644945ad"/>
                          <pic:cNvPicPr>
                            <a:picLocks noChangeAspect="1"/>
                          </pic:cNvPicPr>
                        </pic:nvPicPr>
                        <pic:blipFill>
                          <a:blip r:embed="rId28"/>
                          <a:stretch>
                            <a:fillRect/>
                          </a:stretch>
                        </pic:blipFill>
                        <pic:spPr>
                          <a:xfrm>
                            <a:off x="0" y="0"/>
                            <a:ext cx="5203190" cy="3561080"/>
                          </a:xfrm>
                          <a:prstGeom prst="rect">
                            <a:avLst/>
                          </a:prstGeom>
                        </pic:spPr>
                      </pic:pic>
                    </a:graphicData>
                  </a:graphic>
                </wp:inline>
              </w:drawing>
            </w:r>
          </w:p>
          <w:p>
            <w:pPr>
              <w:pStyle w:val="34"/>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光伏电站施工临时占地位置图（总体）</w:t>
            </w:r>
          </w:p>
          <w:p>
            <w:pPr>
              <w:pStyle w:val="34"/>
              <w:keepNext w:val="0"/>
              <w:keepLines w:val="0"/>
              <w:numPr>
                <w:ilvl w:val="0"/>
                <w:numId w:val="0"/>
              </w:numPr>
              <w:suppressLineNumbers w:val="0"/>
              <w:bidi w:val="0"/>
              <w:spacing w:before="0" w:beforeAutospacing="0" w:after="0" w:afterAutospacing="0"/>
              <w:ind w:leftChars="0" w:right="0"/>
              <w:jc w:val="both"/>
              <w:rPr>
                <w:rFonts w:hint="default"/>
                <w:color w:val="auto"/>
                <w:lang w:val="en-US" w:eastAsia="zh-CN"/>
              </w:rPr>
            </w:pPr>
            <w:r>
              <w:rPr>
                <w:rFonts w:hint="default"/>
                <w:color w:val="auto"/>
                <w:lang w:val="en-US" w:eastAsia="zh-CN"/>
              </w:rPr>
              <w:drawing>
                <wp:inline distT="0" distB="0" distL="114300" distR="114300">
                  <wp:extent cx="5203825" cy="3436620"/>
                  <wp:effectExtent l="0" t="0" r="15875" b="11430"/>
                  <wp:docPr id="13" name="图片 13" descr="5751ffe5931c37c8e02b949d9a6e3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5751ffe5931c37c8e02b949d9a6e3900"/>
                          <pic:cNvPicPr>
                            <a:picLocks noChangeAspect="1"/>
                          </pic:cNvPicPr>
                        </pic:nvPicPr>
                        <pic:blipFill>
                          <a:blip r:embed="rId37"/>
                          <a:stretch>
                            <a:fillRect/>
                          </a:stretch>
                        </pic:blipFill>
                        <pic:spPr>
                          <a:xfrm>
                            <a:off x="0" y="0"/>
                            <a:ext cx="5203825" cy="3436620"/>
                          </a:xfrm>
                          <a:prstGeom prst="rect">
                            <a:avLst/>
                          </a:prstGeom>
                        </pic:spPr>
                      </pic:pic>
                    </a:graphicData>
                  </a:graphic>
                </wp:inline>
              </w:drawing>
            </w:r>
          </w:p>
          <w:p>
            <w:pPr>
              <w:pStyle w:val="34"/>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光伏电站施工临时占地位置图（</w:t>
            </w:r>
            <w:r>
              <w:rPr>
                <w:rFonts w:hint="eastAsia"/>
                <w:color w:val="auto"/>
                <w:lang w:val="en-US" w:eastAsia="zh-CN"/>
              </w:rPr>
              <w:t>局部</w:t>
            </w:r>
            <w:r>
              <w:rPr>
                <w:rFonts w:hint="default"/>
                <w:color w:val="auto"/>
                <w:lang w:val="en-US" w:eastAsia="zh-CN"/>
              </w:rPr>
              <w:t>）</w:t>
            </w:r>
          </w:p>
          <w:p>
            <w:pPr>
              <w:keepNext w:val="0"/>
              <w:keepLines w:val="0"/>
              <w:suppressLineNumbers w:val="0"/>
              <w:spacing w:before="0" w:beforeAutospacing="0" w:after="0" w:afterAutospacing="0"/>
              <w:ind w:left="0" w:right="0"/>
              <w:rPr>
                <w:rFonts w:hint="eastAsia"/>
                <w:color w:val="auto"/>
                <w:lang w:val="en-US" w:eastAsia="zh-CN"/>
              </w:rPr>
            </w:pPr>
            <w:r>
              <w:rPr>
                <w:rFonts w:hint="eastAsia"/>
                <w:color w:val="auto"/>
                <w:lang w:val="en-US" w:eastAsia="zh-CN"/>
              </w:rPr>
              <w:t>光伏电站施工临时用地布置如下图所示。</w:t>
            </w:r>
          </w:p>
          <w:p>
            <w:pPr>
              <w:keepNext w:val="0"/>
              <w:keepLines w:val="0"/>
              <w:suppressLineNumbers w:val="0"/>
              <w:bidi w:val="0"/>
              <w:spacing w:before="0" w:beforeAutospacing="0" w:after="0" w:afterAutospacing="0"/>
              <w:ind w:left="0" w:leftChars="0" w:right="0" w:firstLine="0" w:firstLineChars="0"/>
              <w:rPr>
                <w:rFonts w:hint="default"/>
                <w:color w:val="auto"/>
                <w:lang w:val="en-US" w:eastAsia="zh-CN"/>
              </w:rPr>
            </w:pPr>
            <w:r>
              <w:rPr>
                <w:rFonts w:hint="default"/>
                <w:color w:val="auto"/>
                <w:lang w:val="en-US" w:eastAsia="zh-CN"/>
              </w:rPr>
              <w:drawing>
                <wp:inline distT="0" distB="0" distL="114300" distR="114300">
                  <wp:extent cx="5207635" cy="3768725"/>
                  <wp:effectExtent l="0" t="0" r="12065" b="3175"/>
                  <wp:docPr id="42" name="图片 42" descr="0cee15d82b249963d778a7f2e17b1d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0cee15d82b249963d778a7f2e17b1d12"/>
                          <pic:cNvPicPr>
                            <a:picLocks noChangeAspect="1"/>
                          </pic:cNvPicPr>
                        </pic:nvPicPr>
                        <pic:blipFill>
                          <a:blip r:embed="rId38"/>
                          <a:stretch>
                            <a:fillRect/>
                          </a:stretch>
                        </pic:blipFill>
                        <pic:spPr>
                          <a:xfrm>
                            <a:off x="0" y="0"/>
                            <a:ext cx="5207635" cy="3768725"/>
                          </a:xfrm>
                          <a:prstGeom prst="rect">
                            <a:avLst/>
                          </a:prstGeom>
                        </pic:spPr>
                      </pic:pic>
                    </a:graphicData>
                  </a:graphic>
                </wp:inline>
              </w:drawing>
            </w:r>
          </w:p>
          <w:p>
            <w:pPr>
              <w:pStyle w:val="34"/>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光伏电站施工临时占地</w:t>
            </w:r>
            <w:r>
              <w:rPr>
                <w:rFonts w:hint="eastAsia"/>
                <w:color w:val="auto"/>
                <w:lang w:val="en-US" w:eastAsia="zh-CN"/>
              </w:rPr>
              <w:t>布置</w:t>
            </w:r>
            <w:r>
              <w:rPr>
                <w:rFonts w:hint="default"/>
                <w:color w:val="auto"/>
                <w:lang w:val="en-US" w:eastAsia="zh-CN"/>
              </w:rPr>
              <w:t>图</w:t>
            </w:r>
          </w:p>
          <w:p>
            <w:pPr>
              <w:pStyle w:val="5"/>
              <w:suppressLineNumbers w:val="0"/>
              <w:bidi w:val="0"/>
              <w:spacing w:before="0" w:after="0"/>
              <w:ind w:left="0" w:right="0"/>
              <w:rPr>
                <w:rFonts w:hint="default"/>
                <w:color w:val="auto"/>
                <w:lang w:val="en-US" w:eastAsia="zh-CN"/>
              </w:rPr>
            </w:pPr>
            <w:r>
              <w:rPr>
                <w:rFonts w:hint="eastAsia"/>
                <w:color w:val="auto"/>
                <w:lang w:val="en-US" w:eastAsia="zh-CN"/>
              </w:rPr>
              <w:t>升压站施工临时用地</w:t>
            </w:r>
          </w:p>
          <w:p>
            <w:pPr>
              <w:keepNext w:val="0"/>
              <w:keepLines w:val="0"/>
              <w:suppressLineNumbers w:val="0"/>
              <w:spacing w:before="0" w:beforeAutospacing="0" w:after="0" w:afterAutospacing="0"/>
              <w:ind w:left="0" w:right="0"/>
              <w:rPr>
                <w:rFonts w:hint="default"/>
                <w:color w:val="auto"/>
                <w:lang w:val="en-US" w:eastAsia="zh-CN"/>
              </w:rPr>
            </w:pPr>
            <w:r>
              <w:rPr>
                <w:rFonts w:hint="default"/>
                <w:color w:val="auto"/>
                <w:lang w:val="en-US" w:eastAsia="zh-CN"/>
              </w:rPr>
              <w:t>升压站施工区位于升压站西侧</w:t>
            </w:r>
            <w:r>
              <w:rPr>
                <w:rFonts w:hint="eastAsia"/>
                <w:color w:val="auto"/>
                <w:lang w:val="en-US" w:eastAsia="zh-CN"/>
              </w:rPr>
              <w:t>，</w:t>
            </w:r>
            <w:r>
              <w:rPr>
                <w:rFonts w:hint="default"/>
                <w:color w:val="auto"/>
                <w:lang w:val="en-US" w:eastAsia="zh-CN"/>
              </w:rPr>
              <w:t>升压站施工区临时工程有临时宿舍及办公室、材料及设备仓库、混凝土拌和站、小型修配站、材料设备堆场等，临时工程占地面积约为2000m</w:t>
            </w:r>
            <w:r>
              <w:rPr>
                <w:rFonts w:hint="default"/>
                <w:color w:val="auto"/>
                <w:vertAlign w:val="superscript"/>
                <w:lang w:val="en-US" w:eastAsia="zh-CN"/>
              </w:rPr>
              <w:t>2</w:t>
            </w:r>
            <w:r>
              <w:rPr>
                <w:rFonts w:hint="default"/>
                <w:color w:val="auto"/>
                <w:lang w:val="en-US" w:eastAsia="zh-CN"/>
              </w:rPr>
              <w:t>。</w:t>
            </w:r>
          </w:p>
          <w:p>
            <w:pPr>
              <w:keepNext w:val="0"/>
              <w:keepLines w:val="0"/>
              <w:suppressLineNumbers w:val="0"/>
              <w:spacing w:before="0" w:beforeAutospacing="0" w:after="0" w:afterAutospacing="0"/>
              <w:ind w:left="0" w:right="0"/>
              <w:rPr>
                <w:rFonts w:hint="default"/>
                <w:color w:val="auto"/>
                <w:lang w:val="en-US" w:eastAsia="zh-CN"/>
              </w:rPr>
            </w:pPr>
            <w:r>
              <w:rPr>
                <w:rFonts w:hint="default"/>
                <w:color w:val="auto"/>
                <w:lang w:val="en-US" w:eastAsia="zh-CN"/>
              </w:rPr>
              <w:t>升压站施工临时用地位置如下图所示。</w:t>
            </w:r>
          </w:p>
          <w:p>
            <w:pPr>
              <w:keepNext w:val="0"/>
              <w:keepLines w:val="0"/>
              <w:suppressLineNumbers w:val="0"/>
              <w:spacing w:before="0" w:beforeAutospacing="0" w:after="0" w:afterAutospacing="0"/>
              <w:ind w:left="0" w:leftChars="0" w:right="0" w:firstLine="0" w:firstLineChars="0"/>
              <w:rPr>
                <w:rFonts w:hint="default"/>
                <w:color w:val="auto"/>
                <w:lang w:val="en-US" w:eastAsia="zh-CN"/>
              </w:rPr>
            </w:pPr>
            <w:r>
              <w:rPr>
                <w:rFonts w:hint="default"/>
                <w:color w:val="auto"/>
                <w:sz w:val="24"/>
              </w:rPr>
              <mc:AlternateContent>
                <mc:Choice Requires="wps">
                  <w:drawing>
                    <wp:anchor distT="0" distB="0" distL="114300" distR="114300" simplePos="0" relativeHeight="251672576" behindDoc="0" locked="0" layoutInCell="1" allowOverlap="1">
                      <wp:simplePos x="0" y="0"/>
                      <wp:positionH relativeFrom="column">
                        <wp:posOffset>3047365</wp:posOffset>
                      </wp:positionH>
                      <wp:positionV relativeFrom="paragraph">
                        <wp:posOffset>2073275</wp:posOffset>
                      </wp:positionV>
                      <wp:extent cx="656590" cy="408305"/>
                      <wp:effectExtent l="5080" t="267970" r="5080" b="9525"/>
                      <wp:wrapNone/>
                      <wp:docPr id="32" name="矩形标注 32"/>
                      <wp:cNvGraphicFramePr/>
                      <a:graphic xmlns:a="http://schemas.openxmlformats.org/drawingml/2006/main">
                        <a:graphicData uri="http://schemas.microsoft.com/office/word/2010/wordprocessingShape">
                          <wps:wsp>
                            <wps:cNvSpPr/>
                            <wps:spPr>
                              <a:xfrm>
                                <a:off x="0" y="0"/>
                                <a:ext cx="656590" cy="408305"/>
                              </a:xfrm>
                              <a:prstGeom prst="wedgeRectCallout">
                                <a:avLst>
                                  <a:gd name="adj1" fmla="val 13733"/>
                                  <a:gd name="adj2" fmla="val -114541"/>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both"/>
                                    <w:textAlignment w:val="auto"/>
                                    <w:rPr>
                                      <w:rFonts w:hint="default" w:eastAsia="宋体"/>
                                      <w:sz w:val="18"/>
                                      <w:szCs w:val="18"/>
                                      <w:lang w:val="en-US" w:eastAsia="zh-CN"/>
                                    </w:rPr>
                                  </w:pPr>
                                  <w:r>
                                    <w:rPr>
                                      <w:rFonts w:hint="eastAsia"/>
                                      <w:sz w:val="18"/>
                                      <w:szCs w:val="18"/>
                                      <w:lang w:val="en-US" w:eastAsia="zh-CN"/>
                                    </w:rPr>
                                    <w:t>升压站临时占地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39.95pt;margin-top:163.25pt;height:32.15pt;width:51.7pt;z-index:251672576;v-text-anchor:middle;mso-width-relative:page;mso-height-relative:page;" fillcolor="#FFFFFF [3201]" filled="t" stroked="t" coordsize="21600,21600" o:gfxdata="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P9mbN9sAAAALAQAADwAAAAAAAAABACAAAAAiAAAAZHJzL2Rvd25yZXYu&#10;eG1sUEsBAhQAFAAAAAgAh07iQEf3HcejAgAATQUAAA4AAAAAAAAAAQAgAAAAKgEAAGRycy9lMm9E&#10;b2MueG1sUEsFBgAAAAAGAAYAWQEAAD8GAAAAAA==&#10;" adj="13766,-13941">
                      <v:fill on="t" focussize="0,0"/>
                      <v:stroke weight="0.25pt" color="#000000 [3213]" joinstyle="round"/>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both"/>
                              <w:textAlignment w:val="auto"/>
                              <w:rPr>
                                <w:rFonts w:hint="default" w:eastAsia="宋体"/>
                                <w:sz w:val="18"/>
                                <w:szCs w:val="18"/>
                                <w:lang w:val="en-US" w:eastAsia="zh-CN"/>
                              </w:rPr>
                            </w:pPr>
                            <w:r>
                              <w:rPr>
                                <w:rFonts w:hint="eastAsia"/>
                                <w:sz w:val="18"/>
                                <w:szCs w:val="18"/>
                                <w:lang w:val="en-US" w:eastAsia="zh-CN"/>
                              </w:rPr>
                              <w:t>升压站临时占地</w:t>
                            </w:r>
                          </w:p>
                        </w:txbxContent>
                      </v:textbox>
                    </v:shape>
                  </w:pict>
                </mc:Fallback>
              </mc:AlternateContent>
            </w:r>
            <w:r>
              <w:rPr>
                <w:rFonts w:hint="default"/>
                <w:color w:val="auto"/>
                <w:sz w:val="24"/>
              </w:rPr>
              <mc:AlternateContent>
                <mc:Choice Requires="wps">
                  <w:drawing>
                    <wp:anchor distT="0" distB="0" distL="114300" distR="114300" simplePos="0" relativeHeight="251671552" behindDoc="0" locked="0" layoutInCell="1" allowOverlap="1">
                      <wp:simplePos x="0" y="0"/>
                      <wp:positionH relativeFrom="column">
                        <wp:posOffset>3409315</wp:posOffset>
                      </wp:positionH>
                      <wp:positionV relativeFrom="paragraph">
                        <wp:posOffset>1748155</wp:posOffset>
                      </wp:positionV>
                      <wp:extent cx="85725" cy="75565"/>
                      <wp:effectExtent l="12700" t="12700" r="15875" b="26035"/>
                      <wp:wrapNone/>
                      <wp:docPr id="27" name="五角星 27"/>
                      <wp:cNvGraphicFramePr/>
                      <a:graphic xmlns:a="http://schemas.openxmlformats.org/drawingml/2006/main">
                        <a:graphicData uri="http://schemas.microsoft.com/office/word/2010/wordprocessingShape">
                          <wps:wsp>
                            <wps:cNvSpPr/>
                            <wps:spPr>
                              <a:xfrm>
                                <a:off x="0" y="0"/>
                                <a:ext cx="85725" cy="75565"/>
                              </a:xfrm>
                              <a:prstGeom prst="star5">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68.45pt;margin-top:137.65pt;height:5.95pt;width:6.75pt;z-index:251671552;v-text-anchor:middle;mso-width-relative:page;mso-height-relative:page;" fillcolor="#00B050" filled="t" stroked="t" coordsize="85725,75565" o:gfxdata="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J+gHsvaAAAACwEAAA8AAAAAAAAAAQAgAAAAIgAAAGRycy9kb3ducmV2LnhtbFBL&#10;AQIUABQAAAAIAIdO4kCBXawHZgIAAOAEAAAOAAAAAAAAAAEAIAAAACkBAABkcnMvZTJvRG9jLnht&#10;bFBLBQYAAAAABgAGAFkBAAABBgAAAAA=&#10;" path="m0,28863l32744,28863,42862,0,52980,28863,85724,28863,59234,46701,69352,75564,42862,57726,16372,75564,26490,46701xe">
                      <v:path o:connectlocs="42862,0;0,28863;16372,75564;69352,75564;85724,28863" o:connectangles="247,164,82,82,0"/>
                      <v:fill on="t" focussize="0,0"/>
                      <v:stroke weight="2pt" color="#00B050 [3204]" joinstyle="round"/>
                      <v:imagedata o:title=""/>
                      <o:lock v:ext="edit" aspectratio="f"/>
                    </v:shape>
                  </w:pict>
                </mc:Fallback>
              </mc:AlternateContent>
            </w:r>
            <w:r>
              <w:rPr>
                <w:rFonts w:hint="default"/>
                <w:color w:val="auto"/>
                <w:lang w:val="en-US" w:eastAsia="zh-CN"/>
              </w:rPr>
              <w:drawing>
                <wp:inline distT="0" distB="0" distL="114300" distR="114300">
                  <wp:extent cx="5203190" cy="3561080"/>
                  <wp:effectExtent l="0" t="0" r="16510" b="1270"/>
                  <wp:docPr id="26" name="图片 26" descr="ab6fc8de0ec92179b58c0fdb644945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ab6fc8de0ec92179b58c0fdb644945ad"/>
                          <pic:cNvPicPr>
                            <a:picLocks noChangeAspect="1"/>
                          </pic:cNvPicPr>
                        </pic:nvPicPr>
                        <pic:blipFill>
                          <a:blip r:embed="rId28"/>
                          <a:stretch>
                            <a:fillRect/>
                          </a:stretch>
                        </pic:blipFill>
                        <pic:spPr>
                          <a:xfrm>
                            <a:off x="0" y="0"/>
                            <a:ext cx="5203190" cy="3561080"/>
                          </a:xfrm>
                          <a:prstGeom prst="rect">
                            <a:avLst/>
                          </a:prstGeom>
                        </pic:spPr>
                      </pic:pic>
                    </a:graphicData>
                  </a:graphic>
                </wp:inline>
              </w:drawing>
            </w:r>
          </w:p>
          <w:p>
            <w:pPr>
              <w:pStyle w:val="34"/>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升压站</w:t>
            </w:r>
            <w:r>
              <w:rPr>
                <w:rFonts w:hint="default"/>
                <w:color w:val="auto"/>
                <w:lang w:val="en-US" w:eastAsia="zh-CN"/>
              </w:rPr>
              <w:t>施工临时占地位置图（总体）</w:t>
            </w:r>
          </w:p>
          <w:p>
            <w:pPr>
              <w:keepNext w:val="0"/>
              <w:keepLines w:val="0"/>
              <w:suppressLineNumbers w:val="0"/>
              <w:spacing w:before="0" w:beforeAutospacing="0" w:after="0" w:afterAutospacing="0"/>
              <w:ind w:left="0" w:leftChars="0" w:right="0" w:firstLine="0" w:firstLineChars="0"/>
              <w:rPr>
                <w:rFonts w:hint="default"/>
                <w:color w:val="auto"/>
                <w:lang w:val="en-US" w:eastAsia="zh-CN"/>
              </w:rPr>
            </w:pPr>
            <w:r>
              <w:rPr>
                <w:rFonts w:hint="default"/>
                <w:color w:val="auto"/>
                <w:lang w:val="en-US" w:eastAsia="zh-CN"/>
              </w:rPr>
              <w:drawing>
                <wp:inline distT="0" distB="0" distL="114300" distR="114300">
                  <wp:extent cx="5207635" cy="3701415"/>
                  <wp:effectExtent l="0" t="0" r="12065" b="13335"/>
                  <wp:docPr id="24" name="图片 24" descr="5e8c4758986d1097df7a16c5f2a35e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5e8c4758986d1097df7a16c5f2a35e6e"/>
                          <pic:cNvPicPr>
                            <a:picLocks noChangeAspect="1"/>
                          </pic:cNvPicPr>
                        </pic:nvPicPr>
                        <pic:blipFill>
                          <a:blip r:embed="rId39"/>
                          <a:stretch>
                            <a:fillRect/>
                          </a:stretch>
                        </pic:blipFill>
                        <pic:spPr>
                          <a:xfrm>
                            <a:off x="0" y="0"/>
                            <a:ext cx="5207635" cy="3701415"/>
                          </a:xfrm>
                          <a:prstGeom prst="rect">
                            <a:avLst/>
                          </a:prstGeom>
                        </pic:spPr>
                      </pic:pic>
                    </a:graphicData>
                  </a:graphic>
                </wp:inline>
              </w:drawing>
            </w:r>
          </w:p>
          <w:p>
            <w:pPr>
              <w:pStyle w:val="34"/>
              <w:keepNext w:val="0"/>
              <w:keepLines w:val="0"/>
              <w:suppressLineNumbers w:val="0"/>
              <w:bidi w:val="0"/>
              <w:spacing w:before="0" w:beforeAutospacing="0" w:after="0" w:afterAutospacing="0"/>
              <w:ind w:right="0"/>
              <w:rPr>
                <w:rFonts w:hint="default"/>
                <w:color w:val="auto"/>
                <w:lang w:val="en-US" w:eastAsia="zh-CN"/>
              </w:rPr>
            </w:pPr>
            <w:r>
              <w:rPr>
                <w:rFonts w:hint="default"/>
                <w:color w:val="auto"/>
                <w:lang w:val="en-US" w:eastAsia="zh-CN"/>
              </w:rPr>
              <w:t>升压站施工临时占地位置图（</w:t>
            </w:r>
            <w:r>
              <w:rPr>
                <w:rFonts w:hint="eastAsia"/>
                <w:color w:val="auto"/>
                <w:lang w:val="en-US" w:eastAsia="zh-CN"/>
              </w:rPr>
              <w:t>局部</w:t>
            </w:r>
            <w:r>
              <w:rPr>
                <w:rFonts w:hint="default"/>
                <w:color w:val="auto"/>
                <w:lang w:val="en-US" w:eastAsia="zh-CN"/>
              </w:rPr>
              <w:t>）</w:t>
            </w:r>
          </w:p>
          <w:p>
            <w:pPr>
              <w:keepNext w:val="0"/>
              <w:keepLines w:val="0"/>
              <w:suppressLineNumbers w:val="0"/>
              <w:spacing w:before="0" w:beforeAutospacing="0" w:after="0" w:afterAutospacing="0"/>
              <w:ind w:left="0" w:right="0"/>
              <w:rPr>
                <w:rFonts w:hint="default"/>
                <w:color w:val="auto"/>
                <w:lang w:val="en-US" w:eastAsia="zh-CN"/>
              </w:rPr>
            </w:pPr>
            <w:r>
              <w:rPr>
                <w:rFonts w:hint="default"/>
                <w:color w:val="auto"/>
                <w:lang w:val="en-US" w:eastAsia="zh-CN"/>
              </w:rPr>
              <w:t>升压站施工临时用地布置如下图所示。</w:t>
            </w:r>
          </w:p>
          <w:p>
            <w:pPr>
              <w:keepNext w:val="0"/>
              <w:keepLines w:val="0"/>
              <w:suppressLineNumbers w:val="0"/>
              <w:spacing w:before="0" w:beforeAutospacing="0" w:after="0" w:afterAutospacing="0"/>
              <w:ind w:left="0" w:leftChars="0" w:right="0" w:firstLine="0" w:firstLineChars="0"/>
              <w:rPr>
                <w:rFonts w:hint="default"/>
                <w:color w:val="auto"/>
                <w:lang w:val="en-US" w:eastAsia="zh-CN"/>
              </w:rPr>
            </w:pPr>
            <w:r>
              <w:rPr>
                <w:rFonts w:hint="default"/>
                <w:color w:val="auto"/>
                <w:lang w:val="en-US" w:eastAsia="zh-CN"/>
              </w:rPr>
              <w:drawing>
                <wp:inline distT="0" distB="0" distL="114300" distR="114300">
                  <wp:extent cx="5206365" cy="3790950"/>
                  <wp:effectExtent l="0" t="0" r="13335" b="0"/>
                  <wp:docPr id="44" name="图片 44" descr="f9f9aa12f03ec1ba0bfc976733c1c8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f9f9aa12f03ec1ba0bfc976733c1c85a"/>
                          <pic:cNvPicPr>
                            <a:picLocks noChangeAspect="1"/>
                          </pic:cNvPicPr>
                        </pic:nvPicPr>
                        <pic:blipFill>
                          <a:blip r:embed="rId40"/>
                          <a:stretch>
                            <a:fillRect/>
                          </a:stretch>
                        </pic:blipFill>
                        <pic:spPr>
                          <a:xfrm>
                            <a:off x="0" y="0"/>
                            <a:ext cx="5206365" cy="3790950"/>
                          </a:xfrm>
                          <a:prstGeom prst="rect">
                            <a:avLst/>
                          </a:prstGeom>
                        </pic:spPr>
                      </pic:pic>
                    </a:graphicData>
                  </a:graphic>
                </wp:inline>
              </w:drawing>
            </w:r>
          </w:p>
          <w:p>
            <w:pPr>
              <w:pStyle w:val="34"/>
              <w:keepNext w:val="0"/>
              <w:keepLines w:val="0"/>
              <w:suppressLineNumbers w:val="0"/>
              <w:bidi w:val="0"/>
              <w:spacing w:before="0" w:beforeAutospacing="0" w:after="0" w:afterAutospacing="0"/>
              <w:ind w:right="0"/>
              <w:rPr>
                <w:rFonts w:hint="default"/>
                <w:color w:val="auto"/>
                <w:lang w:val="en-US" w:eastAsia="zh-CN"/>
              </w:rPr>
            </w:pPr>
            <w:r>
              <w:rPr>
                <w:rFonts w:hint="eastAsia"/>
                <w:color w:val="auto"/>
                <w:lang w:val="en-US" w:eastAsia="zh-CN"/>
              </w:rPr>
              <w:t>升压站</w:t>
            </w:r>
            <w:r>
              <w:rPr>
                <w:rFonts w:hint="default"/>
                <w:color w:val="auto"/>
                <w:lang w:val="en-US" w:eastAsia="zh-CN"/>
              </w:rPr>
              <w:t>施工临时占地布置图</w:t>
            </w:r>
          </w:p>
          <w:p>
            <w:pPr>
              <w:pStyle w:val="3"/>
              <w:keepLines w:val="0"/>
              <w:suppressLineNumbers w:val="0"/>
              <w:spacing w:before="120" w:beforeAutospacing="0" w:after="0" w:afterAutospacing="0"/>
              <w:ind w:right="0" w:firstLine="482"/>
              <w:rPr>
                <w:rFonts w:hint="default" w:ascii="Times New Roman" w:hAnsi="Times New Roman" w:cs="Times New Roman"/>
                <w:color w:val="auto"/>
              </w:rPr>
            </w:pPr>
            <w:r>
              <w:rPr>
                <w:rFonts w:hint="default" w:ascii="Times New Roman" w:hAnsi="Times New Roman" w:cs="Times New Roman"/>
                <w:color w:val="auto"/>
              </w:rPr>
              <w:t>施工时序及施工工期</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根据企业提供资料可知，项目预计于2023年</w:t>
            </w:r>
            <w:r>
              <w:rPr>
                <w:rFonts w:hint="eastAsia" w:ascii="Times New Roman" w:hAnsi="Times New Roman" w:cs="Times New Roman"/>
                <w:color w:val="auto"/>
              </w:rPr>
              <w:t>10</w:t>
            </w:r>
            <w:r>
              <w:rPr>
                <w:rFonts w:hint="default" w:ascii="Times New Roman" w:hAnsi="Times New Roman" w:cs="Times New Roman"/>
                <w:color w:val="auto"/>
              </w:rPr>
              <w:t>月动工，2024年</w:t>
            </w:r>
            <w:r>
              <w:rPr>
                <w:rFonts w:hint="eastAsia" w:ascii="Times New Roman" w:hAnsi="Times New Roman" w:cs="Times New Roman"/>
                <w:color w:val="auto"/>
              </w:rPr>
              <w:t>10</w:t>
            </w:r>
            <w:r>
              <w:rPr>
                <w:rFonts w:hint="default" w:ascii="Times New Roman" w:hAnsi="Times New Roman" w:cs="Times New Roman"/>
                <w:color w:val="auto"/>
              </w:rPr>
              <w:t>月底完工，本项目施工工期共计12个月。</w:t>
            </w:r>
            <w:r>
              <w:rPr>
                <w:rFonts w:hint="eastAsia" w:ascii="Times New Roman" w:hAnsi="Times New Roman" w:cs="Times New Roman"/>
                <w:color w:val="auto"/>
              </w:rPr>
              <w:t xml:space="preserve">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01" w:hRule="atLeast"/>
          <w:jc w:val="center"/>
        </w:trPr>
        <w:tc>
          <w:tcPr>
            <w:tcW w:w="710"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其他</w:t>
            </w:r>
          </w:p>
        </w:tc>
        <w:tc>
          <w:tcPr>
            <w:tcW w:w="8420" w:type="dxa"/>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rPr>
            </w:pPr>
            <w:r>
              <w:rPr>
                <w:rFonts w:hint="eastAsia" w:ascii="Times New Roman" w:hAnsi="Times New Roman" w:cs="Times New Roman"/>
                <w:color w:val="auto"/>
              </w:rPr>
              <w:t>无</w:t>
            </w:r>
          </w:p>
        </w:tc>
      </w:tr>
    </w:tbl>
    <w:p>
      <w:pPr>
        <w:ind w:firstLine="482"/>
        <w:jc w:val="center"/>
        <w:outlineLvl w:val="0"/>
        <w:rPr>
          <w:rFonts w:ascii="黑体" w:hAnsi="黑体" w:eastAsia="黑体"/>
          <w:snapToGrid w:val="0"/>
          <w:color w:val="auto"/>
          <w:sz w:val="30"/>
          <w:szCs w:val="30"/>
        </w:rPr>
      </w:pPr>
      <w:r>
        <w:rPr>
          <w:rFonts w:eastAsia="仿宋_GB2312"/>
          <w:b/>
          <w:bCs/>
          <w:color w:val="auto"/>
        </w:rPr>
        <w:br w:type="page"/>
      </w:r>
      <w:r>
        <w:rPr>
          <w:rFonts w:hint="eastAsia" w:ascii="黑体" w:hAnsi="黑体" w:eastAsia="黑体"/>
          <w:snapToGrid w:val="0"/>
          <w:color w:val="auto"/>
          <w:sz w:val="30"/>
          <w:szCs w:val="30"/>
        </w:rPr>
        <w:t>三、生态环境现状、保护目标及评价标准</w:t>
      </w:r>
    </w:p>
    <w:tbl>
      <w:tblPr>
        <w:tblStyle w:val="20"/>
        <w:tblW w:w="915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04"/>
        <w:gridCol w:w="825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12" w:hRule="atLeast"/>
          <w:jc w:val="center"/>
        </w:trPr>
        <w:tc>
          <w:tcPr>
            <w:tcW w:w="904"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生态环境现状</w:t>
            </w:r>
          </w:p>
        </w:tc>
        <w:tc>
          <w:tcPr>
            <w:tcW w:w="8253" w:type="dxa"/>
            <w:noWrap w:val="0"/>
            <w:vAlign w:val="center"/>
          </w:tcPr>
          <w:p>
            <w:pPr>
              <w:pStyle w:val="3"/>
              <w:keepLines w:val="0"/>
              <w:numPr>
                <w:ilvl w:val="0"/>
                <w:numId w:val="15"/>
              </w:numPr>
              <w:suppressLineNumbers w:val="0"/>
              <w:spacing w:before="120" w:beforeAutospacing="0" w:after="0" w:afterAutospacing="0"/>
              <w:ind w:right="0" w:firstLine="482"/>
              <w:rPr>
                <w:rFonts w:hint="default" w:ascii="Times New Roman" w:hAnsi="Times New Roman" w:cs="Times New Roman"/>
                <w:color w:val="auto"/>
              </w:rPr>
            </w:pPr>
            <w:r>
              <w:rPr>
                <w:rFonts w:hint="default" w:ascii="Times New Roman" w:hAnsi="Times New Roman" w:cs="Times New Roman"/>
                <w:color w:val="auto"/>
              </w:rPr>
              <w:t>生态环境现状</w:t>
            </w:r>
          </w:p>
          <w:p>
            <w:pPr>
              <w:pStyle w:val="4"/>
              <w:numPr>
                <w:ilvl w:val="1"/>
                <w:numId w:val="15"/>
              </w:numPr>
              <w:suppressLineNumbers w:val="0"/>
              <w:tabs>
                <w:tab w:val="left" w:pos="0"/>
              </w:tabs>
              <w:spacing w:before="0" w:after="0"/>
              <w:ind w:right="0" w:firstLine="482"/>
              <w:rPr>
                <w:rFonts w:hint="default" w:cs="Times New Roman"/>
                <w:color w:val="auto"/>
              </w:rPr>
            </w:pPr>
            <w:r>
              <w:rPr>
                <w:rFonts w:hint="eastAsia" w:cs="Times New Roman"/>
                <w:color w:val="auto"/>
              </w:rPr>
              <w:t>《河北省主体功能区规划》</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根据《河北省主体功能区规划》，张家口市张北、沽源、康保、尚义、承德市丰宁满族自治县、围场满族蒙古族自治县，被划为国家重点生态功能区。</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发展方向：①生态建设。加强天然草场保护和人工草场建设，加大沿边沿坝防护林带、退耕还林、京津风沙源治理、巩固退耕还林成果规划项目等国家和省重点生态工程建设力度。转变畜牧业生产方式，实行禁牧休牧和划区轮牧，推行舍饲圈养，以草定畜，严格控制载畜量。加强对内陆河流的规划和管理，保护内流湖淖和河流湿地，改善风口地区和沙化土地集中地区生态环境。控制高耗水农业面积和用水总量，保持水资源的供求平衡。</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②产业发展：大力发展节水种植业、舍饲畜牧业和生态林业，建设特色有机农产品生产基地；培育壮大生态旅游和休闲度假服务业，建设具有高原特色的旅游度假区；加快推进农业产业化进程，重点发展绿色食品加工业；建设国家级风电基地，适度发展矿产采选业；积极培育能源和农畜产品物流业，建设京冀晋蒙交界物流区。</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③城镇建设和人口分布。加强骨干道路和河流沿线县城和重点镇建设，重点支持有条件的县城和二、三产业聚集区建设跨区域中心城镇，培育发展特色城镇，逐步建立与坝上区域特点相适应的城镇体系。有选择地发展重点镇和中心村积极引导不具备居住条件的自然村人口向中心村、城镇城或区外转移，促进区内人口有序转移和合理分布。</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④公共基础设施。继续实施倾斜政策，大力支持坝上地区教育、医疗、文化、旅游等公共服务设施和农村交通、水利、电力、通讯等基础设施建设，重点推广风能、太阳能、沼气等清洁能源利用。</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本项目为太阳能发电项目，且为“牧光互补”项目，不会影响区域水源涵养功能，不会对生态环境产生较大影响。本项目在采取生态保护及水土保持措施后，不会对区域水源涵养、水土保持功能产生重大影响。</w:t>
            </w:r>
          </w:p>
          <w:p>
            <w:pPr>
              <w:pStyle w:val="4"/>
              <w:numPr>
                <w:ilvl w:val="1"/>
                <w:numId w:val="15"/>
              </w:numPr>
              <w:suppressLineNumbers w:val="0"/>
              <w:tabs>
                <w:tab w:val="left" w:pos="0"/>
              </w:tabs>
              <w:spacing w:before="0" w:after="0"/>
              <w:ind w:right="0" w:firstLine="482"/>
              <w:rPr>
                <w:rFonts w:hint="default" w:cs="Times New Roman"/>
                <w:color w:val="auto"/>
              </w:rPr>
            </w:pPr>
            <w:r>
              <w:rPr>
                <w:rFonts w:hint="eastAsia" w:cs="Times New Roman"/>
                <w:color w:val="auto"/>
              </w:rPr>
              <w:t>《承德市生态功能区划》</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根据《承德市生态功能区划》，承德市划分出一级区两个，即坝上高原生态区、冀北及燕山山地生态区；生态亚区六个，即坝上高原西部草原生态亚区、坝上高原东部森林草原生态亚区、冀北山地森林生态亚区、七老图山森林灌草生态亚区、燕山山地南部林果生态亚区、城市规划发展生态亚区。生态功能区共27个。</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生态功能区划分表列表如下：</w:t>
            </w:r>
          </w:p>
          <w:p>
            <w:pPr>
              <w:pStyle w:val="35"/>
              <w:keepNext w:val="0"/>
              <w:keepLines w:val="0"/>
              <w:suppressLineNumbers w:val="0"/>
              <w:spacing w:before="0" w:beforeAutospacing="0" w:after="0" w:afterAutospacing="0"/>
              <w:ind w:right="0"/>
              <w:rPr>
                <w:rFonts w:hint="default" w:ascii="Times New Roman" w:hAnsi="Times New Roman" w:cs="Times New Roman"/>
                <w:color w:val="auto"/>
              </w:rPr>
            </w:pPr>
            <w:bookmarkStart w:id="3" w:name="_Toc28821"/>
            <w:bookmarkStart w:id="4" w:name="_Toc13483"/>
            <w:r>
              <w:rPr>
                <w:rFonts w:hint="eastAsia" w:ascii="Times New Roman" w:hAnsi="Times New Roman" w:cs="Times New Roman"/>
                <w:color w:val="auto"/>
              </w:rPr>
              <w:t>承德市生态功能区划分表</w:t>
            </w:r>
            <w:bookmarkEnd w:id="3"/>
            <w:bookmarkEnd w:id="4"/>
          </w:p>
          <w:tbl>
            <w:tblPr>
              <w:tblStyle w:val="20"/>
              <w:tblW w:w="7653"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551"/>
              <w:gridCol w:w="2551"/>
              <w:gridCol w:w="255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94" w:hRule="atLeast"/>
                <w:tblHeader/>
                <w:jc w:val="center"/>
              </w:trPr>
              <w:tc>
                <w:tcPr>
                  <w:tcW w:w="2551" w:type="dxa"/>
                  <w:tcBorders>
                    <w:top w:val="single" w:color="000000" w:sz="4" w:space="0"/>
                    <w:left w:val="single" w:color="000000" w:sz="4" w:space="0"/>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生态区</w:t>
                  </w:r>
                </w:p>
              </w:tc>
              <w:tc>
                <w:tcPr>
                  <w:tcW w:w="2551" w:type="dxa"/>
                  <w:tcBorders>
                    <w:top w:val="single" w:color="000000" w:sz="4" w:space="0"/>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生态亚区</w:t>
                  </w:r>
                </w:p>
              </w:tc>
              <w:tc>
                <w:tcPr>
                  <w:tcW w:w="2551" w:type="dxa"/>
                  <w:tcBorders>
                    <w:top w:val="single" w:color="000000" w:sz="4" w:space="0"/>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生态功能区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94" w:hRule="atLeast"/>
                <w:jc w:val="center"/>
              </w:trPr>
              <w:tc>
                <w:tcPr>
                  <w:tcW w:w="2551" w:type="dxa"/>
                  <w:vMerge w:val="restart"/>
                  <w:tcBorders>
                    <w:top w:val="nil"/>
                    <w:left w:val="single" w:color="000000" w:sz="4" w:space="0"/>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b/>
                      <w:bCs/>
                      <w:color w:val="auto"/>
                    </w:rPr>
                    <w:t>承德坝上高原生态区I</w:t>
                  </w:r>
                </w:p>
              </w:tc>
              <w:tc>
                <w:tcPr>
                  <w:tcW w:w="2551" w:type="dxa"/>
                  <w:vMerge w:val="restart"/>
                  <w:tcBorders>
                    <w:top w:val="nil"/>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b/>
                      <w:bCs/>
                      <w:color w:val="auto"/>
                    </w:rPr>
                    <w:t>坝上高原西部草原生态亚区I-1</w:t>
                  </w:r>
                </w:p>
              </w:tc>
              <w:tc>
                <w:tcPr>
                  <w:tcW w:w="2551" w:type="dxa"/>
                  <w:tcBorders>
                    <w:top w:val="single" w:color="000000" w:sz="4" w:space="0"/>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b/>
                      <w:bCs/>
                      <w:color w:val="auto"/>
                    </w:rPr>
                    <w:t>承德坝上高原南部水源涵养、沙化防治功能区I-1-1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94" w:hRule="atLeast"/>
                <w:jc w:val="center"/>
              </w:trPr>
              <w:tc>
                <w:tcPr>
                  <w:tcW w:w="2551" w:type="dxa"/>
                  <w:vMerge w:val="continue"/>
                  <w:tcBorders>
                    <w:top w:val="nil"/>
                    <w:left w:val="single" w:color="000000" w:sz="4" w:space="0"/>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2551" w:type="dxa"/>
                  <w:vMerge w:val="continue"/>
                  <w:tcBorders>
                    <w:top w:val="nil"/>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2551" w:type="dxa"/>
                  <w:tcBorders>
                    <w:top w:val="single" w:color="000000" w:sz="4" w:space="0"/>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滦河源生物多样性保护、荒漠化控制功能区I-1-2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94" w:hRule="atLeast"/>
                <w:jc w:val="center"/>
              </w:trPr>
              <w:tc>
                <w:tcPr>
                  <w:tcW w:w="2551" w:type="dxa"/>
                  <w:vMerge w:val="continue"/>
                  <w:tcBorders>
                    <w:top w:val="nil"/>
                    <w:left w:val="single" w:color="000000" w:sz="4" w:space="0"/>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2551" w:type="dxa"/>
                  <w:vMerge w:val="restart"/>
                  <w:tcBorders>
                    <w:top w:val="nil"/>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坝上高原东部森林草原生态亚区I-2</w:t>
                  </w:r>
                </w:p>
              </w:tc>
              <w:tc>
                <w:tcPr>
                  <w:tcW w:w="2551" w:type="dxa"/>
                  <w:tcBorders>
                    <w:top w:val="single" w:color="000000" w:sz="4" w:space="0"/>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红松洼生物多样性、水土保持功能区I-2-1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94" w:hRule="atLeast"/>
                <w:jc w:val="center"/>
              </w:trPr>
              <w:tc>
                <w:tcPr>
                  <w:tcW w:w="2551" w:type="dxa"/>
                  <w:vMerge w:val="continue"/>
                  <w:tcBorders>
                    <w:top w:val="nil"/>
                    <w:left w:val="single" w:color="000000" w:sz="4" w:space="0"/>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2551" w:type="dxa"/>
                  <w:vMerge w:val="continue"/>
                  <w:tcBorders>
                    <w:top w:val="nil"/>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2551" w:type="dxa"/>
                  <w:tcBorders>
                    <w:top w:val="single" w:color="000000" w:sz="4" w:space="0"/>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塞罕坝生物多样性保护、沙化防治功能区I-2-2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94" w:hRule="atLeast"/>
                <w:jc w:val="center"/>
              </w:trPr>
              <w:tc>
                <w:tcPr>
                  <w:tcW w:w="2551" w:type="dxa"/>
                  <w:vMerge w:val="continue"/>
                  <w:tcBorders>
                    <w:top w:val="nil"/>
                    <w:left w:val="single" w:color="000000" w:sz="4" w:space="0"/>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2551" w:type="dxa"/>
                  <w:vMerge w:val="continue"/>
                  <w:tcBorders>
                    <w:top w:val="nil"/>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2551" w:type="dxa"/>
                  <w:tcBorders>
                    <w:top w:val="single" w:color="000000" w:sz="4" w:space="0"/>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御道口东部生物多样性保护、水源涵养功能区I-2-3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94" w:hRule="exact"/>
                <w:jc w:val="center"/>
              </w:trPr>
              <w:tc>
                <w:tcPr>
                  <w:tcW w:w="2551" w:type="dxa"/>
                  <w:vMerge w:val="restart"/>
                  <w:tcBorders>
                    <w:top w:val="nil"/>
                    <w:left w:val="single" w:color="000000" w:sz="4" w:space="0"/>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冀北及燕山山地生态区II</w:t>
                  </w:r>
                </w:p>
              </w:tc>
              <w:tc>
                <w:tcPr>
                  <w:tcW w:w="2551" w:type="dxa"/>
                  <w:vMerge w:val="restart"/>
                  <w:tcBorders>
                    <w:top w:val="nil"/>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冀北山地森林生态亚区II-1</w:t>
                  </w:r>
                </w:p>
              </w:tc>
              <w:tc>
                <w:tcPr>
                  <w:tcW w:w="2551" w:type="dxa"/>
                  <w:tcBorders>
                    <w:top w:val="single" w:color="000000" w:sz="4" w:space="0"/>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辽河北林牧、沙化防治功能区II-1-1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94" w:hRule="atLeast"/>
                <w:jc w:val="center"/>
              </w:trPr>
              <w:tc>
                <w:tcPr>
                  <w:tcW w:w="2551" w:type="dxa"/>
                  <w:vMerge w:val="continue"/>
                  <w:tcBorders>
                    <w:top w:val="nil"/>
                    <w:left w:val="single" w:color="000000" w:sz="4" w:space="0"/>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2551" w:type="dxa"/>
                  <w:vMerge w:val="continue"/>
                  <w:tcBorders>
                    <w:top w:val="nil"/>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2551" w:type="dxa"/>
                  <w:tcBorders>
                    <w:top w:val="single" w:color="000000" w:sz="4" w:space="0"/>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围场中部水源涵养、水资源保护与沙漠化防治功能区II-1-2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94" w:hRule="exact"/>
                <w:jc w:val="center"/>
              </w:trPr>
              <w:tc>
                <w:tcPr>
                  <w:tcW w:w="2551" w:type="dxa"/>
                  <w:vMerge w:val="continue"/>
                  <w:tcBorders>
                    <w:top w:val="nil"/>
                    <w:left w:val="single" w:color="000000" w:sz="4" w:space="0"/>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2551" w:type="dxa"/>
                  <w:vMerge w:val="continue"/>
                  <w:tcBorders>
                    <w:top w:val="nil"/>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2551" w:type="dxa"/>
                  <w:tcBorders>
                    <w:top w:val="single" w:color="000000" w:sz="4" w:space="0"/>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滦河上游生物多样性保护功能区II-1-3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94" w:hRule="exact"/>
                <w:jc w:val="center"/>
              </w:trPr>
              <w:tc>
                <w:tcPr>
                  <w:tcW w:w="2551" w:type="dxa"/>
                  <w:vMerge w:val="continue"/>
                  <w:tcBorders>
                    <w:top w:val="nil"/>
                    <w:left w:val="single" w:color="000000" w:sz="4" w:space="0"/>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2551" w:type="dxa"/>
                  <w:vMerge w:val="continue"/>
                  <w:tcBorders>
                    <w:top w:val="nil"/>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2551" w:type="dxa"/>
                  <w:tcBorders>
                    <w:top w:val="single" w:color="000000" w:sz="4" w:space="0"/>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滦河中上游水土保持、水源涵养功能区II-1-4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94" w:hRule="exact"/>
                <w:jc w:val="center"/>
              </w:trPr>
              <w:tc>
                <w:tcPr>
                  <w:tcW w:w="2551" w:type="dxa"/>
                  <w:vMerge w:val="continue"/>
                  <w:tcBorders>
                    <w:top w:val="nil"/>
                    <w:left w:val="single" w:color="000000" w:sz="4" w:space="0"/>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2551" w:type="dxa"/>
                  <w:vMerge w:val="continue"/>
                  <w:tcBorders>
                    <w:top w:val="nil"/>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2551" w:type="dxa"/>
                  <w:tcBorders>
                    <w:top w:val="single" w:color="000000" w:sz="4" w:space="0"/>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潮河流域水源涵养、水资源保护功能区II-1-5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94" w:hRule="exact"/>
                <w:jc w:val="center"/>
              </w:trPr>
              <w:tc>
                <w:tcPr>
                  <w:tcW w:w="2551" w:type="dxa"/>
                  <w:vMerge w:val="continue"/>
                  <w:tcBorders>
                    <w:top w:val="nil"/>
                    <w:left w:val="single" w:color="000000" w:sz="4" w:space="0"/>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2551" w:type="dxa"/>
                  <w:vMerge w:val="continue"/>
                  <w:tcBorders>
                    <w:top w:val="nil"/>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2551" w:type="dxa"/>
                  <w:tcBorders>
                    <w:top w:val="single" w:color="000000" w:sz="4" w:space="0"/>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滦平、隆化水土保持、矿山环境综合整治功能区II-1-6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94" w:hRule="atLeast"/>
                <w:jc w:val="center"/>
              </w:trPr>
              <w:tc>
                <w:tcPr>
                  <w:tcW w:w="2551" w:type="dxa"/>
                  <w:vMerge w:val="continue"/>
                  <w:tcBorders>
                    <w:top w:val="nil"/>
                    <w:left w:val="single" w:color="000000" w:sz="4" w:space="0"/>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2551" w:type="dxa"/>
                  <w:vMerge w:val="restart"/>
                  <w:tcBorders>
                    <w:top w:val="nil"/>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七老图山森林灌草生态亚区II-2</w:t>
                  </w:r>
                </w:p>
              </w:tc>
              <w:tc>
                <w:tcPr>
                  <w:tcW w:w="2551" w:type="dxa"/>
                  <w:tcBorders>
                    <w:top w:val="single" w:color="000000" w:sz="4" w:space="0"/>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承德东部水资源保护、水源涵养与生物多样性保护功能区II-2-1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94" w:hRule="exact"/>
                <w:jc w:val="center"/>
              </w:trPr>
              <w:tc>
                <w:tcPr>
                  <w:tcW w:w="2551" w:type="dxa"/>
                  <w:vMerge w:val="continue"/>
                  <w:tcBorders>
                    <w:top w:val="nil"/>
                    <w:left w:val="single" w:color="000000" w:sz="4" w:space="0"/>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2551" w:type="dxa"/>
                  <w:vMerge w:val="continue"/>
                  <w:tcBorders>
                    <w:top w:val="nil"/>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2551" w:type="dxa"/>
                  <w:tcBorders>
                    <w:top w:val="single" w:color="000000" w:sz="4" w:space="0"/>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承德县水源涵养、水土流失重点治理区II-2-2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94" w:hRule="exact"/>
                <w:jc w:val="center"/>
              </w:trPr>
              <w:tc>
                <w:tcPr>
                  <w:tcW w:w="2551" w:type="dxa"/>
                  <w:vMerge w:val="continue"/>
                  <w:tcBorders>
                    <w:top w:val="nil"/>
                    <w:left w:val="single" w:color="000000" w:sz="4" w:space="0"/>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2551" w:type="dxa"/>
                  <w:vMerge w:val="continue"/>
                  <w:tcBorders>
                    <w:top w:val="nil"/>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2551" w:type="dxa"/>
                  <w:tcBorders>
                    <w:top w:val="single" w:color="000000" w:sz="4" w:space="0"/>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辽河源生物多样性保护、水土保持功能区II-2-3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94" w:hRule="exact"/>
                <w:jc w:val="center"/>
              </w:trPr>
              <w:tc>
                <w:tcPr>
                  <w:tcW w:w="2551" w:type="dxa"/>
                  <w:vMerge w:val="continue"/>
                  <w:tcBorders>
                    <w:top w:val="nil"/>
                    <w:left w:val="single" w:color="000000" w:sz="4" w:space="0"/>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2551" w:type="dxa"/>
                  <w:vMerge w:val="continue"/>
                  <w:tcBorders>
                    <w:top w:val="nil"/>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2551" w:type="dxa"/>
                  <w:tcBorders>
                    <w:top w:val="single" w:color="000000" w:sz="4" w:space="0"/>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平泉东部生态农业区II-2-4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94" w:hRule="exact"/>
                <w:jc w:val="center"/>
              </w:trPr>
              <w:tc>
                <w:tcPr>
                  <w:tcW w:w="2551" w:type="dxa"/>
                  <w:vMerge w:val="continue"/>
                  <w:tcBorders>
                    <w:top w:val="nil"/>
                    <w:left w:val="single" w:color="000000" w:sz="4" w:space="0"/>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2551" w:type="dxa"/>
                  <w:vMerge w:val="restart"/>
                  <w:tcBorders>
                    <w:top w:val="nil"/>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城市规划发展亚区II-3</w:t>
                  </w:r>
                </w:p>
              </w:tc>
              <w:tc>
                <w:tcPr>
                  <w:tcW w:w="2551" w:type="dxa"/>
                  <w:tcBorders>
                    <w:top w:val="single" w:color="000000" w:sz="4" w:space="0"/>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滦平东部矿山环境综合整治区II-3-1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94" w:hRule="exact"/>
                <w:jc w:val="center"/>
              </w:trPr>
              <w:tc>
                <w:tcPr>
                  <w:tcW w:w="2551" w:type="dxa"/>
                  <w:vMerge w:val="continue"/>
                  <w:tcBorders>
                    <w:top w:val="nil"/>
                    <w:left w:val="single" w:color="000000" w:sz="4" w:space="0"/>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2551" w:type="dxa"/>
                  <w:vMerge w:val="continue"/>
                  <w:tcBorders>
                    <w:top w:val="nil"/>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2551" w:type="dxa"/>
                  <w:tcBorders>
                    <w:top w:val="single" w:color="000000" w:sz="4" w:space="0"/>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承德市生态城市建设区II-3-2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94" w:hRule="exact"/>
                <w:jc w:val="center"/>
              </w:trPr>
              <w:tc>
                <w:tcPr>
                  <w:tcW w:w="2551" w:type="dxa"/>
                  <w:vMerge w:val="continue"/>
                  <w:tcBorders>
                    <w:top w:val="nil"/>
                    <w:left w:val="single" w:color="000000" w:sz="4" w:space="0"/>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2551" w:type="dxa"/>
                  <w:vMerge w:val="continue"/>
                  <w:tcBorders>
                    <w:top w:val="nil"/>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2551" w:type="dxa"/>
                  <w:tcBorders>
                    <w:top w:val="single" w:color="000000" w:sz="4" w:space="0"/>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承德、平泉、宽城水源涵养、水土流失重点治理区II-3-3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94" w:hRule="exact"/>
                <w:jc w:val="center"/>
              </w:trPr>
              <w:tc>
                <w:tcPr>
                  <w:tcW w:w="2551" w:type="dxa"/>
                  <w:vMerge w:val="continue"/>
                  <w:tcBorders>
                    <w:top w:val="nil"/>
                    <w:left w:val="single" w:color="000000" w:sz="4" w:space="0"/>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2551" w:type="dxa"/>
                  <w:vMerge w:val="continue"/>
                  <w:tcBorders>
                    <w:top w:val="nil"/>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2551" w:type="dxa"/>
                  <w:tcBorders>
                    <w:top w:val="single" w:color="000000" w:sz="4" w:space="0"/>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鹰手营子矿区矿山环境综合整治区II-3-4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94" w:hRule="exact"/>
                <w:jc w:val="center"/>
              </w:trPr>
              <w:tc>
                <w:tcPr>
                  <w:tcW w:w="2551" w:type="dxa"/>
                  <w:vMerge w:val="continue"/>
                  <w:tcBorders>
                    <w:top w:val="nil"/>
                    <w:left w:val="single" w:color="000000" w:sz="4" w:space="0"/>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2551" w:type="dxa"/>
                  <w:vMerge w:val="restart"/>
                  <w:tcBorders>
                    <w:top w:val="nil"/>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燕山山地南部林果生态亚区II-4</w:t>
                  </w:r>
                </w:p>
              </w:tc>
              <w:tc>
                <w:tcPr>
                  <w:tcW w:w="2551" w:type="dxa"/>
                  <w:tcBorders>
                    <w:top w:val="single" w:color="000000" w:sz="4" w:space="0"/>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白草洼生物多样性保护、水源涵养功能区II-4-1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94" w:hRule="exact"/>
                <w:jc w:val="center"/>
              </w:trPr>
              <w:tc>
                <w:tcPr>
                  <w:tcW w:w="2551" w:type="dxa"/>
                  <w:vMerge w:val="continue"/>
                  <w:tcBorders>
                    <w:top w:val="nil"/>
                    <w:left w:val="single" w:color="000000" w:sz="4" w:space="0"/>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2551" w:type="dxa"/>
                  <w:vMerge w:val="continue"/>
                  <w:tcBorders>
                    <w:top w:val="nil"/>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2551" w:type="dxa"/>
                  <w:tcBorders>
                    <w:top w:val="single" w:color="000000" w:sz="4" w:space="0"/>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承德县西部水源涵养、水土保持功能区II-4-2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94" w:hRule="exact"/>
                <w:jc w:val="center"/>
              </w:trPr>
              <w:tc>
                <w:tcPr>
                  <w:tcW w:w="2551" w:type="dxa"/>
                  <w:vMerge w:val="continue"/>
                  <w:tcBorders>
                    <w:top w:val="nil"/>
                    <w:left w:val="single" w:color="000000" w:sz="4" w:space="0"/>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2551" w:type="dxa"/>
                  <w:vMerge w:val="continue"/>
                  <w:tcBorders>
                    <w:top w:val="nil"/>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2551" w:type="dxa"/>
                  <w:tcBorders>
                    <w:top w:val="single" w:color="000000" w:sz="4" w:space="0"/>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雾灵山生物多样性、长城历史遗产保护生态功能区II-4-3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94" w:hRule="exact"/>
                <w:jc w:val="center"/>
              </w:trPr>
              <w:tc>
                <w:tcPr>
                  <w:tcW w:w="2551" w:type="dxa"/>
                  <w:vMerge w:val="continue"/>
                  <w:tcBorders>
                    <w:top w:val="nil"/>
                    <w:left w:val="single" w:color="000000" w:sz="4" w:space="0"/>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2551" w:type="dxa"/>
                  <w:vMerge w:val="continue"/>
                  <w:tcBorders>
                    <w:top w:val="nil"/>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2551" w:type="dxa"/>
                  <w:tcBorders>
                    <w:top w:val="single" w:color="000000" w:sz="4" w:space="0"/>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兴隆县西南部长城保护与地质灾害防治功能区II-4-4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94" w:hRule="exact"/>
                <w:jc w:val="center"/>
              </w:trPr>
              <w:tc>
                <w:tcPr>
                  <w:tcW w:w="2551" w:type="dxa"/>
                  <w:vMerge w:val="continue"/>
                  <w:tcBorders>
                    <w:top w:val="nil"/>
                    <w:left w:val="single" w:color="000000" w:sz="4" w:space="0"/>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2551" w:type="dxa"/>
                  <w:vMerge w:val="continue"/>
                  <w:tcBorders>
                    <w:top w:val="nil"/>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2551" w:type="dxa"/>
                  <w:tcBorders>
                    <w:top w:val="single" w:color="000000" w:sz="4" w:space="0"/>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兴隆东部水源涵养、水土保持功能区II-4-5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94" w:hRule="exact"/>
                <w:jc w:val="center"/>
              </w:trPr>
              <w:tc>
                <w:tcPr>
                  <w:tcW w:w="2551" w:type="dxa"/>
                  <w:vMerge w:val="continue"/>
                  <w:tcBorders>
                    <w:top w:val="nil"/>
                    <w:left w:val="single" w:color="000000" w:sz="4" w:space="0"/>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2551" w:type="dxa"/>
                  <w:vMerge w:val="continue"/>
                  <w:tcBorders>
                    <w:top w:val="nil"/>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2551" w:type="dxa"/>
                  <w:tcBorders>
                    <w:top w:val="single" w:color="000000" w:sz="4" w:space="0"/>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千鹤山生物多样性保护、水源涵养功能区II-4-6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94" w:hRule="exact"/>
                <w:jc w:val="center"/>
              </w:trPr>
              <w:tc>
                <w:tcPr>
                  <w:tcW w:w="2551" w:type="dxa"/>
                  <w:vMerge w:val="continue"/>
                  <w:tcBorders>
                    <w:top w:val="nil"/>
                    <w:left w:val="single" w:color="000000" w:sz="4" w:space="0"/>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2551" w:type="dxa"/>
                  <w:vMerge w:val="continue"/>
                  <w:tcBorders>
                    <w:top w:val="nil"/>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2551" w:type="dxa"/>
                  <w:tcBorders>
                    <w:top w:val="single" w:color="000000" w:sz="4" w:space="0"/>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宽城南部矿山环境综合整治区II-4-7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94" w:hRule="exact"/>
                <w:jc w:val="center"/>
              </w:trPr>
              <w:tc>
                <w:tcPr>
                  <w:tcW w:w="2551" w:type="dxa"/>
                  <w:vMerge w:val="continue"/>
                  <w:tcBorders>
                    <w:top w:val="nil"/>
                    <w:left w:val="single" w:color="000000" w:sz="4" w:space="0"/>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2551" w:type="dxa"/>
                  <w:vMerge w:val="continue"/>
                  <w:tcBorders>
                    <w:top w:val="nil"/>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2551" w:type="dxa"/>
                  <w:tcBorders>
                    <w:top w:val="single" w:color="000000" w:sz="4" w:space="0"/>
                    <w:left w:val="nil"/>
                    <w:bottom w:val="single" w:color="000000" w:sz="4" w:space="0"/>
                    <w:right w:val="single" w:color="000000"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宽城都山生物多样性保护、水土保持功能区II-4-8</w:t>
                  </w:r>
                </w:p>
              </w:tc>
            </w:tr>
          </w:tbl>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项目选址位置位于丰宁满族自治县万胜永乡等周边区域，属于“坝上高原生态区（</w:t>
            </w:r>
            <w:r>
              <w:rPr>
                <w:rFonts w:hint="eastAsia" w:ascii="Times New Roman" w:hAnsi="Times New Roman" w:cs="Times New Roman"/>
                <w:color w:val="auto"/>
              </w:rPr>
              <w:fldChar w:fldCharType="begin"/>
            </w:r>
            <w:r>
              <w:rPr>
                <w:rFonts w:hint="eastAsia" w:ascii="Times New Roman" w:hAnsi="Times New Roman" w:cs="Times New Roman"/>
                <w:color w:val="auto"/>
              </w:rPr>
              <w:instrText xml:space="preserve"> = 1 \* ROMAN \* MERGEFORMAT </w:instrText>
            </w:r>
            <w:r>
              <w:rPr>
                <w:rFonts w:hint="eastAsia" w:ascii="Times New Roman" w:hAnsi="Times New Roman" w:cs="Times New Roman"/>
                <w:color w:val="auto"/>
              </w:rPr>
              <w:fldChar w:fldCharType="separate"/>
            </w:r>
            <w:r>
              <w:rPr>
                <w:rFonts w:hint="eastAsia" w:ascii="Times New Roman" w:hAnsi="Times New Roman" w:cs="Times New Roman"/>
                <w:color w:val="auto"/>
              </w:rPr>
              <w:t>I</w:t>
            </w:r>
            <w:r>
              <w:rPr>
                <w:rFonts w:hint="eastAsia" w:ascii="Times New Roman" w:hAnsi="Times New Roman" w:cs="Times New Roman"/>
                <w:color w:val="auto"/>
              </w:rPr>
              <w:fldChar w:fldCharType="end"/>
            </w:r>
            <w:r>
              <w:rPr>
                <w:rFonts w:hint="eastAsia" w:ascii="Times New Roman" w:hAnsi="Times New Roman" w:cs="Times New Roman"/>
                <w:color w:val="auto"/>
              </w:rPr>
              <w:t>）——坝上高原西部草原生态亚区（</w:t>
            </w:r>
            <w:r>
              <w:rPr>
                <w:rFonts w:hint="eastAsia" w:ascii="Times New Roman" w:hAnsi="Times New Roman" w:cs="Times New Roman"/>
                <w:color w:val="auto"/>
              </w:rPr>
              <w:fldChar w:fldCharType="begin"/>
            </w:r>
            <w:r>
              <w:rPr>
                <w:rFonts w:hint="eastAsia" w:ascii="Times New Roman" w:hAnsi="Times New Roman" w:cs="Times New Roman"/>
                <w:color w:val="auto"/>
              </w:rPr>
              <w:instrText xml:space="preserve"> = 1 \* ROMAN \* MERGEFORMAT </w:instrText>
            </w:r>
            <w:r>
              <w:rPr>
                <w:rFonts w:hint="eastAsia" w:ascii="Times New Roman" w:hAnsi="Times New Roman" w:cs="Times New Roman"/>
                <w:color w:val="auto"/>
              </w:rPr>
              <w:fldChar w:fldCharType="separate"/>
            </w:r>
            <w:r>
              <w:rPr>
                <w:rFonts w:hint="eastAsia" w:ascii="Times New Roman" w:hAnsi="Times New Roman" w:cs="Times New Roman"/>
                <w:color w:val="auto"/>
              </w:rPr>
              <w:t>I</w:t>
            </w:r>
            <w:r>
              <w:rPr>
                <w:rFonts w:hint="eastAsia" w:ascii="Times New Roman" w:hAnsi="Times New Roman" w:cs="Times New Roman"/>
                <w:color w:val="auto"/>
              </w:rPr>
              <w:fldChar w:fldCharType="end"/>
            </w:r>
            <w:r>
              <w:rPr>
                <w:rFonts w:hint="eastAsia" w:ascii="Times New Roman" w:hAnsi="Times New Roman" w:cs="Times New Roman"/>
                <w:color w:val="auto"/>
              </w:rPr>
              <w:t>-1）——承德坝上高原南部水源涵养、沙化防治功能区（</w:t>
            </w:r>
            <w:r>
              <w:rPr>
                <w:rFonts w:hint="eastAsia" w:ascii="Times New Roman" w:hAnsi="Times New Roman" w:cs="Times New Roman"/>
                <w:color w:val="auto"/>
              </w:rPr>
              <w:fldChar w:fldCharType="begin"/>
            </w:r>
            <w:r>
              <w:rPr>
                <w:rFonts w:hint="eastAsia" w:ascii="Times New Roman" w:hAnsi="Times New Roman" w:cs="Times New Roman"/>
                <w:color w:val="auto"/>
              </w:rPr>
              <w:instrText xml:space="preserve"> = 1 \* ROMAN \* MERGEFORMAT </w:instrText>
            </w:r>
            <w:r>
              <w:rPr>
                <w:rFonts w:hint="eastAsia" w:ascii="Times New Roman" w:hAnsi="Times New Roman" w:cs="Times New Roman"/>
                <w:color w:val="auto"/>
              </w:rPr>
              <w:fldChar w:fldCharType="separate"/>
            </w:r>
            <w:r>
              <w:rPr>
                <w:rFonts w:hint="eastAsia" w:ascii="Times New Roman" w:hAnsi="Times New Roman" w:cs="Times New Roman"/>
                <w:color w:val="auto"/>
              </w:rPr>
              <w:t>I</w:t>
            </w:r>
            <w:r>
              <w:rPr>
                <w:rFonts w:hint="eastAsia" w:ascii="Times New Roman" w:hAnsi="Times New Roman" w:cs="Times New Roman"/>
                <w:color w:val="auto"/>
              </w:rPr>
              <w:fldChar w:fldCharType="end"/>
            </w:r>
            <w:r>
              <w:rPr>
                <w:rFonts w:hint="eastAsia" w:ascii="Times New Roman" w:hAnsi="Times New Roman" w:cs="Times New Roman"/>
                <w:color w:val="auto"/>
              </w:rPr>
              <w:t>-1-1）”，保护措施及发展方向为：“保护水资源，增强水源涵养功能；调整农牧用地比例，加大退耕还林还草力度；合理利用草原资源，严禁开垦现有草场，改造退化草场，恢复草原植被；控制草场的载畜量，控制草原过度放牧；营造农田防护林，发展生态农业。”</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承德市市域环境功能区划图如下图所示。</w:t>
            </w:r>
          </w:p>
          <w:p>
            <w:pPr>
              <w:keepNext w:val="0"/>
              <w:keepLines w:val="0"/>
              <w:suppressLineNumbers w:val="0"/>
              <w:spacing w:before="0" w:beforeAutospacing="0" w:after="0" w:afterAutospacing="0"/>
              <w:ind w:left="0" w:right="0" w:firstLine="0" w:firstLineChars="0"/>
              <w:rPr>
                <w:rFonts w:hint="default" w:ascii="Times New Roman" w:hAnsi="Times New Roman" w:cs="Times New Roman"/>
                <w:color w:val="auto"/>
              </w:rPr>
            </w:pPr>
            <w:r>
              <w:rPr>
                <w:rFonts w:hint="eastAsia" w:ascii="Times New Roman" w:hAnsi="Times New Roman" w:cs="Times New Roman"/>
                <w:color w:val="auto"/>
              </w:rPr>
              <mc:AlternateContent>
                <mc:Choice Requires="wps">
                  <w:drawing>
                    <wp:anchor distT="0" distB="0" distL="114300" distR="114300" simplePos="0" relativeHeight="251661312" behindDoc="0" locked="0" layoutInCell="1" allowOverlap="1">
                      <wp:simplePos x="0" y="0"/>
                      <wp:positionH relativeFrom="column">
                        <wp:posOffset>916940</wp:posOffset>
                      </wp:positionH>
                      <wp:positionV relativeFrom="paragraph">
                        <wp:posOffset>1111250</wp:posOffset>
                      </wp:positionV>
                      <wp:extent cx="1138555" cy="336550"/>
                      <wp:effectExtent l="84455" t="15875" r="21590" b="244475"/>
                      <wp:wrapNone/>
                      <wp:docPr id="118" name="圆角矩形标注 118"/>
                      <wp:cNvGraphicFramePr/>
                      <a:graphic xmlns:a="http://schemas.openxmlformats.org/drawingml/2006/main">
                        <a:graphicData uri="http://schemas.microsoft.com/office/word/2010/wordprocessingShape">
                          <wps:wsp>
                            <wps:cNvSpPr/>
                            <wps:spPr>
                              <a:xfrm>
                                <a:off x="0" y="0"/>
                                <a:ext cx="1138555" cy="336550"/>
                              </a:xfrm>
                              <a:prstGeom prst="wedgeRoundRectCallout">
                                <a:avLst>
                                  <a:gd name="adj1" fmla="val -51282"/>
                                  <a:gd name="adj2" fmla="val 108491"/>
                                  <a:gd name="adj3" fmla="val 16667"/>
                                </a:avLst>
                              </a:prstGeom>
                              <a:solidFill>
                                <a:srgbClr val="FFFFFF"/>
                              </a:solidFill>
                              <a:ln w="31750" cap="flat" cmpd="sng">
                                <a:solidFill>
                                  <a:srgbClr val="FFC000"/>
                                </a:solidFill>
                                <a:prstDash val="solid"/>
                                <a:miter/>
                                <a:headEnd type="none" w="med" len="med"/>
                                <a:tailEnd type="none" w="med" len="med"/>
                              </a:ln>
                              <a:effectLst/>
                            </wps:spPr>
                            <wps:txbx>
                              <w:txbxContent>
                                <w:p>
                                  <w:pPr>
                                    <w:ind w:firstLine="0" w:firstLineChars="0"/>
                                    <w:rPr>
                                      <w:szCs w:val="21"/>
                                    </w:rPr>
                                  </w:pPr>
                                  <w:r>
                                    <w:rPr>
                                      <w:rFonts w:hint="eastAsia"/>
                                      <w:szCs w:val="21"/>
                                    </w:rPr>
                                    <w:t>项目所在地</w:t>
                                  </w:r>
                                </w:p>
                              </w:txbxContent>
                            </wps:txbx>
                            <wps:bodyPr wrap="square" upright="1"/>
                          </wps:wsp>
                        </a:graphicData>
                      </a:graphic>
                    </wp:anchor>
                  </w:drawing>
                </mc:Choice>
                <mc:Fallback>
                  <w:pict>
                    <v:shape id="_x0000_s1026" o:spid="_x0000_s1026" o:spt="62" type="#_x0000_t62" style="position:absolute;left:0pt;margin-left:72.2pt;margin-top:87.5pt;height:26.5pt;width:89.65pt;z-index:251661312;mso-width-relative:page;mso-height-relative:page;" fillcolor="#FFFFFF" filled="t" stroked="t" coordsize="21600,21600" o:gfxdata="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G17CKTYAAAACwEAAA8AAAAAAAAAAQAgAAAAIgAAAGRycy9kb3ducmV2LnhtbFBLAQIU&#10;ABQAAAAIAIdO4kBXg+OXZQIAAN4EAAAOAAAAAAAAAAEAIAAAACcBAABkcnMvZTJvRG9jLnhtbFBL&#10;BQYAAAAABgAGAFkBAAD+BQAAAAA=&#10;" adj="-277,34234,14400">
                      <v:fill on="t" focussize="0,0"/>
                      <v:stroke weight="2.5pt" color="#FFC000" joinstyle="miter"/>
                      <v:imagedata o:title=""/>
                      <o:lock v:ext="edit" aspectratio="f"/>
                      <v:textbox>
                        <w:txbxContent>
                          <w:p>
                            <w:pPr>
                              <w:ind w:firstLine="0" w:firstLineChars="0"/>
                              <w:rPr>
                                <w:szCs w:val="21"/>
                              </w:rPr>
                            </w:pPr>
                            <w:r>
                              <w:rPr>
                                <w:rFonts w:hint="eastAsia"/>
                                <w:szCs w:val="21"/>
                              </w:rPr>
                              <w:t>项目所在地</w:t>
                            </w:r>
                          </w:p>
                        </w:txbxContent>
                      </v:textbox>
                    </v:shape>
                  </w:pict>
                </mc:Fallback>
              </mc:AlternateContent>
            </w:r>
            <w:r>
              <w:rPr>
                <w:rFonts w:hint="eastAsia" w:ascii="Times New Roman" w:hAnsi="Times New Roman" w:cs="Times New Roman"/>
                <w:color w:val="auto"/>
              </w:rPr>
              <mc:AlternateContent>
                <mc:Choice Requires="wps">
                  <w:drawing>
                    <wp:anchor distT="0" distB="0" distL="114300" distR="114300" simplePos="0" relativeHeight="251660288" behindDoc="0" locked="0" layoutInCell="1" allowOverlap="1">
                      <wp:simplePos x="0" y="0"/>
                      <wp:positionH relativeFrom="column">
                        <wp:posOffset>833755</wp:posOffset>
                      </wp:positionH>
                      <wp:positionV relativeFrom="paragraph">
                        <wp:posOffset>1581785</wp:posOffset>
                      </wp:positionV>
                      <wp:extent cx="90805" cy="103505"/>
                      <wp:effectExtent l="9525" t="15875" r="26670" b="33020"/>
                      <wp:wrapNone/>
                      <wp:docPr id="117" name="等腰三角形 117"/>
                      <wp:cNvGraphicFramePr/>
                      <a:graphic xmlns:a="http://schemas.openxmlformats.org/drawingml/2006/main">
                        <a:graphicData uri="http://schemas.microsoft.com/office/word/2010/wordprocessingShape">
                          <wps:wsp>
                            <wps:cNvSpPr/>
                            <wps:spPr>
                              <a:xfrm>
                                <a:off x="0" y="0"/>
                                <a:ext cx="90805" cy="103505"/>
                              </a:xfrm>
                              <a:prstGeom prst="triangle">
                                <a:avLst>
                                  <a:gd name="adj" fmla="val 50000"/>
                                </a:avLst>
                              </a:prstGeom>
                              <a:gradFill rotWithShape="0">
                                <a:gsLst>
                                  <a:gs pos="0">
                                    <a:srgbClr val="F4B083"/>
                                  </a:gs>
                                  <a:gs pos="50000">
                                    <a:srgbClr val="ED7D31"/>
                                  </a:gs>
                                  <a:gs pos="100000">
                                    <a:srgbClr val="F4B083"/>
                                  </a:gs>
                                </a:gsLst>
                                <a:lin ang="5400000" scaled="1"/>
                                <a:tileRect/>
                              </a:gradFill>
                              <a:ln w="12700" cap="flat" cmpd="sng">
                                <a:solidFill>
                                  <a:srgbClr val="ED7D31"/>
                                </a:solidFill>
                                <a:prstDash val="solid"/>
                                <a:miter/>
                                <a:headEnd type="none" w="med" len="med"/>
                                <a:tailEnd type="none" w="med" len="med"/>
                              </a:ln>
                              <a:effectLst>
                                <a:outerShdw dist="28398" dir="3806096" algn="ctr" rotWithShape="0">
                                  <a:srgbClr val="823B0B"/>
                                </a:outerShdw>
                              </a:effectLst>
                            </wps:spPr>
                            <wps:bodyPr wrap="square" upright="1"/>
                          </wps:wsp>
                        </a:graphicData>
                      </a:graphic>
                    </wp:anchor>
                  </w:drawing>
                </mc:Choice>
                <mc:Fallback>
                  <w:pict>
                    <v:shape id="_x0000_s1026" o:spid="_x0000_s1026" o:spt="5" type="#_x0000_t5" style="position:absolute;left:0pt;margin-left:65.65pt;margin-top:124.55pt;height:8.15pt;width:7.15pt;z-index:251660288;mso-width-relative:page;mso-height-relative:page;" fillcolor="#F4B083" filled="t" stroked="t" coordsize="21600,21600" o:gfxdata="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" adj="10800">
                      <v:fill type="gradient" on="t" color2="#ED7D31" focus="50%" focussize="0,0"/>
                      <v:stroke weight="1pt" color="#ED7D31" joinstyle="miter"/>
                      <v:imagedata o:title=""/>
                      <o:lock v:ext="edit" aspectratio="f"/>
                      <v:shadow on="t" color="#823B0B" offset="1pt,2pt" origin="0f,0f" matrix="65536f,0f,0f,65536f"/>
                    </v:shape>
                  </w:pict>
                </mc:Fallback>
              </mc:AlternateContent>
            </w:r>
            <w:r>
              <w:rPr>
                <w:rFonts w:hint="eastAsia" w:ascii="Times New Roman" w:hAnsi="Times New Roman" w:cs="Times New Roman"/>
                <w:color w:val="auto"/>
              </w:rPr>
              <w:drawing>
                <wp:inline distT="0" distB="0" distL="114300" distR="114300">
                  <wp:extent cx="4998085" cy="6151245"/>
                  <wp:effectExtent l="0" t="0" r="5715" b="8255"/>
                  <wp:docPr id="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
                          <pic:cNvPicPr>
                            <a:picLocks noChangeAspect="1"/>
                          </pic:cNvPicPr>
                        </pic:nvPicPr>
                        <pic:blipFill>
                          <a:blip r:embed="rId41"/>
                          <a:stretch>
                            <a:fillRect/>
                          </a:stretch>
                        </pic:blipFill>
                        <pic:spPr>
                          <a:xfrm>
                            <a:off x="0" y="0"/>
                            <a:ext cx="4998085" cy="6151245"/>
                          </a:xfrm>
                          <a:prstGeom prst="rect">
                            <a:avLst/>
                          </a:prstGeom>
                          <a:noFill/>
                          <a:ln>
                            <a:noFill/>
                          </a:ln>
                        </pic:spPr>
                      </pic:pic>
                    </a:graphicData>
                  </a:graphic>
                </wp:inline>
              </w:drawing>
            </w:r>
          </w:p>
          <w:p>
            <w:pPr>
              <w:pStyle w:val="36"/>
              <w:keepNext w:val="0"/>
              <w:keepLines w:val="0"/>
              <w:suppressLineNumbers w:val="0"/>
              <w:spacing w:before="0" w:beforeAutospacing="0" w:after="0" w:afterAutospacing="0"/>
              <w:ind w:right="0"/>
              <w:rPr>
                <w:rFonts w:hint="default" w:ascii="Times New Roman" w:hAnsi="Times New Roman" w:cs="Times New Roman"/>
                <w:color w:val="auto"/>
              </w:rPr>
            </w:pPr>
            <w:r>
              <w:rPr>
                <w:rFonts w:ascii="Times New Roman" w:hAnsi="Times New Roman" w:cs="Times New Roman"/>
                <w:color w:val="auto"/>
              </w:rPr>
              <w:t>承德市市域环境功能区划图</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本项目为光伏发电项目，项目施工期在采取生态保护及水土保持措施后，不会对区域水源涵养功能产生影响。且本项目的建设有利于推进区域生态农业的发展。因此，本项目建设符合《承德市城市总体规划（2016-2030 年）》中生态功能区划相关功能分区的相关要求。</w:t>
            </w:r>
          </w:p>
          <w:p>
            <w:pPr>
              <w:pStyle w:val="4"/>
              <w:numPr>
                <w:ilvl w:val="1"/>
                <w:numId w:val="15"/>
              </w:numPr>
              <w:suppressLineNumbers w:val="0"/>
              <w:tabs>
                <w:tab w:val="left" w:pos="0"/>
              </w:tabs>
              <w:spacing w:before="0" w:after="0"/>
              <w:ind w:right="0" w:firstLine="482"/>
              <w:rPr>
                <w:rFonts w:hint="default" w:cs="Times New Roman"/>
                <w:color w:val="auto"/>
              </w:rPr>
            </w:pPr>
            <w:r>
              <w:rPr>
                <w:rFonts w:hint="default" w:cs="Times New Roman"/>
                <w:color w:val="auto"/>
              </w:rPr>
              <w:t>土地利用现状调查与分析</w:t>
            </w:r>
          </w:p>
          <w:p>
            <w:pPr>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lang w:val="en-US" w:eastAsia="zh-CN"/>
              </w:rPr>
            </w:pPr>
            <w:r>
              <w:rPr>
                <w:rFonts w:hint="eastAsia" w:ascii="Times New Roman" w:hAnsi="Times New Roman" w:cs="Times New Roman"/>
                <w:color w:val="auto"/>
              </w:rPr>
              <w:t>本项目区域多为山地地貌，项目在工程选址选线、地质选址选线等综合考虑下，已避让生态红线等敏感区域，项目</w:t>
            </w:r>
            <w:r>
              <w:rPr>
                <w:rFonts w:hint="eastAsia" w:ascii="Times New Roman" w:hAnsi="Times New Roman" w:cs="Times New Roman"/>
                <w:color w:val="auto"/>
                <w:lang w:val="en-US" w:eastAsia="zh-CN"/>
              </w:rPr>
              <w:t>总</w:t>
            </w:r>
            <w:r>
              <w:rPr>
                <w:rFonts w:hint="eastAsia" w:ascii="Times New Roman" w:hAnsi="Times New Roman" w:cs="Times New Roman"/>
                <w:color w:val="auto"/>
              </w:rPr>
              <w:t>占地面积46</w:t>
            </w:r>
            <w:r>
              <w:rPr>
                <w:rFonts w:hint="eastAsia" w:ascii="Times New Roman" w:hAnsi="Times New Roman" w:cs="Times New Roman"/>
                <w:color w:val="auto"/>
                <w:lang w:val="en-US" w:eastAsia="zh-CN"/>
              </w:rPr>
              <w:t>2.5711公顷</w:t>
            </w:r>
            <w:r>
              <w:rPr>
                <w:rFonts w:hint="eastAsia" w:ascii="Times New Roman" w:hAnsi="Times New Roman" w:cs="Times New Roman"/>
                <w:color w:val="auto"/>
              </w:rPr>
              <w:t>，</w:t>
            </w:r>
            <w:r>
              <w:rPr>
                <w:rFonts w:hint="eastAsia" w:ascii="Times New Roman" w:hAnsi="Times New Roman" w:cs="Times New Roman"/>
                <w:color w:val="auto"/>
                <w:lang w:val="en-US" w:eastAsia="zh-CN"/>
              </w:rPr>
              <w:t>光伏厂区占地面积为460.6745公顷，其中天然牧草地330.2961公顷，其他草地129.9331公顷，农村道路0.4453公顷。升压站占地面积1.8086公顷，全部为农用地，其中旱地1.6368公顷，田坎0.1718公顷。进场道路占地面积0.0880公顷</w:t>
            </w:r>
            <w:r>
              <w:rPr>
                <w:rFonts w:hint="eastAsia" w:ascii="Times New Roman" w:hAnsi="Times New Roman" w:cs="Times New Roman"/>
                <w:color w:val="auto"/>
              </w:rPr>
              <w:t>，</w:t>
            </w:r>
            <w:r>
              <w:rPr>
                <w:rFonts w:hint="eastAsia" w:ascii="Times New Roman" w:hAnsi="Times New Roman" w:cs="Times New Roman"/>
                <w:color w:val="auto"/>
                <w:lang w:val="en-US" w:eastAsia="zh-CN"/>
              </w:rPr>
              <w:t>其中旱地0.0796公顷，田坎0.0084公顷。</w:t>
            </w:r>
          </w:p>
          <w:p>
            <w:pPr>
              <w:pStyle w:val="4"/>
              <w:numPr>
                <w:ilvl w:val="1"/>
                <w:numId w:val="15"/>
              </w:numPr>
              <w:suppressLineNumbers w:val="0"/>
              <w:tabs>
                <w:tab w:val="left" w:pos="0"/>
              </w:tabs>
              <w:spacing w:before="0" w:after="0"/>
              <w:ind w:right="0" w:firstLine="482"/>
              <w:rPr>
                <w:rFonts w:hint="default" w:cs="Times New Roman"/>
                <w:color w:val="auto"/>
              </w:rPr>
            </w:pPr>
            <w:r>
              <w:rPr>
                <w:rFonts w:hint="default" w:cs="Times New Roman"/>
                <w:color w:val="auto"/>
              </w:rPr>
              <w:t>植被类型现状调查与分析</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丰宁乔木群落的特点是桦木科、壳斗科、杨柳科和松科为优势科，尤其桦木科的优势更为突出。阔叶林中的白桦、山杨广泛地生长在丰宁的山地中，在海拔1000</w:t>
            </w:r>
            <w:r>
              <w:rPr>
                <w:rFonts w:hint="eastAsia" w:ascii="Times New Roman" w:hAnsi="Times New Roman" w:cs="Times New Roman"/>
                <w:color w:val="auto"/>
              </w:rPr>
              <w:t>m</w:t>
            </w:r>
            <w:r>
              <w:rPr>
                <w:rFonts w:hint="default" w:ascii="Times New Roman" w:hAnsi="Times New Roman" w:cs="Times New Roman"/>
                <w:color w:val="auto"/>
              </w:rPr>
              <w:t>至1800m的山坡滋生。</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灌丛和灌草丛是丰宁广泛分布的植被类型，灌丛中有三列绣线菊灌丛、榛灌丛、胡枝子灌丛、山杏灌丛、虎榛子灌丛、蚂蚱腿灌丛等。在这些灌丛中，半生有六道木、照山白、丁香、大果榆、沙棘等。灌草丛主要是荆条、酸枣、黄背草等。除此外还有百草、白头翁、萎陵菜、胡枝子、隐子草、漏芦等。荆条、酸枣、虎榛子、岩鼠李、野玫瑰等散生草丛之中，不成层次。</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本项目</w:t>
            </w:r>
            <w:r>
              <w:rPr>
                <w:rFonts w:hint="eastAsia" w:ascii="Times New Roman" w:hAnsi="Times New Roman" w:cs="Times New Roman"/>
                <w:color w:val="auto"/>
              </w:rPr>
              <w:t>占地</w:t>
            </w:r>
            <w:r>
              <w:rPr>
                <w:rFonts w:hint="default" w:ascii="Times New Roman" w:hAnsi="Times New Roman" w:cs="Times New Roman"/>
                <w:color w:val="auto"/>
              </w:rPr>
              <w:t>自然植被稀疏，</w:t>
            </w:r>
            <w:r>
              <w:rPr>
                <w:rFonts w:hint="eastAsia" w:ascii="Times New Roman" w:hAnsi="Times New Roman" w:cs="Times New Roman"/>
                <w:color w:val="auto"/>
              </w:rPr>
              <w:t>占地类型主要是农用地。</w:t>
            </w:r>
          </w:p>
          <w:p>
            <w:pPr>
              <w:pStyle w:val="4"/>
              <w:numPr>
                <w:ilvl w:val="1"/>
                <w:numId w:val="15"/>
              </w:numPr>
              <w:suppressLineNumbers w:val="0"/>
              <w:tabs>
                <w:tab w:val="left" w:pos="0"/>
              </w:tabs>
              <w:spacing w:before="0" w:after="0"/>
              <w:ind w:right="0" w:firstLine="482"/>
              <w:rPr>
                <w:rFonts w:hint="default" w:cs="Times New Roman"/>
                <w:color w:val="auto"/>
              </w:rPr>
            </w:pPr>
            <w:r>
              <w:rPr>
                <w:rFonts w:hint="default" w:cs="Times New Roman"/>
                <w:color w:val="auto"/>
              </w:rPr>
              <w:t>动物现状调查与分析</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 xml:space="preserve">丰宁划分为两个动物地理区域：一是高原区，兽类及啮齿类较多，尤以各种田鼠的种类为多，如五趾跳鼠；鸟类有蒙古百灵、水猫子、雁；爬行类和两栖类主要是草原的蜥蜴类、蛇类；两栖类有花背蟾蜍，中国林蛙及无斑雨蛙。二是山地丘陵区，本区因次生植被良好，动物种类丰富。兽类有豹、野猪、狍、青羊、黄羊、赤狐、狼；小型兽类有刺猬、黄鼬、小家鼠；鸟类有野鸡、勺鸡、黑啄木鸟、丹顶鹤、雕、鹰、猫头鹰等23种；翼手类有山蝠、须鼠耳蝠；鱼类有鲫鱼、鲤鱼、鲇鱼、鳜鱼、草鱼、泥鳅等；介类有龟、蚌、蝇蜗牛；昆虫类有蚕、蜂、蚂蚁、蛾、蜻蜓、蝗虫等15种。 </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项目占地及周边范围内无珍稀濒危野生动植物分布。</w:t>
            </w:r>
          </w:p>
          <w:p>
            <w:pPr>
              <w:pStyle w:val="3"/>
              <w:keepLines w:val="0"/>
              <w:numPr>
                <w:ilvl w:val="0"/>
                <w:numId w:val="15"/>
              </w:numPr>
              <w:suppressLineNumbers w:val="0"/>
              <w:spacing w:before="120" w:beforeAutospacing="0" w:after="0" w:afterAutospacing="0"/>
              <w:ind w:right="0" w:firstLine="482"/>
              <w:rPr>
                <w:rFonts w:hint="default" w:ascii="Times New Roman" w:hAnsi="Times New Roman" w:cs="Times New Roman"/>
                <w:color w:val="auto"/>
              </w:rPr>
            </w:pPr>
            <w:r>
              <w:rPr>
                <w:rFonts w:hint="eastAsia" w:ascii="Times New Roman" w:hAnsi="Times New Roman" w:cs="Times New Roman"/>
                <w:color w:val="auto"/>
              </w:rPr>
              <w:t>环境质量现状</w:t>
            </w:r>
          </w:p>
          <w:p>
            <w:pPr>
              <w:pStyle w:val="4"/>
              <w:numPr>
                <w:ilvl w:val="1"/>
                <w:numId w:val="15"/>
              </w:numPr>
              <w:suppressLineNumbers w:val="0"/>
              <w:tabs>
                <w:tab w:val="left" w:pos="0"/>
              </w:tabs>
              <w:spacing w:before="0" w:after="0"/>
              <w:ind w:right="0" w:firstLine="482"/>
              <w:rPr>
                <w:rFonts w:hint="default" w:cs="Times New Roman"/>
                <w:color w:val="auto"/>
              </w:rPr>
            </w:pPr>
            <w:r>
              <w:rPr>
                <w:rFonts w:hint="default" w:cs="Times New Roman"/>
                <w:color w:val="auto"/>
              </w:rPr>
              <w:t>环境空气质量现状</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项目所在区域环境空气质量执行《环境空气质量标准》（GB3095-2012）</w:t>
            </w:r>
            <w:r>
              <w:rPr>
                <w:rFonts w:hint="eastAsia" w:ascii="Times New Roman" w:hAnsi="Times New Roman" w:cs="Times New Roman"/>
                <w:color w:val="auto"/>
              </w:rPr>
              <w:t>二级标准及其修改单</w:t>
            </w:r>
            <w:r>
              <w:rPr>
                <w:rFonts w:hint="default" w:ascii="Times New Roman" w:hAnsi="Times New Roman" w:cs="Times New Roman"/>
                <w:color w:val="auto"/>
              </w:rPr>
              <w:t>。本评价引用《</w:t>
            </w:r>
            <w:r>
              <w:rPr>
                <w:rFonts w:hint="eastAsia" w:ascii="Times New Roman" w:hAnsi="Times New Roman" w:cs="Times New Roman"/>
                <w:color w:val="auto"/>
              </w:rPr>
              <w:t>2022年承德市生态环境状况公报</w:t>
            </w:r>
            <w:r>
              <w:rPr>
                <w:rFonts w:hint="default" w:ascii="Times New Roman" w:hAnsi="Times New Roman" w:cs="Times New Roman"/>
                <w:color w:val="auto"/>
              </w:rPr>
              <w:t>》中</w:t>
            </w:r>
            <w:r>
              <w:rPr>
                <w:rFonts w:hint="eastAsia" w:ascii="Times New Roman" w:hAnsi="Times New Roman" w:cs="Times New Roman"/>
                <w:color w:val="auto"/>
              </w:rPr>
              <w:t>丰宁满族自治县</w:t>
            </w:r>
            <w:r>
              <w:rPr>
                <w:rFonts w:hint="default" w:ascii="Times New Roman" w:hAnsi="Times New Roman" w:cs="Times New Roman"/>
                <w:color w:val="auto"/>
              </w:rPr>
              <w:t>大气常规污染物中的SO</w:t>
            </w:r>
            <w:r>
              <w:rPr>
                <w:rFonts w:hint="default" w:ascii="Times New Roman" w:hAnsi="Times New Roman" w:cs="Times New Roman"/>
                <w:color w:val="auto"/>
                <w:vertAlign w:val="subscript"/>
              </w:rPr>
              <w:t>2</w:t>
            </w:r>
            <w:r>
              <w:rPr>
                <w:rFonts w:hint="default" w:ascii="Times New Roman" w:hAnsi="Times New Roman" w:cs="Times New Roman"/>
                <w:color w:val="auto"/>
              </w:rPr>
              <w:t>、CO、NO</w:t>
            </w:r>
            <w:r>
              <w:rPr>
                <w:rFonts w:hint="default" w:ascii="Times New Roman" w:hAnsi="Times New Roman" w:cs="Times New Roman"/>
                <w:color w:val="auto"/>
                <w:vertAlign w:val="subscript"/>
              </w:rPr>
              <w:t>2</w:t>
            </w:r>
            <w:r>
              <w:rPr>
                <w:rFonts w:hint="default" w:ascii="Times New Roman" w:hAnsi="Times New Roman" w:cs="Times New Roman"/>
                <w:color w:val="auto"/>
              </w:rPr>
              <w:t>、O</w:t>
            </w:r>
            <w:r>
              <w:rPr>
                <w:rFonts w:hint="default" w:ascii="Times New Roman" w:hAnsi="Times New Roman" w:cs="Times New Roman"/>
                <w:color w:val="auto"/>
                <w:vertAlign w:val="subscript"/>
              </w:rPr>
              <w:t>3</w:t>
            </w:r>
            <w:r>
              <w:rPr>
                <w:rFonts w:hint="default" w:ascii="Times New Roman" w:hAnsi="Times New Roman" w:cs="Times New Roman"/>
                <w:color w:val="auto"/>
              </w:rPr>
              <w:t>、PM</w:t>
            </w:r>
            <w:r>
              <w:rPr>
                <w:rFonts w:hint="default" w:ascii="Times New Roman" w:hAnsi="Times New Roman" w:cs="Times New Roman"/>
                <w:color w:val="auto"/>
                <w:vertAlign w:val="subscript"/>
              </w:rPr>
              <w:t>10</w:t>
            </w:r>
            <w:r>
              <w:rPr>
                <w:rFonts w:hint="default" w:ascii="Times New Roman" w:hAnsi="Times New Roman" w:cs="Times New Roman"/>
                <w:color w:val="auto"/>
              </w:rPr>
              <w:t>和PM</w:t>
            </w:r>
            <w:r>
              <w:rPr>
                <w:rFonts w:hint="default" w:ascii="Times New Roman" w:hAnsi="Times New Roman" w:cs="Times New Roman"/>
                <w:color w:val="auto"/>
                <w:vertAlign w:val="subscript"/>
              </w:rPr>
              <w:t>2.5</w:t>
            </w:r>
            <w:r>
              <w:rPr>
                <w:rFonts w:hint="default" w:ascii="Times New Roman" w:hAnsi="Times New Roman" w:cs="Times New Roman"/>
                <w:color w:val="auto"/>
              </w:rPr>
              <w:t>现状监测统计资料，来说明拟建地区的环境空气质量，监测结果见</w:t>
            </w:r>
            <w:r>
              <w:rPr>
                <w:rFonts w:hint="eastAsia" w:ascii="Times New Roman" w:hAnsi="Times New Roman" w:cs="Times New Roman"/>
                <w:color w:val="auto"/>
              </w:rPr>
              <w:t>下表</w:t>
            </w:r>
            <w:r>
              <w:rPr>
                <w:rFonts w:hint="default" w:ascii="Times New Roman" w:hAnsi="Times New Roman" w:cs="Times New Roman"/>
                <w:color w:val="auto"/>
              </w:rPr>
              <w:t>。</w:t>
            </w:r>
          </w:p>
          <w:p>
            <w:pPr>
              <w:pStyle w:val="35"/>
              <w:keepNext w:val="0"/>
              <w:keepLines w:val="0"/>
              <w:suppressLineNumbers w:val="0"/>
              <w:spacing w:before="0" w:beforeAutospacing="0" w:after="0" w:afterAutospacing="0"/>
              <w:ind w:right="0"/>
              <w:rPr>
                <w:rFonts w:hint="default" w:ascii="Times New Roman" w:hAnsi="Times New Roman" w:cs="Times New Roman"/>
                <w:color w:val="auto"/>
              </w:rPr>
            </w:pPr>
            <w:r>
              <w:rPr>
                <w:rFonts w:hint="default" w:ascii="Times New Roman" w:hAnsi="Times New Roman" w:cs="Times New Roman"/>
                <w:color w:val="auto"/>
              </w:rPr>
              <w:t>202</w:t>
            </w:r>
            <w:r>
              <w:rPr>
                <w:rFonts w:hint="eastAsia" w:ascii="Times New Roman" w:hAnsi="Times New Roman" w:cs="Times New Roman"/>
                <w:color w:val="auto"/>
              </w:rPr>
              <w:t>2</w:t>
            </w:r>
            <w:r>
              <w:rPr>
                <w:rFonts w:hint="default" w:ascii="Times New Roman" w:hAnsi="Times New Roman" w:cs="Times New Roman"/>
                <w:color w:val="auto"/>
              </w:rPr>
              <w:t>年</w:t>
            </w:r>
            <w:r>
              <w:rPr>
                <w:rFonts w:hint="eastAsia" w:ascii="Times New Roman" w:hAnsi="Times New Roman" w:cs="Times New Roman"/>
                <w:color w:val="auto"/>
              </w:rPr>
              <w:t>丰宁满族自治县</w:t>
            </w:r>
            <w:r>
              <w:rPr>
                <w:rFonts w:hint="default" w:ascii="Times New Roman" w:hAnsi="Times New Roman" w:cs="Times New Roman"/>
                <w:color w:val="auto"/>
              </w:rPr>
              <w:t>环境空气质量监测结果表</w:t>
            </w:r>
          </w:p>
          <w:tbl>
            <w:tblPr>
              <w:tblStyle w:val="20"/>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2"/>
              <w:gridCol w:w="1049"/>
              <w:gridCol w:w="1446"/>
              <w:gridCol w:w="768"/>
              <w:gridCol w:w="768"/>
              <w:gridCol w:w="767"/>
              <w:gridCol w:w="767"/>
              <w:gridCol w:w="767"/>
              <w:gridCol w:w="7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74"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年份</w:t>
                  </w:r>
                </w:p>
              </w:tc>
              <w:tc>
                <w:tcPr>
                  <w:tcW w:w="65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污染物名称</w:t>
                  </w:r>
                </w:p>
              </w:tc>
              <w:tc>
                <w:tcPr>
                  <w:tcW w:w="900"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环境空气质量综合指数</w:t>
                  </w:r>
                </w:p>
              </w:tc>
              <w:tc>
                <w:tcPr>
                  <w:tcW w:w="479"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PM</w:t>
                  </w:r>
                  <w:r>
                    <w:rPr>
                      <w:rFonts w:hint="default" w:ascii="Times New Roman" w:hAnsi="Times New Roman" w:cs="Times New Roman"/>
                      <w:b/>
                      <w:bCs/>
                      <w:color w:val="auto"/>
                      <w:vertAlign w:val="subscript"/>
                    </w:rPr>
                    <w:t>10</w:t>
                  </w:r>
                </w:p>
              </w:tc>
              <w:tc>
                <w:tcPr>
                  <w:tcW w:w="479"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PM</w:t>
                  </w:r>
                  <w:r>
                    <w:rPr>
                      <w:rFonts w:hint="default" w:ascii="Times New Roman" w:hAnsi="Times New Roman" w:cs="Times New Roman"/>
                      <w:b/>
                      <w:bCs/>
                      <w:color w:val="auto"/>
                      <w:vertAlign w:val="subscript"/>
                    </w:rPr>
                    <w:t>2.5</w:t>
                  </w:r>
                </w:p>
              </w:tc>
              <w:tc>
                <w:tcPr>
                  <w:tcW w:w="478"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SO</w:t>
                  </w:r>
                  <w:r>
                    <w:rPr>
                      <w:rFonts w:hint="default" w:ascii="Times New Roman" w:hAnsi="Times New Roman" w:cs="Times New Roman"/>
                      <w:b/>
                      <w:bCs/>
                      <w:color w:val="auto"/>
                      <w:vertAlign w:val="subscript"/>
                    </w:rPr>
                    <w:t>2</w:t>
                  </w:r>
                </w:p>
              </w:tc>
              <w:tc>
                <w:tcPr>
                  <w:tcW w:w="478"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CO</w:t>
                  </w:r>
                </w:p>
              </w:tc>
              <w:tc>
                <w:tcPr>
                  <w:tcW w:w="478"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O</w:t>
                  </w:r>
                  <w:r>
                    <w:rPr>
                      <w:rFonts w:hint="default" w:ascii="Times New Roman" w:hAnsi="Times New Roman" w:cs="Times New Roman"/>
                      <w:b/>
                      <w:bCs/>
                      <w:color w:val="auto"/>
                      <w:vertAlign w:val="subscript"/>
                    </w:rPr>
                    <w:t>3</w:t>
                  </w:r>
                </w:p>
              </w:tc>
              <w:tc>
                <w:tcPr>
                  <w:tcW w:w="478"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NO</w:t>
                  </w:r>
                  <w:r>
                    <w:rPr>
                      <w:rFonts w:hint="default" w:ascii="Times New Roman" w:hAnsi="Times New Roman" w:cs="Times New Roman"/>
                      <w:b/>
                      <w:bCs/>
                      <w:color w:val="auto"/>
                      <w:vertAlign w:val="sub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74"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202</w:t>
                  </w:r>
                  <w:r>
                    <w:rPr>
                      <w:rFonts w:hint="eastAsia" w:ascii="Times New Roman" w:hAnsi="Times New Roman" w:cs="Times New Roman"/>
                      <w:color w:val="auto"/>
                    </w:rPr>
                    <w:t>2</w:t>
                  </w:r>
                </w:p>
              </w:tc>
              <w:tc>
                <w:tcPr>
                  <w:tcW w:w="65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年均值</w:t>
                  </w:r>
                </w:p>
              </w:tc>
              <w:tc>
                <w:tcPr>
                  <w:tcW w:w="900"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3.11</w:t>
                  </w:r>
                </w:p>
              </w:tc>
              <w:tc>
                <w:tcPr>
                  <w:tcW w:w="769"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41</w:t>
                  </w:r>
                </w:p>
              </w:tc>
              <w:tc>
                <w:tcPr>
                  <w:tcW w:w="769"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23</w:t>
                  </w:r>
                </w:p>
              </w:tc>
              <w:tc>
                <w:tcPr>
                  <w:tcW w:w="767"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14</w:t>
                  </w:r>
                </w:p>
              </w:tc>
              <w:tc>
                <w:tcPr>
                  <w:tcW w:w="767"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1.3</w:t>
                  </w:r>
                </w:p>
              </w:tc>
              <w:tc>
                <w:tcPr>
                  <w:tcW w:w="768"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145</w:t>
                  </w:r>
                </w:p>
              </w:tc>
              <w:tc>
                <w:tcPr>
                  <w:tcW w:w="768"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26" w:type="pct"/>
                  <w:gridSpan w:val="2"/>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标准（二级）</w:t>
                  </w:r>
                </w:p>
              </w:tc>
              <w:tc>
                <w:tcPr>
                  <w:tcW w:w="900"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w:t>
                  </w:r>
                </w:p>
              </w:tc>
              <w:tc>
                <w:tcPr>
                  <w:tcW w:w="769"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70</w:t>
                  </w:r>
                </w:p>
              </w:tc>
              <w:tc>
                <w:tcPr>
                  <w:tcW w:w="769"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35</w:t>
                  </w:r>
                </w:p>
              </w:tc>
              <w:tc>
                <w:tcPr>
                  <w:tcW w:w="766"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60</w:t>
                  </w:r>
                </w:p>
              </w:tc>
              <w:tc>
                <w:tcPr>
                  <w:tcW w:w="766"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4.0</w:t>
                  </w:r>
                </w:p>
              </w:tc>
              <w:tc>
                <w:tcPr>
                  <w:tcW w:w="766"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160</w:t>
                  </w:r>
                </w:p>
              </w:tc>
              <w:tc>
                <w:tcPr>
                  <w:tcW w:w="766"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40</w:t>
                  </w:r>
                </w:p>
              </w:tc>
            </w:tr>
          </w:tbl>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注：1.CO的浓度单位是mg/m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，PM</w:t>
            </w:r>
            <w:r>
              <w:rPr>
                <w:rFonts w:hint="default" w:ascii="Times New Roman" w:hAnsi="Times New Roman" w:cs="Times New Roman"/>
                <w:color w:val="auto"/>
                <w:sz w:val="21"/>
                <w:szCs w:val="21"/>
                <w:vertAlign w:val="subscript"/>
              </w:rPr>
              <w:t>2.5</w:t>
            </w:r>
            <w:r>
              <w:rPr>
                <w:rFonts w:hint="default" w:ascii="Times New Roman" w:hAnsi="Times New Roman" w:cs="Times New Roman"/>
                <w:color w:val="auto"/>
                <w:sz w:val="21"/>
                <w:szCs w:val="21"/>
              </w:rPr>
              <w:t>、PM</w:t>
            </w:r>
            <w:r>
              <w:rPr>
                <w:rFonts w:hint="default" w:ascii="Times New Roman" w:hAnsi="Times New Roman" w:cs="Times New Roman"/>
                <w:color w:val="auto"/>
                <w:sz w:val="21"/>
                <w:szCs w:val="21"/>
                <w:vertAlign w:val="subscript"/>
              </w:rPr>
              <w:t>10</w:t>
            </w:r>
            <w:r>
              <w:rPr>
                <w:rFonts w:hint="default" w:ascii="Times New Roman" w:hAnsi="Times New Roman" w:cs="Times New Roman"/>
                <w:color w:val="auto"/>
                <w:sz w:val="21"/>
                <w:szCs w:val="21"/>
              </w:rPr>
              <w:t>、NO</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rPr>
              <w:t>、SO</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rPr>
              <w:t>、O</w:t>
            </w:r>
            <w:r>
              <w:rPr>
                <w:rFonts w:hint="default" w:ascii="Times New Roman" w:hAnsi="Times New Roman" w:cs="Times New Roman"/>
                <w:color w:val="auto"/>
                <w:sz w:val="21"/>
                <w:szCs w:val="21"/>
                <w:vertAlign w:val="subscript"/>
              </w:rPr>
              <w:t>3</w:t>
            </w:r>
            <w:r>
              <w:rPr>
                <w:rFonts w:hint="default" w:ascii="Times New Roman" w:hAnsi="Times New Roman" w:cs="Times New Roman"/>
                <w:color w:val="auto"/>
                <w:sz w:val="21"/>
                <w:szCs w:val="21"/>
              </w:rPr>
              <w:t>的浓度单位是μg/m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；2.CO为24小时平均第95百分位数，O</w:t>
            </w:r>
            <w:r>
              <w:rPr>
                <w:rFonts w:hint="default" w:ascii="Times New Roman" w:hAnsi="Times New Roman" w:cs="Times New Roman"/>
                <w:color w:val="auto"/>
                <w:sz w:val="21"/>
                <w:szCs w:val="21"/>
                <w:vertAlign w:val="subscript"/>
              </w:rPr>
              <w:t>3</w:t>
            </w:r>
            <w:r>
              <w:rPr>
                <w:rFonts w:hint="default" w:ascii="Times New Roman" w:hAnsi="Times New Roman" w:cs="Times New Roman"/>
                <w:color w:val="auto"/>
                <w:sz w:val="21"/>
                <w:szCs w:val="21"/>
              </w:rPr>
              <w:t>为日最大8小时平均第90百分位数。</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区域环境空气质量现状评价表见下表：</w:t>
            </w:r>
          </w:p>
          <w:p>
            <w:pPr>
              <w:pStyle w:val="35"/>
              <w:keepNext w:val="0"/>
              <w:keepLines w:val="0"/>
              <w:suppressLineNumbers w:val="0"/>
              <w:spacing w:before="0" w:beforeAutospacing="0" w:after="0" w:afterAutospacing="0"/>
              <w:ind w:right="0"/>
              <w:rPr>
                <w:rFonts w:hint="default" w:ascii="Times New Roman" w:hAnsi="Times New Roman" w:cs="Times New Roman"/>
                <w:color w:val="auto"/>
              </w:rPr>
            </w:pPr>
            <w:r>
              <w:rPr>
                <w:rFonts w:hint="default" w:ascii="Times New Roman" w:hAnsi="Times New Roman" w:cs="Times New Roman"/>
                <w:color w:val="auto"/>
              </w:rPr>
              <w:t>区域环境空气质量现状评价表（</w:t>
            </w:r>
            <w:r>
              <w:rPr>
                <w:rFonts w:hint="eastAsia" w:ascii="Times New Roman" w:hAnsi="Times New Roman" w:cs="Times New Roman"/>
                <w:color w:val="auto"/>
              </w:rPr>
              <w:t>丰宁满族自治县</w:t>
            </w:r>
            <w:r>
              <w:rPr>
                <w:rFonts w:hint="default" w:ascii="Times New Roman" w:hAnsi="Times New Roman" w:cs="Times New Roman"/>
                <w:color w:val="auto"/>
              </w:rPr>
              <w:t>）</w:t>
            </w:r>
          </w:p>
          <w:tbl>
            <w:tblPr>
              <w:tblStyle w:val="20"/>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75"/>
              <w:gridCol w:w="1633"/>
              <w:gridCol w:w="869"/>
              <w:gridCol w:w="869"/>
              <w:gridCol w:w="869"/>
              <w:gridCol w:w="870"/>
              <w:gridCol w:w="870"/>
              <w:gridCol w:w="8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年份</w:t>
                  </w:r>
                </w:p>
              </w:tc>
              <w:tc>
                <w:tcPr>
                  <w:tcW w:w="1017"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环境空气质量综合指数</w:t>
                  </w:r>
                </w:p>
              </w:tc>
              <w:tc>
                <w:tcPr>
                  <w:tcW w:w="54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PM</w:t>
                  </w:r>
                  <w:r>
                    <w:rPr>
                      <w:rFonts w:hint="default" w:ascii="Times New Roman" w:hAnsi="Times New Roman" w:cs="Times New Roman"/>
                      <w:b/>
                      <w:bCs/>
                      <w:color w:val="auto"/>
                      <w:vertAlign w:val="subscript"/>
                    </w:rPr>
                    <w:t>10</w:t>
                  </w:r>
                </w:p>
              </w:tc>
              <w:tc>
                <w:tcPr>
                  <w:tcW w:w="54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PM</w:t>
                  </w:r>
                  <w:r>
                    <w:rPr>
                      <w:rFonts w:hint="default" w:ascii="Times New Roman" w:hAnsi="Times New Roman" w:cs="Times New Roman"/>
                      <w:b/>
                      <w:bCs/>
                      <w:color w:val="auto"/>
                      <w:vertAlign w:val="subscript"/>
                    </w:rPr>
                    <w:t>2.5</w:t>
                  </w:r>
                </w:p>
              </w:tc>
              <w:tc>
                <w:tcPr>
                  <w:tcW w:w="54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SO</w:t>
                  </w:r>
                  <w:r>
                    <w:rPr>
                      <w:rFonts w:hint="default" w:ascii="Times New Roman" w:hAnsi="Times New Roman" w:cs="Times New Roman"/>
                      <w:b/>
                      <w:bCs/>
                      <w:color w:val="auto"/>
                      <w:vertAlign w:val="subscript"/>
                    </w:rPr>
                    <w:t>2</w:t>
                  </w:r>
                </w:p>
              </w:tc>
              <w:tc>
                <w:tcPr>
                  <w:tcW w:w="54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CO</w:t>
                  </w:r>
                </w:p>
              </w:tc>
              <w:tc>
                <w:tcPr>
                  <w:tcW w:w="54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O</w:t>
                  </w:r>
                  <w:r>
                    <w:rPr>
                      <w:rFonts w:hint="default" w:ascii="Times New Roman" w:hAnsi="Times New Roman" w:cs="Times New Roman"/>
                      <w:b/>
                      <w:bCs/>
                      <w:color w:val="auto"/>
                      <w:vertAlign w:val="subscript"/>
                    </w:rPr>
                    <w:t>3</w:t>
                  </w:r>
                </w:p>
              </w:tc>
              <w:tc>
                <w:tcPr>
                  <w:tcW w:w="54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NO</w:t>
                  </w:r>
                  <w:r>
                    <w:rPr>
                      <w:rFonts w:hint="default" w:ascii="Times New Roman" w:hAnsi="Times New Roman" w:cs="Times New Roman"/>
                      <w:b/>
                      <w:bCs/>
                      <w:color w:val="auto"/>
                      <w:vertAlign w:val="sub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2" w:type="pct"/>
                  <w:vMerge w:val="restar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20</w:t>
                  </w:r>
                  <w:r>
                    <w:rPr>
                      <w:rFonts w:hint="eastAsia" w:ascii="Times New Roman" w:hAnsi="Times New Roman" w:cs="Times New Roman"/>
                      <w:color w:val="auto"/>
                    </w:rPr>
                    <w:t>22</w:t>
                  </w:r>
                </w:p>
              </w:tc>
              <w:tc>
                <w:tcPr>
                  <w:tcW w:w="1017"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现状浓度/（µg/m</w:t>
                  </w:r>
                  <w:r>
                    <w:rPr>
                      <w:rFonts w:hint="default" w:ascii="Times New Roman" w:hAnsi="Times New Roman" w:cs="Times New Roman"/>
                      <w:color w:val="auto"/>
                      <w:vertAlign w:val="superscript"/>
                    </w:rPr>
                    <w:t>3</w:t>
                  </w:r>
                  <w:r>
                    <w:rPr>
                      <w:rFonts w:hint="default" w:ascii="Times New Roman" w:hAnsi="Times New Roman" w:cs="Times New Roman"/>
                      <w:color w:val="auto"/>
                    </w:rPr>
                    <w:t>）</w:t>
                  </w:r>
                </w:p>
              </w:tc>
              <w:tc>
                <w:tcPr>
                  <w:tcW w:w="54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44</w:t>
                  </w:r>
                </w:p>
              </w:tc>
              <w:tc>
                <w:tcPr>
                  <w:tcW w:w="54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23</w:t>
                  </w:r>
                </w:p>
              </w:tc>
              <w:tc>
                <w:tcPr>
                  <w:tcW w:w="54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13</w:t>
                  </w:r>
                </w:p>
              </w:tc>
              <w:tc>
                <w:tcPr>
                  <w:tcW w:w="54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1.3</w:t>
                  </w:r>
                </w:p>
              </w:tc>
              <w:tc>
                <w:tcPr>
                  <w:tcW w:w="54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158</w:t>
                  </w:r>
                </w:p>
              </w:tc>
              <w:tc>
                <w:tcPr>
                  <w:tcW w:w="54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2"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017"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标准值/（µg/m</w:t>
                  </w:r>
                  <w:r>
                    <w:rPr>
                      <w:rFonts w:hint="default" w:ascii="Times New Roman" w:hAnsi="Times New Roman" w:cs="Times New Roman"/>
                      <w:color w:val="auto"/>
                      <w:vertAlign w:val="superscript"/>
                    </w:rPr>
                    <w:t>3</w:t>
                  </w:r>
                  <w:r>
                    <w:rPr>
                      <w:rFonts w:hint="default" w:ascii="Times New Roman" w:hAnsi="Times New Roman" w:cs="Times New Roman"/>
                      <w:color w:val="auto"/>
                    </w:rPr>
                    <w:t>）</w:t>
                  </w:r>
                </w:p>
              </w:tc>
              <w:tc>
                <w:tcPr>
                  <w:tcW w:w="54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70</w:t>
                  </w:r>
                </w:p>
              </w:tc>
              <w:tc>
                <w:tcPr>
                  <w:tcW w:w="54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35</w:t>
                  </w:r>
                </w:p>
              </w:tc>
              <w:tc>
                <w:tcPr>
                  <w:tcW w:w="54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60</w:t>
                  </w:r>
                </w:p>
              </w:tc>
              <w:tc>
                <w:tcPr>
                  <w:tcW w:w="54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4</w:t>
                  </w:r>
                </w:p>
              </w:tc>
              <w:tc>
                <w:tcPr>
                  <w:tcW w:w="54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160</w:t>
                  </w:r>
                </w:p>
              </w:tc>
              <w:tc>
                <w:tcPr>
                  <w:tcW w:w="54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2"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017"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占标率</w:t>
                  </w:r>
                  <w:r>
                    <w:rPr>
                      <w:rFonts w:hint="eastAsia" w:ascii="Times New Roman" w:hAnsi="Times New Roman" w:cs="Times New Roman"/>
                      <w:color w:val="auto"/>
                    </w:rPr>
                    <w:t>（%）</w:t>
                  </w:r>
                </w:p>
              </w:tc>
              <w:tc>
                <w:tcPr>
                  <w:tcW w:w="54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 xml:space="preserve">62.86 </w:t>
                  </w:r>
                </w:p>
              </w:tc>
              <w:tc>
                <w:tcPr>
                  <w:tcW w:w="54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 xml:space="preserve">65.71 </w:t>
                  </w:r>
                </w:p>
              </w:tc>
              <w:tc>
                <w:tcPr>
                  <w:tcW w:w="54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 xml:space="preserve">21.67 </w:t>
                  </w:r>
                </w:p>
              </w:tc>
              <w:tc>
                <w:tcPr>
                  <w:tcW w:w="54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32.5</w:t>
                  </w:r>
                </w:p>
              </w:tc>
              <w:tc>
                <w:tcPr>
                  <w:tcW w:w="54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98.75</w:t>
                  </w:r>
                </w:p>
              </w:tc>
              <w:tc>
                <w:tcPr>
                  <w:tcW w:w="54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32"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017"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达标情况</w:t>
                  </w:r>
                </w:p>
              </w:tc>
              <w:tc>
                <w:tcPr>
                  <w:tcW w:w="54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达标</w:t>
                  </w:r>
                </w:p>
              </w:tc>
              <w:tc>
                <w:tcPr>
                  <w:tcW w:w="54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达标</w:t>
                  </w:r>
                </w:p>
              </w:tc>
              <w:tc>
                <w:tcPr>
                  <w:tcW w:w="54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达标</w:t>
                  </w:r>
                </w:p>
              </w:tc>
              <w:tc>
                <w:tcPr>
                  <w:tcW w:w="54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达标</w:t>
                  </w:r>
                </w:p>
              </w:tc>
              <w:tc>
                <w:tcPr>
                  <w:tcW w:w="54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达标</w:t>
                  </w:r>
                </w:p>
              </w:tc>
              <w:tc>
                <w:tcPr>
                  <w:tcW w:w="54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达标</w:t>
                  </w:r>
                </w:p>
              </w:tc>
            </w:tr>
          </w:tbl>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由上表可知，202</w:t>
            </w:r>
            <w:r>
              <w:rPr>
                <w:rFonts w:hint="eastAsia" w:ascii="Times New Roman" w:hAnsi="Times New Roman" w:cs="Times New Roman"/>
                <w:color w:val="auto"/>
              </w:rPr>
              <w:t>2</w:t>
            </w:r>
            <w:r>
              <w:rPr>
                <w:rFonts w:hint="default" w:ascii="Times New Roman" w:hAnsi="Times New Roman" w:cs="Times New Roman"/>
                <w:color w:val="auto"/>
              </w:rPr>
              <w:t>年</w:t>
            </w:r>
            <w:r>
              <w:rPr>
                <w:rFonts w:hint="eastAsia" w:ascii="Times New Roman" w:hAnsi="Times New Roman" w:cs="Times New Roman"/>
                <w:color w:val="auto"/>
              </w:rPr>
              <w:t>丰宁满族自治县</w:t>
            </w:r>
            <w:r>
              <w:rPr>
                <w:rFonts w:hint="default" w:ascii="Times New Roman" w:hAnsi="Times New Roman" w:cs="Times New Roman"/>
                <w:color w:val="auto"/>
              </w:rPr>
              <w:t>环境空气质量中PM</w:t>
            </w:r>
            <w:r>
              <w:rPr>
                <w:rFonts w:hint="default" w:ascii="Times New Roman" w:hAnsi="Times New Roman" w:cs="Times New Roman"/>
                <w:color w:val="auto"/>
                <w:vertAlign w:val="subscript"/>
              </w:rPr>
              <w:t>2.5</w:t>
            </w:r>
            <w:r>
              <w:rPr>
                <w:rFonts w:hint="default" w:ascii="Times New Roman" w:hAnsi="Times New Roman" w:cs="Times New Roman"/>
                <w:color w:val="auto"/>
              </w:rPr>
              <w:t>、PM</w:t>
            </w:r>
            <w:r>
              <w:rPr>
                <w:rFonts w:hint="default" w:ascii="Times New Roman" w:hAnsi="Times New Roman" w:cs="Times New Roman"/>
                <w:color w:val="auto"/>
                <w:vertAlign w:val="subscript"/>
              </w:rPr>
              <w:t>10</w:t>
            </w:r>
            <w:r>
              <w:rPr>
                <w:rFonts w:hint="default" w:ascii="Times New Roman" w:hAnsi="Times New Roman" w:cs="Times New Roman"/>
                <w:color w:val="auto"/>
              </w:rPr>
              <w:t>、SO</w:t>
            </w:r>
            <w:r>
              <w:rPr>
                <w:rFonts w:hint="default" w:ascii="Times New Roman" w:hAnsi="Times New Roman" w:cs="Times New Roman"/>
                <w:color w:val="auto"/>
                <w:vertAlign w:val="subscript"/>
              </w:rPr>
              <w:t>2</w:t>
            </w:r>
            <w:r>
              <w:rPr>
                <w:rFonts w:hint="default" w:ascii="Times New Roman" w:hAnsi="Times New Roman" w:cs="Times New Roman"/>
                <w:color w:val="auto"/>
              </w:rPr>
              <w:t>、CO、O</w:t>
            </w:r>
            <w:r>
              <w:rPr>
                <w:rFonts w:hint="default" w:ascii="Times New Roman" w:hAnsi="Times New Roman" w:cs="Times New Roman"/>
                <w:color w:val="auto"/>
                <w:vertAlign w:val="subscript"/>
              </w:rPr>
              <w:t>3</w:t>
            </w:r>
            <w:r>
              <w:rPr>
                <w:rFonts w:hint="default" w:ascii="Times New Roman" w:hAnsi="Times New Roman" w:cs="Times New Roman"/>
                <w:color w:val="auto"/>
              </w:rPr>
              <w:t>、NO</w:t>
            </w:r>
            <w:r>
              <w:rPr>
                <w:rFonts w:hint="default" w:ascii="Times New Roman" w:hAnsi="Times New Roman" w:cs="Times New Roman"/>
                <w:color w:val="auto"/>
                <w:vertAlign w:val="subscript"/>
              </w:rPr>
              <w:t>2</w:t>
            </w:r>
            <w:r>
              <w:rPr>
                <w:rFonts w:hint="default" w:ascii="Times New Roman" w:hAnsi="Times New Roman" w:cs="Times New Roman"/>
                <w:color w:val="auto"/>
              </w:rPr>
              <w:t>六项常规污染物监测结果中：SO</w:t>
            </w:r>
            <w:r>
              <w:rPr>
                <w:rFonts w:hint="default" w:ascii="Times New Roman" w:hAnsi="Times New Roman" w:cs="Times New Roman"/>
                <w:color w:val="auto"/>
                <w:vertAlign w:val="subscript"/>
              </w:rPr>
              <w:t>2</w:t>
            </w:r>
            <w:r>
              <w:rPr>
                <w:rFonts w:hint="default" w:ascii="Times New Roman" w:hAnsi="Times New Roman" w:cs="Times New Roman"/>
                <w:color w:val="auto"/>
              </w:rPr>
              <w:t>、PM</w:t>
            </w:r>
            <w:r>
              <w:rPr>
                <w:rFonts w:hint="default" w:ascii="Times New Roman" w:hAnsi="Times New Roman" w:cs="Times New Roman"/>
                <w:color w:val="auto"/>
                <w:vertAlign w:val="subscript"/>
              </w:rPr>
              <w:t>10</w:t>
            </w:r>
            <w:r>
              <w:rPr>
                <w:rFonts w:hint="default" w:ascii="Times New Roman" w:hAnsi="Times New Roman" w:cs="Times New Roman"/>
                <w:color w:val="auto"/>
              </w:rPr>
              <w:t>、NO</w:t>
            </w:r>
            <w:r>
              <w:rPr>
                <w:rFonts w:hint="default" w:ascii="Times New Roman" w:hAnsi="Times New Roman" w:cs="Times New Roman"/>
                <w:color w:val="auto"/>
                <w:vertAlign w:val="subscript"/>
              </w:rPr>
              <w:t>2</w:t>
            </w:r>
            <w:r>
              <w:rPr>
                <w:rFonts w:hint="default" w:ascii="Times New Roman" w:hAnsi="Times New Roman" w:cs="Times New Roman"/>
                <w:color w:val="auto"/>
              </w:rPr>
              <w:t>、PM</w:t>
            </w:r>
            <w:r>
              <w:rPr>
                <w:rFonts w:hint="default" w:ascii="Times New Roman" w:hAnsi="Times New Roman" w:cs="Times New Roman"/>
                <w:color w:val="auto"/>
                <w:vertAlign w:val="subscript"/>
              </w:rPr>
              <w:t>2.5</w:t>
            </w:r>
            <w:r>
              <w:rPr>
                <w:rFonts w:hint="default" w:ascii="Times New Roman" w:hAnsi="Times New Roman" w:cs="Times New Roman"/>
                <w:color w:val="auto"/>
              </w:rPr>
              <w:t>年平均质量浓度和CO的第95百分位数24小时平均浓度、O</w:t>
            </w:r>
            <w:r>
              <w:rPr>
                <w:rFonts w:hint="default" w:ascii="Times New Roman" w:hAnsi="Times New Roman" w:cs="Times New Roman"/>
                <w:color w:val="auto"/>
                <w:vertAlign w:val="subscript"/>
              </w:rPr>
              <w:t>3</w:t>
            </w:r>
            <w:r>
              <w:rPr>
                <w:rFonts w:hint="default" w:ascii="Times New Roman" w:hAnsi="Times New Roman" w:cs="Times New Roman"/>
                <w:color w:val="auto"/>
              </w:rPr>
              <w:t>第90百分位数日最大8小时平均浓度</w:t>
            </w:r>
            <w:r>
              <w:rPr>
                <w:rFonts w:hint="eastAsia" w:ascii="Times New Roman" w:hAnsi="Times New Roman" w:cs="Times New Roman"/>
                <w:color w:val="auto"/>
              </w:rPr>
              <w:t>均</w:t>
            </w:r>
            <w:r>
              <w:rPr>
                <w:rFonts w:hint="default" w:ascii="Times New Roman" w:hAnsi="Times New Roman" w:cs="Times New Roman"/>
                <w:color w:val="auto"/>
              </w:rPr>
              <w:t>达标，</w:t>
            </w:r>
            <w:r>
              <w:rPr>
                <w:rFonts w:hint="eastAsia" w:ascii="Times New Roman" w:hAnsi="Times New Roman" w:cs="Times New Roman"/>
                <w:color w:val="auto"/>
              </w:rPr>
              <w:t>满足《环境空气质量标准》（GB3095-2012）及其修改单二级标准，</w:t>
            </w:r>
            <w:r>
              <w:rPr>
                <w:rFonts w:hint="default" w:ascii="Times New Roman" w:hAnsi="Times New Roman" w:cs="Times New Roman"/>
                <w:color w:val="auto"/>
              </w:rPr>
              <w:t>根据上述分析判定，项目所在区域为环境空气质量达标区。</w:t>
            </w:r>
          </w:p>
          <w:p>
            <w:pPr>
              <w:pStyle w:val="4"/>
              <w:numPr>
                <w:ilvl w:val="1"/>
                <w:numId w:val="15"/>
              </w:numPr>
              <w:suppressLineNumbers w:val="0"/>
              <w:tabs>
                <w:tab w:val="left" w:pos="0"/>
              </w:tabs>
              <w:spacing w:before="0" w:after="0"/>
              <w:ind w:right="0" w:firstLine="482"/>
              <w:rPr>
                <w:rFonts w:hint="default" w:cs="Times New Roman"/>
                <w:color w:val="auto"/>
              </w:rPr>
            </w:pPr>
            <w:r>
              <w:rPr>
                <w:rFonts w:hint="eastAsia" w:cs="Times New Roman"/>
                <w:color w:val="auto"/>
              </w:rPr>
              <w:t>地表水环境质量现状</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项目区内主要河流为滦河，本次评价引用《2022年承德市生态环境状况公报》（承德市生态环境局，2023年5月）中滦河的监测数据来说明项目所在区域的地表水环境质量状况，监测结果见下表</w:t>
            </w:r>
          </w:p>
          <w:p>
            <w:pPr>
              <w:pStyle w:val="35"/>
              <w:keepNext w:val="0"/>
              <w:keepLines w:val="0"/>
              <w:suppressLineNumbers w:val="0"/>
              <w:spacing w:before="0" w:beforeAutospacing="0" w:after="0" w:afterAutospacing="0"/>
              <w:ind w:right="0"/>
              <w:rPr>
                <w:rFonts w:hint="default" w:ascii="Times New Roman" w:hAnsi="Times New Roman" w:cs="Times New Roman"/>
                <w:color w:val="auto"/>
              </w:rPr>
            </w:pPr>
            <w:r>
              <w:rPr>
                <w:rFonts w:hint="eastAsia" w:ascii="Times New Roman" w:hAnsi="Times New Roman" w:cs="Times New Roman"/>
                <w:color w:val="auto"/>
              </w:rPr>
              <w:t>2022年断面监测结果表</w:t>
            </w:r>
          </w:p>
          <w:tbl>
            <w:tblPr>
              <w:tblStyle w:val="2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6"/>
              <w:gridCol w:w="1330"/>
              <w:gridCol w:w="886"/>
              <w:gridCol w:w="945"/>
              <w:gridCol w:w="1080"/>
              <w:gridCol w:w="971"/>
              <w:gridCol w:w="1141"/>
              <w:gridCol w:w="11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315" w:type="pct"/>
                  <w:vMerge w:val="restar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河流</w:t>
                  </w:r>
                </w:p>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名称</w:t>
                  </w:r>
                </w:p>
              </w:tc>
              <w:tc>
                <w:tcPr>
                  <w:tcW w:w="828" w:type="pct"/>
                  <w:vMerge w:val="restar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断面</w:t>
                  </w:r>
                </w:p>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名称</w:t>
                  </w:r>
                </w:p>
              </w:tc>
              <w:tc>
                <w:tcPr>
                  <w:tcW w:w="2418" w:type="pct"/>
                  <w:gridSpan w:val="4"/>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各监测断面水质其情况</w:t>
                  </w:r>
                </w:p>
              </w:tc>
              <w:tc>
                <w:tcPr>
                  <w:tcW w:w="710" w:type="pct"/>
                  <w:vMerge w:val="restar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2021年河流水质状况</w:t>
                  </w:r>
                </w:p>
              </w:tc>
              <w:tc>
                <w:tcPr>
                  <w:tcW w:w="725" w:type="pct"/>
                  <w:vMerge w:val="restar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2022年河流水质状况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315"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p>
              </w:tc>
              <w:tc>
                <w:tcPr>
                  <w:tcW w:w="828"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p>
              </w:tc>
              <w:tc>
                <w:tcPr>
                  <w:tcW w:w="55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2021年</w:t>
                  </w:r>
                </w:p>
              </w:tc>
              <w:tc>
                <w:tcPr>
                  <w:tcW w:w="589"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2022年</w:t>
                  </w:r>
                </w:p>
              </w:tc>
              <w:tc>
                <w:tcPr>
                  <w:tcW w:w="67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水质达标情况</w:t>
                  </w:r>
                </w:p>
              </w:tc>
              <w:tc>
                <w:tcPr>
                  <w:tcW w:w="605"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主要</w:t>
                  </w:r>
                </w:p>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污染物</w:t>
                  </w:r>
                </w:p>
              </w:tc>
              <w:tc>
                <w:tcPr>
                  <w:tcW w:w="710"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p>
              </w:tc>
              <w:tc>
                <w:tcPr>
                  <w:tcW w:w="725"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315" w:type="pct"/>
                  <w:vMerge w:val="restar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滦河</w:t>
                  </w:r>
                </w:p>
              </w:tc>
              <w:tc>
                <w:tcPr>
                  <w:tcW w:w="828"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郭家屯</w:t>
                  </w:r>
                </w:p>
              </w:tc>
              <w:tc>
                <w:tcPr>
                  <w:tcW w:w="55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Ⅲ</w:t>
                  </w:r>
                </w:p>
              </w:tc>
              <w:tc>
                <w:tcPr>
                  <w:tcW w:w="589"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Ⅲ</w:t>
                  </w:r>
                </w:p>
              </w:tc>
              <w:tc>
                <w:tcPr>
                  <w:tcW w:w="67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达标</w:t>
                  </w:r>
                </w:p>
              </w:tc>
              <w:tc>
                <w:tcPr>
                  <w:tcW w:w="605"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w:t>
                  </w:r>
                </w:p>
              </w:tc>
              <w:tc>
                <w:tcPr>
                  <w:tcW w:w="710" w:type="pct"/>
                  <w:vMerge w:val="restar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优</w:t>
                  </w:r>
                </w:p>
              </w:tc>
              <w:tc>
                <w:tcPr>
                  <w:tcW w:w="725" w:type="pct"/>
                  <w:vMerge w:val="restar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315"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828"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大杖子（一）</w:t>
                  </w:r>
                </w:p>
              </w:tc>
              <w:tc>
                <w:tcPr>
                  <w:tcW w:w="55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Ⅱ</w:t>
                  </w:r>
                </w:p>
              </w:tc>
              <w:tc>
                <w:tcPr>
                  <w:tcW w:w="589"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Ⅱ</w:t>
                  </w:r>
                </w:p>
              </w:tc>
              <w:tc>
                <w:tcPr>
                  <w:tcW w:w="67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达标</w:t>
                  </w:r>
                </w:p>
              </w:tc>
              <w:tc>
                <w:tcPr>
                  <w:tcW w:w="605"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w:t>
                  </w:r>
                </w:p>
              </w:tc>
              <w:tc>
                <w:tcPr>
                  <w:tcW w:w="710"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725"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315"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828"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偏桥子大桥</w:t>
                  </w:r>
                </w:p>
              </w:tc>
              <w:tc>
                <w:tcPr>
                  <w:tcW w:w="55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Ⅲ</w:t>
                  </w:r>
                </w:p>
              </w:tc>
              <w:tc>
                <w:tcPr>
                  <w:tcW w:w="589"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Ⅲ</w:t>
                  </w:r>
                </w:p>
              </w:tc>
              <w:tc>
                <w:tcPr>
                  <w:tcW w:w="67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达标</w:t>
                  </w:r>
                </w:p>
              </w:tc>
              <w:tc>
                <w:tcPr>
                  <w:tcW w:w="605"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w:t>
                  </w:r>
                </w:p>
              </w:tc>
              <w:tc>
                <w:tcPr>
                  <w:tcW w:w="710"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725"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315"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828"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兴隆庄</w:t>
                  </w:r>
                </w:p>
              </w:tc>
              <w:tc>
                <w:tcPr>
                  <w:tcW w:w="55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Ⅲ</w:t>
                  </w:r>
                </w:p>
              </w:tc>
              <w:tc>
                <w:tcPr>
                  <w:tcW w:w="589"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Ⅲ</w:t>
                  </w:r>
                </w:p>
              </w:tc>
              <w:tc>
                <w:tcPr>
                  <w:tcW w:w="67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达标</w:t>
                  </w:r>
                </w:p>
              </w:tc>
              <w:tc>
                <w:tcPr>
                  <w:tcW w:w="605"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w:t>
                  </w:r>
                </w:p>
              </w:tc>
              <w:tc>
                <w:tcPr>
                  <w:tcW w:w="710"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725"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315"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828"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上板城大桥</w:t>
                  </w:r>
                </w:p>
              </w:tc>
              <w:tc>
                <w:tcPr>
                  <w:tcW w:w="55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Ⅲ</w:t>
                  </w:r>
                </w:p>
              </w:tc>
              <w:tc>
                <w:tcPr>
                  <w:tcW w:w="589"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Ⅲ</w:t>
                  </w:r>
                </w:p>
              </w:tc>
              <w:tc>
                <w:tcPr>
                  <w:tcW w:w="67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达标</w:t>
                  </w:r>
                </w:p>
              </w:tc>
              <w:tc>
                <w:tcPr>
                  <w:tcW w:w="605"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w:t>
                  </w:r>
                </w:p>
              </w:tc>
              <w:tc>
                <w:tcPr>
                  <w:tcW w:w="710"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725"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315"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828"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潘家口水库</w:t>
                  </w:r>
                </w:p>
              </w:tc>
              <w:tc>
                <w:tcPr>
                  <w:tcW w:w="55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Ⅱ</w:t>
                  </w:r>
                </w:p>
              </w:tc>
              <w:tc>
                <w:tcPr>
                  <w:tcW w:w="589"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Ⅱ</w:t>
                  </w:r>
                </w:p>
              </w:tc>
              <w:tc>
                <w:tcPr>
                  <w:tcW w:w="67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达标</w:t>
                  </w:r>
                </w:p>
              </w:tc>
              <w:tc>
                <w:tcPr>
                  <w:tcW w:w="605"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w:t>
                  </w:r>
                </w:p>
              </w:tc>
              <w:tc>
                <w:tcPr>
                  <w:tcW w:w="710"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725"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bl>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由上表可知，滦河共布设地表水常规监测断面6个，2022年大杖子（一）、潘家口水库断面水质类别均为II类；郭家屯、偏桥子大桥、兴隆庄、上板城大桥断面水质类别均为Ⅲ类，滦河流域总体水质状况为优，与2021年相比继续保持优的水质。项目所在地河流水质较好。</w:t>
            </w:r>
          </w:p>
          <w:p>
            <w:pPr>
              <w:pStyle w:val="4"/>
              <w:numPr>
                <w:ilvl w:val="1"/>
                <w:numId w:val="15"/>
              </w:numPr>
              <w:suppressLineNumbers w:val="0"/>
              <w:tabs>
                <w:tab w:val="left" w:pos="0"/>
              </w:tabs>
              <w:spacing w:before="0" w:after="0"/>
              <w:ind w:right="0" w:firstLine="482"/>
              <w:rPr>
                <w:rFonts w:hint="default" w:cs="Times New Roman"/>
                <w:color w:val="auto"/>
              </w:rPr>
            </w:pPr>
            <w:r>
              <w:rPr>
                <w:rFonts w:hint="eastAsia" w:cs="Times New Roman"/>
                <w:color w:val="auto"/>
              </w:rPr>
              <w:t>地下水环境和土壤环境质量现状</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本项目为光伏发电项目</w:t>
            </w:r>
            <w:r>
              <w:rPr>
                <w:rFonts w:hint="eastAsia" w:ascii="Times New Roman" w:hAnsi="Times New Roman" w:cs="Times New Roman"/>
                <w:color w:val="auto"/>
                <w:lang w:eastAsia="zh-CN"/>
              </w:rPr>
              <w:t>，</w:t>
            </w:r>
            <w:r>
              <w:rPr>
                <w:rFonts w:hint="eastAsia" w:ascii="Times New Roman" w:hAnsi="Times New Roman" w:cs="Times New Roman"/>
                <w:color w:val="auto"/>
              </w:rPr>
              <w:t>属于《环境影响评价技术导则地下水环境》附录A及《环境影响评价技术导则土壤环境（试行）》附录A所列Ⅳ类项目，采取分区防渗措施后，无地下水、土壤污染途径，因此，本项目不开展地下水、土壤环境质量现状调查。</w:t>
            </w:r>
          </w:p>
          <w:p>
            <w:pPr>
              <w:pStyle w:val="4"/>
              <w:numPr>
                <w:ilvl w:val="1"/>
                <w:numId w:val="15"/>
              </w:numPr>
              <w:suppressLineNumbers w:val="0"/>
              <w:tabs>
                <w:tab w:val="left" w:pos="0"/>
              </w:tabs>
              <w:spacing w:before="0" w:after="0"/>
              <w:ind w:right="0" w:firstLine="482"/>
              <w:rPr>
                <w:rFonts w:hint="default" w:cs="Times New Roman"/>
                <w:color w:val="auto"/>
              </w:rPr>
            </w:pPr>
            <w:r>
              <w:rPr>
                <w:rFonts w:hint="eastAsia" w:cs="Times New Roman"/>
                <w:color w:val="auto"/>
              </w:rPr>
              <w:t>声环境质量现状</w:t>
            </w:r>
          </w:p>
          <w:p>
            <w:pPr>
              <w:keepNext w:val="0"/>
              <w:keepLines w:val="0"/>
              <w:suppressLineNumbers w:val="0"/>
              <w:spacing w:before="0" w:beforeAutospacing="0" w:after="0" w:afterAutospacing="0"/>
              <w:ind w:left="0" w:right="0" w:firstLine="480"/>
              <w:rPr>
                <w:rFonts w:hint="default" w:ascii="宋体" w:hAnsi="宋体" w:cs="宋体"/>
                <w:color w:val="auto"/>
                <w:kern w:val="0"/>
                <w:szCs w:val="21"/>
              </w:rPr>
            </w:pPr>
            <w:r>
              <w:rPr>
                <w:rFonts w:hint="default" w:ascii="Times New Roman" w:hAnsi="Times New Roman" w:cs="Times New Roman"/>
                <w:color w:val="auto"/>
              </w:rPr>
              <w:t>项目占地区域为</w:t>
            </w:r>
            <w:r>
              <w:rPr>
                <w:rFonts w:hint="eastAsia" w:ascii="Times New Roman" w:hAnsi="Times New Roman" w:cs="Times New Roman"/>
                <w:color w:val="auto"/>
              </w:rPr>
              <w:t>农村区域的</w:t>
            </w:r>
            <w:r>
              <w:rPr>
                <w:rFonts w:hint="default" w:ascii="Times New Roman" w:hAnsi="Times New Roman" w:cs="Times New Roman"/>
                <w:color w:val="auto"/>
              </w:rPr>
              <w:t>空旷地带，满足《声环境质量标准》（GB3096-2008）</w:t>
            </w:r>
            <w:r>
              <w:rPr>
                <w:rFonts w:hint="eastAsia" w:cs="Times New Roman"/>
                <w:color w:val="auto"/>
                <w:lang w:val="en-US" w:eastAsia="zh-CN"/>
              </w:rPr>
              <w:t>2</w:t>
            </w:r>
            <w:r>
              <w:rPr>
                <w:rFonts w:hint="default" w:ascii="Times New Roman" w:hAnsi="Times New Roman" w:cs="Times New Roman"/>
                <w:color w:val="auto"/>
              </w:rPr>
              <w:t>类</w:t>
            </w:r>
            <w:r>
              <w:rPr>
                <w:rFonts w:hint="eastAsia" w:ascii="Times New Roman" w:hAnsi="Times New Roman" w:cs="Times New Roman"/>
                <w:color w:val="auto"/>
              </w:rPr>
              <w:t>区</w:t>
            </w:r>
            <w:r>
              <w:rPr>
                <w:rFonts w:hint="default" w:ascii="Times New Roman" w:hAnsi="Times New Roman" w:cs="Times New Roman"/>
                <w:color w:val="auto"/>
              </w:rPr>
              <w:t>标准要求。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53" w:hRule="atLeast"/>
          <w:jc w:val="center"/>
        </w:trPr>
        <w:tc>
          <w:tcPr>
            <w:tcW w:w="904"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与项目有关的原有环境污染和生态破坏问题</w:t>
            </w:r>
          </w:p>
        </w:tc>
        <w:tc>
          <w:tcPr>
            <w:tcW w:w="8253" w:type="dxa"/>
            <w:noWrap w:val="0"/>
            <w:vAlign w:val="center"/>
          </w:tcPr>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本项目为</w:t>
            </w:r>
            <w:r>
              <w:rPr>
                <w:rFonts w:hint="eastAsia" w:ascii="Times New Roman" w:hAnsi="Times New Roman" w:cs="Times New Roman"/>
                <w:color w:val="auto"/>
              </w:rPr>
              <w:t>新建</w:t>
            </w:r>
            <w:r>
              <w:rPr>
                <w:rFonts w:hint="default" w:ascii="Times New Roman" w:hAnsi="Times New Roman" w:cs="Times New Roman"/>
                <w:color w:val="auto"/>
              </w:rPr>
              <w:t>项目，无与项目有关的原有环境污染和生态破坏问题</w:t>
            </w:r>
            <w:r>
              <w:rPr>
                <w:rFonts w:hint="eastAsia" w:ascii="Times New Roman" w:hAnsi="Times New Roman" w:cs="Times New Roman"/>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503" w:hRule="atLeast"/>
          <w:jc w:val="center"/>
        </w:trPr>
        <w:tc>
          <w:tcPr>
            <w:tcW w:w="904"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生态环境保护目标</w:t>
            </w:r>
          </w:p>
        </w:tc>
        <w:tc>
          <w:tcPr>
            <w:tcW w:w="8253" w:type="dxa"/>
            <w:noWrap w:val="0"/>
            <w:vAlign w:val="center"/>
          </w:tcPr>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项目</w:t>
            </w:r>
            <w:r>
              <w:rPr>
                <w:rFonts w:hint="eastAsia" w:ascii="Times New Roman" w:hAnsi="Times New Roman" w:cs="Times New Roman"/>
                <w:color w:val="auto"/>
              </w:rPr>
              <w:t>升压站</w:t>
            </w:r>
            <w:r>
              <w:rPr>
                <w:rFonts w:hint="default" w:ascii="Times New Roman" w:hAnsi="Times New Roman" w:cs="Times New Roman"/>
                <w:color w:val="auto"/>
              </w:rPr>
              <w:t>500m范围内</w:t>
            </w:r>
            <w:r>
              <w:rPr>
                <w:rFonts w:hint="eastAsia" w:ascii="Times New Roman" w:hAnsi="Times New Roman" w:cs="Times New Roman"/>
                <w:color w:val="auto"/>
              </w:rPr>
              <w:t>无环境空气保护目标，20</w:t>
            </w:r>
            <w:r>
              <w:rPr>
                <w:rFonts w:hint="default" w:ascii="Times New Roman" w:hAnsi="Times New Roman" w:cs="Times New Roman"/>
                <w:color w:val="auto"/>
              </w:rPr>
              <w:t>0m范围内</w:t>
            </w:r>
            <w:r>
              <w:rPr>
                <w:rFonts w:hint="eastAsia" w:ascii="Times New Roman" w:hAnsi="Times New Roman" w:cs="Times New Roman"/>
                <w:color w:val="auto"/>
              </w:rPr>
              <w:t>无</w:t>
            </w:r>
            <w:r>
              <w:rPr>
                <w:rFonts w:hint="default" w:ascii="Times New Roman" w:hAnsi="Times New Roman" w:cs="Times New Roman"/>
                <w:color w:val="auto"/>
              </w:rPr>
              <w:t>声环境保护目标</w:t>
            </w:r>
            <w:r>
              <w:rPr>
                <w:rFonts w:hint="eastAsia" w:ascii="Times New Roman" w:hAnsi="Times New Roman" w:cs="Times New Roman"/>
                <w:color w:val="auto"/>
              </w:rPr>
              <w:t>。光伏电场</w:t>
            </w:r>
            <w:r>
              <w:rPr>
                <w:rFonts w:hint="eastAsia" w:ascii="Times New Roman" w:hAnsi="Times New Roman" w:cs="Times New Roman"/>
                <w:color w:val="auto"/>
                <w:lang w:val="en-US" w:eastAsia="zh-CN"/>
              </w:rPr>
              <w:t>运行过程中不产生大气污染物，无需识别环境空气保护目标。光伏电场运行过程中箱式变压器会产生噪声，光伏电场场界2</w:t>
            </w:r>
            <w:r>
              <w:rPr>
                <w:rFonts w:hint="eastAsia" w:ascii="Times New Roman" w:hAnsi="Times New Roman" w:cs="Times New Roman"/>
                <w:color w:val="auto"/>
              </w:rPr>
              <w:t>00m范围内有</w:t>
            </w:r>
            <w:r>
              <w:rPr>
                <w:rFonts w:hint="eastAsia" w:ascii="Times New Roman" w:hAnsi="Times New Roman" w:cs="Times New Roman"/>
                <w:color w:val="auto"/>
                <w:lang w:val="en-US" w:eastAsia="zh-CN"/>
              </w:rPr>
              <w:t>声环境保护目标</w:t>
            </w:r>
            <w:r>
              <w:rPr>
                <w:rFonts w:hint="eastAsia" w:ascii="Times New Roman" w:hAnsi="Times New Roman" w:cs="Times New Roman"/>
                <w:color w:val="auto"/>
              </w:rPr>
              <w:t>。项目场界外500m范围内无地下水集中式饮用水水源和热水、矿泉水、温泉等特殊地下水资源；项目用地范围内无特殊生态敏感区、重要生态敏感区。</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根据环境影响因素识别结果、项目工程特点及周围环境特征，确定本工程主要环境保护目标</w:t>
            </w:r>
            <w:r>
              <w:rPr>
                <w:rFonts w:hint="eastAsia" w:ascii="Times New Roman" w:hAnsi="Times New Roman" w:cs="Times New Roman"/>
                <w:color w:val="auto"/>
              </w:rPr>
              <w:t>为居住区，本项目的环境保护目标详见下表</w:t>
            </w:r>
            <w:r>
              <w:rPr>
                <w:rFonts w:hint="default" w:ascii="Times New Roman" w:hAnsi="Times New Roman" w:cs="Times New Roman"/>
                <w:color w:val="auto"/>
              </w:rPr>
              <w:t>。</w:t>
            </w:r>
          </w:p>
          <w:p>
            <w:pPr>
              <w:pStyle w:val="35"/>
              <w:keepNext w:val="0"/>
              <w:keepLines w:val="0"/>
              <w:suppressLineNumbers w:val="0"/>
              <w:spacing w:before="0" w:beforeAutospacing="0" w:after="0" w:afterAutospacing="0"/>
              <w:ind w:right="0"/>
              <w:rPr>
                <w:rFonts w:hint="default" w:ascii="Times New Roman" w:hAnsi="Times New Roman" w:cs="Times New Roman"/>
                <w:color w:val="auto"/>
              </w:rPr>
            </w:pPr>
            <w:r>
              <w:rPr>
                <w:rFonts w:hint="default" w:ascii="Times New Roman" w:hAnsi="Times New Roman" w:cs="Times New Roman"/>
                <w:color w:val="auto"/>
              </w:rPr>
              <w:t>环境空气、地表水保护目标一览表</w:t>
            </w:r>
          </w:p>
          <w:tbl>
            <w:tblPr>
              <w:tblStyle w:val="20"/>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7"/>
              <w:gridCol w:w="754"/>
              <w:gridCol w:w="1232"/>
              <w:gridCol w:w="714"/>
              <w:gridCol w:w="1328"/>
              <w:gridCol w:w="1340"/>
              <w:gridCol w:w="17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blHeader/>
                <w:jc w:val="center"/>
              </w:trPr>
              <w:tc>
                <w:tcPr>
                  <w:tcW w:w="57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类别</w:t>
                  </w:r>
                </w:p>
              </w:tc>
              <w:tc>
                <w:tcPr>
                  <w:tcW w:w="470"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保护对象名称</w:t>
                  </w:r>
                </w:p>
              </w:tc>
              <w:tc>
                <w:tcPr>
                  <w:tcW w:w="767"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保护内容</w:t>
                  </w:r>
                </w:p>
              </w:tc>
              <w:tc>
                <w:tcPr>
                  <w:tcW w:w="445"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相对方位</w:t>
                  </w:r>
                </w:p>
              </w:tc>
              <w:tc>
                <w:tcPr>
                  <w:tcW w:w="827"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相对距离（m）</w:t>
                  </w:r>
                </w:p>
              </w:tc>
              <w:tc>
                <w:tcPr>
                  <w:tcW w:w="835"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规模</w:t>
                  </w:r>
                </w:p>
              </w:tc>
              <w:tc>
                <w:tcPr>
                  <w:tcW w:w="108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环境功能区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1" w:type="pc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声环境</w:t>
                  </w:r>
                </w:p>
              </w:tc>
              <w:tc>
                <w:tcPr>
                  <w:tcW w:w="470"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青石砬村</w:t>
                  </w:r>
                </w:p>
              </w:tc>
              <w:tc>
                <w:tcPr>
                  <w:tcW w:w="767"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居民</w:t>
                  </w:r>
                </w:p>
              </w:tc>
              <w:tc>
                <w:tcPr>
                  <w:tcW w:w="445"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东南侧</w:t>
                  </w:r>
                </w:p>
              </w:tc>
              <w:tc>
                <w:tcPr>
                  <w:tcW w:w="827"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80</w:t>
                  </w:r>
                </w:p>
              </w:tc>
              <w:tc>
                <w:tcPr>
                  <w:tcW w:w="835"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约160户</w:t>
                  </w:r>
                </w:p>
              </w:tc>
              <w:tc>
                <w:tcPr>
                  <w:tcW w:w="108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《声环境质量标准》（GB3096-2008）中的2类区标准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7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地表水</w:t>
                  </w:r>
                </w:p>
              </w:tc>
              <w:tc>
                <w:tcPr>
                  <w:tcW w:w="470"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滦河</w:t>
                  </w:r>
                </w:p>
              </w:tc>
              <w:tc>
                <w:tcPr>
                  <w:tcW w:w="767"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水生动植物等及其生境</w:t>
                  </w:r>
                </w:p>
              </w:tc>
              <w:tc>
                <w:tcPr>
                  <w:tcW w:w="445"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东南侧</w:t>
                  </w:r>
                </w:p>
              </w:tc>
              <w:tc>
                <w:tcPr>
                  <w:tcW w:w="827"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5800</w:t>
                  </w:r>
                </w:p>
              </w:tc>
              <w:tc>
                <w:tcPr>
                  <w:tcW w:w="835"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w:t>
                  </w:r>
                </w:p>
              </w:tc>
              <w:tc>
                <w:tcPr>
                  <w:tcW w:w="108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《地表水环境质量标准》（GB3838-2002）中的Ⅲ类标准</w:t>
                  </w:r>
                </w:p>
              </w:tc>
            </w:tr>
          </w:tbl>
          <w:p>
            <w:pPr>
              <w:pStyle w:val="35"/>
              <w:keepNext w:val="0"/>
              <w:keepLines w:val="0"/>
              <w:suppressLineNumbers w:val="0"/>
              <w:spacing w:before="0" w:beforeAutospacing="0" w:after="0" w:afterAutospacing="0"/>
              <w:ind w:right="0"/>
              <w:rPr>
                <w:rFonts w:hint="default" w:ascii="Times New Roman" w:hAnsi="Times New Roman" w:cs="Times New Roman"/>
                <w:color w:val="auto"/>
              </w:rPr>
            </w:pPr>
            <w:r>
              <w:rPr>
                <w:rFonts w:hint="default" w:ascii="Times New Roman" w:hAnsi="Times New Roman" w:cs="Times New Roman"/>
                <w:color w:val="auto"/>
              </w:rPr>
              <w:t>生态环境保护目标</w:t>
            </w:r>
          </w:p>
          <w:tbl>
            <w:tblPr>
              <w:tblStyle w:val="20"/>
              <w:tblW w:w="4943" w:type="pct"/>
              <w:tblInd w:w="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983"/>
              <w:gridCol w:w="1984"/>
              <w:gridCol w:w="1984"/>
              <w:gridCol w:w="19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trPr>
              <w:tc>
                <w:tcPr>
                  <w:tcW w:w="1250"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环境要素</w:t>
                  </w:r>
                </w:p>
              </w:tc>
              <w:tc>
                <w:tcPr>
                  <w:tcW w:w="1250" w:type="pc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b/>
                      <w:bCs/>
                      <w:color w:val="auto"/>
                    </w:rPr>
                  </w:pPr>
                  <w:r>
                    <w:rPr>
                      <w:rFonts w:hint="default" w:ascii="Times New Roman" w:hAnsi="Times New Roman" w:cs="Times New Roman"/>
                      <w:b/>
                      <w:bCs/>
                      <w:color w:val="auto"/>
                    </w:rPr>
                    <w:t>保护</w:t>
                  </w:r>
                  <w:r>
                    <w:rPr>
                      <w:rFonts w:hint="eastAsia" w:ascii="Times New Roman" w:hAnsi="Times New Roman" w:cs="Times New Roman"/>
                      <w:b/>
                      <w:bCs/>
                      <w:color w:val="auto"/>
                    </w:rPr>
                    <w:t>目标</w:t>
                  </w:r>
                </w:p>
              </w:tc>
              <w:tc>
                <w:tcPr>
                  <w:tcW w:w="1250"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保护内容</w:t>
                  </w:r>
                </w:p>
              </w:tc>
              <w:tc>
                <w:tcPr>
                  <w:tcW w:w="1250"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保护</w:t>
                  </w:r>
                  <w:r>
                    <w:rPr>
                      <w:rFonts w:hint="default" w:ascii="Times New Roman" w:hAnsi="Times New Roman" w:cs="Times New Roman"/>
                      <w:b/>
                      <w:bCs/>
                      <w:color w:val="auto"/>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trPr>
              <w:tc>
                <w:tcPr>
                  <w:tcW w:w="1250"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生态环境</w:t>
                  </w:r>
                </w:p>
              </w:tc>
              <w:tc>
                <w:tcPr>
                  <w:tcW w:w="1984"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项目施工期的临时占地区域和运行期的实际占地范围内</w:t>
                  </w:r>
                  <w:r>
                    <w:rPr>
                      <w:rFonts w:hint="default" w:ascii="Times New Roman" w:hAnsi="Times New Roman" w:cs="Times New Roman"/>
                      <w:color w:val="auto"/>
                    </w:rPr>
                    <w:t>陆生生境、地表植被</w:t>
                  </w:r>
                </w:p>
              </w:tc>
              <w:tc>
                <w:tcPr>
                  <w:tcW w:w="1984"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生态系统及其生物因子、非生物因子</w:t>
                  </w:r>
                </w:p>
              </w:tc>
              <w:tc>
                <w:tcPr>
                  <w:tcW w:w="1250"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不对区域生态产生明显影响</w:t>
                  </w:r>
                </w:p>
              </w:tc>
            </w:tr>
          </w:tbl>
          <w:p>
            <w:pPr>
              <w:keepNext w:val="0"/>
              <w:keepLines w:val="0"/>
              <w:suppressLineNumbers w:val="0"/>
              <w:spacing w:before="0" w:beforeAutospacing="0" w:after="0" w:afterAutospacing="0"/>
              <w:ind w:left="0" w:right="0" w:firstLine="0" w:firstLineChars="0"/>
              <w:rPr>
                <w:rFonts w:hint="default" w:ascii="Times New Roman" w:hAnsi="Times New Roman" w:cs="Times New Roman"/>
                <w:color w:val="auto"/>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11" w:hRule="atLeast"/>
          <w:jc w:val="center"/>
        </w:trPr>
        <w:tc>
          <w:tcPr>
            <w:tcW w:w="904" w:type="dxa"/>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评价</w:t>
            </w:r>
          </w:p>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标准</w:t>
            </w:r>
          </w:p>
        </w:tc>
        <w:tc>
          <w:tcPr>
            <w:tcW w:w="8253" w:type="dxa"/>
            <w:noWrap w:val="0"/>
            <w:vAlign w:val="center"/>
          </w:tcPr>
          <w:p>
            <w:pPr>
              <w:pStyle w:val="3"/>
              <w:keepLines w:val="0"/>
              <w:numPr>
                <w:ilvl w:val="0"/>
                <w:numId w:val="16"/>
              </w:numPr>
              <w:suppressLineNumbers w:val="0"/>
              <w:spacing w:before="120" w:beforeAutospacing="0" w:after="0" w:afterAutospacing="0"/>
              <w:ind w:right="0" w:firstLine="482"/>
              <w:rPr>
                <w:rFonts w:hint="default" w:ascii="Times New Roman" w:hAnsi="Times New Roman" w:cs="Times New Roman"/>
                <w:color w:val="auto"/>
              </w:rPr>
            </w:pPr>
            <w:r>
              <w:rPr>
                <w:rFonts w:hint="default" w:ascii="Times New Roman" w:hAnsi="Times New Roman" w:cs="Times New Roman"/>
                <w:color w:val="auto"/>
              </w:rPr>
              <w:t>环境质量执行标准</w:t>
            </w:r>
          </w:p>
          <w:p>
            <w:pPr>
              <w:pStyle w:val="4"/>
              <w:numPr>
                <w:ilvl w:val="1"/>
                <w:numId w:val="16"/>
              </w:numPr>
              <w:suppressLineNumbers w:val="0"/>
              <w:tabs>
                <w:tab w:val="left" w:pos="0"/>
              </w:tabs>
              <w:spacing w:before="0" w:after="0"/>
              <w:ind w:right="0" w:firstLine="482"/>
              <w:rPr>
                <w:rFonts w:hint="default" w:cs="Times New Roman"/>
                <w:color w:val="auto"/>
              </w:rPr>
            </w:pPr>
            <w:r>
              <w:rPr>
                <w:rFonts w:hint="default" w:cs="Times New Roman"/>
                <w:color w:val="auto"/>
              </w:rPr>
              <w:t>环境空气质量</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环境空气质量执行《环境空气质量标准》（GB3095-2012）二级标准及其修改单。具体质量标准限值详见下表：</w:t>
            </w:r>
          </w:p>
          <w:p>
            <w:pPr>
              <w:pStyle w:val="35"/>
              <w:keepNext w:val="0"/>
              <w:keepLines w:val="0"/>
              <w:suppressLineNumbers w:val="0"/>
              <w:spacing w:before="0" w:beforeAutospacing="0" w:after="0" w:afterAutospacing="0"/>
              <w:ind w:right="0"/>
              <w:rPr>
                <w:rFonts w:hint="default" w:ascii="Times New Roman" w:hAnsi="Times New Roman" w:cs="Times New Roman"/>
                <w:color w:val="auto"/>
              </w:rPr>
            </w:pPr>
            <w:r>
              <w:rPr>
                <w:rFonts w:hint="default" w:ascii="Times New Roman" w:hAnsi="Times New Roman" w:cs="Times New Roman"/>
                <w:color w:val="auto"/>
              </w:rPr>
              <w:t>环境空气质量标准</w:t>
            </w:r>
          </w:p>
          <w:tbl>
            <w:tblPr>
              <w:tblStyle w:val="20"/>
              <w:tblW w:w="499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987"/>
              <w:gridCol w:w="823"/>
              <w:gridCol w:w="1735"/>
              <w:gridCol w:w="1280"/>
              <w:gridCol w:w="816"/>
              <w:gridCol w:w="2377"/>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67" w:hRule="atLeast"/>
                <w:tblHeader/>
                <w:jc w:val="center"/>
              </w:trPr>
              <w:tc>
                <w:tcPr>
                  <w:tcW w:w="615"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环境要素</w:t>
                  </w:r>
                </w:p>
              </w:tc>
              <w:tc>
                <w:tcPr>
                  <w:tcW w:w="1594" w:type="pct"/>
                  <w:gridSpan w:val="2"/>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污染物名称</w:t>
                  </w:r>
                </w:p>
              </w:tc>
              <w:tc>
                <w:tcPr>
                  <w:tcW w:w="798"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标准值</w:t>
                  </w:r>
                </w:p>
              </w:tc>
              <w:tc>
                <w:tcPr>
                  <w:tcW w:w="509"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单位</w:t>
                  </w:r>
                </w:p>
              </w:tc>
              <w:tc>
                <w:tcPr>
                  <w:tcW w:w="148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标准来源</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615" w:type="pct"/>
                  <w:vMerge w:val="restar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大</w:t>
                  </w:r>
                </w:p>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气</w:t>
                  </w:r>
                </w:p>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环</w:t>
                  </w:r>
                </w:p>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境</w:t>
                  </w:r>
                </w:p>
              </w:tc>
              <w:tc>
                <w:tcPr>
                  <w:tcW w:w="513" w:type="pct"/>
                  <w:vMerge w:val="restar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SO</w:t>
                  </w:r>
                  <w:r>
                    <w:rPr>
                      <w:rFonts w:hint="default" w:ascii="Times New Roman" w:hAnsi="Times New Roman" w:cs="Times New Roman"/>
                      <w:color w:val="auto"/>
                      <w:vertAlign w:val="subscript"/>
                    </w:rPr>
                    <w:t>2</w:t>
                  </w:r>
                </w:p>
              </w:tc>
              <w:tc>
                <w:tcPr>
                  <w:tcW w:w="108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年平均</w:t>
                  </w:r>
                </w:p>
              </w:tc>
              <w:tc>
                <w:tcPr>
                  <w:tcW w:w="798"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60</w:t>
                  </w:r>
                </w:p>
              </w:tc>
              <w:tc>
                <w:tcPr>
                  <w:tcW w:w="509" w:type="pct"/>
                  <w:vMerge w:val="restar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μg/m</w:t>
                  </w:r>
                  <w:r>
                    <w:rPr>
                      <w:rFonts w:hint="default" w:ascii="Times New Roman" w:hAnsi="Times New Roman" w:cs="Times New Roman"/>
                      <w:color w:val="auto"/>
                      <w:vertAlign w:val="superscript"/>
                    </w:rPr>
                    <w:t>3</w:t>
                  </w:r>
                </w:p>
              </w:tc>
              <w:tc>
                <w:tcPr>
                  <w:tcW w:w="1481" w:type="pct"/>
                  <w:vMerge w:val="restar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《环境空气质量标准》(GB3095-2012)二级及其修改单</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615"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513"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08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24小时平均</w:t>
                  </w:r>
                </w:p>
              </w:tc>
              <w:tc>
                <w:tcPr>
                  <w:tcW w:w="798"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150</w:t>
                  </w:r>
                </w:p>
              </w:tc>
              <w:tc>
                <w:tcPr>
                  <w:tcW w:w="509"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481"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615"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513"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08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1小时平均</w:t>
                  </w:r>
                </w:p>
              </w:tc>
              <w:tc>
                <w:tcPr>
                  <w:tcW w:w="798"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500</w:t>
                  </w:r>
                </w:p>
              </w:tc>
              <w:tc>
                <w:tcPr>
                  <w:tcW w:w="509"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481"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615"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513" w:type="pct"/>
                  <w:vMerge w:val="restar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NO</w:t>
                  </w:r>
                  <w:r>
                    <w:rPr>
                      <w:rFonts w:hint="default" w:ascii="Times New Roman" w:hAnsi="Times New Roman" w:cs="Times New Roman"/>
                      <w:color w:val="auto"/>
                      <w:vertAlign w:val="subscript"/>
                    </w:rPr>
                    <w:t>2</w:t>
                  </w:r>
                </w:p>
              </w:tc>
              <w:tc>
                <w:tcPr>
                  <w:tcW w:w="108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年平均</w:t>
                  </w:r>
                </w:p>
              </w:tc>
              <w:tc>
                <w:tcPr>
                  <w:tcW w:w="798"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40</w:t>
                  </w:r>
                </w:p>
              </w:tc>
              <w:tc>
                <w:tcPr>
                  <w:tcW w:w="509"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481"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615"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513"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08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24小时平均</w:t>
                  </w:r>
                </w:p>
              </w:tc>
              <w:tc>
                <w:tcPr>
                  <w:tcW w:w="798"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80</w:t>
                  </w:r>
                </w:p>
              </w:tc>
              <w:tc>
                <w:tcPr>
                  <w:tcW w:w="509"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481"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615"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513"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08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1小时平均</w:t>
                  </w:r>
                </w:p>
              </w:tc>
              <w:tc>
                <w:tcPr>
                  <w:tcW w:w="798"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200</w:t>
                  </w:r>
                </w:p>
              </w:tc>
              <w:tc>
                <w:tcPr>
                  <w:tcW w:w="509"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481"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615"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513" w:type="pct"/>
                  <w:vMerge w:val="restar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CO</w:t>
                  </w:r>
                </w:p>
              </w:tc>
              <w:tc>
                <w:tcPr>
                  <w:tcW w:w="108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24小时平均</w:t>
                  </w:r>
                </w:p>
              </w:tc>
              <w:tc>
                <w:tcPr>
                  <w:tcW w:w="798"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4</w:t>
                  </w:r>
                </w:p>
              </w:tc>
              <w:tc>
                <w:tcPr>
                  <w:tcW w:w="509" w:type="pct"/>
                  <w:vMerge w:val="restar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mg/m</w:t>
                  </w:r>
                  <w:r>
                    <w:rPr>
                      <w:rFonts w:hint="default" w:ascii="Times New Roman" w:hAnsi="Times New Roman" w:cs="Times New Roman"/>
                      <w:color w:val="auto"/>
                      <w:vertAlign w:val="superscript"/>
                    </w:rPr>
                    <w:t>3</w:t>
                  </w:r>
                </w:p>
              </w:tc>
              <w:tc>
                <w:tcPr>
                  <w:tcW w:w="1481"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615"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513"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08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1小时平均</w:t>
                  </w:r>
                </w:p>
              </w:tc>
              <w:tc>
                <w:tcPr>
                  <w:tcW w:w="798"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10</w:t>
                  </w:r>
                </w:p>
              </w:tc>
              <w:tc>
                <w:tcPr>
                  <w:tcW w:w="509"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481"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615"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513" w:type="pct"/>
                  <w:vMerge w:val="restar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O</w:t>
                  </w:r>
                  <w:r>
                    <w:rPr>
                      <w:rFonts w:hint="default" w:ascii="Times New Roman" w:hAnsi="Times New Roman" w:cs="Times New Roman"/>
                      <w:color w:val="auto"/>
                      <w:vertAlign w:val="subscript"/>
                    </w:rPr>
                    <w:t>3</w:t>
                  </w:r>
                </w:p>
              </w:tc>
              <w:tc>
                <w:tcPr>
                  <w:tcW w:w="108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日最大8小时平均</w:t>
                  </w:r>
                </w:p>
              </w:tc>
              <w:tc>
                <w:tcPr>
                  <w:tcW w:w="798"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160</w:t>
                  </w:r>
                </w:p>
              </w:tc>
              <w:tc>
                <w:tcPr>
                  <w:tcW w:w="509" w:type="pct"/>
                  <w:vMerge w:val="restar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μg/m</w:t>
                  </w:r>
                  <w:r>
                    <w:rPr>
                      <w:rFonts w:hint="default" w:ascii="Times New Roman" w:hAnsi="Times New Roman" w:cs="Times New Roman"/>
                      <w:color w:val="auto"/>
                      <w:vertAlign w:val="superscript"/>
                    </w:rPr>
                    <w:t>3</w:t>
                  </w:r>
                </w:p>
              </w:tc>
              <w:tc>
                <w:tcPr>
                  <w:tcW w:w="1481"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615"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513"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08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1小时平均</w:t>
                  </w:r>
                </w:p>
              </w:tc>
              <w:tc>
                <w:tcPr>
                  <w:tcW w:w="798"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200</w:t>
                  </w:r>
                </w:p>
              </w:tc>
              <w:tc>
                <w:tcPr>
                  <w:tcW w:w="509"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481"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615"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513" w:type="pct"/>
                  <w:vMerge w:val="restar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PM</w:t>
                  </w:r>
                  <w:r>
                    <w:rPr>
                      <w:rFonts w:hint="default" w:ascii="Times New Roman" w:hAnsi="Times New Roman" w:cs="Times New Roman"/>
                      <w:color w:val="auto"/>
                      <w:vertAlign w:val="subscript"/>
                    </w:rPr>
                    <w:t>10</w:t>
                  </w:r>
                </w:p>
              </w:tc>
              <w:tc>
                <w:tcPr>
                  <w:tcW w:w="108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年</w:t>
                  </w:r>
                  <w:r>
                    <w:rPr>
                      <w:rFonts w:hint="eastAsia" w:ascii="Times New Roman" w:hAnsi="Times New Roman" w:cs="Times New Roman"/>
                      <w:color w:val="auto"/>
                    </w:rPr>
                    <w:t>平</w:t>
                  </w:r>
                  <w:r>
                    <w:rPr>
                      <w:rFonts w:hint="default" w:ascii="Times New Roman" w:hAnsi="Times New Roman" w:cs="Times New Roman"/>
                      <w:color w:val="auto"/>
                    </w:rPr>
                    <w:cr/>
                  </w:r>
                  <w:r>
                    <w:rPr>
                      <w:rFonts w:hint="default" w:ascii="Times New Roman" w:hAnsi="Times New Roman" w:cs="Times New Roman"/>
                      <w:color w:val="auto"/>
                    </w:rPr>
                    <w:t>均</w:t>
                  </w:r>
                </w:p>
              </w:tc>
              <w:tc>
                <w:tcPr>
                  <w:tcW w:w="798"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70</w:t>
                  </w:r>
                </w:p>
              </w:tc>
              <w:tc>
                <w:tcPr>
                  <w:tcW w:w="509"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481"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615"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513"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08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24小时平均</w:t>
                  </w:r>
                </w:p>
              </w:tc>
              <w:tc>
                <w:tcPr>
                  <w:tcW w:w="798"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150</w:t>
                  </w:r>
                </w:p>
              </w:tc>
              <w:tc>
                <w:tcPr>
                  <w:tcW w:w="509"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481"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615"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513" w:type="pct"/>
                  <w:vMerge w:val="restar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PM</w:t>
                  </w:r>
                  <w:r>
                    <w:rPr>
                      <w:rFonts w:hint="default" w:ascii="Times New Roman" w:hAnsi="Times New Roman" w:cs="Times New Roman"/>
                      <w:color w:val="auto"/>
                      <w:vertAlign w:val="subscript"/>
                    </w:rPr>
                    <w:t>2.5</w:t>
                  </w:r>
                </w:p>
              </w:tc>
              <w:tc>
                <w:tcPr>
                  <w:tcW w:w="108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年平均</w:t>
                  </w:r>
                </w:p>
              </w:tc>
              <w:tc>
                <w:tcPr>
                  <w:tcW w:w="798"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35</w:t>
                  </w:r>
                </w:p>
              </w:tc>
              <w:tc>
                <w:tcPr>
                  <w:tcW w:w="509"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481"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615"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513"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08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24小时平均</w:t>
                  </w:r>
                </w:p>
              </w:tc>
              <w:tc>
                <w:tcPr>
                  <w:tcW w:w="798"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75</w:t>
                  </w:r>
                </w:p>
              </w:tc>
              <w:tc>
                <w:tcPr>
                  <w:tcW w:w="509"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481"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bl>
          <w:p>
            <w:pPr>
              <w:pStyle w:val="4"/>
              <w:numPr>
                <w:ilvl w:val="1"/>
                <w:numId w:val="16"/>
              </w:numPr>
              <w:suppressLineNumbers w:val="0"/>
              <w:tabs>
                <w:tab w:val="left" w:pos="0"/>
              </w:tabs>
              <w:spacing w:before="0" w:after="0"/>
              <w:ind w:right="0" w:firstLine="482"/>
              <w:rPr>
                <w:rFonts w:hint="default" w:cs="Times New Roman"/>
                <w:color w:val="auto"/>
              </w:rPr>
            </w:pPr>
            <w:r>
              <w:rPr>
                <w:rFonts w:hint="default" w:cs="Times New Roman"/>
                <w:color w:val="auto"/>
              </w:rPr>
              <w:t>水环境质量</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地表水环境质量执行《地表水环境质量标准》（GB3838-2002）中的</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 3 \* ROMAN \* MERGEFORMAT </w:instrText>
            </w:r>
            <w:r>
              <w:rPr>
                <w:rFonts w:hint="default" w:ascii="Times New Roman" w:hAnsi="Times New Roman" w:cs="Times New Roman"/>
                <w:color w:val="auto"/>
              </w:rPr>
              <w:fldChar w:fldCharType="separate"/>
            </w:r>
            <w:r>
              <w:rPr>
                <w:rFonts w:hint="default" w:ascii="Times New Roman" w:hAnsi="Times New Roman" w:cs="Times New Roman"/>
                <w:color w:val="auto"/>
              </w:rPr>
              <w:t>III</w:t>
            </w:r>
            <w:r>
              <w:rPr>
                <w:rFonts w:hint="default" w:ascii="Times New Roman" w:hAnsi="Times New Roman" w:cs="Times New Roman"/>
                <w:color w:val="auto"/>
              </w:rPr>
              <w:fldChar w:fldCharType="end"/>
            </w:r>
            <w:r>
              <w:rPr>
                <w:rFonts w:hint="default" w:ascii="Times New Roman" w:hAnsi="Times New Roman" w:cs="Times New Roman"/>
                <w:color w:val="auto"/>
              </w:rPr>
              <w:t>类标准。</w:t>
            </w:r>
          </w:p>
          <w:p>
            <w:pPr>
              <w:pStyle w:val="35"/>
              <w:keepNext w:val="0"/>
              <w:keepLines w:val="0"/>
              <w:suppressLineNumbers w:val="0"/>
              <w:spacing w:before="0" w:beforeAutospacing="0" w:after="0" w:afterAutospacing="0"/>
              <w:ind w:right="0"/>
              <w:rPr>
                <w:rFonts w:hint="default" w:ascii="Times New Roman" w:hAnsi="Times New Roman" w:cs="Times New Roman"/>
                <w:color w:val="auto"/>
              </w:rPr>
            </w:pPr>
            <w:r>
              <w:rPr>
                <w:rFonts w:hint="eastAsia" w:ascii="Times New Roman" w:hAnsi="Times New Roman" w:cs="Times New Roman"/>
                <w:color w:val="auto"/>
              </w:rPr>
              <w:t>地表水质量标准一览表</w:t>
            </w:r>
          </w:p>
          <w:tbl>
            <w:tblPr>
              <w:tblStyle w:val="2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3"/>
              <w:gridCol w:w="2716"/>
              <w:gridCol w:w="2114"/>
              <w:gridCol w:w="24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5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类别</w:t>
                  </w:r>
                </w:p>
              </w:tc>
              <w:tc>
                <w:tcPr>
                  <w:tcW w:w="169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污染物名称</w:t>
                  </w:r>
                </w:p>
              </w:tc>
              <w:tc>
                <w:tcPr>
                  <w:tcW w:w="1316"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标准值</w:t>
                  </w:r>
                </w:p>
              </w:tc>
              <w:tc>
                <w:tcPr>
                  <w:tcW w:w="1539"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51" w:type="pct"/>
                  <w:vMerge w:val="restar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地表水环境</w:t>
                  </w:r>
                </w:p>
              </w:tc>
              <w:tc>
                <w:tcPr>
                  <w:tcW w:w="169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pH值（无量纲）</w:t>
                  </w:r>
                </w:p>
              </w:tc>
              <w:tc>
                <w:tcPr>
                  <w:tcW w:w="1316"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6-9</w:t>
                  </w:r>
                </w:p>
              </w:tc>
              <w:tc>
                <w:tcPr>
                  <w:tcW w:w="1539" w:type="pct"/>
                  <w:vMerge w:val="restar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《地表水环境质量标准》（GB3838-2002）</w:t>
                  </w:r>
                  <w:r>
                    <w:rPr>
                      <w:rFonts w:hint="eastAsia" w:ascii="Times New Roman" w:hAnsi="Times New Roman" w:cs="Times New Roman"/>
                      <w:color w:val="auto"/>
                    </w:rPr>
                    <w:fldChar w:fldCharType="begin"/>
                  </w:r>
                  <w:r>
                    <w:rPr>
                      <w:rFonts w:hint="eastAsia" w:ascii="Times New Roman" w:hAnsi="Times New Roman" w:cs="Times New Roman"/>
                      <w:color w:val="auto"/>
                    </w:rPr>
                    <w:instrText xml:space="preserve"> = 3 \* ROMAN \* MERGEFORMAT </w:instrText>
                  </w:r>
                  <w:r>
                    <w:rPr>
                      <w:rFonts w:hint="eastAsia" w:ascii="Times New Roman" w:hAnsi="Times New Roman" w:cs="Times New Roman"/>
                      <w:color w:val="auto"/>
                    </w:rPr>
                    <w:fldChar w:fldCharType="separate"/>
                  </w:r>
                  <w:r>
                    <w:rPr>
                      <w:rFonts w:hint="eastAsia" w:ascii="Times New Roman" w:hAnsi="Times New Roman" w:cs="Times New Roman"/>
                      <w:color w:val="auto"/>
                    </w:rPr>
                    <w:t>III</w:t>
                  </w:r>
                  <w:r>
                    <w:rPr>
                      <w:rFonts w:hint="eastAsia" w:ascii="Times New Roman" w:hAnsi="Times New Roman" w:cs="Times New Roman"/>
                      <w:color w:val="auto"/>
                    </w:rPr>
                    <w:fldChar w:fldCharType="end"/>
                  </w:r>
                  <w:r>
                    <w:rPr>
                      <w:rFonts w:hint="default" w:ascii="Times New Roman" w:hAnsi="Times New Roman" w:cs="Times New Roman"/>
                      <w:color w:val="auto"/>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51"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69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溶解氧</w:t>
                  </w:r>
                </w:p>
              </w:tc>
              <w:tc>
                <w:tcPr>
                  <w:tcW w:w="1316"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5</w:t>
                  </w:r>
                  <w:r>
                    <w:rPr>
                      <w:rFonts w:hint="default" w:ascii="Times New Roman" w:hAnsi="Times New Roman" w:cs="Times New Roman"/>
                      <w:color w:val="auto"/>
                    </w:rPr>
                    <w:t>mg/L</w:t>
                  </w:r>
                </w:p>
              </w:tc>
              <w:tc>
                <w:tcPr>
                  <w:tcW w:w="1539"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51"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69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高锰酸盐指数</w:t>
                  </w:r>
                </w:p>
              </w:tc>
              <w:tc>
                <w:tcPr>
                  <w:tcW w:w="1316"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w:t>
                  </w:r>
                  <w:r>
                    <w:rPr>
                      <w:rFonts w:hint="eastAsia" w:ascii="Times New Roman" w:hAnsi="Times New Roman" w:cs="Times New Roman"/>
                      <w:color w:val="auto"/>
                    </w:rPr>
                    <w:t>6</w:t>
                  </w:r>
                  <w:r>
                    <w:rPr>
                      <w:rFonts w:hint="default" w:ascii="Times New Roman" w:hAnsi="Times New Roman" w:cs="Times New Roman"/>
                      <w:color w:val="auto"/>
                    </w:rPr>
                    <w:t>mg/L</w:t>
                  </w:r>
                </w:p>
              </w:tc>
              <w:tc>
                <w:tcPr>
                  <w:tcW w:w="1539"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51"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69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化学需氧量（COD）</w:t>
                  </w:r>
                </w:p>
              </w:tc>
              <w:tc>
                <w:tcPr>
                  <w:tcW w:w="1316"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w:t>
                  </w:r>
                  <w:r>
                    <w:rPr>
                      <w:rFonts w:hint="eastAsia" w:ascii="Times New Roman" w:hAnsi="Times New Roman" w:cs="Times New Roman"/>
                      <w:color w:val="auto"/>
                    </w:rPr>
                    <w:t>20</w:t>
                  </w:r>
                  <w:r>
                    <w:rPr>
                      <w:rFonts w:hint="default" w:ascii="Times New Roman" w:hAnsi="Times New Roman" w:cs="Times New Roman"/>
                      <w:color w:val="auto"/>
                    </w:rPr>
                    <w:t>mg/L</w:t>
                  </w:r>
                </w:p>
              </w:tc>
              <w:tc>
                <w:tcPr>
                  <w:tcW w:w="1539"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51"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69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五日生化需氧量（BOD5）</w:t>
                  </w:r>
                </w:p>
              </w:tc>
              <w:tc>
                <w:tcPr>
                  <w:tcW w:w="1316"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w:t>
                  </w:r>
                  <w:r>
                    <w:rPr>
                      <w:rFonts w:hint="eastAsia" w:ascii="Times New Roman" w:hAnsi="Times New Roman" w:cs="Times New Roman"/>
                      <w:color w:val="auto"/>
                    </w:rPr>
                    <w:t>4</w:t>
                  </w:r>
                  <w:r>
                    <w:rPr>
                      <w:rFonts w:hint="default" w:ascii="Times New Roman" w:hAnsi="Times New Roman" w:cs="Times New Roman"/>
                      <w:color w:val="auto"/>
                    </w:rPr>
                    <w:t>mg/L</w:t>
                  </w:r>
                </w:p>
              </w:tc>
              <w:tc>
                <w:tcPr>
                  <w:tcW w:w="1539"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51"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69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氨氮（NH3-N）</w:t>
                  </w:r>
                </w:p>
              </w:tc>
              <w:tc>
                <w:tcPr>
                  <w:tcW w:w="1316"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w:t>
                  </w:r>
                  <w:r>
                    <w:rPr>
                      <w:rFonts w:hint="eastAsia" w:ascii="Times New Roman" w:hAnsi="Times New Roman" w:cs="Times New Roman"/>
                      <w:color w:val="auto"/>
                    </w:rPr>
                    <w:t>1.0</w:t>
                  </w:r>
                  <w:r>
                    <w:rPr>
                      <w:rFonts w:hint="default" w:ascii="Times New Roman" w:hAnsi="Times New Roman" w:cs="Times New Roman"/>
                      <w:color w:val="auto"/>
                    </w:rPr>
                    <w:t>mg/L</w:t>
                  </w:r>
                </w:p>
              </w:tc>
              <w:tc>
                <w:tcPr>
                  <w:tcW w:w="1539"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51"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69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总磷（以P计）</w:t>
                  </w:r>
                </w:p>
              </w:tc>
              <w:tc>
                <w:tcPr>
                  <w:tcW w:w="1316"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≤0.</w:t>
                  </w:r>
                  <w:r>
                    <w:rPr>
                      <w:rFonts w:hint="eastAsia" w:ascii="Times New Roman" w:hAnsi="Times New Roman" w:cs="Times New Roman"/>
                      <w:color w:val="auto"/>
                    </w:rPr>
                    <w:t>2</w:t>
                  </w:r>
                  <w:r>
                    <w:rPr>
                      <w:rFonts w:hint="default" w:ascii="Times New Roman" w:hAnsi="Times New Roman" w:cs="Times New Roman"/>
                      <w:color w:val="auto"/>
                    </w:rPr>
                    <w:t>mg/L</w:t>
                  </w:r>
                </w:p>
              </w:tc>
              <w:tc>
                <w:tcPr>
                  <w:tcW w:w="1539"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51"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69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总氮</w:t>
                  </w:r>
                </w:p>
              </w:tc>
              <w:tc>
                <w:tcPr>
                  <w:tcW w:w="1316"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w:t>
                  </w:r>
                  <w:r>
                    <w:rPr>
                      <w:rFonts w:hint="eastAsia" w:ascii="Times New Roman" w:hAnsi="Times New Roman" w:cs="Times New Roman"/>
                      <w:color w:val="auto"/>
                    </w:rPr>
                    <w:t>1.0</w:t>
                  </w:r>
                  <w:r>
                    <w:rPr>
                      <w:rFonts w:hint="default" w:ascii="Times New Roman" w:hAnsi="Times New Roman" w:cs="Times New Roman"/>
                      <w:color w:val="auto"/>
                    </w:rPr>
                    <w:t>mg/L</w:t>
                  </w:r>
                </w:p>
              </w:tc>
              <w:tc>
                <w:tcPr>
                  <w:tcW w:w="1539"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51"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69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铜</w:t>
                  </w:r>
                </w:p>
              </w:tc>
              <w:tc>
                <w:tcPr>
                  <w:tcW w:w="1316"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≤1mg/L</w:t>
                  </w:r>
                </w:p>
              </w:tc>
              <w:tc>
                <w:tcPr>
                  <w:tcW w:w="1539"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51"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69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锌</w:t>
                  </w:r>
                </w:p>
              </w:tc>
              <w:tc>
                <w:tcPr>
                  <w:tcW w:w="1316"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≤1mg/L</w:t>
                  </w:r>
                </w:p>
              </w:tc>
              <w:tc>
                <w:tcPr>
                  <w:tcW w:w="1539"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51"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69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氟化物</w:t>
                  </w:r>
                </w:p>
              </w:tc>
              <w:tc>
                <w:tcPr>
                  <w:tcW w:w="1316"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≤1mg/L</w:t>
                  </w:r>
                </w:p>
              </w:tc>
              <w:tc>
                <w:tcPr>
                  <w:tcW w:w="1539"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51"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69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硒</w:t>
                  </w:r>
                </w:p>
              </w:tc>
              <w:tc>
                <w:tcPr>
                  <w:tcW w:w="1316"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≤0.01mg/L</w:t>
                  </w:r>
                </w:p>
              </w:tc>
              <w:tc>
                <w:tcPr>
                  <w:tcW w:w="1539"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51"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69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砷</w:t>
                  </w:r>
                </w:p>
              </w:tc>
              <w:tc>
                <w:tcPr>
                  <w:tcW w:w="1316"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≤0.05mg/L</w:t>
                  </w:r>
                </w:p>
              </w:tc>
              <w:tc>
                <w:tcPr>
                  <w:tcW w:w="1539"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51"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69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汞</w:t>
                  </w:r>
                </w:p>
              </w:tc>
              <w:tc>
                <w:tcPr>
                  <w:tcW w:w="1316"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≤0.000</w:t>
                  </w:r>
                  <w:r>
                    <w:rPr>
                      <w:rFonts w:hint="eastAsia" w:ascii="Times New Roman" w:hAnsi="Times New Roman" w:cs="Times New Roman"/>
                      <w:color w:val="auto"/>
                    </w:rPr>
                    <w:t>1</w:t>
                  </w:r>
                  <w:r>
                    <w:rPr>
                      <w:rFonts w:hint="default" w:ascii="Times New Roman" w:hAnsi="Times New Roman" w:cs="Times New Roman"/>
                      <w:color w:val="auto"/>
                    </w:rPr>
                    <w:t>mg/L</w:t>
                  </w:r>
                </w:p>
              </w:tc>
              <w:tc>
                <w:tcPr>
                  <w:tcW w:w="1539"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51"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69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镉</w:t>
                  </w:r>
                </w:p>
              </w:tc>
              <w:tc>
                <w:tcPr>
                  <w:tcW w:w="1316"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≤0.005mg/L</w:t>
                  </w:r>
                </w:p>
              </w:tc>
              <w:tc>
                <w:tcPr>
                  <w:tcW w:w="1539"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51"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69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铬（六价）</w:t>
                  </w:r>
                </w:p>
              </w:tc>
              <w:tc>
                <w:tcPr>
                  <w:tcW w:w="1316"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≤0.05mg/L</w:t>
                  </w:r>
                </w:p>
              </w:tc>
              <w:tc>
                <w:tcPr>
                  <w:tcW w:w="1539"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51"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69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铅</w:t>
                  </w:r>
                </w:p>
              </w:tc>
              <w:tc>
                <w:tcPr>
                  <w:tcW w:w="1316"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≤0.0</w:t>
                  </w:r>
                  <w:r>
                    <w:rPr>
                      <w:rFonts w:hint="eastAsia" w:ascii="Times New Roman" w:hAnsi="Times New Roman" w:cs="Times New Roman"/>
                      <w:color w:val="auto"/>
                    </w:rPr>
                    <w:t>5</w:t>
                  </w:r>
                  <w:r>
                    <w:rPr>
                      <w:rFonts w:hint="default" w:ascii="Times New Roman" w:hAnsi="Times New Roman" w:cs="Times New Roman"/>
                      <w:color w:val="auto"/>
                    </w:rPr>
                    <w:t>mg/L</w:t>
                  </w:r>
                </w:p>
              </w:tc>
              <w:tc>
                <w:tcPr>
                  <w:tcW w:w="1539"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51"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69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氰化物</w:t>
                  </w:r>
                </w:p>
              </w:tc>
              <w:tc>
                <w:tcPr>
                  <w:tcW w:w="1316"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≤0.</w:t>
                  </w:r>
                  <w:r>
                    <w:rPr>
                      <w:rFonts w:hint="eastAsia" w:ascii="Times New Roman" w:hAnsi="Times New Roman" w:cs="Times New Roman"/>
                      <w:color w:val="auto"/>
                    </w:rPr>
                    <w:t>2</w:t>
                  </w:r>
                  <w:r>
                    <w:rPr>
                      <w:rFonts w:hint="default" w:ascii="Times New Roman" w:hAnsi="Times New Roman" w:cs="Times New Roman"/>
                      <w:color w:val="auto"/>
                    </w:rPr>
                    <w:t>mg/L</w:t>
                  </w:r>
                </w:p>
              </w:tc>
              <w:tc>
                <w:tcPr>
                  <w:tcW w:w="1539"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51"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69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挥发酚</w:t>
                  </w:r>
                </w:p>
              </w:tc>
              <w:tc>
                <w:tcPr>
                  <w:tcW w:w="1316"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≤0.00</w:t>
                  </w:r>
                  <w:r>
                    <w:rPr>
                      <w:rFonts w:hint="eastAsia" w:ascii="Times New Roman" w:hAnsi="Times New Roman" w:cs="Times New Roman"/>
                      <w:color w:val="auto"/>
                    </w:rPr>
                    <w:t>5</w:t>
                  </w:r>
                  <w:r>
                    <w:rPr>
                      <w:rFonts w:hint="default" w:ascii="Times New Roman" w:hAnsi="Times New Roman" w:cs="Times New Roman"/>
                      <w:color w:val="auto"/>
                    </w:rPr>
                    <w:t>mg/L</w:t>
                  </w:r>
                </w:p>
              </w:tc>
              <w:tc>
                <w:tcPr>
                  <w:tcW w:w="1539"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51"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69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石油类</w:t>
                  </w:r>
                </w:p>
              </w:tc>
              <w:tc>
                <w:tcPr>
                  <w:tcW w:w="1316"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≤0.05mg/L</w:t>
                  </w:r>
                </w:p>
              </w:tc>
              <w:tc>
                <w:tcPr>
                  <w:tcW w:w="1539"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51"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69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阴离子表面活性剂</w:t>
                  </w:r>
                </w:p>
              </w:tc>
              <w:tc>
                <w:tcPr>
                  <w:tcW w:w="1316"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≤0.2mg/L</w:t>
                  </w:r>
                </w:p>
              </w:tc>
              <w:tc>
                <w:tcPr>
                  <w:tcW w:w="1539"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51"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69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硫化物</w:t>
                  </w:r>
                </w:p>
              </w:tc>
              <w:tc>
                <w:tcPr>
                  <w:tcW w:w="1316"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≤0.</w:t>
                  </w:r>
                  <w:r>
                    <w:rPr>
                      <w:rFonts w:hint="eastAsia" w:ascii="Times New Roman" w:hAnsi="Times New Roman" w:cs="Times New Roman"/>
                      <w:color w:val="auto"/>
                    </w:rPr>
                    <w:t>2</w:t>
                  </w:r>
                  <w:r>
                    <w:rPr>
                      <w:rFonts w:hint="default" w:ascii="Times New Roman" w:hAnsi="Times New Roman" w:cs="Times New Roman"/>
                      <w:color w:val="auto"/>
                    </w:rPr>
                    <w:t>mg/L</w:t>
                  </w:r>
                </w:p>
              </w:tc>
              <w:tc>
                <w:tcPr>
                  <w:tcW w:w="1539"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51"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69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粪大肠杆菌数</w:t>
                  </w:r>
                </w:p>
              </w:tc>
              <w:tc>
                <w:tcPr>
                  <w:tcW w:w="1316"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w:t>
                  </w:r>
                  <w:r>
                    <w:rPr>
                      <w:rFonts w:hint="eastAsia" w:ascii="Times New Roman" w:hAnsi="Times New Roman" w:cs="Times New Roman"/>
                      <w:color w:val="auto"/>
                    </w:rPr>
                    <w:t>10000</w:t>
                  </w:r>
                  <w:r>
                    <w:rPr>
                      <w:rFonts w:hint="default" w:ascii="Times New Roman" w:hAnsi="Times New Roman" w:cs="Times New Roman"/>
                      <w:color w:val="auto"/>
                    </w:rPr>
                    <w:t>个/L</w:t>
                  </w:r>
                </w:p>
              </w:tc>
              <w:tc>
                <w:tcPr>
                  <w:tcW w:w="1539"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bl>
          <w:p>
            <w:pPr>
              <w:pStyle w:val="4"/>
              <w:numPr>
                <w:ilvl w:val="1"/>
                <w:numId w:val="16"/>
              </w:numPr>
              <w:suppressLineNumbers w:val="0"/>
              <w:tabs>
                <w:tab w:val="left" w:pos="0"/>
              </w:tabs>
              <w:spacing w:before="0" w:after="0"/>
              <w:ind w:right="0" w:firstLine="482"/>
              <w:rPr>
                <w:rFonts w:hint="default" w:cs="Times New Roman"/>
                <w:color w:val="auto"/>
              </w:rPr>
            </w:pPr>
            <w:r>
              <w:rPr>
                <w:rFonts w:hint="eastAsia" w:cs="Times New Roman"/>
                <w:color w:val="auto"/>
              </w:rPr>
              <w:t>声环境质量</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 xml:space="preserve">评价范围内区域声环境执行《声环境质量标准》(GB3096-2008) </w:t>
            </w:r>
            <w:r>
              <w:rPr>
                <w:rFonts w:hint="eastAsia" w:cs="Times New Roman"/>
                <w:color w:val="auto"/>
                <w:lang w:val="en-US" w:eastAsia="zh-CN"/>
              </w:rPr>
              <w:t>2</w:t>
            </w:r>
            <w:r>
              <w:rPr>
                <w:rFonts w:hint="eastAsia" w:ascii="Times New Roman" w:hAnsi="Times New Roman" w:cs="Times New Roman"/>
                <w:color w:val="auto"/>
              </w:rPr>
              <w:t>类区标准。具体质量标准限值详见下表：</w:t>
            </w:r>
          </w:p>
          <w:p>
            <w:pPr>
              <w:pStyle w:val="35"/>
              <w:keepNext w:val="0"/>
              <w:keepLines w:val="0"/>
              <w:suppressLineNumbers w:val="0"/>
              <w:spacing w:before="0" w:beforeAutospacing="0" w:after="0" w:afterAutospacing="0"/>
              <w:ind w:right="0"/>
              <w:rPr>
                <w:rFonts w:hint="default" w:ascii="Times New Roman" w:hAnsi="Times New Roman" w:cs="Times New Roman"/>
                <w:color w:val="auto"/>
              </w:rPr>
            </w:pPr>
            <w:r>
              <w:rPr>
                <w:rFonts w:hint="eastAsia" w:ascii="Times New Roman" w:hAnsi="Times New Roman" w:cs="Times New Roman"/>
                <w:color w:val="auto"/>
              </w:rPr>
              <w:t>声环境质量标准</w:t>
            </w:r>
          </w:p>
          <w:tbl>
            <w:tblPr>
              <w:tblStyle w:val="20"/>
              <w:tblW w:w="80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30"/>
              <w:gridCol w:w="1531"/>
              <w:gridCol w:w="2381"/>
              <w:gridCol w:w="26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50"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类别</w:t>
                  </w:r>
                </w:p>
              </w:tc>
              <w:tc>
                <w:tcPr>
                  <w:tcW w:w="950"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污染物名称</w:t>
                  </w:r>
                </w:p>
              </w:tc>
              <w:tc>
                <w:tcPr>
                  <w:tcW w:w="1478"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标 准 值</w:t>
                  </w:r>
                </w:p>
              </w:tc>
              <w:tc>
                <w:tcPr>
                  <w:tcW w:w="1619"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50"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声环境</w:t>
                  </w:r>
                </w:p>
              </w:tc>
              <w:tc>
                <w:tcPr>
                  <w:tcW w:w="950"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等效连续A声级</w:t>
                  </w:r>
                </w:p>
              </w:tc>
              <w:tc>
                <w:tcPr>
                  <w:tcW w:w="1478"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昼间≤</w:t>
                  </w:r>
                  <w:r>
                    <w:rPr>
                      <w:rFonts w:hint="eastAsia" w:cs="Times New Roman"/>
                      <w:color w:val="auto"/>
                      <w:lang w:val="en-US" w:eastAsia="zh-CN"/>
                    </w:rPr>
                    <w:t>60</w:t>
                  </w:r>
                  <w:r>
                    <w:rPr>
                      <w:rFonts w:hint="eastAsia" w:ascii="Times New Roman" w:hAnsi="Times New Roman" w:cs="Times New Roman"/>
                      <w:color w:val="auto"/>
                    </w:rPr>
                    <w:t>dB(A)</w:t>
                  </w:r>
                </w:p>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夜间≤</w:t>
                  </w:r>
                  <w:r>
                    <w:rPr>
                      <w:rFonts w:hint="eastAsia" w:cs="Times New Roman"/>
                      <w:color w:val="auto"/>
                      <w:lang w:val="en-US" w:eastAsia="zh-CN"/>
                    </w:rPr>
                    <w:t>50</w:t>
                  </w:r>
                  <w:r>
                    <w:rPr>
                      <w:rFonts w:hint="eastAsia" w:ascii="Times New Roman" w:hAnsi="Times New Roman" w:cs="Times New Roman"/>
                      <w:color w:val="auto"/>
                    </w:rPr>
                    <w:t>dB(A)</w:t>
                  </w:r>
                </w:p>
              </w:tc>
              <w:tc>
                <w:tcPr>
                  <w:tcW w:w="1619"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《声环境质量标准》（GB3096-2008）</w:t>
                  </w:r>
                  <w:r>
                    <w:rPr>
                      <w:rFonts w:hint="eastAsia" w:cs="Times New Roman"/>
                      <w:color w:val="auto"/>
                      <w:lang w:val="en-US" w:eastAsia="zh-CN"/>
                    </w:rPr>
                    <w:t>2</w:t>
                  </w:r>
                  <w:r>
                    <w:rPr>
                      <w:rFonts w:hint="eastAsia" w:ascii="Times New Roman" w:hAnsi="Times New Roman" w:cs="Times New Roman"/>
                      <w:color w:val="auto"/>
                    </w:rPr>
                    <w:t>类区标准</w:t>
                  </w:r>
                </w:p>
              </w:tc>
            </w:tr>
          </w:tbl>
          <w:p>
            <w:pPr>
              <w:pStyle w:val="3"/>
              <w:keepLines w:val="0"/>
              <w:numPr>
                <w:ilvl w:val="0"/>
                <w:numId w:val="16"/>
              </w:numPr>
              <w:suppressLineNumbers w:val="0"/>
              <w:spacing w:before="120" w:beforeAutospacing="0" w:after="0" w:afterAutospacing="0"/>
              <w:ind w:right="0" w:firstLine="482"/>
              <w:rPr>
                <w:rFonts w:hint="default" w:ascii="Times New Roman" w:hAnsi="Times New Roman" w:cs="Times New Roman"/>
                <w:color w:val="auto"/>
              </w:rPr>
            </w:pPr>
            <w:r>
              <w:rPr>
                <w:rFonts w:hint="eastAsia" w:ascii="Times New Roman" w:hAnsi="Times New Roman" w:cs="Times New Roman"/>
                <w:color w:val="auto"/>
              </w:rPr>
              <w:t>污染物排放标准</w:t>
            </w:r>
          </w:p>
          <w:p>
            <w:pPr>
              <w:pStyle w:val="4"/>
              <w:numPr>
                <w:ilvl w:val="1"/>
                <w:numId w:val="16"/>
              </w:numPr>
              <w:suppressLineNumbers w:val="0"/>
              <w:tabs>
                <w:tab w:val="left" w:pos="0"/>
              </w:tabs>
              <w:spacing w:before="0" w:after="0"/>
              <w:ind w:right="0" w:firstLine="482"/>
              <w:rPr>
                <w:rFonts w:hint="default" w:cs="Times New Roman"/>
                <w:color w:val="auto"/>
              </w:rPr>
            </w:pPr>
            <w:r>
              <w:rPr>
                <w:rFonts w:hint="eastAsia" w:cs="Times New Roman"/>
                <w:color w:val="auto"/>
              </w:rPr>
              <w:t>大气污染物排放标准</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施工期颗粒物的排放执行扬尘排放执行《施工场地扬尘排放标准》（DB 13/ 2934—2019）表1中扬尘排放浓度限值。运行期食堂油烟执行《饮食业油烟排放标准（试行）》（GB18483-2001）中表2中的小型最高允许排放浓度和最低去除效率的要求；氨、硫化氢、臭气浓度执行《恶臭污染物排放标准》(GB14554-93)表1恶臭污染物厂界标准值。具体标准限值详见下表：</w:t>
            </w:r>
          </w:p>
          <w:p>
            <w:pPr>
              <w:pStyle w:val="35"/>
              <w:keepNext w:val="0"/>
              <w:keepLines w:val="0"/>
              <w:suppressLineNumbers w:val="0"/>
              <w:spacing w:before="0" w:beforeAutospacing="0" w:after="0" w:afterAutospacing="0"/>
              <w:ind w:right="0"/>
              <w:rPr>
                <w:rFonts w:hint="default" w:ascii="Times New Roman" w:hAnsi="Times New Roman" w:cs="Times New Roman"/>
                <w:color w:val="auto"/>
              </w:rPr>
            </w:pPr>
            <w:r>
              <w:rPr>
                <w:rFonts w:hint="eastAsia" w:ascii="Times New Roman" w:hAnsi="Times New Roman" w:cs="Times New Roman"/>
                <w:color w:val="auto"/>
              </w:rPr>
              <w:t>大气污染物排放标准</w:t>
            </w:r>
          </w:p>
          <w:tbl>
            <w:tblPr>
              <w:tblStyle w:val="20"/>
              <w:tblW w:w="793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0"/>
              <w:gridCol w:w="1425"/>
              <w:gridCol w:w="1035"/>
              <w:gridCol w:w="2778"/>
              <w:gridCol w:w="15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110"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类别</w:t>
                  </w:r>
                </w:p>
              </w:tc>
              <w:tc>
                <w:tcPr>
                  <w:tcW w:w="1425"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排放类型</w:t>
                  </w:r>
                </w:p>
              </w:tc>
              <w:tc>
                <w:tcPr>
                  <w:tcW w:w="1035"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污染因子</w:t>
                  </w:r>
                </w:p>
              </w:tc>
              <w:tc>
                <w:tcPr>
                  <w:tcW w:w="2778"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标准</w:t>
                  </w:r>
                </w:p>
              </w:tc>
              <w:tc>
                <w:tcPr>
                  <w:tcW w:w="1587"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110" w:type="dxa"/>
                  <w:vMerge w:val="restar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废气</w:t>
                  </w:r>
                </w:p>
              </w:tc>
              <w:tc>
                <w:tcPr>
                  <w:tcW w:w="1425"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无组织排放</w:t>
                  </w:r>
                </w:p>
              </w:tc>
              <w:tc>
                <w:tcPr>
                  <w:tcW w:w="1035"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PM</w:t>
                  </w:r>
                  <w:r>
                    <w:rPr>
                      <w:rFonts w:hint="eastAsia" w:ascii="Times New Roman" w:hAnsi="Times New Roman" w:cs="Times New Roman"/>
                      <w:color w:val="auto"/>
                      <w:vertAlign w:val="subscript"/>
                    </w:rPr>
                    <w:t>10</w:t>
                  </w:r>
                </w:p>
              </w:tc>
              <w:tc>
                <w:tcPr>
                  <w:tcW w:w="2778"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≤80ug/m</w:t>
                  </w:r>
                  <w:r>
                    <w:rPr>
                      <w:rFonts w:hint="eastAsia" w:ascii="Times New Roman" w:hAnsi="Times New Roman" w:cs="Times New Roman"/>
                      <w:color w:val="auto"/>
                      <w:vertAlign w:val="superscript"/>
                    </w:rPr>
                    <w:t>3</w:t>
                  </w:r>
                  <w:r>
                    <w:rPr>
                      <w:rFonts w:hint="eastAsia" w:ascii="Times New Roman" w:hAnsi="Times New Roman" w:cs="Times New Roman"/>
                      <w:color w:val="auto"/>
                    </w:rPr>
                    <w:t>（监测点PM</w:t>
                  </w:r>
                  <w:r>
                    <w:rPr>
                      <w:rFonts w:hint="eastAsia" w:ascii="Times New Roman" w:hAnsi="Times New Roman" w:cs="Times New Roman"/>
                      <w:color w:val="auto"/>
                      <w:vertAlign w:val="subscript"/>
                    </w:rPr>
                    <w:t>10</w:t>
                  </w:r>
                  <w:r>
                    <w:rPr>
                      <w:rFonts w:hint="eastAsia" w:ascii="Times New Roman" w:hAnsi="Times New Roman" w:cs="Times New Roman"/>
                      <w:color w:val="auto"/>
                    </w:rPr>
                    <w:t>小时平均浓度实测值与同时段所属县（市、区）PM</w:t>
                  </w:r>
                  <w:r>
                    <w:rPr>
                      <w:rFonts w:hint="eastAsia" w:ascii="Times New Roman" w:hAnsi="Times New Roman" w:cs="Times New Roman"/>
                      <w:color w:val="auto"/>
                      <w:vertAlign w:val="subscript"/>
                    </w:rPr>
                    <w:t>10</w:t>
                  </w:r>
                  <w:r>
                    <w:rPr>
                      <w:rFonts w:hint="eastAsia" w:ascii="Times New Roman" w:hAnsi="Times New Roman" w:cs="Times New Roman"/>
                      <w:color w:val="auto"/>
                    </w:rPr>
                    <w:t>小时平均浓度的差值。当县（市、区）PM</w:t>
                  </w:r>
                  <w:r>
                    <w:rPr>
                      <w:rFonts w:hint="eastAsia" w:ascii="Times New Roman" w:hAnsi="Times New Roman" w:cs="Times New Roman"/>
                      <w:color w:val="auto"/>
                      <w:vertAlign w:val="subscript"/>
                    </w:rPr>
                    <w:t>10</w:t>
                  </w:r>
                  <w:r>
                    <w:rPr>
                      <w:rFonts w:hint="eastAsia" w:ascii="Times New Roman" w:hAnsi="Times New Roman" w:cs="Times New Roman"/>
                      <w:color w:val="auto"/>
                    </w:rPr>
                    <w:t>小时平均浓度值大于150µg/m</w:t>
                  </w:r>
                  <w:r>
                    <w:rPr>
                      <w:rFonts w:hint="eastAsia" w:ascii="Times New Roman" w:hAnsi="Times New Roman" w:cs="Times New Roman"/>
                      <w:color w:val="auto"/>
                      <w:vertAlign w:val="superscript"/>
                    </w:rPr>
                    <w:t>3</w:t>
                  </w:r>
                  <w:r>
                    <w:rPr>
                      <w:rFonts w:hint="eastAsia" w:ascii="Times New Roman" w:hAnsi="Times New Roman" w:cs="Times New Roman"/>
                      <w:color w:val="auto"/>
                    </w:rPr>
                    <w:t>时，以150µg/m</w:t>
                  </w:r>
                  <w:r>
                    <w:rPr>
                      <w:rFonts w:hint="eastAsia" w:ascii="Times New Roman" w:hAnsi="Times New Roman" w:cs="Times New Roman"/>
                      <w:color w:val="auto"/>
                      <w:vertAlign w:val="superscript"/>
                    </w:rPr>
                    <w:t>3</w:t>
                  </w:r>
                  <w:r>
                    <w:rPr>
                      <w:rFonts w:hint="eastAsia" w:ascii="Times New Roman" w:hAnsi="Times New Roman" w:cs="Times New Roman"/>
                      <w:color w:val="auto"/>
                    </w:rPr>
                    <w:t>计），达标判定依据≤2次/天。</w:t>
                  </w:r>
                </w:p>
              </w:tc>
              <w:tc>
                <w:tcPr>
                  <w:tcW w:w="1587"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《施工场地扬尘排放标准》（DB 13/2934—2019）表1中扬尘排放浓度限值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110" w:type="dxa"/>
                  <w:vMerge w:val="continue"/>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p>
              </w:tc>
              <w:tc>
                <w:tcPr>
                  <w:tcW w:w="1425" w:type="dxa"/>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有组织</w:t>
                  </w:r>
                </w:p>
              </w:tc>
              <w:tc>
                <w:tcPr>
                  <w:tcW w:w="1035" w:type="dxa"/>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default" w:ascii="Times New Roman" w:hAnsi="Times New Roman" w:cs="Times New Roman"/>
                      <w:color w:val="auto"/>
                    </w:rPr>
                    <w:t>食堂油烟</w:t>
                  </w:r>
                </w:p>
              </w:tc>
              <w:tc>
                <w:tcPr>
                  <w:tcW w:w="2778" w:type="dxa"/>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default" w:ascii="Times New Roman" w:hAnsi="Times New Roman" w:cs="Times New Roman"/>
                      <w:color w:val="auto"/>
                    </w:rPr>
                    <w:t>2mg/m</w:t>
                  </w:r>
                  <w:r>
                    <w:rPr>
                      <w:rFonts w:hint="default" w:ascii="Times New Roman" w:hAnsi="Times New Roman" w:cs="Times New Roman"/>
                      <w:color w:val="auto"/>
                      <w:vertAlign w:val="superscript"/>
                    </w:rPr>
                    <w:t>3</w:t>
                  </w:r>
                  <w:r>
                    <w:rPr>
                      <w:rFonts w:hint="default" w:ascii="Times New Roman" w:hAnsi="Times New Roman" w:cs="Times New Roman"/>
                      <w:color w:val="auto"/>
                    </w:rPr>
                    <w:t>（去除效率不低于</w:t>
                  </w:r>
                  <w:r>
                    <w:rPr>
                      <w:rFonts w:hint="eastAsia" w:ascii="Times New Roman" w:hAnsi="Times New Roman" w:cs="Times New Roman"/>
                      <w:color w:val="auto"/>
                    </w:rPr>
                    <w:t>60</w:t>
                  </w:r>
                  <w:r>
                    <w:rPr>
                      <w:rFonts w:hint="default" w:ascii="Times New Roman" w:hAnsi="Times New Roman" w:cs="Times New Roman"/>
                      <w:color w:val="auto"/>
                    </w:rPr>
                    <w:t>%）</w:t>
                  </w:r>
                </w:p>
              </w:tc>
              <w:tc>
                <w:tcPr>
                  <w:tcW w:w="1587" w:type="dxa"/>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default" w:ascii="Times New Roman" w:hAnsi="Times New Roman" w:cs="Times New Roman"/>
                      <w:color w:val="auto"/>
                    </w:rPr>
                    <w:t>《饮食业油烟排放标准（试行）》（GB18483-2001）中表2中的</w:t>
                  </w:r>
                  <w:r>
                    <w:rPr>
                      <w:rFonts w:hint="eastAsia" w:ascii="Times New Roman" w:hAnsi="Times New Roman" w:cs="Times New Roman"/>
                      <w:color w:val="auto"/>
                    </w:rPr>
                    <w:t>小</w:t>
                  </w:r>
                  <w:r>
                    <w:rPr>
                      <w:rFonts w:hint="default" w:ascii="Times New Roman" w:hAnsi="Times New Roman" w:cs="Times New Roman"/>
                      <w:color w:val="auto"/>
                    </w:rPr>
                    <w:t>型最高允许排放浓度和最低去除效率的要求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110" w:type="dxa"/>
                  <w:vMerge w:val="continue"/>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p>
              </w:tc>
              <w:tc>
                <w:tcPr>
                  <w:tcW w:w="1425" w:type="dxa"/>
                  <w:vMerge w:val="restar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无组织</w:t>
                  </w:r>
                </w:p>
              </w:tc>
              <w:tc>
                <w:tcPr>
                  <w:tcW w:w="1035" w:type="dxa"/>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氨</w:t>
                  </w:r>
                </w:p>
              </w:tc>
              <w:tc>
                <w:tcPr>
                  <w:tcW w:w="2778" w:type="dxa"/>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1.5</w:t>
                  </w:r>
                  <w:r>
                    <w:rPr>
                      <w:rFonts w:hint="default" w:ascii="Times New Roman" w:hAnsi="Times New Roman" w:cs="Times New Roman"/>
                      <w:color w:val="auto"/>
                    </w:rPr>
                    <w:t>mg/m</w:t>
                  </w:r>
                  <w:r>
                    <w:rPr>
                      <w:rFonts w:hint="default" w:ascii="Times New Roman" w:hAnsi="Times New Roman" w:cs="Times New Roman"/>
                      <w:color w:val="auto"/>
                      <w:vertAlign w:val="superscript"/>
                    </w:rPr>
                    <w:t>3</w:t>
                  </w:r>
                </w:p>
              </w:tc>
              <w:tc>
                <w:tcPr>
                  <w:tcW w:w="1587" w:type="dxa"/>
                  <w:vMerge w:val="restar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《恶臭污染物排放标准》(GB14554-93)表1恶臭污染物厂界标准值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110" w:type="dxa"/>
                  <w:vMerge w:val="continue"/>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p>
              </w:tc>
              <w:tc>
                <w:tcPr>
                  <w:tcW w:w="1425" w:type="dxa"/>
                  <w:vMerge w:val="continue"/>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p>
              </w:tc>
              <w:tc>
                <w:tcPr>
                  <w:tcW w:w="1035" w:type="dxa"/>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硫化氢</w:t>
                  </w:r>
                </w:p>
              </w:tc>
              <w:tc>
                <w:tcPr>
                  <w:tcW w:w="2778" w:type="dxa"/>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0.06</w:t>
                  </w:r>
                  <w:r>
                    <w:rPr>
                      <w:rFonts w:hint="default" w:ascii="Times New Roman" w:hAnsi="Times New Roman" w:cs="Times New Roman"/>
                      <w:color w:val="auto"/>
                    </w:rPr>
                    <w:t>mg/m</w:t>
                  </w:r>
                  <w:r>
                    <w:rPr>
                      <w:rFonts w:hint="default" w:ascii="Times New Roman" w:hAnsi="Times New Roman" w:cs="Times New Roman"/>
                      <w:color w:val="auto"/>
                      <w:vertAlign w:val="superscript"/>
                    </w:rPr>
                    <w:t>3</w:t>
                  </w:r>
                </w:p>
              </w:tc>
              <w:tc>
                <w:tcPr>
                  <w:tcW w:w="1587" w:type="dxa"/>
                  <w:vMerge w:val="continue"/>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110" w:type="dxa"/>
                  <w:vMerge w:val="continue"/>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p>
              </w:tc>
              <w:tc>
                <w:tcPr>
                  <w:tcW w:w="1425" w:type="dxa"/>
                  <w:vMerge w:val="continue"/>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p>
              </w:tc>
              <w:tc>
                <w:tcPr>
                  <w:tcW w:w="1035" w:type="dxa"/>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臭气浓度</w:t>
                  </w:r>
                </w:p>
              </w:tc>
              <w:tc>
                <w:tcPr>
                  <w:tcW w:w="2778" w:type="dxa"/>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default" w:ascii="Times New Roman" w:hAnsi="Times New Roman" w:cs="Times New Roman"/>
                      <w:color w:val="auto"/>
                    </w:rPr>
                    <w:t>20（无量纲）</w:t>
                  </w:r>
                </w:p>
              </w:tc>
              <w:tc>
                <w:tcPr>
                  <w:tcW w:w="1587" w:type="dxa"/>
                  <w:vMerge w:val="continue"/>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p>
              </w:tc>
            </w:tr>
          </w:tbl>
          <w:p>
            <w:pPr>
              <w:pStyle w:val="4"/>
              <w:suppressLineNumbers w:val="0"/>
              <w:spacing w:before="0" w:after="0"/>
              <w:ind w:left="0" w:right="0" w:firstLine="482"/>
              <w:rPr>
                <w:rFonts w:hint="default" w:cs="Times New Roman"/>
                <w:color w:val="auto"/>
              </w:rPr>
            </w:pPr>
            <w:r>
              <w:rPr>
                <w:rFonts w:hint="eastAsia" w:cs="Times New Roman"/>
                <w:color w:val="auto"/>
              </w:rPr>
              <w:t xml:space="preserve">废水排放标准 </w:t>
            </w:r>
          </w:p>
          <w:p>
            <w:pPr>
              <w:keepNext w:val="0"/>
              <w:keepLines w:val="0"/>
              <w:suppressLineNumbers w:val="0"/>
              <w:autoSpaceDE w:val="0"/>
              <w:spacing w:before="0" w:beforeAutospacing="0" w:after="0" w:afterAutospacing="0"/>
              <w:ind w:left="0" w:right="0" w:firstLine="480"/>
              <w:rPr>
                <w:rFonts w:hint="eastAsia" w:ascii="Times New Roman" w:hAnsi="Times New Roman" w:cs="Times New Roman"/>
                <w:color w:val="auto"/>
                <w:kern w:val="0"/>
              </w:rPr>
            </w:pPr>
            <w:r>
              <w:rPr>
                <w:rFonts w:hint="eastAsia" w:ascii="宋体" w:hAnsi="宋体" w:cs="宋体"/>
                <w:color w:val="auto"/>
                <w:kern w:val="0"/>
                <w:lang w:bidi="ar"/>
              </w:rPr>
              <w:t>一体化污水处理设施出水水质执行《城市污水再生利用</w:t>
            </w:r>
            <w:r>
              <w:rPr>
                <w:rFonts w:hint="eastAsia" w:ascii="Times New Roman" w:hAnsi="Times New Roman" w:cs="Times New Roman"/>
                <w:color w:val="auto"/>
                <w:kern w:val="0"/>
                <w:lang w:bidi="ar"/>
              </w:rPr>
              <w:t xml:space="preserve"> </w:t>
            </w:r>
            <w:r>
              <w:rPr>
                <w:rFonts w:hint="eastAsia" w:ascii="宋体" w:hAnsi="宋体" w:cs="宋体"/>
                <w:color w:val="auto"/>
                <w:kern w:val="0"/>
                <w:lang w:bidi="ar"/>
              </w:rPr>
              <w:t>城市杂用水水质》（</w:t>
            </w:r>
            <w:r>
              <w:rPr>
                <w:rFonts w:hint="default" w:ascii="Times New Roman" w:hAnsi="Times New Roman" w:cs="Times New Roman"/>
                <w:color w:val="auto"/>
                <w:kern w:val="0"/>
                <w:lang w:bidi="ar"/>
              </w:rPr>
              <w:t>GB/T18920-2020</w:t>
            </w:r>
            <w:r>
              <w:rPr>
                <w:rFonts w:hint="eastAsia" w:ascii="宋体" w:hAnsi="宋体" w:cs="宋体"/>
                <w:color w:val="auto"/>
                <w:kern w:val="0"/>
                <w:lang w:bidi="ar"/>
              </w:rPr>
              <w:t>）中水质标准。</w:t>
            </w:r>
          </w:p>
          <w:p>
            <w:pPr>
              <w:pStyle w:val="35"/>
              <w:keepNext w:val="0"/>
              <w:keepLines w:val="0"/>
              <w:suppressLineNumbers w:val="0"/>
              <w:spacing w:before="0" w:beforeAutospacing="0" w:after="0" w:afterAutospacing="0"/>
              <w:ind w:right="0"/>
              <w:rPr>
                <w:rFonts w:hint="default" w:ascii="Times New Roman" w:hAnsi="Times New Roman" w:cs="Times New Roman"/>
                <w:color w:val="auto"/>
                <w:szCs w:val="21"/>
              </w:rPr>
            </w:pPr>
            <w:r>
              <w:rPr>
                <w:rFonts w:hint="eastAsia" w:ascii="宋体" w:hAnsi="宋体" w:cs="宋体"/>
                <w:color w:val="auto"/>
                <w:szCs w:val="21"/>
                <w:lang w:bidi="ar"/>
              </w:rPr>
              <w:t>城市杂用水水质标准</w:t>
            </w:r>
          </w:p>
          <w:tbl>
            <w:tblPr>
              <w:tblStyle w:val="2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81"/>
              <w:gridCol w:w="2283"/>
              <w:gridCol w:w="35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8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b/>
                      <w:bCs/>
                      <w:color w:val="auto"/>
                    </w:rPr>
                  </w:pPr>
                  <w:r>
                    <w:rPr>
                      <w:rFonts w:hint="eastAsia" w:ascii="Times New Roman" w:hAnsi="Times New Roman" w:cs="Times New Roman"/>
                      <w:b/>
                      <w:bCs/>
                      <w:color w:val="auto"/>
                    </w:rPr>
                    <w:t>污染物</w:t>
                  </w:r>
                </w:p>
              </w:tc>
              <w:tc>
                <w:tcPr>
                  <w:tcW w:w="2394"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b/>
                      <w:bCs/>
                      <w:color w:val="auto"/>
                    </w:rPr>
                  </w:pPr>
                  <w:r>
                    <w:rPr>
                      <w:rFonts w:hint="eastAsia" w:ascii="Times New Roman" w:hAnsi="Times New Roman" w:cs="Times New Roman"/>
                      <w:b/>
                      <w:bCs/>
                      <w:color w:val="auto"/>
                    </w:rPr>
                    <w:t>单位</w:t>
                  </w:r>
                </w:p>
              </w:tc>
              <w:tc>
                <w:tcPr>
                  <w:tcW w:w="374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城市绿化、道路清扫、消防、建筑施工标准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8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pH</w:t>
                  </w:r>
                </w:p>
              </w:tc>
              <w:tc>
                <w:tcPr>
                  <w:tcW w:w="2394"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无量纲</w:t>
                  </w:r>
                </w:p>
              </w:tc>
              <w:tc>
                <w:tcPr>
                  <w:tcW w:w="374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8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色度</w:t>
                  </w:r>
                </w:p>
              </w:tc>
              <w:tc>
                <w:tcPr>
                  <w:tcW w:w="2394"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铂钴色度单位</w:t>
                  </w:r>
                </w:p>
              </w:tc>
              <w:tc>
                <w:tcPr>
                  <w:tcW w:w="374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8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嗅</w:t>
                  </w:r>
                </w:p>
              </w:tc>
              <w:tc>
                <w:tcPr>
                  <w:tcW w:w="2394"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无量纲</w:t>
                  </w:r>
                </w:p>
              </w:tc>
              <w:tc>
                <w:tcPr>
                  <w:tcW w:w="374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无不快感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8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浊度</w:t>
                  </w:r>
                </w:p>
              </w:tc>
              <w:tc>
                <w:tcPr>
                  <w:tcW w:w="2394"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NTU</w:t>
                  </w:r>
                </w:p>
              </w:tc>
              <w:tc>
                <w:tcPr>
                  <w:tcW w:w="374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8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COD</w:t>
                  </w:r>
                </w:p>
              </w:tc>
              <w:tc>
                <w:tcPr>
                  <w:tcW w:w="2394"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mg/L</w:t>
                  </w:r>
                </w:p>
              </w:tc>
              <w:tc>
                <w:tcPr>
                  <w:tcW w:w="374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8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BOD</w:t>
                  </w:r>
                  <w:r>
                    <w:rPr>
                      <w:rFonts w:hint="default" w:ascii="Times New Roman" w:hAnsi="Times New Roman" w:cs="Times New Roman"/>
                      <w:color w:val="auto"/>
                      <w:vertAlign w:val="subscript"/>
                    </w:rPr>
                    <w:t>5</w:t>
                  </w:r>
                </w:p>
              </w:tc>
              <w:tc>
                <w:tcPr>
                  <w:tcW w:w="2394"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mg/L</w:t>
                  </w:r>
                </w:p>
              </w:tc>
              <w:tc>
                <w:tcPr>
                  <w:tcW w:w="374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8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NH</w:t>
                  </w:r>
                  <w:r>
                    <w:rPr>
                      <w:rFonts w:hint="default" w:ascii="Times New Roman" w:hAnsi="Times New Roman" w:cs="Times New Roman"/>
                      <w:color w:val="auto"/>
                      <w:vertAlign w:val="subscript"/>
                    </w:rPr>
                    <w:t>3</w:t>
                  </w:r>
                  <w:r>
                    <w:rPr>
                      <w:rFonts w:hint="default" w:ascii="Times New Roman" w:hAnsi="Times New Roman" w:cs="Times New Roman"/>
                      <w:color w:val="auto"/>
                    </w:rPr>
                    <w:t>-N</w:t>
                  </w:r>
                </w:p>
              </w:tc>
              <w:tc>
                <w:tcPr>
                  <w:tcW w:w="2394"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mg/L</w:t>
                  </w:r>
                </w:p>
              </w:tc>
              <w:tc>
                <w:tcPr>
                  <w:tcW w:w="374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8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阴离子表面活性剂</w:t>
                  </w:r>
                </w:p>
              </w:tc>
              <w:tc>
                <w:tcPr>
                  <w:tcW w:w="2394"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mg/L</w:t>
                  </w:r>
                </w:p>
              </w:tc>
              <w:tc>
                <w:tcPr>
                  <w:tcW w:w="374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8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溶解性总固体</w:t>
                  </w:r>
                </w:p>
              </w:tc>
              <w:tc>
                <w:tcPr>
                  <w:tcW w:w="2394"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mg/L</w:t>
                  </w:r>
                </w:p>
              </w:tc>
              <w:tc>
                <w:tcPr>
                  <w:tcW w:w="374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8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溶解氧</w:t>
                  </w:r>
                </w:p>
              </w:tc>
              <w:tc>
                <w:tcPr>
                  <w:tcW w:w="2394"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mg/L</w:t>
                  </w:r>
                </w:p>
              </w:tc>
              <w:tc>
                <w:tcPr>
                  <w:tcW w:w="374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8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总氯</w:t>
                  </w:r>
                </w:p>
              </w:tc>
              <w:tc>
                <w:tcPr>
                  <w:tcW w:w="2394"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mg/L</w:t>
                  </w:r>
                </w:p>
              </w:tc>
              <w:tc>
                <w:tcPr>
                  <w:tcW w:w="374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8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大肠埃希氏菌</w:t>
                  </w:r>
                </w:p>
              </w:tc>
              <w:tc>
                <w:tcPr>
                  <w:tcW w:w="2394"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MPN/100mL</w:t>
                  </w:r>
                </w:p>
              </w:tc>
              <w:tc>
                <w:tcPr>
                  <w:tcW w:w="374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无</w:t>
                  </w:r>
                </w:p>
              </w:tc>
            </w:tr>
          </w:tbl>
          <w:p>
            <w:pPr>
              <w:pStyle w:val="4"/>
              <w:numPr>
                <w:ilvl w:val="1"/>
                <w:numId w:val="16"/>
              </w:numPr>
              <w:suppressLineNumbers w:val="0"/>
              <w:tabs>
                <w:tab w:val="left" w:pos="0"/>
              </w:tabs>
              <w:spacing w:before="0" w:after="0"/>
              <w:ind w:right="0" w:firstLine="482"/>
              <w:rPr>
                <w:rFonts w:hint="default" w:cs="Times New Roman"/>
                <w:color w:val="auto"/>
              </w:rPr>
            </w:pPr>
            <w:r>
              <w:rPr>
                <w:rFonts w:hint="eastAsia" w:cs="Times New Roman"/>
                <w:color w:val="auto"/>
              </w:rPr>
              <w:t>噪声排放标准</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施工期噪声执行《建筑施工场界环境噪声排放标准》（GB12523-2011）表1排放限值；运营期升压站厂界噪声执行《工业企业厂界环境噪声排放标准》（GB12348-2008）</w:t>
            </w:r>
            <w:r>
              <w:rPr>
                <w:rFonts w:hint="eastAsia" w:cs="Times New Roman"/>
                <w:color w:val="auto"/>
                <w:lang w:val="en-US" w:eastAsia="zh-CN"/>
              </w:rPr>
              <w:t>2</w:t>
            </w:r>
            <w:r>
              <w:rPr>
                <w:rFonts w:hint="eastAsia" w:ascii="Times New Roman" w:hAnsi="Times New Roman" w:cs="Times New Roman"/>
                <w:color w:val="auto"/>
              </w:rPr>
              <w:t>类标准。</w:t>
            </w:r>
          </w:p>
          <w:p>
            <w:pPr>
              <w:pStyle w:val="35"/>
              <w:keepNext w:val="0"/>
              <w:keepLines w:val="0"/>
              <w:suppressLineNumbers w:val="0"/>
              <w:spacing w:before="0" w:beforeAutospacing="0" w:after="0" w:afterAutospacing="0"/>
              <w:ind w:right="0"/>
              <w:rPr>
                <w:rFonts w:hint="default" w:ascii="Times New Roman" w:hAnsi="Times New Roman" w:cs="Times New Roman"/>
                <w:color w:val="auto"/>
              </w:rPr>
            </w:pPr>
            <w:r>
              <w:rPr>
                <w:rFonts w:hint="eastAsia" w:ascii="Times New Roman" w:hAnsi="Times New Roman" w:cs="Times New Roman"/>
                <w:color w:val="auto"/>
              </w:rPr>
              <w:t>施工期噪声排放标准</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5"/>
              <w:gridCol w:w="2010"/>
              <w:gridCol w:w="2160"/>
              <w:gridCol w:w="28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5"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类别</w:t>
                  </w:r>
                </w:p>
              </w:tc>
              <w:tc>
                <w:tcPr>
                  <w:tcW w:w="2010"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排放类型</w:t>
                  </w:r>
                </w:p>
              </w:tc>
              <w:tc>
                <w:tcPr>
                  <w:tcW w:w="2160"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标准限值</w:t>
                  </w:r>
                </w:p>
              </w:tc>
              <w:tc>
                <w:tcPr>
                  <w:tcW w:w="2881"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5" w:type="dxa"/>
                  <w:vMerge w:val="restar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噪声</w:t>
                  </w:r>
                </w:p>
              </w:tc>
              <w:tc>
                <w:tcPr>
                  <w:tcW w:w="2010" w:type="dxa"/>
                  <w:vMerge w:val="restar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等效连续A声级</w:t>
                  </w:r>
                </w:p>
              </w:tc>
              <w:tc>
                <w:tcPr>
                  <w:tcW w:w="2160"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昼间≤70dB(A)</w:t>
                  </w:r>
                </w:p>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夜间≤55dB(A)</w:t>
                  </w:r>
                </w:p>
              </w:tc>
              <w:tc>
                <w:tcPr>
                  <w:tcW w:w="2881"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《建筑施工场界环境噪声排放标准》（GB12523-2011）标准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85" w:type="dxa"/>
                  <w:vMerge w:val="continue"/>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p>
              </w:tc>
              <w:tc>
                <w:tcPr>
                  <w:tcW w:w="2010" w:type="dxa"/>
                  <w:vMerge w:val="continue"/>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p>
              </w:tc>
              <w:tc>
                <w:tcPr>
                  <w:tcW w:w="2160"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昼间≤</w:t>
                  </w:r>
                  <w:r>
                    <w:rPr>
                      <w:rFonts w:hint="eastAsia" w:cs="Times New Roman"/>
                      <w:color w:val="auto"/>
                      <w:lang w:val="en-US" w:eastAsia="zh-CN"/>
                    </w:rPr>
                    <w:t>60</w:t>
                  </w:r>
                  <w:r>
                    <w:rPr>
                      <w:rFonts w:hint="default" w:ascii="Times New Roman" w:hAnsi="Times New Roman" w:cs="Times New Roman"/>
                      <w:color w:val="auto"/>
                    </w:rPr>
                    <w:t>dB(A)</w:t>
                  </w:r>
                </w:p>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default" w:ascii="Times New Roman" w:hAnsi="Times New Roman" w:cs="Times New Roman"/>
                      <w:color w:val="auto"/>
                    </w:rPr>
                    <w:t>夜间≤</w:t>
                  </w:r>
                  <w:r>
                    <w:rPr>
                      <w:rFonts w:hint="eastAsia" w:cs="Times New Roman"/>
                      <w:color w:val="auto"/>
                      <w:lang w:val="en-US" w:eastAsia="zh-CN"/>
                    </w:rPr>
                    <w:t>50</w:t>
                  </w:r>
                  <w:r>
                    <w:rPr>
                      <w:rFonts w:hint="default" w:ascii="Times New Roman" w:hAnsi="Times New Roman" w:cs="Times New Roman"/>
                      <w:color w:val="auto"/>
                    </w:rPr>
                    <w:t>dB(A)</w:t>
                  </w:r>
                </w:p>
              </w:tc>
              <w:tc>
                <w:tcPr>
                  <w:tcW w:w="2881" w:type="dxa"/>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default" w:ascii="Times New Roman" w:hAnsi="Times New Roman" w:cs="Times New Roman"/>
                      <w:color w:val="auto"/>
                    </w:rPr>
                    <w:t>《工业企业厂界环境噪声排放标准》（GB12348-2008）</w:t>
                  </w:r>
                  <w:r>
                    <w:rPr>
                      <w:rFonts w:hint="eastAsia" w:cs="Times New Roman"/>
                      <w:color w:val="auto"/>
                      <w:lang w:val="en-US" w:eastAsia="zh-CN"/>
                    </w:rPr>
                    <w:t>2</w:t>
                  </w:r>
                  <w:r>
                    <w:rPr>
                      <w:rFonts w:hint="default" w:ascii="Times New Roman" w:hAnsi="Times New Roman" w:cs="Times New Roman"/>
                      <w:color w:val="auto"/>
                    </w:rPr>
                    <w:t>类</w:t>
                  </w:r>
                  <w:r>
                    <w:rPr>
                      <w:rFonts w:hint="eastAsia" w:ascii="Times New Roman" w:hAnsi="Times New Roman" w:cs="Times New Roman"/>
                      <w:color w:val="auto"/>
                    </w:rPr>
                    <w:t>标准</w:t>
                  </w:r>
                </w:p>
              </w:tc>
            </w:tr>
          </w:tbl>
          <w:p>
            <w:pPr>
              <w:pStyle w:val="4"/>
              <w:numPr>
                <w:ilvl w:val="1"/>
                <w:numId w:val="16"/>
              </w:numPr>
              <w:suppressLineNumbers w:val="0"/>
              <w:tabs>
                <w:tab w:val="left" w:pos="0"/>
              </w:tabs>
              <w:spacing w:before="0" w:after="0"/>
              <w:ind w:right="0" w:firstLine="482"/>
              <w:rPr>
                <w:rFonts w:hint="default" w:cs="Times New Roman"/>
                <w:color w:val="auto"/>
              </w:rPr>
            </w:pPr>
            <w:r>
              <w:rPr>
                <w:rFonts w:hint="eastAsia" w:cs="Times New Roman"/>
                <w:color w:val="auto"/>
              </w:rPr>
              <w:t>固体废物控制标准</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一般固体废物执行《一般工业固体废物贮存和填埋污染控制标准》（GB18599-2020）；危险废物贮存</w:t>
            </w:r>
            <w:r>
              <w:rPr>
                <w:rFonts w:hint="eastAsia" w:ascii="Times New Roman" w:hAnsi="Times New Roman" w:cs="Times New Roman"/>
                <w:color w:val="auto"/>
                <w:lang w:val="en-US" w:eastAsia="zh-CN"/>
              </w:rPr>
              <w:t>执行</w:t>
            </w:r>
            <w:r>
              <w:rPr>
                <w:rFonts w:hint="eastAsia" w:ascii="Times New Roman" w:hAnsi="Times New Roman" w:cs="Times New Roman"/>
                <w:color w:val="auto"/>
              </w:rPr>
              <w:t>《危险废物贮存污染控制标准》（GB18597-2023）。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83" w:hRule="atLeast"/>
          <w:jc w:val="center"/>
        </w:trPr>
        <w:tc>
          <w:tcPr>
            <w:tcW w:w="904"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其他</w:t>
            </w:r>
          </w:p>
        </w:tc>
        <w:tc>
          <w:tcPr>
            <w:tcW w:w="8253" w:type="dxa"/>
            <w:noWrap w:val="0"/>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color w:val="auto"/>
              </w:rPr>
            </w:pPr>
            <w:r>
              <w:rPr>
                <w:rFonts w:hint="eastAsia" w:ascii="Times New Roman" w:hAnsi="Times New Roman" w:cs="Times New Roman"/>
                <w:color w:val="auto"/>
              </w:rPr>
              <w:t>本项目不涉及总量控制指标。</w:t>
            </w:r>
          </w:p>
        </w:tc>
      </w:tr>
    </w:tbl>
    <w:p>
      <w:pPr>
        <w:spacing w:line="14" w:lineRule="auto"/>
        <w:jc w:val="center"/>
        <w:outlineLvl w:val="0"/>
        <w:rPr>
          <w:rFonts w:ascii="黑体" w:hAnsi="黑体" w:eastAsia="黑体"/>
          <w:snapToGrid w:val="0"/>
          <w:color w:val="auto"/>
          <w:sz w:val="36"/>
          <w:szCs w:val="36"/>
        </w:rPr>
      </w:pPr>
    </w:p>
    <w:p>
      <w:pPr>
        <w:jc w:val="center"/>
        <w:outlineLvl w:val="0"/>
        <w:rPr>
          <w:rFonts w:ascii="黑体" w:hAnsi="黑体" w:eastAsia="黑体"/>
          <w:snapToGrid w:val="0"/>
          <w:color w:val="auto"/>
          <w:sz w:val="30"/>
          <w:szCs w:val="30"/>
        </w:rPr>
      </w:pPr>
      <w:r>
        <w:rPr>
          <w:rFonts w:ascii="黑体" w:hAnsi="黑体" w:eastAsia="黑体"/>
          <w:snapToGrid w:val="0"/>
          <w:color w:val="auto"/>
          <w:sz w:val="36"/>
          <w:szCs w:val="36"/>
        </w:rPr>
        <w:br w:type="page"/>
      </w:r>
      <w:r>
        <w:rPr>
          <w:rFonts w:hint="eastAsia" w:ascii="黑体" w:hAnsi="黑体" w:eastAsia="黑体"/>
          <w:snapToGrid w:val="0"/>
          <w:color w:val="auto"/>
          <w:sz w:val="30"/>
          <w:szCs w:val="30"/>
        </w:rPr>
        <w:t>四、生态环境影响分析</w:t>
      </w:r>
    </w:p>
    <w:tbl>
      <w:tblPr>
        <w:tblStyle w:val="20"/>
        <w:tblW w:w="935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74"/>
        <w:gridCol w:w="867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966" w:hRule="atLeast"/>
          <w:jc w:val="center"/>
        </w:trPr>
        <w:tc>
          <w:tcPr>
            <w:tcW w:w="674" w:type="dxa"/>
            <w:noWrap w:val="0"/>
            <w:tcMar>
              <w:left w:w="28" w:type="dxa"/>
              <w:right w:w="28" w:type="dxa"/>
            </w:tcMar>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bookmarkStart w:id="5" w:name="_Hlk49796138"/>
            <w:r>
              <w:rPr>
                <w:rFonts w:hint="eastAsia" w:ascii="Times New Roman" w:hAnsi="Times New Roman" w:cs="Times New Roman"/>
                <w:color w:val="auto"/>
              </w:rPr>
              <w:t>施工期生态环境影响分析</w:t>
            </w:r>
            <w:bookmarkEnd w:id="5"/>
          </w:p>
        </w:tc>
        <w:tc>
          <w:tcPr>
            <w:tcW w:w="8677" w:type="dxa"/>
            <w:noWrap w:val="0"/>
            <w:vAlign w:val="top"/>
          </w:tcPr>
          <w:p>
            <w:pPr>
              <w:pStyle w:val="3"/>
              <w:keepLines w:val="0"/>
              <w:numPr>
                <w:ilvl w:val="0"/>
                <w:numId w:val="17"/>
              </w:numPr>
              <w:suppressLineNumbers w:val="0"/>
              <w:spacing w:before="120" w:beforeAutospacing="0" w:after="0" w:afterAutospacing="0"/>
              <w:ind w:right="0" w:firstLine="482"/>
              <w:rPr>
                <w:rFonts w:hint="default" w:ascii="Times New Roman" w:hAnsi="Times New Roman" w:cs="Times New Roman"/>
                <w:color w:val="auto"/>
              </w:rPr>
            </w:pPr>
            <w:r>
              <w:rPr>
                <w:rFonts w:hint="default" w:ascii="Times New Roman" w:hAnsi="Times New Roman" w:cs="Times New Roman"/>
                <w:color w:val="auto"/>
              </w:rPr>
              <w:t>大气环境影响分析</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项目施工期产生的废气包括施工扬尘、运输扬尘、车辆尾气。其中施工扬尘主要为土地整理、土方挖掘、回填工程等施工过程产生的扬尘。</w:t>
            </w:r>
          </w:p>
          <w:p>
            <w:pPr>
              <w:pStyle w:val="4"/>
              <w:numPr>
                <w:ilvl w:val="1"/>
                <w:numId w:val="17"/>
              </w:numPr>
              <w:suppressLineNumbers w:val="0"/>
              <w:tabs>
                <w:tab w:val="left" w:pos="0"/>
              </w:tabs>
              <w:spacing w:before="0" w:after="0"/>
              <w:ind w:right="0" w:firstLine="482"/>
              <w:rPr>
                <w:rFonts w:hint="default" w:cs="Times New Roman"/>
                <w:color w:val="auto"/>
              </w:rPr>
            </w:pPr>
            <w:r>
              <w:rPr>
                <w:rFonts w:hint="default" w:cs="Times New Roman"/>
                <w:color w:val="auto"/>
              </w:rPr>
              <w:t>施工扬尘、运输扬尘</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为减少施工期施工扬尘、运输扬尘产生量，采取积极控制措施：</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①在施工现场出入口明显位置设置公示牌，公示施工现场负责人、环保监督员、防尘措施、扬尘监督管理部门、举报投诉电话等信息</w:t>
            </w:r>
            <w:r>
              <w:rPr>
                <w:rFonts w:hint="eastAsia" w:ascii="Times New Roman" w:hAnsi="Times New Roman" w:cs="Times New Roman"/>
                <w:color w:val="auto"/>
              </w:rPr>
              <w:t>；</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②在施工现场周边设置硬质封闭围挡或者围墙，位于主要路段的，高度不低于2.5m，位于一般路段的，高度不低于1.8m，并在围挡底端设置不低于0.2m的防溢座；</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③对施工现场出入口、场内施工道路、材料加工堆放区进行硬化处理，并保持地面整洁；</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④在施工现场出口处设置车辆清洗设施并配套设置排水、泥浆沉淀设施，车辆冲洗干净后方可驶出；</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⑤建筑垃圾应当及时清运，运输车辆应减速慢行，运输建筑垃圾及土方时应采用蓬布遮盖，以避免沿途洒落，减少运输扬尘；建筑垃圾在场地内堆存的，应当集中堆放并采取密闭或者遮盖等防尘措施；</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⑥</w:t>
            </w:r>
            <w:r>
              <w:rPr>
                <w:rFonts w:hint="default" w:ascii="Times New Roman" w:hAnsi="Times New Roman" w:cs="Times New Roman"/>
                <w:color w:val="auto"/>
              </w:rPr>
              <w:t>建施工单位加强监管，对现场作业人员进行环境保护方面的培训教育，严格按照《河北省扬尘污染防治办法》（河北省人民政府令〔2020〕第1号）要求进行施工作业。</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采取以上措施，施工扬尘中PM</w:t>
            </w:r>
            <w:r>
              <w:rPr>
                <w:rFonts w:hint="default" w:ascii="Times New Roman" w:hAnsi="Times New Roman" w:cs="Times New Roman"/>
                <w:color w:val="auto"/>
                <w:vertAlign w:val="subscript"/>
              </w:rPr>
              <w:t>10</w:t>
            </w:r>
            <w:r>
              <w:rPr>
                <w:rFonts w:hint="default" w:ascii="Times New Roman" w:hAnsi="Times New Roman" w:cs="Times New Roman"/>
                <w:color w:val="auto"/>
              </w:rPr>
              <w:t>满足《施工场地扬尘排放标准》(DB13/2934-2019)表1中的扬尘排放浓度限值要求，对区域大气环境影响较小。</w:t>
            </w:r>
          </w:p>
          <w:p>
            <w:pPr>
              <w:pStyle w:val="4"/>
              <w:numPr>
                <w:ilvl w:val="1"/>
                <w:numId w:val="17"/>
              </w:numPr>
              <w:suppressLineNumbers w:val="0"/>
              <w:tabs>
                <w:tab w:val="left" w:pos="0"/>
              </w:tabs>
              <w:spacing w:before="0" w:after="0"/>
              <w:ind w:right="0" w:firstLine="482"/>
              <w:rPr>
                <w:rFonts w:hint="default" w:cs="Times New Roman"/>
                <w:color w:val="auto"/>
              </w:rPr>
            </w:pPr>
            <w:r>
              <w:rPr>
                <w:rFonts w:hint="default" w:cs="Times New Roman"/>
                <w:color w:val="auto"/>
              </w:rPr>
              <w:t>施工机械、机动车辆在施工时排放的尾气。</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尾气通过车辆和机械的排气管排放，排放高度较低，一般为0.5-1.5m，属于无组织排放。但本项目施工期较短，因此，施工车辆和机械的尾气中污染物排放量相对较少。在施工过程中施工方应保证施工机械及车辆运行状态的良好。在机械、车辆运转状况良好的条件下，产生的上述污染物质浓度较低，不会对环境空气质量产生较明显的影响，并且施工期施工时间较短，因此，施工机械对环境的影响仅是暂时性的，不会对当地的环境空气质量带来长久的影响。</w:t>
            </w:r>
          </w:p>
          <w:p>
            <w:pPr>
              <w:pStyle w:val="3"/>
              <w:keepLines w:val="0"/>
              <w:numPr>
                <w:ilvl w:val="0"/>
                <w:numId w:val="17"/>
              </w:numPr>
              <w:suppressLineNumbers w:val="0"/>
              <w:spacing w:before="120" w:beforeAutospacing="0" w:after="0" w:afterAutospacing="0"/>
              <w:ind w:right="0" w:firstLine="482"/>
              <w:rPr>
                <w:rFonts w:hint="default" w:ascii="Times New Roman" w:hAnsi="Times New Roman" w:cs="Times New Roman"/>
                <w:color w:val="auto"/>
              </w:rPr>
            </w:pPr>
            <w:r>
              <w:rPr>
                <w:rFonts w:hint="default" w:ascii="Times New Roman" w:hAnsi="Times New Roman" w:cs="Times New Roman"/>
                <w:color w:val="auto"/>
              </w:rPr>
              <w:t>水环境影响分析</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项目施工期产生的废水包括施工废水和施工人员生活污水，其中施工废水主要来自施工设备清洗及受雨水冲刷和施工场地雨季地表径流形成的泥浆水等。</w:t>
            </w:r>
          </w:p>
          <w:p>
            <w:pPr>
              <w:keepNext w:val="0"/>
              <w:keepLines w:val="0"/>
              <w:suppressLineNumbers w:val="0"/>
              <w:tabs>
                <w:tab w:val="left" w:pos="8160"/>
              </w:tabs>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项目建设</w:t>
            </w:r>
            <w:r>
              <w:rPr>
                <w:rFonts w:hint="default" w:ascii="Times New Roman" w:hAnsi="Times New Roman" w:cs="Times New Roman"/>
                <w:color w:val="auto"/>
              </w:rPr>
              <w:t>时收集的施工废水收集后经移动式沉淀池沉淀后用于道路降尘。</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为有效防治施工期废水的影响，严守环境质量底线，确保环境功能不降低，</w:t>
            </w:r>
            <w:r>
              <w:rPr>
                <w:rFonts w:hint="eastAsia" w:ascii="Times New Roman" w:hAnsi="Times New Roman" w:cs="Times New Roman"/>
                <w:color w:val="auto"/>
              </w:rPr>
              <w:t>本项目</w:t>
            </w:r>
            <w:r>
              <w:rPr>
                <w:rFonts w:hint="default" w:ascii="Times New Roman" w:hAnsi="Times New Roman" w:cs="Times New Roman"/>
                <w:color w:val="auto"/>
              </w:rPr>
              <w:t>强化了施工期水污染防治措施，具体如下：</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①含有害物质的建材和其它固体废物不得随意倾倒或堆放，施工建材应设篷盖，必要时设围栏，各种固体废物应及时清运或依有关规定处理。</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②施工人员</w:t>
            </w:r>
            <w:r>
              <w:rPr>
                <w:rFonts w:hint="eastAsia" w:ascii="Times New Roman" w:hAnsi="Times New Roman" w:cs="Times New Roman"/>
                <w:color w:val="auto"/>
              </w:rPr>
              <w:t>生活污水洒水降尘</w:t>
            </w:r>
            <w:r>
              <w:rPr>
                <w:rFonts w:hint="default" w:ascii="Times New Roman" w:hAnsi="Times New Roman" w:cs="Times New Roman"/>
                <w:color w:val="auto"/>
              </w:rPr>
              <w:t>。</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③施工场地设沉淀池及临时排水管沟，施工废水收集后经移动式沉淀池沉淀后用于道路降尘。</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④加强施工人员环境保护工作宣传教育工作，施工废料及生活垃圾严禁随意乱丢乱扔，不得随意倾倒、排放各种废水和固体废物。</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采取以上措施后，无施工废水排至水环境，施工期废水不会对沿线水体产生较大影响，施工期废水治理措施可行。</w:t>
            </w:r>
          </w:p>
          <w:p>
            <w:pPr>
              <w:pStyle w:val="3"/>
              <w:keepLines w:val="0"/>
              <w:numPr>
                <w:ilvl w:val="0"/>
                <w:numId w:val="17"/>
              </w:numPr>
              <w:suppressLineNumbers w:val="0"/>
              <w:spacing w:before="120" w:beforeAutospacing="0" w:after="0" w:afterAutospacing="0"/>
              <w:ind w:right="0" w:firstLine="482"/>
              <w:rPr>
                <w:rFonts w:hint="default" w:ascii="Times New Roman" w:hAnsi="Times New Roman" w:cs="Times New Roman"/>
                <w:color w:val="auto"/>
              </w:rPr>
            </w:pPr>
            <w:r>
              <w:rPr>
                <w:rFonts w:hint="default" w:ascii="Times New Roman" w:hAnsi="Times New Roman" w:cs="Times New Roman"/>
                <w:color w:val="auto"/>
              </w:rPr>
              <w:t>声环境影响分析</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本项目施工期噪声主要来源于使用的各种机械和车辆。这些机械运行时在距离声源5m处噪声可达到80-90dB（A），这些突发性非稳态噪声源将对施工人员和周围居民产生不利影响。</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为减少噪声影响，建设单位拟采取的措施如下：</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①</w:t>
            </w:r>
            <w:r>
              <w:rPr>
                <w:rFonts w:hint="default" w:ascii="Times New Roman" w:hAnsi="Times New Roman" w:cs="Times New Roman"/>
                <w:color w:val="auto"/>
              </w:rPr>
              <w:t>施工场地内四周采用隔声防护措施，项目建立临时性声屏障（高度不低于5m），以减小对居民的噪声影响；</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②</w:t>
            </w:r>
            <w:r>
              <w:rPr>
                <w:rFonts w:hint="default" w:ascii="Times New Roman" w:hAnsi="Times New Roman" w:cs="Times New Roman"/>
                <w:color w:val="auto"/>
              </w:rPr>
              <w:t>施工单位选用低噪声设备和先进的工艺，保持设备处于良好的运转状态。施工中闲置设备及时关闭。对于动力机械设备进行经常检修，减少由于部件松动等原因引起的噪声；</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③</w:t>
            </w:r>
            <w:r>
              <w:rPr>
                <w:rFonts w:hint="default" w:ascii="Times New Roman" w:hAnsi="Times New Roman" w:cs="Times New Roman"/>
                <w:color w:val="auto"/>
              </w:rPr>
              <w:t>严格控制施工时间，不在夜间（22:00～6:00）和午间（12:00~14:00）施工；</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④</w:t>
            </w:r>
            <w:r>
              <w:rPr>
                <w:rFonts w:hint="default" w:ascii="Times New Roman" w:hAnsi="Times New Roman" w:cs="Times New Roman"/>
                <w:color w:val="auto"/>
              </w:rPr>
              <w:t>施工期间，若必须连续施工作业，须提前向有关部门提出申请，并提前张贴公告通知周边可能受到影响的居民及单位，经批准后，方可进行夜间施工；</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⑤</w:t>
            </w:r>
            <w:r>
              <w:rPr>
                <w:rFonts w:hint="default" w:ascii="Times New Roman" w:hAnsi="Times New Roman" w:cs="Times New Roman"/>
                <w:color w:val="auto"/>
              </w:rPr>
              <w:t>对于运输材料、土石方等物料的车辆，施工单位应保持运输车辆技术性能良好、部件紧固、无刹车尖叫声等，加强管理，经过保护目标时运输车辆减速、减少鸣笛，以降低对周围声环境的影响；</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⑥</w:t>
            </w:r>
            <w:r>
              <w:rPr>
                <w:rFonts w:hint="default" w:ascii="Times New Roman" w:hAnsi="Times New Roman" w:cs="Times New Roman"/>
                <w:color w:val="auto"/>
              </w:rPr>
              <w:t>加强施工期环境监理，施工单位安排技术人员负责施工机械的保养和维护，保养和维护要有切实可行的规章制度，要定期对现场工作人员进行培训，每个工人严格按照规范使用各类机械，避免因故障产生突发噪声。</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建设单位拟采取以上措施后，项目施工期产生的噪声可满足《建筑施工场界环境噪声排放标准》（GB12523-2011）的要求，在采取有效措施后可实现噪声达标排放，噪声污染随施工期的结束而结束，对区域声环境质量和环境保护目标影响较小。</w:t>
            </w:r>
          </w:p>
          <w:p>
            <w:pPr>
              <w:pStyle w:val="3"/>
              <w:keepLines w:val="0"/>
              <w:numPr>
                <w:ilvl w:val="0"/>
                <w:numId w:val="17"/>
              </w:numPr>
              <w:suppressLineNumbers w:val="0"/>
              <w:spacing w:before="120" w:beforeAutospacing="0" w:after="0" w:afterAutospacing="0"/>
              <w:ind w:right="0" w:firstLine="482"/>
              <w:rPr>
                <w:rFonts w:hint="default" w:ascii="Times New Roman" w:hAnsi="Times New Roman" w:cs="Times New Roman"/>
                <w:color w:val="auto"/>
              </w:rPr>
            </w:pPr>
            <w:r>
              <w:rPr>
                <w:rFonts w:hint="default" w:ascii="Times New Roman" w:hAnsi="Times New Roman" w:cs="Times New Roman"/>
                <w:color w:val="auto"/>
              </w:rPr>
              <w:t>固体废物环境影响分析</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项目施工期产生的固体废物包括土石方和生活垃圾。</w:t>
            </w:r>
          </w:p>
          <w:p>
            <w:pPr>
              <w:pStyle w:val="4"/>
              <w:numPr>
                <w:ilvl w:val="1"/>
                <w:numId w:val="17"/>
              </w:numPr>
              <w:suppressLineNumbers w:val="0"/>
              <w:tabs>
                <w:tab w:val="left" w:pos="0"/>
              </w:tabs>
              <w:spacing w:before="0" w:after="0"/>
              <w:ind w:right="0" w:firstLine="482"/>
              <w:rPr>
                <w:rFonts w:hint="default" w:cs="Times New Roman"/>
                <w:color w:val="auto"/>
              </w:rPr>
            </w:pPr>
            <w:r>
              <w:rPr>
                <w:rFonts w:hint="default" w:cs="Times New Roman"/>
                <w:color w:val="auto"/>
              </w:rPr>
              <w:t>施工期土石方</w:t>
            </w:r>
          </w:p>
          <w:p>
            <w:pPr>
              <w:keepNext w:val="0"/>
              <w:keepLines w:val="0"/>
              <w:suppressLineNumbers w:val="0"/>
              <w:bidi w:val="0"/>
              <w:spacing w:before="0" w:beforeAutospacing="0" w:after="0" w:afterAutospacing="0"/>
              <w:ind w:left="0" w:right="0"/>
              <w:rPr>
                <w:rFonts w:hint="default"/>
                <w:color w:val="auto"/>
              </w:rPr>
            </w:pPr>
            <w:r>
              <w:rPr>
                <w:rFonts w:hint="default"/>
                <w:color w:val="auto"/>
              </w:rPr>
              <w:t>工程建设期土石方挖填总量102607.1m</w:t>
            </w:r>
            <w:r>
              <w:rPr>
                <w:rFonts w:hint="default"/>
                <w:color w:val="auto"/>
                <w:vertAlign w:val="superscript"/>
              </w:rPr>
              <w:t>3</w:t>
            </w:r>
            <w:r>
              <w:rPr>
                <w:rFonts w:hint="default"/>
                <w:color w:val="auto"/>
              </w:rPr>
              <w:t>，项目不设弃土场，不设弃渣场，开挖土石方</w:t>
            </w:r>
            <w:r>
              <w:rPr>
                <w:rFonts w:hint="default"/>
                <w:color w:val="auto"/>
                <w:lang w:val="en-US" w:eastAsia="zh-CN"/>
              </w:rPr>
              <w:t>部分</w:t>
            </w:r>
            <w:r>
              <w:rPr>
                <w:rFonts w:hint="default"/>
                <w:color w:val="auto"/>
              </w:rPr>
              <w:t>回填</w:t>
            </w:r>
            <w:r>
              <w:rPr>
                <w:rFonts w:hint="default"/>
                <w:color w:val="auto"/>
                <w:lang w:eastAsia="zh-CN"/>
              </w:rPr>
              <w:t>，</w:t>
            </w:r>
            <w:r>
              <w:rPr>
                <w:rFonts w:hint="default"/>
                <w:color w:val="auto"/>
                <w:lang w:val="en-US" w:eastAsia="zh-CN"/>
              </w:rPr>
              <w:t>剩余部分作为道路垫道和土地平整使用</w:t>
            </w:r>
            <w:r>
              <w:rPr>
                <w:rFonts w:hint="default"/>
                <w:color w:val="auto"/>
              </w:rPr>
              <w:t>。土石方平衡表见下表。</w:t>
            </w:r>
          </w:p>
          <w:p>
            <w:pPr>
              <w:pStyle w:val="37"/>
              <w:keepNext w:val="0"/>
              <w:keepLines w:val="0"/>
              <w:suppressLineNumbers w:val="0"/>
              <w:bidi w:val="0"/>
              <w:spacing w:before="0" w:beforeAutospacing="0" w:after="0" w:afterAutospacing="0"/>
              <w:ind w:right="0"/>
              <w:rPr>
                <w:rFonts w:hint="default"/>
                <w:color w:val="auto"/>
              </w:rPr>
            </w:pPr>
            <w:r>
              <w:rPr>
                <w:rFonts w:hint="default"/>
                <w:color w:val="auto"/>
              </w:rPr>
              <w:t>项目土石方数量表 单位：m</w:t>
            </w:r>
            <w:r>
              <w:rPr>
                <w:rFonts w:hint="default"/>
                <w:color w:val="auto"/>
                <w:vertAlign w:val="superscript"/>
              </w:rPr>
              <w:t>3</w:t>
            </w:r>
          </w:p>
          <w:tbl>
            <w:tblPr>
              <w:tblStyle w:val="20"/>
              <w:tblW w:w="823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98"/>
              <w:gridCol w:w="1048"/>
              <w:gridCol w:w="1021"/>
              <w:gridCol w:w="933"/>
              <w:gridCol w:w="1155"/>
              <w:gridCol w:w="900"/>
              <w:gridCol w:w="9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98" w:type="dxa"/>
                  <w:vMerge w:val="restart"/>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bidi w:val="0"/>
                    <w:spacing w:before="0" w:beforeAutospacing="0" w:after="0" w:afterAutospacing="0"/>
                    <w:ind w:left="0" w:right="0"/>
                    <w:rPr>
                      <w:rFonts w:hint="default"/>
                      <w:b/>
                      <w:bCs/>
                      <w:color w:val="auto"/>
                    </w:rPr>
                  </w:pPr>
                  <w:r>
                    <w:rPr>
                      <w:rFonts w:hint="default"/>
                      <w:b/>
                      <w:bCs/>
                      <w:color w:val="auto"/>
                    </w:rPr>
                    <w:t>建设项目</w:t>
                  </w:r>
                </w:p>
              </w:tc>
              <w:tc>
                <w:tcPr>
                  <w:tcW w:w="1048" w:type="dxa"/>
                  <w:vMerge w:val="restart"/>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bidi w:val="0"/>
                    <w:spacing w:before="0" w:beforeAutospacing="0" w:after="0" w:afterAutospacing="0"/>
                    <w:ind w:left="0" w:right="0"/>
                    <w:rPr>
                      <w:rFonts w:hint="default"/>
                      <w:b/>
                      <w:bCs/>
                      <w:color w:val="auto"/>
                    </w:rPr>
                  </w:pPr>
                  <w:r>
                    <w:rPr>
                      <w:rFonts w:hint="default"/>
                      <w:b/>
                      <w:bCs/>
                      <w:color w:val="auto"/>
                    </w:rPr>
                    <w:t>挖方</w:t>
                  </w:r>
                </w:p>
              </w:tc>
              <w:tc>
                <w:tcPr>
                  <w:tcW w:w="1021" w:type="dxa"/>
                  <w:vMerge w:val="restart"/>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bidi w:val="0"/>
                    <w:spacing w:before="0" w:beforeAutospacing="0" w:after="0" w:afterAutospacing="0"/>
                    <w:ind w:left="0" w:right="0"/>
                    <w:rPr>
                      <w:rFonts w:hint="default"/>
                      <w:b/>
                      <w:bCs/>
                      <w:color w:val="auto"/>
                    </w:rPr>
                  </w:pPr>
                  <w:r>
                    <w:rPr>
                      <w:rFonts w:hint="default"/>
                      <w:b/>
                      <w:bCs/>
                      <w:color w:val="auto"/>
                    </w:rPr>
                    <w:t>填方</w:t>
                  </w:r>
                </w:p>
              </w:tc>
              <w:tc>
                <w:tcPr>
                  <w:tcW w:w="2088" w:type="dxa"/>
                  <w:gridSpan w:val="2"/>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bidi w:val="0"/>
                    <w:spacing w:before="0" w:beforeAutospacing="0" w:after="0" w:afterAutospacing="0"/>
                    <w:ind w:left="0" w:right="0"/>
                    <w:rPr>
                      <w:rFonts w:hint="default"/>
                      <w:b/>
                      <w:bCs/>
                      <w:color w:val="auto"/>
                    </w:rPr>
                  </w:pPr>
                  <w:r>
                    <w:rPr>
                      <w:rFonts w:hint="default"/>
                      <w:b/>
                      <w:bCs/>
                      <w:color w:val="auto"/>
                    </w:rPr>
                    <w:t>调出</w:t>
                  </w:r>
                </w:p>
              </w:tc>
              <w:tc>
                <w:tcPr>
                  <w:tcW w:w="1875" w:type="dxa"/>
                  <w:gridSpan w:val="2"/>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bidi w:val="0"/>
                    <w:spacing w:before="0" w:beforeAutospacing="0" w:after="0" w:afterAutospacing="0"/>
                    <w:ind w:left="0" w:right="0"/>
                    <w:rPr>
                      <w:rFonts w:hint="default"/>
                      <w:b/>
                      <w:bCs/>
                      <w:color w:val="auto"/>
                    </w:rPr>
                  </w:pPr>
                  <w:r>
                    <w:rPr>
                      <w:rFonts w:hint="default"/>
                      <w:b/>
                      <w:bCs/>
                      <w:color w:val="auto"/>
                    </w:rPr>
                    <w:t>调入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98" w:type="dxa"/>
                  <w:vMerge w:val="continue"/>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bidi w:val="0"/>
                    <w:spacing w:before="0" w:beforeAutospacing="0" w:after="0" w:afterAutospacing="0"/>
                    <w:ind w:left="0" w:right="0"/>
                    <w:rPr>
                      <w:rFonts w:hint="default"/>
                      <w:b/>
                      <w:bCs/>
                      <w:color w:val="auto"/>
                    </w:rPr>
                  </w:pPr>
                </w:p>
              </w:tc>
              <w:tc>
                <w:tcPr>
                  <w:tcW w:w="1048" w:type="dxa"/>
                  <w:vMerge w:val="continue"/>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bidi w:val="0"/>
                    <w:spacing w:before="0" w:beforeAutospacing="0" w:after="0" w:afterAutospacing="0"/>
                    <w:ind w:left="0" w:right="0"/>
                    <w:rPr>
                      <w:rFonts w:hint="default"/>
                      <w:b/>
                      <w:bCs/>
                      <w:color w:val="auto"/>
                    </w:rPr>
                  </w:pPr>
                </w:p>
              </w:tc>
              <w:tc>
                <w:tcPr>
                  <w:tcW w:w="1021" w:type="dxa"/>
                  <w:vMerge w:val="continue"/>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bidi w:val="0"/>
                    <w:spacing w:before="0" w:beforeAutospacing="0" w:after="0" w:afterAutospacing="0"/>
                    <w:ind w:left="0" w:right="0"/>
                    <w:rPr>
                      <w:rFonts w:hint="default"/>
                      <w:b/>
                      <w:bCs/>
                      <w:color w:val="auto"/>
                    </w:rPr>
                  </w:pPr>
                </w:p>
              </w:tc>
              <w:tc>
                <w:tcPr>
                  <w:tcW w:w="933"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bidi w:val="0"/>
                    <w:spacing w:before="0" w:beforeAutospacing="0" w:after="0" w:afterAutospacing="0"/>
                    <w:ind w:left="0" w:right="0"/>
                    <w:rPr>
                      <w:rFonts w:hint="default"/>
                      <w:b/>
                      <w:bCs/>
                      <w:color w:val="auto"/>
                    </w:rPr>
                  </w:pPr>
                  <w:r>
                    <w:rPr>
                      <w:rFonts w:hint="default"/>
                      <w:b/>
                      <w:bCs/>
                      <w:color w:val="auto"/>
                    </w:rPr>
                    <w:t>数量</w:t>
                  </w:r>
                </w:p>
              </w:tc>
              <w:tc>
                <w:tcPr>
                  <w:tcW w:w="1155"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bidi w:val="0"/>
                    <w:spacing w:before="0" w:beforeAutospacing="0" w:after="0" w:afterAutospacing="0"/>
                    <w:ind w:left="0" w:right="0"/>
                    <w:rPr>
                      <w:rFonts w:hint="default"/>
                      <w:b/>
                      <w:bCs/>
                      <w:color w:val="auto"/>
                    </w:rPr>
                  </w:pPr>
                  <w:r>
                    <w:rPr>
                      <w:rFonts w:hint="default"/>
                      <w:b/>
                      <w:bCs/>
                      <w:color w:val="auto"/>
                    </w:rPr>
                    <w:t>去向</w:t>
                  </w:r>
                </w:p>
              </w:tc>
              <w:tc>
                <w:tcPr>
                  <w:tcW w:w="90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bidi w:val="0"/>
                    <w:spacing w:before="0" w:beforeAutospacing="0" w:after="0" w:afterAutospacing="0"/>
                    <w:ind w:left="0" w:right="0"/>
                    <w:rPr>
                      <w:rFonts w:hint="default"/>
                      <w:b/>
                      <w:bCs/>
                      <w:color w:val="auto"/>
                    </w:rPr>
                  </w:pPr>
                  <w:r>
                    <w:rPr>
                      <w:rFonts w:hint="default"/>
                      <w:b/>
                      <w:bCs/>
                      <w:color w:val="auto"/>
                    </w:rPr>
                    <w:t>数量</w:t>
                  </w:r>
                </w:p>
              </w:tc>
              <w:tc>
                <w:tcPr>
                  <w:tcW w:w="975"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bidi w:val="0"/>
                    <w:spacing w:before="0" w:beforeAutospacing="0" w:after="0" w:afterAutospacing="0"/>
                    <w:ind w:left="0" w:right="0"/>
                    <w:rPr>
                      <w:rFonts w:hint="default"/>
                      <w:b/>
                      <w:bCs/>
                      <w:color w:val="auto"/>
                    </w:rPr>
                  </w:pPr>
                  <w:r>
                    <w:rPr>
                      <w:rFonts w:hint="default"/>
                      <w:b/>
                      <w:bCs/>
                      <w:color w:val="auto"/>
                    </w:rPr>
                    <w:t>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98" w:type="dxa"/>
                  <w:tcBorders>
                    <w:top w:val="nil"/>
                    <w:left w:val="single" w:color="auto" w:sz="4" w:space="0"/>
                    <w:right w:val="single" w:color="auto" w:sz="4" w:space="0"/>
                  </w:tcBorders>
                  <w:noWrap w:val="0"/>
                  <w:vAlign w:val="center"/>
                </w:tcPr>
                <w:p>
                  <w:pPr>
                    <w:pStyle w:val="30"/>
                    <w:keepNext w:val="0"/>
                    <w:keepLines w:val="0"/>
                    <w:suppressLineNumbers w:val="0"/>
                    <w:bidi w:val="0"/>
                    <w:spacing w:before="0" w:beforeAutospacing="0" w:after="0" w:afterAutospacing="0"/>
                    <w:ind w:left="0" w:right="0"/>
                    <w:rPr>
                      <w:rFonts w:hint="default"/>
                      <w:color w:val="auto"/>
                    </w:rPr>
                  </w:pPr>
                  <w:r>
                    <w:rPr>
                      <w:rFonts w:hint="default"/>
                      <w:color w:val="auto"/>
                    </w:rPr>
                    <w:t>光伏场区</w:t>
                  </w:r>
                </w:p>
              </w:tc>
              <w:tc>
                <w:tcPr>
                  <w:tcW w:w="1048" w:type="dxa"/>
                  <w:tcBorders>
                    <w:top w:val="single" w:color="auto" w:sz="4" w:space="0"/>
                    <w:left w:val="single" w:color="auto" w:sz="4" w:space="0"/>
                    <w:right w:val="single" w:color="auto" w:sz="4" w:space="0"/>
                  </w:tcBorders>
                  <w:noWrap w:val="0"/>
                  <w:vAlign w:val="center"/>
                </w:tcPr>
                <w:p>
                  <w:pPr>
                    <w:pStyle w:val="30"/>
                    <w:keepNext w:val="0"/>
                    <w:keepLines w:val="0"/>
                    <w:suppressLineNumbers w:val="0"/>
                    <w:bidi w:val="0"/>
                    <w:spacing w:before="0" w:beforeAutospacing="0" w:after="0" w:afterAutospacing="0"/>
                    <w:ind w:left="0" w:right="0"/>
                    <w:rPr>
                      <w:rFonts w:hint="default"/>
                      <w:color w:val="auto"/>
                    </w:rPr>
                  </w:pPr>
                  <w:r>
                    <w:rPr>
                      <w:rFonts w:hint="default"/>
                      <w:color w:val="auto"/>
                    </w:rPr>
                    <w:t>25365</w:t>
                  </w:r>
                </w:p>
              </w:tc>
              <w:tc>
                <w:tcPr>
                  <w:tcW w:w="1021" w:type="dxa"/>
                  <w:tcBorders>
                    <w:top w:val="single" w:color="auto" w:sz="4" w:space="0"/>
                    <w:left w:val="single" w:color="auto" w:sz="4" w:space="0"/>
                    <w:right w:val="single" w:color="auto" w:sz="4" w:space="0"/>
                  </w:tcBorders>
                  <w:noWrap w:val="0"/>
                  <w:vAlign w:val="center"/>
                </w:tcPr>
                <w:p>
                  <w:pPr>
                    <w:pStyle w:val="30"/>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15473</w:t>
                  </w:r>
                </w:p>
              </w:tc>
              <w:tc>
                <w:tcPr>
                  <w:tcW w:w="933"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9892</w:t>
                  </w:r>
                </w:p>
              </w:tc>
              <w:tc>
                <w:tcPr>
                  <w:tcW w:w="1155"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土地平整</w:t>
                  </w:r>
                </w:p>
              </w:tc>
              <w:tc>
                <w:tcPr>
                  <w:tcW w:w="90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bidi w:val="0"/>
                    <w:spacing w:before="0" w:beforeAutospacing="0" w:after="0" w:afterAutospacing="0"/>
                    <w:ind w:left="0" w:right="0"/>
                    <w:rPr>
                      <w:rFonts w:hint="default"/>
                      <w:color w:val="auto"/>
                    </w:rPr>
                  </w:pPr>
                  <w:r>
                    <w:rPr>
                      <w:rFonts w:hint="default"/>
                      <w:color w:val="auto"/>
                    </w:rPr>
                    <w:t>0</w:t>
                  </w:r>
                </w:p>
              </w:tc>
              <w:tc>
                <w:tcPr>
                  <w:tcW w:w="975"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bidi w:val="0"/>
                    <w:spacing w:before="0" w:beforeAutospacing="0" w:after="0" w:afterAutospacing="0"/>
                    <w:ind w:left="0" w:right="0"/>
                    <w:rPr>
                      <w:rFonts w:hint="default"/>
                      <w:color w:val="auto"/>
                    </w:rPr>
                  </w:pPr>
                  <w:r>
                    <w:rPr>
                      <w:rFonts w:hint="default"/>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98"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bidi w:val="0"/>
                    <w:spacing w:before="0" w:beforeAutospacing="0" w:after="0" w:afterAutospacing="0"/>
                    <w:ind w:left="0" w:right="0"/>
                    <w:rPr>
                      <w:rFonts w:hint="default"/>
                      <w:color w:val="auto"/>
                    </w:rPr>
                  </w:pPr>
                  <w:r>
                    <w:rPr>
                      <w:rFonts w:hint="default"/>
                      <w:color w:val="auto"/>
                    </w:rPr>
                    <w:t>集电线路直埋电缆</w:t>
                  </w:r>
                </w:p>
              </w:tc>
              <w:tc>
                <w:tcPr>
                  <w:tcW w:w="1048"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78930</w:t>
                  </w:r>
                </w:p>
              </w:tc>
              <w:tc>
                <w:tcPr>
                  <w:tcW w:w="1021"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lang w:val="en-US" w:eastAsia="zh-CN"/>
                    </w:rPr>
                    <w:t>39465</w:t>
                  </w:r>
                </w:p>
              </w:tc>
              <w:tc>
                <w:tcPr>
                  <w:tcW w:w="933"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bidi w:val="0"/>
                    <w:spacing w:before="0" w:beforeAutospacing="0" w:after="0" w:afterAutospacing="0"/>
                    <w:ind w:left="0" w:right="0"/>
                    <w:rPr>
                      <w:rFonts w:hint="default"/>
                      <w:color w:val="auto"/>
                    </w:rPr>
                  </w:pPr>
                  <w:r>
                    <w:rPr>
                      <w:rFonts w:hint="default"/>
                      <w:color w:val="auto"/>
                      <w:lang w:val="en-US" w:eastAsia="zh-CN"/>
                    </w:rPr>
                    <w:t>39465</w:t>
                  </w:r>
                </w:p>
              </w:tc>
              <w:tc>
                <w:tcPr>
                  <w:tcW w:w="1155"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bidi w:val="0"/>
                    <w:spacing w:before="0" w:beforeAutospacing="0" w:after="0" w:afterAutospacing="0"/>
                    <w:ind w:left="0" w:right="0"/>
                    <w:rPr>
                      <w:rFonts w:hint="default"/>
                      <w:color w:val="auto"/>
                    </w:rPr>
                  </w:pPr>
                  <w:r>
                    <w:rPr>
                      <w:rFonts w:hint="default"/>
                      <w:color w:val="auto"/>
                      <w:lang w:val="en-US" w:eastAsia="zh-CN"/>
                    </w:rPr>
                    <w:t>土地平整</w:t>
                  </w:r>
                </w:p>
              </w:tc>
              <w:tc>
                <w:tcPr>
                  <w:tcW w:w="90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bidi w:val="0"/>
                    <w:spacing w:before="0" w:beforeAutospacing="0" w:after="0" w:afterAutospacing="0"/>
                    <w:ind w:left="0" w:right="0"/>
                    <w:rPr>
                      <w:rFonts w:hint="default"/>
                      <w:color w:val="auto"/>
                    </w:rPr>
                  </w:pPr>
                  <w:r>
                    <w:rPr>
                      <w:rFonts w:hint="default"/>
                      <w:color w:val="auto"/>
                    </w:rPr>
                    <w:t>0</w:t>
                  </w:r>
                </w:p>
              </w:tc>
              <w:tc>
                <w:tcPr>
                  <w:tcW w:w="975"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bidi w:val="0"/>
                    <w:spacing w:before="0" w:beforeAutospacing="0" w:after="0" w:afterAutospacing="0"/>
                    <w:ind w:left="0" w:right="0"/>
                    <w:rPr>
                      <w:rFonts w:hint="default"/>
                      <w:color w:val="auto"/>
                    </w:rPr>
                  </w:pPr>
                  <w:r>
                    <w:rPr>
                      <w:rFonts w:hint="default"/>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98" w:type="dxa"/>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bidi w:val="0"/>
                    <w:spacing w:before="0" w:beforeAutospacing="0" w:after="0" w:afterAutospacing="0"/>
                    <w:ind w:left="0" w:right="0"/>
                    <w:rPr>
                      <w:rFonts w:hint="default"/>
                      <w:color w:val="auto"/>
                    </w:rPr>
                  </w:pPr>
                  <w:r>
                    <w:rPr>
                      <w:rFonts w:hint="default"/>
                      <w:color w:val="auto"/>
                    </w:rPr>
                    <w:t>升压站</w:t>
                  </w:r>
                </w:p>
              </w:tc>
              <w:tc>
                <w:tcPr>
                  <w:tcW w:w="1048"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bidi w:val="0"/>
                    <w:spacing w:before="0" w:beforeAutospacing="0" w:after="0" w:afterAutospacing="0"/>
                    <w:ind w:left="0" w:right="0"/>
                    <w:rPr>
                      <w:rFonts w:hint="default"/>
                      <w:color w:val="auto"/>
                    </w:rPr>
                  </w:pPr>
                  <w:r>
                    <w:rPr>
                      <w:rFonts w:hint="default"/>
                      <w:color w:val="auto"/>
                    </w:rPr>
                    <w:t>8316.1</w:t>
                  </w:r>
                </w:p>
              </w:tc>
              <w:tc>
                <w:tcPr>
                  <w:tcW w:w="1021"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bidi w:val="0"/>
                    <w:spacing w:before="0" w:beforeAutospacing="0" w:after="0" w:afterAutospacing="0"/>
                    <w:ind w:left="0" w:right="0"/>
                    <w:rPr>
                      <w:rFonts w:hint="default"/>
                      <w:color w:val="auto"/>
                    </w:rPr>
                  </w:pPr>
                  <w:r>
                    <w:rPr>
                      <w:rFonts w:hint="default"/>
                      <w:color w:val="auto"/>
                    </w:rPr>
                    <w:t>3316.1</w:t>
                  </w:r>
                </w:p>
              </w:tc>
              <w:tc>
                <w:tcPr>
                  <w:tcW w:w="933"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bidi w:val="0"/>
                    <w:spacing w:before="0" w:beforeAutospacing="0" w:after="0" w:afterAutospacing="0"/>
                    <w:ind w:left="0" w:right="0"/>
                    <w:rPr>
                      <w:rFonts w:hint="default"/>
                      <w:color w:val="auto"/>
                    </w:rPr>
                  </w:pPr>
                  <w:r>
                    <w:rPr>
                      <w:rFonts w:hint="default"/>
                      <w:color w:val="auto"/>
                    </w:rPr>
                    <w:t>5000</w:t>
                  </w:r>
                </w:p>
              </w:tc>
              <w:tc>
                <w:tcPr>
                  <w:tcW w:w="1155"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rPr>
                    <w:t>进场道路</w:t>
                  </w:r>
                  <w:r>
                    <w:rPr>
                      <w:rFonts w:hint="default"/>
                      <w:color w:val="auto"/>
                      <w:lang w:val="en-US" w:eastAsia="zh-CN"/>
                    </w:rPr>
                    <w:t>及光伏区检修道路</w:t>
                  </w:r>
                </w:p>
              </w:tc>
              <w:tc>
                <w:tcPr>
                  <w:tcW w:w="90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bidi w:val="0"/>
                    <w:spacing w:before="0" w:beforeAutospacing="0" w:after="0" w:afterAutospacing="0"/>
                    <w:ind w:left="0" w:right="0"/>
                    <w:rPr>
                      <w:rFonts w:hint="default"/>
                      <w:color w:val="auto"/>
                    </w:rPr>
                  </w:pPr>
                  <w:r>
                    <w:rPr>
                      <w:rFonts w:hint="default"/>
                      <w:color w:val="auto"/>
                    </w:rPr>
                    <w:t>0</w:t>
                  </w:r>
                </w:p>
              </w:tc>
              <w:tc>
                <w:tcPr>
                  <w:tcW w:w="975"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bidi w:val="0"/>
                    <w:spacing w:before="0" w:beforeAutospacing="0" w:after="0" w:afterAutospacing="0"/>
                    <w:ind w:left="0" w:right="0"/>
                    <w:rPr>
                      <w:rFonts w:hint="default"/>
                      <w:color w:val="auto"/>
                    </w:rPr>
                  </w:pPr>
                  <w:r>
                    <w:rPr>
                      <w:rFonts w:hint="default"/>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98"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bidi w:val="0"/>
                    <w:spacing w:before="0" w:beforeAutospacing="0" w:after="0" w:afterAutospacing="0"/>
                    <w:ind w:left="0" w:right="0"/>
                    <w:rPr>
                      <w:rFonts w:hint="default"/>
                      <w:color w:val="auto"/>
                      <w:lang w:val="en-US" w:eastAsia="zh-CN"/>
                    </w:rPr>
                  </w:pPr>
                  <w:r>
                    <w:rPr>
                      <w:rFonts w:hint="default"/>
                      <w:color w:val="auto"/>
                    </w:rPr>
                    <w:t>进场道路</w:t>
                  </w:r>
                  <w:r>
                    <w:rPr>
                      <w:rFonts w:hint="default"/>
                      <w:color w:val="auto"/>
                      <w:lang w:val="en-US" w:eastAsia="zh-CN"/>
                    </w:rPr>
                    <w:t>及光伏区检修道路</w:t>
                  </w:r>
                </w:p>
              </w:tc>
              <w:tc>
                <w:tcPr>
                  <w:tcW w:w="1048"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bidi w:val="0"/>
                    <w:spacing w:before="0" w:beforeAutospacing="0" w:after="0" w:afterAutospacing="0"/>
                    <w:ind w:left="0" w:right="0"/>
                    <w:rPr>
                      <w:rFonts w:hint="default"/>
                      <w:color w:val="auto"/>
                    </w:rPr>
                  </w:pPr>
                  <w:r>
                    <w:rPr>
                      <w:rFonts w:hint="default"/>
                      <w:color w:val="auto"/>
                    </w:rPr>
                    <w:t>61360</w:t>
                  </w:r>
                </w:p>
              </w:tc>
              <w:tc>
                <w:tcPr>
                  <w:tcW w:w="1021"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bidi w:val="0"/>
                    <w:spacing w:before="0" w:beforeAutospacing="0" w:after="0" w:afterAutospacing="0"/>
                    <w:ind w:left="0" w:right="0"/>
                    <w:rPr>
                      <w:rFonts w:hint="default"/>
                      <w:color w:val="auto"/>
                    </w:rPr>
                  </w:pPr>
                  <w:r>
                    <w:rPr>
                      <w:rFonts w:hint="default"/>
                      <w:color w:val="auto"/>
                    </w:rPr>
                    <w:t>66360</w:t>
                  </w:r>
                </w:p>
              </w:tc>
              <w:tc>
                <w:tcPr>
                  <w:tcW w:w="933"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bidi w:val="0"/>
                    <w:spacing w:before="0" w:beforeAutospacing="0" w:after="0" w:afterAutospacing="0"/>
                    <w:ind w:left="0" w:right="0"/>
                    <w:rPr>
                      <w:rFonts w:hint="default"/>
                      <w:color w:val="auto"/>
                    </w:rPr>
                  </w:pPr>
                  <w:r>
                    <w:rPr>
                      <w:rFonts w:hint="default"/>
                      <w:color w:val="auto"/>
                    </w:rPr>
                    <w:t>0</w:t>
                  </w:r>
                </w:p>
              </w:tc>
              <w:tc>
                <w:tcPr>
                  <w:tcW w:w="1155"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bidi w:val="0"/>
                    <w:spacing w:before="0" w:beforeAutospacing="0" w:after="0" w:afterAutospacing="0"/>
                    <w:ind w:left="0" w:right="0"/>
                    <w:rPr>
                      <w:rFonts w:hint="default"/>
                      <w:color w:val="auto"/>
                    </w:rPr>
                  </w:pPr>
                  <w:r>
                    <w:rPr>
                      <w:rFonts w:hint="default"/>
                      <w:color w:val="auto"/>
                    </w:rPr>
                    <w:t>/</w:t>
                  </w:r>
                </w:p>
              </w:tc>
              <w:tc>
                <w:tcPr>
                  <w:tcW w:w="90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bidi w:val="0"/>
                    <w:spacing w:before="0" w:beforeAutospacing="0" w:after="0" w:afterAutospacing="0"/>
                    <w:ind w:left="0" w:right="0"/>
                    <w:rPr>
                      <w:rFonts w:hint="default"/>
                      <w:color w:val="auto"/>
                    </w:rPr>
                  </w:pPr>
                  <w:r>
                    <w:rPr>
                      <w:rFonts w:hint="default"/>
                      <w:color w:val="auto"/>
                    </w:rPr>
                    <w:t>5000</w:t>
                  </w:r>
                </w:p>
              </w:tc>
              <w:tc>
                <w:tcPr>
                  <w:tcW w:w="975"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bidi w:val="0"/>
                    <w:spacing w:before="0" w:beforeAutospacing="0" w:after="0" w:afterAutospacing="0"/>
                    <w:ind w:left="0" w:right="0"/>
                    <w:rPr>
                      <w:rFonts w:hint="default"/>
                      <w:color w:val="auto"/>
                    </w:rPr>
                  </w:pPr>
                  <w:r>
                    <w:rPr>
                      <w:rFonts w:hint="default"/>
                      <w:color w:val="auto"/>
                    </w:rPr>
                    <w:t>升压站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198"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bidi w:val="0"/>
                    <w:spacing w:before="0" w:beforeAutospacing="0" w:after="0" w:afterAutospacing="0"/>
                    <w:ind w:left="0" w:right="0"/>
                    <w:rPr>
                      <w:rFonts w:hint="default"/>
                      <w:color w:val="auto"/>
                    </w:rPr>
                  </w:pPr>
                  <w:r>
                    <w:rPr>
                      <w:rFonts w:hint="default"/>
                      <w:color w:val="auto"/>
                    </w:rPr>
                    <w:t>合计</w:t>
                  </w:r>
                </w:p>
              </w:tc>
              <w:tc>
                <w:tcPr>
                  <w:tcW w:w="1048"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bidi w:val="0"/>
                    <w:spacing w:before="0" w:beforeAutospacing="0" w:after="0" w:afterAutospacing="0"/>
                    <w:ind w:left="0" w:right="0"/>
                    <w:rPr>
                      <w:rFonts w:hint="default"/>
                      <w:color w:val="auto"/>
                    </w:rPr>
                  </w:pPr>
                  <w:r>
                    <w:rPr>
                      <w:rFonts w:hint="default"/>
                      <w:color w:val="auto"/>
                    </w:rPr>
                    <w:t>102607.1</w:t>
                  </w:r>
                </w:p>
              </w:tc>
              <w:tc>
                <w:tcPr>
                  <w:tcW w:w="1021"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bidi w:val="0"/>
                    <w:spacing w:before="0" w:beforeAutospacing="0" w:after="0" w:afterAutospacing="0"/>
                    <w:ind w:left="0" w:right="0"/>
                    <w:rPr>
                      <w:rFonts w:hint="default"/>
                      <w:color w:val="auto"/>
                    </w:rPr>
                  </w:pPr>
                  <w:r>
                    <w:rPr>
                      <w:rFonts w:hint="default"/>
                      <w:color w:val="auto"/>
                    </w:rPr>
                    <w:t>102607.</w:t>
                  </w:r>
                  <w:r>
                    <w:rPr>
                      <w:rFonts w:hint="default"/>
                      <w:color w:val="auto"/>
                      <w:lang w:val="en-US" w:eastAsia="zh-CN"/>
                    </w:rPr>
                    <w:t>1</w:t>
                  </w:r>
                  <w:r>
                    <w:rPr>
                      <w:rFonts w:hint="default"/>
                      <w:color w:val="auto"/>
                    </w:rPr>
                    <w:cr/>
                  </w:r>
                </w:p>
              </w:tc>
              <w:tc>
                <w:tcPr>
                  <w:tcW w:w="933"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bidi w:val="0"/>
                    <w:spacing w:before="0" w:beforeAutospacing="0" w:after="0" w:afterAutospacing="0"/>
                    <w:ind w:left="0" w:right="0"/>
                    <w:rPr>
                      <w:rFonts w:hint="default"/>
                      <w:color w:val="auto"/>
                    </w:rPr>
                  </w:pPr>
                  <w:r>
                    <w:rPr>
                      <w:rFonts w:hint="default"/>
                      <w:color w:val="auto"/>
                    </w:rPr>
                    <w:t>5000</w:t>
                  </w:r>
                </w:p>
              </w:tc>
              <w:tc>
                <w:tcPr>
                  <w:tcW w:w="1155"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bidi w:val="0"/>
                    <w:spacing w:before="0" w:beforeAutospacing="0" w:after="0" w:afterAutospacing="0"/>
                    <w:ind w:left="0" w:right="0"/>
                    <w:rPr>
                      <w:rFonts w:hint="default"/>
                      <w:color w:val="auto"/>
                    </w:rPr>
                  </w:pPr>
                  <w:r>
                    <w:rPr>
                      <w:rFonts w:hint="default"/>
                      <w:color w:val="auto"/>
                    </w:rPr>
                    <w:t>/</w:t>
                  </w:r>
                </w:p>
              </w:tc>
              <w:tc>
                <w:tcPr>
                  <w:tcW w:w="90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bidi w:val="0"/>
                    <w:spacing w:before="0" w:beforeAutospacing="0" w:after="0" w:afterAutospacing="0"/>
                    <w:ind w:left="0" w:right="0"/>
                    <w:rPr>
                      <w:rFonts w:hint="default"/>
                      <w:color w:val="auto"/>
                    </w:rPr>
                  </w:pPr>
                  <w:r>
                    <w:rPr>
                      <w:rFonts w:hint="default"/>
                      <w:color w:val="auto"/>
                    </w:rPr>
                    <w:t>5000</w:t>
                  </w:r>
                </w:p>
              </w:tc>
              <w:tc>
                <w:tcPr>
                  <w:tcW w:w="975"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bidi w:val="0"/>
                    <w:spacing w:before="0" w:beforeAutospacing="0" w:after="0" w:afterAutospacing="0"/>
                    <w:ind w:left="0" w:right="0"/>
                    <w:rPr>
                      <w:rFonts w:hint="default"/>
                      <w:color w:val="auto"/>
                    </w:rPr>
                  </w:pPr>
                  <w:r>
                    <w:rPr>
                      <w:rFonts w:hint="default"/>
                      <w:color w:val="auto"/>
                    </w:rPr>
                    <w:t>/</w:t>
                  </w:r>
                </w:p>
              </w:tc>
            </w:tr>
          </w:tbl>
          <w:p>
            <w:pPr>
              <w:pStyle w:val="4"/>
              <w:numPr>
                <w:ilvl w:val="1"/>
                <w:numId w:val="17"/>
              </w:numPr>
              <w:suppressLineNumbers w:val="0"/>
              <w:tabs>
                <w:tab w:val="left" w:pos="0"/>
              </w:tabs>
              <w:spacing w:before="0" w:after="0"/>
              <w:ind w:right="0" w:firstLine="482"/>
              <w:rPr>
                <w:rFonts w:hint="default" w:cs="Times New Roman"/>
                <w:color w:val="auto"/>
              </w:rPr>
            </w:pPr>
            <w:r>
              <w:rPr>
                <w:rFonts w:hint="default" w:cs="Times New Roman"/>
                <w:color w:val="auto"/>
              </w:rPr>
              <w:t>生活垃圾</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生活垃圾临时存放于垃圾箱内，</w:t>
            </w:r>
            <w:r>
              <w:rPr>
                <w:rFonts w:hint="eastAsia" w:ascii="Times New Roman" w:hAnsi="Times New Roman" w:cs="Times New Roman"/>
                <w:color w:val="auto"/>
              </w:rPr>
              <w:t>定期由环卫部门处理</w:t>
            </w:r>
            <w:r>
              <w:rPr>
                <w:rFonts w:hint="default" w:ascii="Times New Roman" w:hAnsi="Times New Roman" w:cs="Times New Roman"/>
                <w:color w:val="auto"/>
              </w:rPr>
              <w:t>。</w:t>
            </w:r>
          </w:p>
          <w:p>
            <w:pPr>
              <w:pStyle w:val="3"/>
              <w:keepLines w:val="0"/>
              <w:numPr>
                <w:ilvl w:val="0"/>
                <w:numId w:val="17"/>
              </w:numPr>
              <w:suppressLineNumbers w:val="0"/>
              <w:spacing w:before="120" w:beforeAutospacing="0" w:after="0" w:afterAutospacing="0"/>
              <w:ind w:right="0" w:firstLine="482"/>
              <w:rPr>
                <w:rFonts w:hint="default" w:ascii="Times New Roman" w:hAnsi="Times New Roman" w:cs="Times New Roman"/>
                <w:color w:val="auto"/>
              </w:rPr>
            </w:pPr>
            <w:r>
              <w:rPr>
                <w:rFonts w:hint="default" w:ascii="Times New Roman" w:hAnsi="Times New Roman" w:cs="Times New Roman"/>
                <w:color w:val="auto"/>
              </w:rPr>
              <w:t>生态影响</w:t>
            </w:r>
          </w:p>
          <w:p>
            <w:pPr>
              <w:pStyle w:val="4"/>
              <w:numPr>
                <w:ilvl w:val="1"/>
                <w:numId w:val="17"/>
              </w:numPr>
              <w:suppressLineNumbers w:val="0"/>
              <w:tabs>
                <w:tab w:val="left" w:pos="0"/>
              </w:tabs>
              <w:spacing w:before="0" w:after="0"/>
              <w:ind w:right="0" w:firstLine="482"/>
              <w:rPr>
                <w:rFonts w:hint="default" w:cs="Times New Roman"/>
                <w:color w:val="auto"/>
              </w:rPr>
            </w:pPr>
            <w:r>
              <w:rPr>
                <w:rFonts w:hint="default" w:cs="Times New Roman"/>
                <w:color w:val="auto"/>
              </w:rPr>
              <w:t>临时占地影响</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lang w:val="en-US" w:eastAsia="zh-CN"/>
              </w:rPr>
            </w:pPr>
            <w:r>
              <w:rPr>
                <w:rFonts w:hint="default" w:ascii="Times New Roman" w:hAnsi="Times New Roman" w:cs="Times New Roman"/>
                <w:color w:val="auto"/>
              </w:rPr>
              <w:t>施工临时占地主要包括施工</w:t>
            </w:r>
            <w:r>
              <w:rPr>
                <w:rFonts w:hint="eastAsia" w:ascii="Times New Roman" w:hAnsi="Times New Roman" w:cs="Times New Roman"/>
                <w:color w:val="auto"/>
                <w:lang w:val="en-US" w:eastAsia="zh-CN"/>
              </w:rPr>
              <w:t>道路和施工临时占地，</w:t>
            </w:r>
            <w:r>
              <w:rPr>
                <w:rFonts w:hint="default" w:ascii="Times New Roman" w:hAnsi="Times New Roman" w:cs="Times New Roman"/>
                <w:color w:val="auto"/>
              </w:rPr>
              <w:t>临时占地对生态环境的主要影响表现在地表植被破坏、增加水土流失。对野生动物的影响</w:t>
            </w:r>
            <w:r>
              <w:rPr>
                <w:rFonts w:hint="eastAsia" w:ascii="Times New Roman" w:hAnsi="Times New Roman" w:cs="Times New Roman"/>
                <w:color w:val="auto"/>
              </w:rPr>
              <w:t>。本项目</w:t>
            </w:r>
            <w:r>
              <w:rPr>
                <w:rFonts w:hint="eastAsia" w:ascii="Times New Roman" w:hAnsi="Times New Roman" w:cs="Times New Roman"/>
                <w:color w:val="auto"/>
                <w:lang w:val="en-US" w:eastAsia="zh-CN"/>
              </w:rPr>
              <w:t>临时</w:t>
            </w:r>
            <w:r>
              <w:rPr>
                <w:rFonts w:hint="eastAsia" w:ascii="Times New Roman" w:hAnsi="Times New Roman" w:cs="Times New Roman"/>
                <w:color w:val="auto"/>
              </w:rPr>
              <w:t>占地类型主要为农用地，未占压基本农田，施工结束后，</w:t>
            </w:r>
            <w:r>
              <w:rPr>
                <w:rFonts w:hint="eastAsia" w:ascii="Times New Roman" w:hAnsi="Times New Roman" w:cs="Times New Roman"/>
                <w:color w:val="auto"/>
                <w:lang w:val="en-US" w:eastAsia="zh-CN"/>
              </w:rPr>
              <w:t>将一部分施工便道改建为光伏电站检修道路，另一部分施工便道进行恢复，恢复成不劣于施工前土地状况。施工临时占地在施工结束后进行</w:t>
            </w:r>
            <w:r>
              <w:rPr>
                <w:rFonts w:hint="eastAsia" w:cs="Times New Roman"/>
                <w:color w:val="auto"/>
                <w:lang w:val="en-US" w:eastAsia="zh-CN"/>
              </w:rPr>
              <w:t>土地</w:t>
            </w:r>
            <w:r>
              <w:rPr>
                <w:rFonts w:hint="eastAsia" w:ascii="Times New Roman" w:hAnsi="Times New Roman" w:cs="Times New Roman"/>
                <w:color w:val="auto"/>
                <w:lang w:val="en-US" w:eastAsia="zh-CN"/>
              </w:rPr>
              <w:t>恢复，</w:t>
            </w:r>
            <w:r>
              <w:rPr>
                <w:rFonts w:hint="eastAsia" w:cs="Times New Roman"/>
                <w:color w:val="auto"/>
                <w:lang w:val="en-US" w:eastAsia="zh-CN"/>
              </w:rPr>
              <w:t>施工临时占地在占用前是农用地，施工结束后</w:t>
            </w:r>
            <w:r>
              <w:rPr>
                <w:rFonts w:hint="eastAsia" w:ascii="Times New Roman" w:hAnsi="Times New Roman" w:cs="Times New Roman"/>
                <w:color w:val="auto"/>
                <w:lang w:val="en-US" w:eastAsia="zh-CN"/>
              </w:rPr>
              <w:t>恢复成</w:t>
            </w:r>
            <w:r>
              <w:rPr>
                <w:rFonts w:hint="eastAsia" w:cs="Times New Roman"/>
                <w:color w:val="auto"/>
                <w:lang w:val="en-US" w:eastAsia="zh-CN"/>
              </w:rPr>
              <w:t>扰动前状态</w:t>
            </w:r>
            <w:r>
              <w:rPr>
                <w:rFonts w:hint="eastAsia" w:ascii="Times New Roman" w:hAnsi="Times New Roman" w:cs="Times New Roman"/>
                <w:color w:val="auto"/>
                <w:lang w:val="en-US" w:eastAsia="zh-CN"/>
              </w:rPr>
              <w:t>。</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通过上述措施可在施工期最大限度避免临时占地所带来的生态环境影响。</w:t>
            </w:r>
          </w:p>
          <w:p>
            <w:pPr>
              <w:pStyle w:val="4"/>
              <w:suppressLineNumbers w:val="0"/>
              <w:spacing w:before="0" w:after="0"/>
              <w:ind w:left="0" w:right="0" w:firstLine="482"/>
              <w:rPr>
                <w:rFonts w:hint="default" w:cs="Times New Roman"/>
                <w:color w:val="auto"/>
              </w:rPr>
            </w:pPr>
            <w:r>
              <w:rPr>
                <w:rFonts w:hint="default" w:cs="Times New Roman"/>
                <w:color w:val="auto"/>
              </w:rPr>
              <w:t>对植物资源的影响</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cs="Times New Roman"/>
                <w:color w:val="auto"/>
                <w:lang w:val="en-US" w:eastAsia="zh-CN"/>
              </w:rPr>
              <w:t>本项目的光伏厂区、升压站、进场道路和集电线路施工时会破坏占地的植物，</w:t>
            </w:r>
            <w:r>
              <w:rPr>
                <w:rFonts w:hint="eastAsia" w:ascii="Times New Roman" w:hAnsi="Times New Roman" w:cs="Times New Roman"/>
                <w:color w:val="auto"/>
              </w:rPr>
              <w:t>本项目选址位于承德市丰宁满族自治县万胜永乡等周边区域，</w:t>
            </w:r>
            <w:r>
              <w:rPr>
                <w:rFonts w:hint="default" w:ascii="Times New Roman" w:hAnsi="Times New Roman" w:cs="Times New Roman"/>
                <w:color w:val="auto"/>
              </w:rPr>
              <w:t>根据现场调查，在工程影响范围内植被类型均属一般常见种，生长范围广，适应性强，不会因项目建设而导致植物种群消失。</w:t>
            </w:r>
            <w:r>
              <w:rPr>
                <w:rFonts w:hint="eastAsia" w:cs="Times New Roman"/>
                <w:color w:val="auto"/>
                <w:lang w:val="en-US" w:eastAsia="zh-CN"/>
              </w:rPr>
              <w:t>并且项目为“牧光互补”项目，光伏厂区在施工完成后进行牧场种植，集电线路在施工完成后重新填土，并恢复成施工前土地状况，减轻施工对植物资源的影响。</w:t>
            </w:r>
            <w:r>
              <w:rPr>
                <w:rFonts w:hint="default" w:ascii="Times New Roman" w:hAnsi="Times New Roman" w:cs="Times New Roman"/>
                <w:color w:val="auto"/>
              </w:rPr>
              <w:t>因此</w:t>
            </w:r>
            <w:r>
              <w:rPr>
                <w:rFonts w:hint="eastAsia" w:ascii="Times New Roman" w:hAnsi="Times New Roman" w:cs="Times New Roman"/>
                <w:color w:val="auto"/>
              </w:rPr>
              <w:t>，</w:t>
            </w:r>
            <w:r>
              <w:rPr>
                <w:rFonts w:hint="default" w:ascii="Times New Roman" w:hAnsi="Times New Roman" w:cs="Times New Roman"/>
                <w:color w:val="auto"/>
              </w:rPr>
              <w:t>项目施工</w:t>
            </w:r>
            <w:r>
              <w:rPr>
                <w:rFonts w:hint="eastAsia" w:ascii="Times New Roman" w:hAnsi="Times New Roman" w:cs="Times New Roman"/>
                <w:color w:val="auto"/>
              </w:rPr>
              <w:t>对植物资源的影响较小</w:t>
            </w:r>
            <w:r>
              <w:rPr>
                <w:rFonts w:hint="default" w:ascii="Times New Roman" w:hAnsi="Times New Roman" w:cs="Times New Roman"/>
                <w:color w:val="auto"/>
              </w:rPr>
              <w:t>。</w:t>
            </w:r>
          </w:p>
          <w:p>
            <w:pPr>
              <w:pStyle w:val="4"/>
              <w:suppressLineNumbers w:val="0"/>
              <w:spacing w:before="0" w:after="0"/>
              <w:ind w:left="0" w:right="0" w:firstLine="482"/>
              <w:rPr>
                <w:rFonts w:hint="default" w:cs="Times New Roman"/>
                <w:color w:val="auto"/>
              </w:rPr>
            </w:pPr>
            <w:r>
              <w:rPr>
                <w:rFonts w:hint="default" w:cs="Times New Roman"/>
                <w:color w:val="auto"/>
              </w:rPr>
              <w:t>对陆生动物资源的影响</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施工机械噪声和人员活动噪声是对野生动物的主要影响因素。各种施工机械，如运输汽车、挖掘机等均可产生较强烈的噪声，虽然这些施工机械属于非连续性间歇排放，但由于噪声源相对集中，且多为裸露声源，故其噪声影响范围及影响程度较大。经过对当地的调查，本项目场址内没有大型野生动物出没，不涉及保护动物，动物主要是鼠、兔等常见小型动物，分布广，适应能力强，由于同类生境在附近易于找寻，受施工影响的动物将暂时迁往附近同类生境。因此施工期对野生动物的影响有限。</w:t>
            </w:r>
          </w:p>
          <w:p>
            <w:pPr>
              <w:pStyle w:val="4"/>
              <w:suppressLineNumbers w:val="0"/>
              <w:spacing w:before="0" w:after="0"/>
              <w:ind w:left="0" w:right="0" w:firstLine="482"/>
              <w:rPr>
                <w:rFonts w:hint="default" w:cs="Times New Roman"/>
                <w:color w:val="auto"/>
              </w:rPr>
            </w:pPr>
            <w:r>
              <w:rPr>
                <w:rFonts w:hint="default" w:cs="Times New Roman"/>
                <w:color w:val="auto"/>
              </w:rPr>
              <w:t>水土流失影响</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项目区域以</w:t>
            </w:r>
            <w:r>
              <w:rPr>
                <w:rFonts w:hint="eastAsia" w:ascii="Times New Roman" w:hAnsi="Times New Roman" w:cs="Times New Roman"/>
                <w:color w:val="auto"/>
              </w:rPr>
              <w:t>农用地为主</w:t>
            </w:r>
            <w:r>
              <w:rPr>
                <w:rFonts w:hint="default" w:ascii="Times New Roman" w:hAnsi="Times New Roman" w:cs="Times New Roman"/>
                <w:color w:val="auto"/>
              </w:rPr>
              <w:t>，施工期间</w:t>
            </w:r>
            <w:r>
              <w:rPr>
                <w:rFonts w:hint="eastAsia" w:cs="Times New Roman"/>
                <w:color w:val="auto"/>
                <w:lang w:val="en-US" w:eastAsia="zh-CN"/>
              </w:rPr>
              <w:t>集电线路开挖、施工道路和施工临时占地、升压站</w:t>
            </w:r>
            <w:r>
              <w:rPr>
                <w:rFonts w:hint="default" w:ascii="Times New Roman" w:hAnsi="Times New Roman" w:cs="Times New Roman"/>
                <w:color w:val="auto"/>
              </w:rPr>
              <w:t>基础开挖与回填等工程活动都会扰动或再塑地表，并使地表植被受到不同程度的破坏，地表抗蚀能力减弱，产生新的水土流失。</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项目施工期间及时将道路、</w:t>
            </w:r>
            <w:r>
              <w:rPr>
                <w:rFonts w:hint="eastAsia" w:cs="Times New Roman"/>
                <w:color w:val="auto"/>
                <w:lang w:val="en-US" w:eastAsia="zh-CN"/>
              </w:rPr>
              <w:t>集电线路</w:t>
            </w:r>
            <w:r>
              <w:rPr>
                <w:rFonts w:hint="default" w:ascii="Times New Roman" w:hAnsi="Times New Roman" w:cs="Times New Roman"/>
                <w:color w:val="auto"/>
              </w:rPr>
              <w:t>、施工</w:t>
            </w:r>
            <w:r>
              <w:rPr>
                <w:rFonts w:hint="eastAsia" w:cs="Times New Roman"/>
                <w:color w:val="auto"/>
                <w:lang w:val="en-US" w:eastAsia="zh-CN"/>
              </w:rPr>
              <w:t>临时占地</w:t>
            </w:r>
            <w:r>
              <w:rPr>
                <w:rFonts w:hint="default" w:ascii="Times New Roman" w:hAnsi="Times New Roman" w:cs="Times New Roman"/>
                <w:color w:val="auto"/>
              </w:rPr>
              <w:t>地等区域表土进行剥离用于后期植被恢复，土石方开挖、回填和堆放过程中做好遮盖和拦挡，可以有效减少施工期水土流失。</w:t>
            </w:r>
            <w:r>
              <w:rPr>
                <w:rFonts w:hint="eastAsia" w:cs="Times New Roman"/>
                <w:color w:val="auto"/>
                <w:lang w:val="en-US" w:eastAsia="zh-CN"/>
              </w:rPr>
              <w:t>雨季施工时不在下雨天气施工，集电线路、临时占地和升压站施工时设置临时排水沟及沉淀池，降低雨水冲刷造成的水土流失。</w:t>
            </w:r>
            <w:r>
              <w:rPr>
                <w:rFonts w:hint="default" w:ascii="Times New Roman" w:hAnsi="Times New Roman" w:cs="Times New Roman"/>
                <w:color w:val="auto"/>
              </w:rPr>
              <w:t>本项目通过采取一系列的生态防治措施可有效降低项目施工期导致的水土流失程度。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822" w:hRule="atLeast"/>
          <w:jc w:val="center"/>
        </w:trPr>
        <w:tc>
          <w:tcPr>
            <w:tcW w:w="674" w:type="dxa"/>
            <w:noWrap w:val="0"/>
            <w:tcMar>
              <w:left w:w="28" w:type="dxa"/>
              <w:right w:w="28" w:type="dxa"/>
            </w:tcMar>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运营期生态环境影响分析</w:t>
            </w:r>
          </w:p>
        </w:tc>
        <w:tc>
          <w:tcPr>
            <w:tcW w:w="8677" w:type="dxa"/>
            <w:noWrap w:val="0"/>
            <w:vAlign w:val="top"/>
          </w:tcPr>
          <w:p>
            <w:pPr>
              <w:pStyle w:val="3"/>
              <w:keepLines w:val="0"/>
              <w:numPr>
                <w:ilvl w:val="0"/>
                <w:numId w:val="18"/>
              </w:numPr>
              <w:suppressLineNumbers w:val="0"/>
              <w:spacing w:before="120" w:beforeAutospacing="0" w:after="0" w:afterAutospacing="0"/>
              <w:ind w:right="0" w:firstLine="482"/>
              <w:rPr>
                <w:rFonts w:hint="default" w:ascii="Times New Roman" w:hAnsi="Times New Roman" w:cs="Times New Roman"/>
                <w:color w:val="auto"/>
              </w:rPr>
            </w:pPr>
            <w:r>
              <w:rPr>
                <w:rFonts w:hint="default" w:ascii="Times New Roman" w:hAnsi="Times New Roman" w:cs="Times New Roman"/>
                <w:color w:val="auto"/>
              </w:rPr>
              <w:t>大气环境影响和保护措施</w:t>
            </w:r>
          </w:p>
          <w:p>
            <w:pPr>
              <w:pStyle w:val="4"/>
              <w:suppressLineNumbers w:val="0"/>
              <w:spacing w:before="0" w:after="0"/>
              <w:ind w:left="0" w:right="0" w:firstLine="482"/>
              <w:rPr>
                <w:rFonts w:hint="default" w:cs="Times New Roman"/>
                <w:color w:val="auto"/>
              </w:rPr>
            </w:pPr>
            <w:r>
              <w:rPr>
                <w:rFonts w:hint="eastAsia" w:cs="Times New Roman"/>
                <w:color w:val="auto"/>
              </w:rPr>
              <w:t xml:space="preserve">废气污染源调查 </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太阳能作为无污染的可再生能源，不仅可以提供新的电源，更重要的是能够减少二氧化碳和其它有害气体的排放，环境效益非常突出。光伏发电是将太阳能转换为电能，在转换过程中没有废气排放；正常生产期间升压站不设锅炉等热源，采用电取暖，项目主要废气为食堂油烟及污水处理站恶臭，饮食油烟由升压站配备的油烟净化装置处理，污水处理站采取地埋式一体式污水处理装置，各池体加盖，并定期投放除臭剂。</w:t>
            </w:r>
          </w:p>
          <w:p>
            <w:pPr>
              <w:pStyle w:val="4"/>
              <w:suppressLineNumbers w:val="0"/>
              <w:spacing w:before="0" w:after="0"/>
              <w:ind w:left="0" w:right="0" w:firstLine="482"/>
              <w:rPr>
                <w:rFonts w:hint="default" w:cs="Times New Roman"/>
                <w:color w:val="auto"/>
              </w:rPr>
            </w:pPr>
            <w:r>
              <w:rPr>
                <w:rFonts w:hint="eastAsia" w:cs="Times New Roman"/>
                <w:color w:val="auto"/>
              </w:rPr>
              <w:t xml:space="preserve">源强核算 </w:t>
            </w:r>
          </w:p>
          <w:p>
            <w:pPr>
              <w:pStyle w:val="5"/>
              <w:suppressLineNumbers w:val="0"/>
              <w:spacing w:before="0" w:after="0"/>
              <w:ind w:left="0" w:right="0" w:firstLine="482"/>
              <w:rPr>
                <w:rFonts w:hint="default" w:ascii="Times New Roman" w:hAnsi="Times New Roman" w:cs="Times New Roman"/>
                <w:color w:val="auto"/>
              </w:rPr>
            </w:pPr>
            <w:r>
              <w:rPr>
                <w:rFonts w:hint="eastAsia" w:ascii="Times New Roman" w:hAnsi="Times New Roman" w:cs="Times New Roman"/>
                <w:color w:val="auto"/>
              </w:rPr>
              <w:t xml:space="preserve">污水处理站产生的恶臭气体 </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污水处理站恶臭气体中主要含有</w:t>
            </w:r>
            <w:r>
              <w:rPr>
                <w:rFonts w:hint="default" w:ascii="Times New Roman" w:hAnsi="Times New Roman" w:cs="Times New Roman"/>
                <w:color w:val="auto"/>
              </w:rPr>
              <w:t>H</w:t>
            </w:r>
            <w:r>
              <w:rPr>
                <w:rFonts w:hint="default" w:ascii="Times New Roman" w:hAnsi="Times New Roman" w:cs="Times New Roman"/>
                <w:color w:val="auto"/>
                <w:vertAlign w:val="subscript"/>
              </w:rPr>
              <w:t>2</w:t>
            </w:r>
            <w:r>
              <w:rPr>
                <w:rFonts w:hint="default" w:ascii="Times New Roman" w:hAnsi="Times New Roman" w:cs="Times New Roman"/>
                <w:color w:val="auto"/>
              </w:rPr>
              <w:t>S</w:t>
            </w:r>
            <w:r>
              <w:rPr>
                <w:rFonts w:hint="eastAsia" w:ascii="Times New Roman" w:hAnsi="Times New Roman" w:cs="Times New Roman"/>
                <w:color w:val="auto"/>
              </w:rPr>
              <w:t>、</w:t>
            </w:r>
            <w:r>
              <w:rPr>
                <w:rFonts w:hint="default" w:ascii="Times New Roman" w:hAnsi="Times New Roman" w:cs="Times New Roman"/>
                <w:color w:val="auto"/>
              </w:rPr>
              <w:t>NH</w:t>
            </w:r>
            <w:r>
              <w:rPr>
                <w:rFonts w:hint="default" w:ascii="Times New Roman" w:hAnsi="Times New Roman" w:cs="Times New Roman"/>
                <w:color w:val="auto"/>
                <w:vertAlign w:val="subscript"/>
              </w:rPr>
              <w:t>3</w:t>
            </w:r>
            <w:r>
              <w:rPr>
                <w:rFonts w:hint="eastAsia" w:ascii="Times New Roman" w:hAnsi="Times New Roman" w:cs="Times New Roman"/>
                <w:color w:val="auto"/>
              </w:rPr>
              <w:t>和臭气浓度，一体化污水处理装置占地16</w:t>
            </w:r>
            <w:r>
              <w:rPr>
                <w:rFonts w:hint="default" w:ascii="Times New Roman" w:hAnsi="Times New Roman" w:cs="Times New Roman"/>
                <w:color w:val="auto"/>
              </w:rPr>
              <w:t>m</w:t>
            </w:r>
            <w:r>
              <w:rPr>
                <w:rFonts w:hint="default" w:ascii="Times New Roman" w:hAnsi="Times New Roman" w:cs="Times New Roman"/>
                <w:color w:val="auto"/>
                <w:vertAlign w:val="superscript"/>
              </w:rPr>
              <w:t>2</w:t>
            </w:r>
            <w:r>
              <w:rPr>
                <w:rFonts w:hint="eastAsia" w:ascii="Times New Roman" w:hAnsi="Times New Roman" w:cs="Times New Roman"/>
                <w:color w:val="auto"/>
              </w:rPr>
              <w:t>，参考《城市污水处理厂恶臭排放特征及污染源强研究》提供的污水处理主要构筑物单位面积污染因子源强系数，本项目污水处理站</w:t>
            </w:r>
            <w:r>
              <w:rPr>
                <w:rFonts w:hint="default" w:ascii="Times New Roman" w:hAnsi="Times New Roman" w:cs="Times New Roman"/>
                <w:color w:val="auto"/>
              </w:rPr>
              <w:t>NH</w:t>
            </w:r>
            <w:r>
              <w:rPr>
                <w:rFonts w:hint="default" w:ascii="Times New Roman" w:hAnsi="Times New Roman" w:cs="Times New Roman"/>
                <w:color w:val="auto"/>
                <w:vertAlign w:val="subscript"/>
              </w:rPr>
              <w:t>3</w:t>
            </w:r>
            <w:r>
              <w:rPr>
                <w:rFonts w:hint="eastAsia" w:ascii="Times New Roman" w:hAnsi="Times New Roman" w:cs="Times New Roman"/>
                <w:color w:val="auto"/>
              </w:rPr>
              <w:t>产生源强</w:t>
            </w:r>
            <w:r>
              <w:rPr>
                <w:rFonts w:hint="default" w:ascii="Times New Roman" w:hAnsi="Times New Roman" w:cs="Times New Roman"/>
                <w:color w:val="auto"/>
              </w:rPr>
              <w:t>0.000</w:t>
            </w:r>
            <w:r>
              <w:rPr>
                <w:rFonts w:hint="eastAsia" w:ascii="Times New Roman" w:hAnsi="Times New Roman" w:cs="Times New Roman"/>
                <w:color w:val="auto"/>
              </w:rPr>
              <w:t>0318</w:t>
            </w:r>
            <w:r>
              <w:rPr>
                <w:rFonts w:hint="default" w:ascii="Times New Roman" w:hAnsi="Times New Roman" w:cs="Times New Roman"/>
                <w:color w:val="auto"/>
              </w:rPr>
              <w:t>kg/h</w:t>
            </w:r>
            <w:r>
              <w:rPr>
                <w:rFonts w:hint="eastAsia" w:ascii="Times New Roman" w:hAnsi="Times New Roman" w:cs="Times New Roman"/>
                <w:color w:val="auto"/>
              </w:rPr>
              <w:t>，</w:t>
            </w:r>
            <w:r>
              <w:rPr>
                <w:rFonts w:hint="default" w:ascii="Times New Roman" w:hAnsi="Times New Roman" w:cs="Times New Roman"/>
                <w:color w:val="auto"/>
              </w:rPr>
              <w:t>NH</w:t>
            </w:r>
            <w:r>
              <w:rPr>
                <w:rFonts w:hint="default" w:ascii="Times New Roman" w:hAnsi="Times New Roman" w:cs="Times New Roman"/>
                <w:color w:val="auto"/>
                <w:vertAlign w:val="subscript"/>
              </w:rPr>
              <w:t>3</w:t>
            </w:r>
            <w:r>
              <w:rPr>
                <w:rFonts w:hint="eastAsia" w:ascii="Times New Roman" w:hAnsi="Times New Roman" w:cs="Times New Roman"/>
                <w:color w:val="auto"/>
              </w:rPr>
              <w:t>产生量为</w:t>
            </w:r>
            <w:r>
              <w:rPr>
                <w:rFonts w:hint="default" w:ascii="Times New Roman" w:hAnsi="Times New Roman" w:cs="Times New Roman"/>
                <w:color w:val="auto"/>
              </w:rPr>
              <w:t>0.00</w:t>
            </w:r>
            <w:r>
              <w:rPr>
                <w:rFonts w:hint="eastAsia" w:ascii="Times New Roman" w:hAnsi="Times New Roman" w:cs="Times New Roman"/>
                <w:color w:val="auto"/>
              </w:rPr>
              <w:t>028</w:t>
            </w:r>
            <w:r>
              <w:rPr>
                <w:rFonts w:hint="default" w:ascii="Times New Roman" w:hAnsi="Times New Roman" w:cs="Times New Roman"/>
                <w:color w:val="auto"/>
              </w:rPr>
              <w:t>t/a</w:t>
            </w:r>
            <w:r>
              <w:rPr>
                <w:rFonts w:hint="eastAsia" w:ascii="Times New Roman" w:hAnsi="Times New Roman" w:cs="Times New Roman"/>
                <w:color w:val="auto"/>
              </w:rPr>
              <w:t>，</w:t>
            </w:r>
            <w:r>
              <w:rPr>
                <w:rFonts w:hint="default" w:ascii="Times New Roman" w:hAnsi="Times New Roman" w:cs="Times New Roman"/>
                <w:color w:val="auto"/>
              </w:rPr>
              <w:t>H</w:t>
            </w:r>
            <w:r>
              <w:rPr>
                <w:rFonts w:hint="default" w:ascii="Times New Roman" w:hAnsi="Times New Roman" w:cs="Times New Roman"/>
                <w:color w:val="auto"/>
                <w:vertAlign w:val="subscript"/>
              </w:rPr>
              <w:t>2</w:t>
            </w:r>
            <w:r>
              <w:rPr>
                <w:rFonts w:hint="default" w:ascii="Times New Roman" w:hAnsi="Times New Roman" w:cs="Times New Roman"/>
                <w:color w:val="auto"/>
              </w:rPr>
              <w:t>S</w:t>
            </w:r>
            <w:r>
              <w:rPr>
                <w:rFonts w:hint="eastAsia" w:ascii="Times New Roman" w:hAnsi="Times New Roman" w:cs="Times New Roman"/>
                <w:color w:val="auto"/>
              </w:rPr>
              <w:t>产生源强</w:t>
            </w:r>
            <w:r>
              <w:rPr>
                <w:rFonts w:hint="default" w:ascii="Times New Roman" w:hAnsi="Times New Roman" w:cs="Times New Roman"/>
                <w:color w:val="auto"/>
              </w:rPr>
              <w:t>0.00</w:t>
            </w:r>
            <w:r>
              <w:rPr>
                <w:rFonts w:hint="eastAsia" w:ascii="Times New Roman" w:hAnsi="Times New Roman" w:cs="Times New Roman"/>
                <w:color w:val="auto"/>
              </w:rPr>
              <w:t>0345</w:t>
            </w:r>
            <w:r>
              <w:rPr>
                <w:rFonts w:hint="default" w:ascii="Times New Roman" w:hAnsi="Times New Roman" w:cs="Times New Roman"/>
                <w:color w:val="auto"/>
              </w:rPr>
              <w:t>kg/h</w:t>
            </w:r>
            <w:r>
              <w:rPr>
                <w:rFonts w:hint="eastAsia" w:ascii="Times New Roman" w:hAnsi="Times New Roman" w:cs="Times New Roman"/>
                <w:color w:val="auto"/>
              </w:rPr>
              <w:t>，</w:t>
            </w:r>
            <w:r>
              <w:rPr>
                <w:rFonts w:hint="default" w:ascii="Times New Roman" w:hAnsi="Times New Roman" w:cs="Times New Roman"/>
                <w:color w:val="auto"/>
              </w:rPr>
              <w:t>H</w:t>
            </w:r>
            <w:r>
              <w:rPr>
                <w:rFonts w:hint="default" w:ascii="Times New Roman" w:hAnsi="Times New Roman" w:cs="Times New Roman"/>
                <w:color w:val="auto"/>
                <w:vertAlign w:val="subscript"/>
              </w:rPr>
              <w:t>2</w:t>
            </w:r>
            <w:r>
              <w:rPr>
                <w:rFonts w:hint="default" w:ascii="Times New Roman" w:hAnsi="Times New Roman" w:cs="Times New Roman"/>
                <w:color w:val="auto"/>
              </w:rPr>
              <w:t>S</w:t>
            </w:r>
            <w:r>
              <w:rPr>
                <w:rFonts w:hint="eastAsia" w:ascii="Times New Roman" w:hAnsi="Times New Roman" w:cs="Times New Roman"/>
                <w:color w:val="auto"/>
              </w:rPr>
              <w:t>产生量为</w:t>
            </w:r>
            <w:r>
              <w:rPr>
                <w:rFonts w:hint="default" w:ascii="Times New Roman" w:hAnsi="Times New Roman" w:cs="Times New Roman"/>
                <w:color w:val="auto"/>
              </w:rPr>
              <w:t>0.0</w:t>
            </w:r>
            <w:r>
              <w:rPr>
                <w:rFonts w:hint="eastAsia" w:ascii="Times New Roman" w:hAnsi="Times New Roman" w:cs="Times New Roman"/>
                <w:color w:val="auto"/>
              </w:rPr>
              <w:t>0305</w:t>
            </w:r>
            <w:r>
              <w:rPr>
                <w:rFonts w:hint="default" w:ascii="Times New Roman" w:hAnsi="Times New Roman" w:cs="Times New Roman"/>
                <w:color w:val="auto"/>
              </w:rPr>
              <w:t>t/a</w:t>
            </w:r>
            <w:r>
              <w:rPr>
                <w:rFonts w:hint="eastAsia" w:ascii="Times New Roman" w:hAnsi="Times New Roman" w:cs="Times New Roman"/>
                <w:color w:val="auto"/>
              </w:rPr>
              <w:t>，臭气浓度小于</w:t>
            </w:r>
            <w:r>
              <w:rPr>
                <w:rFonts w:hint="default" w:ascii="Times New Roman" w:hAnsi="Times New Roman" w:cs="Times New Roman"/>
                <w:color w:val="auto"/>
              </w:rPr>
              <w:t>20</w:t>
            </w:r>
            <w:r>
              <w:rPr>
                <w:rFonts w:hint="eastAsia" w:ascii="Times New Roman" w:hAnsi="Times New Roman" w:cs="Times New Roman"/>
                <w:color w:val="auto"/>
              </w:rPr>
              <w:t>（无量纲）。</w:t>
            </w:r>
          </w:p>
          <w:p>
            <w:pPr>
              <w:pStyle w:val="5"/>
              <w:suppressLineNumbers w:val="0"/>
              <w:spacing w:before="0" w:after="0"/>
              <w:ind w:left="0" w:right="0" w:firstLine="482"/>
              <w:rPr>
                <w:rFonts w:hint="default" w:ascii="Times New Roman" w:hAnsi="Times New Roman" w:cs="Times New Roman"/>
                <w:color w:val="auto"/>
              </w:rPr>
            </w:pPr>
            <w:r>
              <w:rPr>
                <w:rFonts w:hint="eastAsia" w:ascii="Times New Roman" w:hAnsi="Times New Roman" w:cs="Times New Roman"/>
                <w:color w:val="auto"/>
              </w:rPr>
              <w:t>食堂油烟</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项目设置食堂，食堂烹饪过程中产生的油烟气，所排放的油烟气中各种短链醛、酮、酸、醇等有害物质，会对大气环境产生一定影响。根据类比，油烟产生浓度4</w:t>
            </w:r>
            <w:r>
              <w:rPr>
                <w:rFonts w:hint="default" w:ascii="Times New Roman" w:hAnsi="Times New Roman" w:cs="Times New Roman"/>
                <w:color w:val="auto"/>
              </w:rPr>
              <w:t>mg/m</w:t>
            </w:r>
            <w:r>
              <w:rPr>
                <w:rFonts w:hint="default" w:ascii="Times New Roman" w:hAnsi="Times New Roman" w:cs="Times New Roman"/>
                <w:color w:val="auto"/>
                <w:vertAlign w:val="superscript"/>
              </w:rPr>
              <w:t>3</w:t>
            </w:r>
            <w:r>
              <w:rPr>
                <w:rFonts w:hint="eastAsia" w:ascii="Times New Roman" w:hAnsi="Times New Roman" w:cs="Times New Roman"/>
                <w:color w:val="auto"/>
              </w:rPr>
              <w:t>，项目选择高效油烟净化器，其净化效率不低于</w:t>
            </w:r>
            <w:r>
              <w:rPr>
                <w:rFonts w:hint="default" w:ascii="Times New Roman" w:hAnsi="Times New Roman" w:cs="Times New Roman"/>
                <w:color w:val="auto"/>
              </w:rPr>
              <w:t>60%</w:t>
            </w:r>
            <w:r>
              <w:rPr>
                <w:rFonts w:hint="eastAsia" w:ascii="Times New Roman" w:hAnsi="Times New Roman" w:cs="Times New Roman"/>
                <w:color w:val="auto"/>
              </w:rPr>
              <w:t>，通过油烟净化器处理后，经引风机引至排烟筒排放，油烟排放浓度为1.6</w:t>
            </w:r>
            <w:r>
              <w:rPr>
                <w:rFonts w:hint="default" w:ascii="Times New Roman" w:hAnsi="Times New Roman" w:cs="Times New Roman"/>
                <w:color w:val="auto"/>
              </w:rPr>
              <w:t>mg/m</w:t>
            </w:r>
            <w:r>
              <w:rPr>
                <w:rFonts w:hint="default" w:ascii="Times New Roman" w:hAnsi="Times New Roman" w:cs="Times New Roman"/>
                <w:color w:val="auto"/>
                <w:vertAlign w:val="superscript"/>
              </w:rPr>
              <w:t>3</w:t>
            </w:r>
            <w:r>
              <w:rPr>
                <w:rFonts w:hint="eastAsia" w:ascii="Times New Roman" w:hAnsi="Times New Roman" w:cs="Times New Roman"/>
                <w:color w:val="auto"/>
              </w:rPr>
              <w:t>，满足《饮食业油烟排放标准（试行）》（</w:t>
            </w:r>
            <w:r>
              <w:rPr>
                <w:rFonts w:hint="default" w:ascii="Times New Roman" w:hAnsi="Times New Roman" w:cs="Times New Roman"/>
                <w:color w:val="auto"/>
              </w:rPr>
              <w:t>GB18483-2001</w:t>
            </w:r>
            <w:r>
              <w:rPr>
                <w:rFonts w:hint="eastAsia" w:ascii="Times New Roman" w:hAnsi="Times New Roman" w:cs="Times New Roman"/>
                <w:color w:val="auto"/>
              </w:rPr>
              <w:t>）中的相关要求，对周围环境产生的影响可接受。</w:t>
            </w:r>
          </w:p>
          <w:p>
            <w:pPr>
              <w:pStyle w:val="4"/>
              <w:suppressLineNumbers w:val="0"/>
              <w:spacing w:before="0" w:after="0"/>
              <w:ind w:left="0" w:right="0" w:firstLine="482"/>
              <w:rPr>
                <w:rFonts w:hint="default" w:cs="Times New Roman"/>
                <w:color w:val="auto"/>
              </w:rPr>
            </w:pPr>
            <w:r>
              <w:rPr>
                <w:rFonts w:hint="eastAsia" w:cs="Times New Roman"/>
                <w:color w:val="auto"/>
              </w:rPr>
              <w:t>污染治理设施可行性</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一体化污水处理装置采取地埋式，各池体加盖，并定期投放除臭剂，本项目污水处理站处理规模很小，处理措施技术成熟、购置方便、操作简易、成本低廉，措施可行。</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食堂配备油烟净化器，油烟去除效率不低于</w:t>
            </w:r>
            <w:r>
              <w:rPr>
                <w:rFonts w:hint="default" w:ascii="Times New Roman" w:hAnsi="Times New Roman" w:cs="Times New Roman"/>
                <w:color w:val="auto"/>
              </w:rPr>
              <w:t>60%</w:t>
            </w:r>
            <w:r>
              <w:rPr>
                <w:rFonts w:hint="eastAsia" w:ascii="Times New Roman" w:hAnsi="Times New Roman" w:cs="Times New Roman"/>
                <w:color w:val="auto"/>
              </w:rPr>
              <w:t>。油烟净化器是治理食堂油烟的常用设备，技术成熟、购置方便、操作简易、成本低廉。</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综上所述，项目采用的大气污染防治措施实用性强，效果明显，措施可行。</w:t>
            </w:r>
          </w:p>
          <w:p>
            <w:pPr>
              <w:pStyle w:val="4"/>
              <w:suppressLineNumbers w:val="0"/>
              <w:spacing w:before="0" w:after="0"/>
              <w:ind w:left="0" w:right="0" w:firstLine="482"/>
              <w:rPr>
                <w:rFonts w:hint="default" w:cs="Times New Roman"/>
                <w:color w:val="auto"/>
              </w:rPr>
            </w:pPr>
            <w:r>
              <w:rPr>
                <w:rFonts w:hint="eastAsia" w:cs="Times New Roman"/>
                <w:color w:val="auto"/>
              </w:rPr>
              <w:t>无组织达标排放分析</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项目无组织排放源及相对厂界的距离及厂界达标排放情况见下表。</w:t>
            </w:r>
          </w:p>
          <w:p>
            <w:pPr>
              <w:pStyle w:val="37"/>
              <w:keepNext w:val="0"/>
              <w:keepLines w:val="0"/>
              <w:suppressLineNumbers w:val="0"/>
              <w:spacing w:before="0" w:beforeAutospacing="0" w:after="0" w:afterAutospacing="0"/>
              <w:ind w:right="0"/>
              <w:rPr>
                <w:rFonts w:hint="default" w:ascii="Times New Roman" w:hAnsi="Times New Roman" w:cs="Times New Roman"/>
                <w:color w:val="auto"/>
              </w:rPr>
            </w:pPr>
            <w:r>
              <w:rPr>
                <w:rFonts w:hint="default" w:ascii="Times New Roman" w:hAnsi="Times New Roman" w:cs="Times New Roman"/>
                <w:color w:val="auto"/>
              </w:rPr>
              <w:t>各无组织面源距厂界的最近距离一览表</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0"/>
              <w:gridCol w:w="1660"/>
              <w:gridCol w:w="1660"/>
              <w:gridCol w:w="1660"/>
              <w:gridCol w:w="16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0" w:type="dxa"/>
                  <w:vMerge w:val="restar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污染源</w:t>
                  </w:r>
                </w:p>
              </w:tc>
              <w:tc>
                <w:tcPr>
                  <w:tcW w:w="6641" w:type="dxa"/>
                  <w:gridSpan w:val="4"/>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距厂界最近距离（m）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0" w:type="dxa"/>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p>
              </w:tc>
              <w:tc>
                <w:tcPr>
                  <w:tcW w:w="1660"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北厂界</w:t>
                  </w:r>
                </w:p>
              </w:tc>
              <w:tc>
                <w:tcPr>
                  <w:tcW w:w="1660"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东厂界</w:t>
                  </w:r>
                </w:p>
              </w:tc>
              <w:tc>
                <w:tcPr>
                  <w:tcW w:w="1660"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南厂界</w:t>
                  </w:r>
                </w:p>
              </w:tc>
              <w:tc>
                <w:tcPr>
                  <w:tcW w:w="1661"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西厂界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0"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污水处理站</w:t>
                  </w:r>
                </w:p>
              </w:tc>
              <w:tc>
                <w:tcPr>
                  <w:tcW w:w="1660"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100</w:t>
                  </w:r>
                </w:p>
              </w:tc>
              <w:tc>
                <w:tcPr>
                  <w:tcW w:w="1660"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110</w:t>
                  </w:r>
                </w:p>
              </w:tc>
              <w:tc>
                <w:tcPr>
                  <w:tcW w:w="1660"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27</w:t>
                  </w:r>
                </w:p>
              </w:tc>
              <w:tc>
                <w:tcPr>
                  <w:tcW w:w="1661"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2</w:t>
                  </w:r>
                </w:p>
              </w:tc>
            </w:tr>
          </w:tbl>
          <w:p>
            <w:pPr>
              <w:pStyle w:val="37"/>
              <w:keepNext w:val="0"/>
              <w:keepLines w:val="0"/>
              <w:suppressLineNumbers w:val="0"/>
              <w:spacing w:before="0" w:beforeAutospacing="0" w:after="0" w:afterAutospacing="0"/>
              <w:ind w:right="0"/>
              <w:rPr>
                <w:rFonts w:hint="default" w:ascii="Times New Roman" w:hAnsi="Times New Roman" w:cs="Times New Roman"/>
                <w:color w:val="auto"/>
              </w:rPr>
            </w:pPr>
            <w:r>
              <w:rPr>
                <w:rFonts w:hint="default" w:ascii="Times New Roman" w:hAnsi="Times New Roman" w:cs="Times New Roman"/>
                <w:color w:val="auto"/>
              </w:rPr>
              <w:t>无组织项目厂界达标情况一览表</w:t>
            </w:r>
          </w:p>
          <w:tbl>
            <w:tblPr>
              <w:tblStyle w:val="20"/>
              <w:tblW w:w="83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7"/>
              <w:gridCol w:w="646"/>
              <w:gridCol w:w="2035"/>
              <w:gridCol w:w="1185"/>
              <w:gridCol w:w="1185"/>
              <w:gridCol w:w="1186"/>
              <w:gridCol w:w="11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7" w:type="dxa"/>
                  <w:vMerge w:val="restar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污染源</w:t>
                  </w:r>
                </w:p>
              </w:tc>
              <w:tc>
                <w:tcPr>
                  <w:tcW w:w="646" w:type="dxa"/>
                  <w:vMerge w:val="restar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污染</w:t>
                  </w:r>
                </w:p>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因子</w:t>
                  </w:r>
                </w:p>
              </w:tc>
              <w:tc>
                <w:tcPr>
                  <w:tcW w:w="2035" w:type="dxa"/>
                  <w:vMerge w:val="restar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类型</w:t>
                  </w:r>
                </w:p>
              </w:tc>
              <w:tc>
                <w:tcPr>
                  <w:tcW w:w="4742" w:type="dxa"/>
                  <w:gridSpan w:val="4"/>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各厂界落地浓度（mg/m</w:t>
                  </w:r>
                  <w:r>
                    <w:rPr>
                      <w:rFonts w:hint="default" w:ascii="Times New Roman" w:hAnsi="Times New Roman" w:cs="Times New Roman"/>
                      <w:b/>
                      <w:bCs/>
                      <w:color w:val="auto"/>
                      <w:vertAlign w:val="superscript"/>
                    </w:rPr>
                    <w:t>3</w:t>
                  </w:r>
                  <w:r>
                    <w:rPr>
                      <w:rFonts w:hint="default" w:ascii="Times New Roman" w:hAnsi="Times New Roman" w:cs="Times New Roman"/>
                      <w:b/>
                      <w:bCs/>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7" w:type="dxa"/>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p>
              </w:tc>
              <w:tc>
                <w:tcPr>
                  <w:tcW w:w="646" w:type="dxa"/>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p>
              </w:tc>
              <w:tc>
                <w:tcPr>
                  <w:tcW w:w="2035" w:type="dxa"/>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p>
              </w:tc>
              <w:tc>
                <w:tcPr>
                  <w:tcW w:w="1185"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北厂界</w:t>
                  </w:r>
                </w:p>
              </w:tc>
              <w:tc>
                <w:tcPr>
                  <w:tcW w:w="1185"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东厂界</w:t>
                  </w:r>
                </w:p>
              </w:tc>
              <w:tc>
                <w:tcPr>
                  <w:tcW w:w="1186"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南厂界</w:t>
                  </w:r>
                </w:p>
              </w:tc>
              <w:tc>
                <w:tcPr>
                  <w:tcW w:w="1186"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西厂界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7" w:type="dxa"/>
                  <w:vMerge w:val="restar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污水处理站</w:t>
                  </w:r>
                </w:p>
              </w:tc>
              <w:tc>
                <w:tcPr>
                  <w:tcW w:w="646" w:type="dxa"/>
                  <w:vMerge w:val="restar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NH</w:t>
                  </w:r>
                  <w:r>
                    <w:rPr>
                      <w:rFonts w:hint="default" w:ascii="Times New Roman" w:hAnsi="Times New Roman" w:cs="Times New Roman"/>
                      <w:color w:val="auto"/>
                      <w:vertAlign w:val="subscript"/>
                    </w:rPr>
                    <w:t>3</w:t>
                  </w:r>
                </w:p>
              </w:tc>
              <w:tc>
                <w:tcPr>
                  <w:tcW w:w="2035"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落地浓度（mg/m</w:t>
                  </w:r>
                  <w:r>
                    <w:rPr>
                      <w:rFonts w:hint="default" w:ascii="Times New Roman" w:hAnsi="Times New Roman" w:cs="Times New Roman"/>
                      <w:color w:val="auto"/>
                      <w:vertAlign w:val="superscript"/>
                    </w:rPr>
                    <w:t>3</w:t>
                  </w:r>
                  <w:r>
                    <w:rPr>
                      <w:rFonts w:hint="default" w:ascii="Times New Roman" w:hAnsi="Times New Roman" w:cs="Times New Roman"/>
                      <w:color w:val="auto"/>
                    </w:rPr>
                    <w:t>）</w:t>
                  </w:r>
                </w:p>
              </w:tc>
              <w:tc>
                <w:tcPr>
                  <w:tcW w:w="1185"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0.000462</w:t>
                  </w:r>
                </w:p>
              </w:tc>
              <w:tc>
                <w:tcPr>
                  <w:tcW w:w="1185"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0.000385</w:t>
                  </w:r>
                </w:p>
              </w:tc>
              <w:tc>
                <w:tcPr>
                  <w:tcW w:w="1186"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0.001302</w:t>
                  </w:r>
                </w:p>
              </w:tc>
              <w:tc>
                <w:tcPr>
                  <w:tcW w:w="1186"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0.001808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7" w:type="dxa"/>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646" w:type="dxa"/>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2035"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排放标准（mg/m</w:t>
                  </w:r>
                  <w:r>
                    <w:rPr>
                      <w:rFonts w:hint="default" w:ascii="Times New Roman" w:hAnsi="Times New Roman" w:cs="Times New Roman"/>
                      <w:color w:val="auto"/>
                      <w:vertAlign w:val="superscript"/>
                    </w:rPr>
                    <w:t>3</w:t>
                  </w:r>
                  <w:r>
                    <w:rPr>
                      <w:rFonts w:hint="default" w:ascii="Times New Roman" w:hAnsi="Times New Roman" w:cs="Times New Roman"/>
                      <w:color w:val="auto"/>
                    </w:rPr>
                    <w:t>）</w:t>
                  </w:r>
                </w:p>
              </w:tc>
              <w:tc>
                <w:tcPr>
                  <w:tcW w:w="4742" w:type="dxa"/>
                  <w:gridSpan w:val="4"/>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7" w:type="dxa"/>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646" w:type="dxa"/>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2035"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达标情况</w:t>
                  </w:r>
                </w:p>
              </w:tc>
              <w:tc>
                <w:tcPr>
                  <w:tcW w:w="4742" w:type="dxa"/>
                  <w:gridSpan w:val="4"/>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7" w:type="dxa"/>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646" w:type="dxa"/>
                  <w:vMerge w:val="restar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H</w:t>
                  </w:r>
                  <w:r>
                    <w:rPr>
                      <w:rFonts w:hint="default" w:ascii="Times New Roman" w:hAnsi="Times New Roman" w:cs="Times New Roman"/>
                      <w:color w:val="auto"/>
                      <w:vertAlign w:val="subscript"/>
                    </w:rPr>
                    <w:t>2</w:t>
                  </w:r>
                  <w:r>
                    <w:rPr>
                      <w:rFonts w:hint="default" w:ascii="Times New Roman" w:hAnsi="Times New Roman" w:cs="Times New Roman"/>
                      <w:color w:val="auto"/>
                    </w:rPr>
                    <w:t>S</w:t>
                  </w:r>
                </w:p>
              </w:tc>
              <w:tc>
                <w:tcPr>
                  <w:tcW w:w="2035"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落地浓度（mg/m</w:t>
                  </w:r>
                  <w:r>
                    <w:rPr>
                      <w:rFonts w:hint="default" w:ascii="Times New Roman" w:hAnsi="Times New Roman" w:cs="Times New Roman"/>
                      <w:color w:val="auto"/>
                      <w:vertAlign w:val="superscript"/>
                    </w:rPr>
                    <w:t>3</w:t>
                  </w:r>
                  <w:r>
                    <w:rPr>
                      <w:rFonts w:hint="default" w:ascii="Times New Roman" w:hAnsi="Times New Roman" w:cs="Times New Roman"/>
                      <w:color w:val="auto"/>
                    </w:rPr>
                    <w:t>）</w:t>
                  </w:r>
                </w:p>
              </w:tc>
              <w:tc>
                <w:tcPr>
                  <w:tcW w:w="1185"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0.005013</w:t>
                  </w:r>
                </w:p>
              </w:tc>
              <w:tc>
                <w:tcPr>
                  <w:tcW w:w="1185"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0.004182</w:t>
                  </w:r>
                </w:p>
              </w:tc>
              <w:tc>
                <w:tcPr>
                  <w:tcW w:w="1186"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0.014121</w:t>
                  </w:r>
                </w:p>
              </w:tc>
              <w:tc>
                <w:tcPr>
                  <w:tcW w:w="1186"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0.0</w:t>
                  </w:r>
                  <w:r>
                    <w:rPr>
                      <w:rFonts w:hint="eastAsia" w:ascii="Times New Roman" w:hAnsi="Times New Roman" w:cs="Times New Roman"/>
                      <w:color w:val="auto"/>
                    </w:rPr>
                    <w:t>19618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7" w:type="dxa"/>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646" w:type="dxa"/>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2035"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排放标准（mg/m</w:t>
                  </w:r>
                  <w:r>
                    <w:rPr>
                      <w:rFonts w:hint="default" w:ascii="Times New Roman" w:hAnsi="Times New Roman" w:cs="Times New Roman"/>
                      <w:color w:val="auto"/>
                      <w:vertAlign w:val="superscript"/>
                    </w:rPr>
                    <w:t>3</w:t>
                  </w:r>
                  <w:r>
                    <w:rPr>
                      <w:rFonts w:hint="default" w:ascii="Times New Roman" w:hAnsi="Times New Roman" w:cs="Times New Roman"/>
                      <w:color w:val="auto"/>
                    </w:rPr>
                    <w:t>）</w:t>
                  </w:r>
                </w:p>
              </w:tc>
              <w:tc>
                <w:tcPr>
                  <w:tcW w:w="4742" w:type="dxa"/>
                  <w:gridSpan w:val="4"/>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7" w:type="dxa"/>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646" w:type="dxa"/>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2035"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达标情况</w:t>
                  </w:r>
                </w:p>
              </w:tc>
              <w:tc>
                <w:tcPr>
                  <w:tcW w:w="4742" w:type="dxa"/>
                  <w:gridSpan w:val="4"/>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7" w:type="dxa"/>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646" w:type="dxa"/>
                  <w:vMerge w:val="restar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臭气浓度</w:t>
                  </w:r>
                </w:p>
              </w:tc>
              <w:tc>
                <w:tcPr>
                  <w:tcW w:w="2035"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落地浓度（</w:t>
                  </w:r>
                  <w:r>
                    <w:rPr>
                      <w:rFonts w:hint="eastAsia" w:ascii="Times New Roman" w:hAnsi="Times New Roman" w:cs="Times New Roman"/>
                      <w:color w:val="auto"/>
                    </w:rPr>
                    <w:t>无量纲</w:t>
                  </w:r>
                  <w:r>
                    <w:rPr>
                      <w:rFonts w:hint="default" w:ascii="Times New Roman" w:hAnsi="Times New Roman" w:cs="Times New Roman"/>
                      <w:color w:val="auto"/>
                    </w:rPr>
                    <w:t>）</w:t>
                  </w:r>
                </w:p>
              </w:tc>
              <w:tc>
                <w:tcPr>
                  <w:tcW w:w="4742" w:type="dxa"/>
                  <w:gridSpan w:val="4"/>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&lt;20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7" w:type="dxa"/>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646" w:type="dxa"/>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2035"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排放标准（</w:t>
                  </w:r>
                  <w:r>
                    <w:rPr>
                      <w:rFonts w:hint="eastAsia" w:ascii="Times New Roman" w:hAnsi="Times New Roman" w:cs="Times New Roman"/>
                      <w:color w:val="auto"/>
                    </w:rPr>
                    <w:t>无量纲</w:t>
                  </w:r>
                  <w:r>
                    <w:rPr>
                      <w:rFonts w:hint="default" w:ascii="Times New Roman" w:hAnsi="Times New Roman" w:cs="Times New Roman"/>
                      <w:color w:val="auto"/>
                    </w:rPr>
                    <w:t>）</w:t>
                  </w:r>
                </w:p>
              </w:tc>
              <w:tc>
                <w:tcPr>
                  <w:tcW w:w="4742" w:type="dxa"/>
                  <w:gridSpan w:val="4"/>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7" w:type="dxa"/>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646" w:type="dxa"/>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2035"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达标情况</w:t>
                  </w:r>
                </w:p>
              </w:tc>
              <w:tc>
                <w:tcPr>
                  <w:tcW w:w="4742" w:type="dxa"/>
                  <w:gridSpan w:val="4"/>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达标</w:t>
                  </w:r>
                </w:p>
              </w:tc>
            </w:tr>
          </w:tbl>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由上表预测结果分析可知，污水处理站无组织排放NH</w:t>
            </w:r>
            <w:r>
              <w:rPr>
                <w:rFonts w:hint="default" w:ascii="Times New Roman" w:hAnsi="Times New Roman" w:cs="Times New Roman"/>
                <w:color w:val="auto"/>
                <w:vertAlign w:val="subscript"/>
              </w:rPr>
              <w:t>3</w:t>
            </w:r>
            <w:r>
              <w:rPr>
                <w:rFonts w:hint="default" w:ascii="Times New Roman" w:hAnsi="Times New Roman" w:cs="Times New Roman"/>
                <w:color w:val="auto"/>
              </w:rPr>
              <w:t>、H</w:t>
            </w:r>
            <w:r>
              <w:rPr>
                <w:rFonts w:hint="default" w:ascii="Times New Roman" w:hAnsi="Times New Roman" w:cs="Times New Roman"/>
                <w:color w:val="auto"/>
                <w:vertAlign w:val="subscript"/>
              </w:rPr>
              <w:t>2</w:t>
            </w:r>
            <w:r>
              <w:rPr>
                <w:rFonts w:hint="default" w:ascii="Times New Roman" w:hAnsi="Times New Roman" w:cs="Times New Roman"/>
                <w:color w:val="auto"/>
              </w:rPr>
              <w:t>S</w:t>
            </w:r>
            <w:r>
              <w:rPr>
                <w:rFonts w:hint="eastAsia" w:ascii="Times New Roman" w:hAnsi="Times New Roman" w:cs="Times New Roman"/>
                <w:color w:val="auto"/>
              </w:rPr>
              <w:t>和臭气浓度</w:t>
            </w:r>
            <w:r>
              <w:rPr>
                <w:rFonts w:hint="default" w:ascii="Times New Roman" w:hAnsi="Times New Roman" w:cs="Times New Roman"/>
                <w:color w:val="auto"/>
              </w:rPr>
              <w:t>满足《恶臭污染物排放标准》(GB14554-93)表1恶臭污染物厂界标准。</w:t>
            </w:r>
          </w:p>
          <w:p>
            <w:pPr>
              <w:pStyle w:val="4"/>
              <w:suppressLineNumbers w:val="0"/>
              <w:spacing w:before="0" w:after="0"/>
              <w:ind w:left="0" w:right="0" w:firstLine="482"/>
              <w:rPr>
                <w:rFonts w:hint="eastAsia" w:cs="Times New Roman"/>
                <w:color w:val="auto"/>
              </w:rPr>
            </w:pPr>
            <w:r>
              <w:rPr>
                <w:rFonts w:hint="eastAsia" w:cs="Times New Roman"/>
                <w:color w:val="auto"/>
              </w:rPr>
              <w:t>大气环境影响评价结论</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综上所述，项目运营期各大气污染源均采取了切实有效的污染防治措施，运营期产生的大气污染物满足达标排放要求，运营期大气环境影响可以接受。</w:t>
            </w:r>
          </w:p>
          <w:p>
            <w:pPr>
              <w:pStyle w:val="3"/>
              <w:keepLines w:val="0"/>
              <w:numPr>
                <w:ilvl w:val="0"/>
                <w:numId w:val="18"/>
              </w:numPr>
              <w:suppressLineNumbers w:val="0"/>
              <w:spacing w:before="120" w:beforeAutospacing="0" w:after="0" w:afterAutospacing="0"/>
              <w:ind w:right="0" w:firstLine="482"/>
              <w:rPr>
                <w:rFonts w:hint="default" w:ascii="Times New Roman" w:hAnsi="Times New Roman" w:cs="Times New Roman"/>
                <w:color w:val="auto"/>
              </w:rPr>
            </w:pPr>
            <w:r>
              <w:rPr>
                <w:rFonts w:hint="default" w:ascii="Times New Roman" w:hAnsi="Times New Roman" w:cs="Times New Roman"/>
                <w:color w:val="auto"/>
              </w:rPr>
              <w:t>水环境影响和保护措施</w:t>
            </w:r>
          </w:p>
          <w:p>
            <w:pPr>
              <w:pStyle w:val="4"/>
              <w:numPr>
                <w:ilvl w:val="1"/>
                <w:numId w:val="18"/>
              </w:numPr>
              <w:suppressLineNumbers w:val="0"/>
              <w:tabs>
                <w:tab w:val="left" w:pos="0"/>
              </w:tabs>
              <w:spacing w:before="0" w:after="0"/>
              <w:ind w:right="0" w:firstLine="482"/>
              <w:rPr>
                <w:rFonts w:hint="default" w:cs="Times New Roman"/>
                <w:color w:val="auto"/>
              </w:rPr>
            </w:pPr>
            <w:r>
              <w:rPr>
                <w:rFonts w:hint="eastAsia" w:cs="Times New Roman"/>
                <w:color w:val="auto"/>
              </w:rPr>
              <w:t>运营期</w:t>
            </w:r>
            <w:r>
              <w:rPr>
                <w:rFonts w:hint="default" w:cs="Times New Roman"/>
                <w:color w:val="auto"/>
              </w:rPr>
              <w:t>废水产生情况</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本项目运营期废水主要为生活污水及食堂废水、太阳能光伏组件清洗废水。</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升压站内管理区生活污水经化粪池处理（食堂废水经隔油池处理）后排入污水调节池，后经地埋式一体化污水处理设备处理达到《城市污水再生利用 城市杂用水水质》（GB/T18920-2020）中水质标准后，作为厂区地面抑尘、绿化使用，不外排；太阳能光伏组件清洗废水用于场地绿化。</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污水处理站的工艺流程如下图：</w:t>
            </w:r>
          </w:p>
          <w:p>
            <w:pPr>
              <w:keepNext w:val="0"/>
              <w:keepLines w:val="0"/>
              <w:suppressLineNumbers w:val="0"/>
              <w:spacing w:before="0" w:beforeAutospacing="0" w:after="0" w:afterAutospacing="0"/>
              <w:ind w:left="0" w:right="0" w:firstLine="0" w:firstLineChars="0"/>
              <w:rPr>
                <w:rFonts w:hint="eastAsia" w:ascii="Times New Roman" w:hAnsi="Times New Roman" w:cs="Times New Roman"/>
                <w:color w:val="auto"/>
              </w:rPr>
            </w:pPr>
            <w:r>
              <w:rPr>
                <w:rFonts w:hint="eastAsia" w:ascii="Times New Roman" w:hAnsi="Times New Roman" w:cs="Times New Roman"/>
                <w:color w:val="auto"/>
              </w:rPr>
              <w:drawing>
                <wp:inline distT="0" distB="0" distL="114300" distR="114300">
                  <wp:extent cx="5304790" cy="1391285"/>
                  <wp:effectExtent l="0" t="0" r="0" b="0"/>
                  <wp:docPr id="16" name="ECB019B1-382A-4266-B25C-5B523AA43C14-1" descr="C:/Users/Lenovo/AppData/Local/Temp/wps.ocYQAl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ECB019B1-382A-4266-B25C-5B523AA43C14-1" descr="C:/Users/Lenovo/AppData/Local/Temp/wps.ocYQAlwps"/>
                          <pic:cNvPicPr>
                            <a:picLocks noChangeAspect="1"/>
                          </pic:cNvPicPr>
                        </pic:nvPicPr>
                        <pic:blipFill>
                          <a:blip r:embed="rId42"/>
                          <a:stretch>
                            <a:fillRect/>
                          </a:stretch>
                        </pic:blipFill>
                        <pic:spPr>
                          <a:xfrm>
                            <a:off x="0" y="0"/>
                            <a:ext cx="5304790" cy="1391285"/>
                          </a:xfrm>
                          <a:prstGeom prst="rect">
                            <a:avLst/>
                          </a:prstGeom>
                          <a:noFill/>
                          <a:ln>
                            <a:noFill/>
                          </a:ln>
                        </pic:spPr>
                      </pic:pic>
                    </a:graphicData>
                  </a:graphic>
                </wp:inline>
              </w:drawing>
            </w:r>
          </w:p>
          <w:p>
            <w:pPr>
              <w:pStyle w:val="36"/>
              <w:keepNext w:val="0"/>
              <w:keepLines w:val="0"/>
              <w:numPr>
                <w:ilvl w:val="0"/>
                <w:numId w:val="0"/>
              </w:numPr>
              <w:suppressLineNumbers w:val="0"/>
              <w:spacing w:before="0" w:beforeAutospacing="0" w:after="0" w:afterAutospacing="0"/>
              <w:ind w:right="0"/>
              <w:rPr>
                <w:rFonts w:ascii="Times New Roman" w:hAnsi="Times New Roman" w:cs="Times New Roman"/>
                <w:color w:val="auto"/>
              </w:rPr>
            </w:pPr>
            <w:r>
              <w:rPr>
                <w:rFonts w:ascii="Times New Roman" w:hAnsi="Times New Roman" w:cs="Times New Roman"/>
                <w:color w:val="auto"/>
              </w:rPr>
              <w:t>图4-1  污水处理站工艺流程图</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污水处理站水质情况如下：</w:t>
            </w:r>
          </w:p>
          <w:p>
            <w:pPr>
              <w:pStyle w:val="37"/>
              <w:keepNext w:val="0"/>
              <w:keepLines w:val="0"/>
              <w:suppressLineNumbers w:val="0"/>
              <w:spacing w:before="0" w:beforeAutospacing="0" w:after="0" w:afterAutospacing="0"/>
              <w:ind w:right="0"/>
              <w:rPr>
                <w:rFonts w:ascii="Times New Roman" w:hAnsi="Times New Roman" w:cs="Times New Roman"/>
                <w:color w:val="auto"/>
              </w:rPr>
            </w:pPr>
            <w:r>
              <w:rPr>
                <w:rFonts w:ascii="Times New Roman" w:hAnsi="Times New Roman" w:cs="Times New Roman"/>
                <w:color w:val="auto"/>
              </w:rPr>
              <w:t>生活污水处理站进出水质情况一览表</w:t>
            </w:r>
          </w:p>
          <w:tbl>
            <w:tblPr>
              <w:tblStyle w:val="20"/>
              <w:tblW w:w="81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627"/>
              <w:gridCol w:w="1552"/>
              <w:gridCol w:w="1147"/>
              <w:gridCol w:w="1305"/>
              <w:gridCol w:w="1356"/>
              <w:gridCol w:w="11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99"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b/>
                      <w:bCs/>
                      <w:color w:val="auto"/>
                    </w:rPr>
                  </w:pPr>
                  <w:r>
                    <w:rPr>
                      <w:rFonts w:hint="eastAsia" w:ascii="Times New Roman" w:hAnsi="Times New Roman" w:cs="Times New Roman"/>
                      <w:b/>
                      <w:bCs/>
                      <w:color w:val="auto"/>
                    </w:rPr>
                    <w:t>污染物</w:t>
                  </w:r>
                </w:p>
              </w:tc>
              <w:tc>
                <w:tcPr>
                  <w:tcW w:w="953"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b/>
                      <w:bCs/>
                      <w:color w:val="auto"/>
                    </w:rPr>
                  </w:pPr>
                  <w:r>
                    <w:rPr>
                      <w:rFonts w:hint="eastAsia" w:ascii="Times New Roman" w:hAnsi="Times New Roman" w:cs="Times New Roman"/>
                      <w:b/>
                      <w:bCs/>
                      <w:color w:val="auto"/>
                    </w:rPr>
                    <w:t>单位</w:t>
                  </w:r>
                </w:p>
              </w:tc>
              <w:tc>
                <w:tcPr>
                  <w:tcW w:w="704"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b/>
                      <w:bCs/>
                      <w:color w:val="auto"/>
                    </w:rPr>
                  </w:pPr>
                  <w:r>
                    <w:rPr>
                      <w:rFonts w:hint="eastAsia" w:ascii="Times New Roman" w:hAnsi="Times New Roman" w:cs="Times New Roman"/>
                      <w:b/>
                      <w:bCs/>
                      <w:color w:val="auto"/>
                    </w:rPr>
                    <w:t>进水水质</w:t>
                  </w:r>
                </w:p>
              </w:tc>
              <w:tc>
                <w:tcPr>
                  <w:tcW w:w="802"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b/>
                      <w:bCs/>
                      <w:color w:val="auto"/>
                    </w:rPr>
                  </w:pPr>
                  <w:r>
                    <w:rPr>
                      <w:rFonts w:hint="eastAsia" w:ascii="Times New Roman" w:hAnsi="Times New Roman" w:cs="Times New Roman"/>
                      <w:b/>
                      <w:bCs/>
                      <w:color w:val="auto"/>
                    </w:rPr>
                    <w:t>出水水质</w:t>
                  </w:r>
                </w:p>
              </w:tc>
              <w:tc>
                <w:tcPr>
                  <w:tcW w:w="833"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b/>
                      <w:bCs/>
                      <w:color w:val="auto"/>
                    </w:rPr>
                  </w:pPr>
                  <w:r>
                    <w:rPr>
                      <w:rFonts w:hint="eastAsia" w:ascii="Times New Roman" w:hAnsi="Times New Roman" w:cs="Times New Roman"/>
                      <w:b/>
                      <w:bCs/>
                      <w:color w:val="auto"/>
                    </w:rPr>
                    <w:t>去除率（%）</w:t>
                  </w:r>
                </w:p>
              </w:tc>
              <w:tc>
                <w:tcPr>
                  <w:tcW w:w="707"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b/>
                      <w:bCs/>
                      <w:color w:val="auto"/>
                    </w:rPr>
                  </w:pPr>
                  <w:r>
                    <w:rPr>
                      <w:rFonts w:hint="eastAsia" w:ascii="Times New Roman" w:hAnsi="Times New Roman" w:cs="Times New Roman"/>
                      <w:b/>
                      <w:bCs/>
                      <w:color w:val="auto"/>
                    </w:rPr>
                    <w:t>绿化标准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99"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pH</w:t>
                  </w:r>
                </w:p>
              </w:tc>
              <w:tc>
                <w:tcPr>
                  <w:tcW w:w="953"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无量纲</w:t>
                  </w:r>
                </w:p>
              </w:tc>
              <w:tc>
                <w:tcPr>
                  <w:tcW w:w="704"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6～9</w:t>
                  </w:r>
                </w:p>
              </w:tc>
              <w:tc>
                <w:tcPr>
                  <w:tcW w:w="802"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6～9</w:t>
                  </w:r>
                </w:p>
              </w:tc>
              <w:tc>
                <w:tcPr>
                  <w:tcW w:w="833"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w:t>
                  </w:r>
                </w:p>
              </w:tc>
              <w:tc>
                <w:tcPr>
                  <w:tcW w:w="707"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99"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色度</w:t>
                  </w:r>
                </w:p>
              </w:tc>
              <w:tc>
                <w:tcPr>
                  <w:tcW w:w="953"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铂钴色度单位</w:t>
                  </w:r>
                </w:p>
              </w:tc>
              <w:tc>
                <w:tcPr>
                  <w:tcW w:w="704"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50</w:t>
                  </w:r>
                </w:p>
              </w:tc>
              <w:tc>
                <w:tcPr>
                  <w:tcW w:w="802"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25</w:t>
                  </w:r>
                </w:p>
              </w:tc>
              <w:tc>
                <w:tcPr>
                  <w:tcW w:w="833"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50</w:t>
                  </w:r>
                </w:p>
              </w:tc>
              <w:tc>
                <w:tcPr>
                  <w:tcW w:w="707"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99"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嗅</w:t>
                  </w:r>
                </w:p>
              </w:tc>
              <w:tc>
                <w:tcPr>
                  <w:tcW w:w="953"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无量纲</w:t>
                  </w:r>
                </w:p>
              </w:tc>
              <w:tc>
                <w:tcPr>
                  <w:tcW w:w="704"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无不快感</w:t>
                  </w:r>
                </w:p>
              </w:tc>
              <w:tc>
                <w:tcPr>
                  <w:tcW w:w="802"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无不快感</w:t>
                  </w:r>
                </w:p>
              </w:tc>
              <w:tc>
                <w:tcPr>
                  <w:tcW w:w="833"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w:t>
                  </w:r>
                </w:p>
              </w:tc>
              <w:tc>
                <w:tcPr>
                  <w:tcW w:w="707"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无不快感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99"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浊度</w:t>
                  </w:r>
                </w:p>
              </w:tc>
              <w:tc>
                <w:tcPr>
                  <w:tcW w:w="953"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NTU</w:t>
                  </w:r>
                </w:p>
              </w:tc>
              <w:tc>
                <w:tcPr>
                  <w:tcW w:w="704"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30</w:t>
                  </w:r>
                </w:p>
              </w:tc>
              <w:tc>
                <w:tcPr>
                  <w:tcW w:w="802"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6</w:t>
                  </w:r>
                </w:p>
              </w:tc>
              <w:tc>
                <w:tcPr>
                  <w:tcW w:w="833"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80</w:t>
                  </w:r>
                </w:p>
              </w:tc>
              <w:tc>
                <w:tcPr>
                  <w:tcW w:w="707"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99"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COD</w:t>
                  </w:r>
                </w:p>
              </w:tc>
              <w:tc>
                <w:tcPr>
                  <w:tcW w:w="953"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mg/L</w:t>
                  </w:r>
                </w:p>
              </w:tc>
              <w:tc>
                <w:tcPr>
                  <w:tcW w:w="704"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500</w:t>
                  </w:r>
                </w:p>
              </w:tc>
              <w:tc>
                <w:tcPr>
                  <w:tcW w:w="802"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25</w:t>
                  </w:r>
                </w:p>
              </w:tc>
              <w:tc>
                <w:tcPr>
                  <w:tcW w:w="833"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95</w:t>
                  </w:r>
                </w:p>
              </w:tc>
              <w:tc>
                <w:tcPr>
                  <w:tcW w:w="707"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99"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BOD5</w:t>
                  </w:r>
                </w:p>
              </w:tc>
              <w:tc>
                <w:tcPr>
                  <w:tcW w:w="953"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mg/L</w:t>
                  </w:r>
                </w:p>
              </w:tc>
              <w:tc>
                <w:tcPr>
                  <w:tcW w:w="704"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200</w:t>
                  </w:r>
                </w:p>
              </w:tc>
              <w:tc>
                <w:tcPr>
                  <w:tcW w:w="802"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8</w:t>
                  </w:r>
                </w:p>
              </w:tc>
              <w:tc>
                <w:tcPr>
                  <w:tcW w:w="833"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96</w:t>
                  </w:r>
                </w:p>
              </w:tc>
              <w:tc>
                <w:tcPr>
                  <w:tcW w:w="707"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99"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NH3-N</w:t>
                  </w:r>
                </w:p>
              </w:tc>
              <w:tc>
                <w:tcPr>
                  <w:tcW w:w="953"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mg/L</w:t>
                  </w:r>
                </w:p>
              </w:tc>
              <w:tc>
                <w:tcPr>
                  <w:tcW w:w="704"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30</w:t>
                  </w:r>
                </w:p>
              </w:tc>
              <w:tc>
                <w:tcPr>
                  <w:tcW w:w="802"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6</w:t>
                  </w:r>
                </w:p>
              </w:tc>
              <w:tc>
                <w:tcPr>
                  <w:tcW w:w="833"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80</w:t>
                  </w:r>
                </w:p>
              </w:tc>
              <w:tc>
                <w:tcPr>
                  <w:tcW w:w="707"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99"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阴离子表面活性剂</w:t>
                  </w:r>
                </w:p>
              </w:tc>
              <w:tc>
                <w:tcPr>
                  <w:tcW w:w="953"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mg/L</w:t>
                  </w:r>
                </w:p>
              </w:tc>
              <w:tc>
                <w:tcPr>
                  <w:tcW w:w="704"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4</w:t>
                  </w:r>
                </w:p>
              </w:tc>
              <w:tc>
                <w:tcPr>
                  <w:tcW w:w="802"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0.4</w:t>
                  </w:r>
                </w:p>
              </w:tc>
              <w:tc>
                <w:tcPr>
                  <w:tcW w:w="833"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90</w:t>
                  </w:r>
                </w:p>
              </w:tc>
              <w:tc>
                <w:tcPr>
                  <w:tcW w:w="707"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99"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溶解性总固体</w:t>
                  </w:r>
                </w:p>
              </w:tc>
              <w:tc>
                <w:tcPr>
                  <w:tcW w:w="953"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mg/L</w:t>
                  </w:r>
                </w:p>
              </w:tc>
              <w:tc>
                <w:tcPr>
                  <w:tcW w:w="704"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1500</w:t>
                  </w:r>
                </w:p>
              </w:tc>
              <w:tc>
                <w:tcPr>
                  <w:tcW w:w="802"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900</w:t>
                  </w:r>
                </w:p>
              </w:tc>
              <w:tc>
                <w:tcPr>
                  <w:tcW w:w="833"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40</w:t>
                  </w:r>
                </w:p>
              </w:tc>
              <w:tc>
                <w:tcPr>
                  <w:tcW w:w="707"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99"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溶解氧</w:t>
                  </w:r>
                </w:p>
              </w:tc>
              <w:tc>
                <w:tcPr>
                  <w:tcW w:w="953"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mg/L</w:t>
                  </w:r>
                </w:p>
              </w:tc>
              <w:tc>
                <w:tcPr>
                  <w:tcW w:w="704"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w:t>
                  </w:r>
                </w:p>
              </w:tc>
              <w:tc>
                <w:tcPr>
                  <w:tcW w:w="802"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2</w:t>
                  </w:r>
                </w:p>
              </w:tc>
              <w:tc>
                <w:tcPr>
                  <w:tcW w:w="833"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w:t>
                  </w:r>
                </w:p>
              </w:tc>
              <w:tc>
                <w:tcPr>
                  <w:tcW w:w="707"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99"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总氯</w:t>
                  </w:r>
                </w:p>
              </w:tc>
              <w:tc>
                <w:tcPr>
                  <w:tcW w:w="953"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mg/L</w:t>
                  </w:r>
                </w:p>
              </w:tc>
              <w:tc>
                <w:tcPr>
                  <w:tcW w:w="704"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w:t>
                  </w:r>
                </w:p>
              </w:tc>
              <w:tc>
                <w:tcPr>
                  <w:tcW w:w="802"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1</w:t>
                  </w:r>
                </w:p>
              </w:tc>
              <w:tc>
                <w:tcPr>
                  <w:tcW w:w="833"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w:t>
                  </w:r>
                </w:p>
              </w:tc>
              <w:tc>
                <w:tcPr>
                  <w:tcW w:w="707"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99"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大肠埃希氏菌</w:t>
                  </w:r>
                </w:p>
              </w:tc>
              <w:tc>
                <w:tcPr>
                  <w:tcW w:w="953"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MPN/100mL</w:t>
                  </w:r>
                </w:p>
              </w:tc>
              <w:tc>
                <w:tcPr>
                  <w:tcW w:w="704"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4000</w:t>
                  </w:r>
                </w:p>
              </w:tc>
              <w:tc>
                <w:tcPr>
                  <w:tcW w:w="802"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无</w:t>
                  </w:r>
                </w:p>
              </w:tc>
              <w:tc>
                <w:tcPr>
                  <w:tcW w:w="833"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99</w:t>
                  </w:r>
                </w:p>
              </w:tc>
              <w:tc>
                <w:tcPr>
                  <w:tcW w:w="707" w:type="pct"/>
                  <w:noWrap w:val="0"/>
                  <w:tcMar>
                    <w:top w:w="57" w:type="dxa"/>
                    <w:left w:w="108" w:type="dxa"/>
                    <w:bottom w:w="57" w:type="dxa"/>
                    <w:right w:w="108" w:type="dxa"/>
                  </w:tcMar>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无</w:t>
                  </w:r>
                </w:p>
              </w:tc>
            </w:tr>
          </w:tbl>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综上，项目生活废水经处理后满足《城市污水再生利用 城市杂用水水质》（GB/T18920-2020）中水质标准，处理后废水用于厂区绿化，太阳能光伏组件清洗废水用于场地绿化，不外排，对区域地表水环境影响可接受。</w:t>
            </w:r>
          </w:p>
          <w:p>
            <w:pPr>
              <w:pStyle w:val="4"/>
              <w:suppressLineNumbers w:val="0"/>
              <w:spacing w:before="0" w:after="0"/>
              <w:ind w:left="0" w:right="0" w:firstLine="482"/>
              <w:rPr>
                <w:rFonts w:hint="eastAsia" w:cs="Times New Roman"/>
                <w:color w:val="auto"/>
              </w:rPr>
            </w:pPr>
            <w:r>
              <w:rPr>
                <w:rFonts w:hint="eastAsia" w:cs="Times New Roman"/>
                <w:color w:val="auto"/>
              </w:rPr>
              <w:t>事故油池</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升压站内主变压器和阵列区箱变油量超过1000kg时，根据《电力设备典型消防规程》（DL5027-2015）相关规定，需设置变压器事故储油池。升压站内主变事故储油池容积按主变压器最大排油量100%设计，采用钢筋混凝土结构，事故油池容积为30m</w:t>
            </w:r>
            <w:r>
              <w:rPr>
                <w:rFonts w:hint="eastAsia" w:ascii="Times New Roman" w:hAnsi="Times New Roman" w:cs="Times New Roman"/>
                <w:color w:val="auto"/>
                <w:vertAlign w:val="superscript"/>
              </w:rPr>
              <w:t>3</w:t>
            </w:r>
            <w:r>
              <w:rPr>
                <w:rFonts w:hint="eastAsia" w:ascii="Times New Roman" w:hAnsi="Times New Roman" w:cs="Times New Roman"/>
                <w:color w:val="auto"/>
              </w:rPr>
              <w:t>。阵列区每台箱变设置一座3m³事故油池。升压站内主变器事故时的排油进入事故油池，为防止事故油池对地表水及地下水影响，建设单位拟对事故油池采取防渗措施，渗透系数≤10</w:t>
            </w:r>
            <w:r>
              <w:rPr>
                <w:rFonts w:hint="eastAsia" w:ascii="Times New Roman" w:hAnsi="Times New Roman" w:cs="Times New Roman"/>
                <w:color w:val="auto"/>
                <w:vertAlign w:val="superscript"/>
              </w:rPr>
              <w:t>-10</w:t>
            </w:r>
            <w:r>
              <w:rPr>
                <w:rFonts w:hint="eastAsia" w:ascii="Times New Roman" w:hAnsi="Times New Roman" w:cs="Times New Roman"/>
                <w:color w:val="auto"/>
              </w:rPr>
              <w:t>cm/s。采取以上措施，该项目事故状态下不会对区域水环境产生明显影响，区域水环境影响可接受。</w:t>
            </w:r>
          </w:p>
          <w:p>
            <w:pPr>
              <w:pStyle w:val="3"/>
              <w:keepLines w:val="0"/>
              <w:numPr>
                <w:ilvl w:val="0"/>
                <w:numId w:val="18"/>
              </w:numPr>
              <w:suppressLineNumbers w:val="0"/>
              <w:spacing w:before="120" w:beforeAutospacing="0" w:after="0" w:afterAutospacing="0"/>
              <w:ind w:right="0" w:firstLine="482"/>
              <w:rPr>
                <w:rFonts w:hint="default" w:ascii="Times New Roman" w:hAnsi="Times New Roman" w:cs="Times New Roman"/>
                <w:color w:val="auto"/>
              </w:rPr>
            </w:pPr>
            <w:r>
              <w:rPr>
                <w:rFonts w:hint="eastAsia" w:ascii="Times New Roman" w:hAnsi="Times New Roman" w:cs="Times New Roman"/>
                <w:color w:val="auto"/>
              </w:rPr>
              <w:t>声环境影响分析</w:t>
            </w:r>
          </w:p>
          <w:p>
            <w:pPr>
              <w:pStyle w:val="4"/>
              <w:numPr>
                <w:ilvl w:val="1"/>
                <w:numId w:val="18"/>
              </w:numPr>
              <w:suppressLineNumbers w:val="0"/>
              <w:tabs>
                <w:tab w:val="left" w:pos="0"/>
              </w:tabs>
              <w:spacing w:before="0" w:after="0"/>
              <w:ind w:right="0" w:firstLine="482"/>
              <w:rPr>
                <w:rFonts w:hint="default" w:cs="Times New Roman"/>
                <w:color w:val="auto"/>
              </w:rPr>
            </w:pPr>
            <w:r>
              <w:rPr>
                <w:rFonts w:hint="eastAsia" w:cs="Times New Roman"/>
                <w:color w:val="auto"/>
              </w:rPr>
              <w:t>污染因素分析</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光伏组件在运行过程中基本不产生噪声，项目运营期噪声主要来源于</w:t>
            </w:r>
            <w:r>
              <w:rPr>
                <w:rFonts w:hint="eastAsia" w:ascii="Times New Roman" w:hAnsi="Times New Roman" w:cs="Times New Roman"/>
                <w:color w:val="auto"/>
              </w:rPr>
              <w:t>升压站变压器等设备噪声和</w:t>
            </w:r>
            <w:r>
              <w:rPr>
                <w:rFonts w:hint="default" w:ascii="Times New Roman" w:hAnsi="Times New Roman" w:cs="Times New Roman"/>
                <w:color w:val="auto"/>
              </w:rPr>
              <w:t>光伏发电区箱式变压器等设备，噪声排放持续时间为24h/d。</w:t>
            </w:r>
          </w:p>
          <w:p>
            <w:pPr>
              <w:pStyle w:val="4"/>
              <w:suppressLineNumbers w:val="0"/>
              <w:spacing w:before="0" w:after="0"/>
              <w:ind w:left="0" w:right="0" w:firstLine="482"/>
              <w:rPr>
                <w:rFonts w:hint="eastAsia" w:cs="Times New Roman"/>
                <w:color w:val="auto"/>
              </w:rPr>
            </w:pPr>
            <w:r>
              <w:rPr>
                <w:rFonts w:hint="eastAsia" w:cs="Times New Roman"/>
                <w:color w:val="auto"/>
              </w:rPr>
              <w:t>光伏发电区</w:t>
            </w:r>
          </w:p>
          <w:p>
            <w:pPr>
              <w:pStyle w:val="5"/>
              <w:suppressLineNumbers w:val="0"/>
              <w:bidi w:val="0"/>
              <w:spacing w:before="0" w:after="0"/>
              <w:ind w:left="0" w:right="0"/>
              <w:rPr>
                <w:rFonts w:hint="eastAsia"/>
                <w:color w:val="auto"/>
              </w:rPr>
            </w:pPr>
            <w:r>
              <w:rPr>
                <w:rFonts w:hint="eastAsia"/>
                <w:color w:val="auto"/>
              </w:rPr>
              <w:t>噪声源源强分析</w:t>
            </w:r>
          </w:p>
          <w:p>
            <w:pPr>
              <w:keepNext w:val="0"/>
              <w:keepLines w:val="0"/>
              <w:suppressLineNumbers w:val="0"/>
              <w:spacing w:before="0" w:beforeAutospacing="0" w:after="0" w:afterAutospacing="0"/>
              <w:ind w:left="0" w:right="0" w:firstLine="480"/>
              <w:rPr>
                <w:rFonts w:hint="eastAsia" w:cs="Times New Roman"/>
                <w:color w:val="auto"/>
                <w:lang w:eastAsia="zh-CN"/>
              </w:rPr>
            </w:pPr>
            <w:r>
              <w:rPr>
                <w:rFonts w:hint="eastAsia" w:ascii="Times New Roman" w:hAnsi="Times New Roman" w:cs="Times New Roman"/>
                <w:color w:val="auto"/>
              </w:rPr>
              <w:t>参考《浅析光伏电站对环境的影响》（中国辐射防护研究院，李丽珍）及相关资料，</w:t>
            </w:r>
            <w:r>
              <w:rPr>
                <w:rFonts w:hint="default" w:ascii="Times New Roman" w:hAnsi="Times New Roman" w:cs="Times New Roman"/>
                <w:color w:val="auto"/>
              </w:rPr>
              <w:t>“</w:t>
            </w:r>
            <w:r>
              <w:rPr>
                <w:rFonts w:hint="eastAsia" w:ascii="Times New Roman" w:hAnsi="Times New Roman" w:cs="Times New Roman"/>
                <w:color w:val="auto"/>
              </w:rPr>
              <w:t>运营期光伏方阵箱式变压器容量小、电压低，其电磁噪声源强不大于</w:t>
            </w:r>
            <w:r>
              <w:rPr>
                <w:rFonts w:hint="default" w:ascii="Times New Roman" w:hAnsi="Times New Roman" w:cs="Times New Roman"/>
                <w:color w:val="auto"/>
              </w:rPr>
              <w:t>60dB</w:t>
            </w:r>
            <w:r>
              <w:rPr>
                <w:rFonts w:hint="eastAsia" w:ascii="Times New Roman" w:hAnsi="Times New Roman" w:cs="Times New Roman"/>
                <w:color w:val="auto"/>
              </w:rPr>
              <w:t>（</w:t>
            </w:r>
            <w:r>
              <w:rPr>
                <w:rFonts w:hint="default" w:ascii="Times New Roman" w:hAnsi="Times New Roman" w:cs="Times New Roman"/>
                <w:color w:val="auto"/>
              </w:rPr>
              <w:t>A</w:t>
            </w:r>
            <w:r>
              <w:rPr>
                <w:rFonts w:hint="eastAsia" w:ascii="Times New Roman" w:hAnsi="Times New Roman" w:cs="Times New Roman"/>
                <w:color w:val="auto"/>
              </w:rPr>
              <w:t>），逆变器由电子元器件组成，其运行中的噪声很小，不会对周围声环境产生影响</w:t>
            </w:r>
            <w:r>
              <w:rPr>
                <w:rFonts w:hint="default" w:ascii="Times New Roman" w:hAnsi="Times New Roman" w:cs="Times New Roman"/>
                <w:color w:val="auto"/>
              </w:rPr>
              <w:t>”</w:t>
            </w:r>
            <w:r>
              <w:rPr>
                <w:rFonts w:hint="eastAsia" w:ascii="Times New Roman" w:hAnsi="Times New Roman" w:cs="Times New Roman"/>
                <w:color w:val="auto"/>
              </w:rPr>
              <w:t>，本项目以箱式变压器为主要噪声源，其源强按</w:t>
            </w:r>
            <w:r>
              <w:rPr>
                <w:rFonts w:hint="default" w:ascii="Times New Roman" w:hAnsi="Times New Roman" w:cs="Times New Roman"/>
                <w:color w:val="auto"/>
              </w:rPr>
              <w:t>60dB</w:t>
            </w:r>
            <w:r>
              <w:rPr>
                <w:rFonts w:hint="eastAsia" w:ascii="Times New Roman" w:hAnsi="Times New Roman" w:cs="Times New Roman"/>
                <w:color w:val="auto"/>
              </w:rPr>
              <w:t>（</w:t>
            </w:r>
            <w:r>
              <w:rPr>
                <w:rFonts w:hint="default" w:ascii="Times New Roman" w:hAnsi="Times New Roman" w:cs="Times New Roman"/>
                <w:color w:val="auto"/>
              </w:rPr>
              <w:t>A</w:t>
            </w:r>
            <w:r>
              <w:rPr>
                <w:rFonts w:hint="eastAsia" w:ascii="Times New Roman" w:hAnsi="Times New Roman" w:cs="Times New Roman"/>
                <w:color w:val="auto"/>
              </w:rPr>
              <w:t>）计</w:t>
            </w:r>
            <w:r>
              <w:rPr>
                <w:rFonts w:hint="eastAsia" w:cs="Times New Roman"/>
                <w:color w:val="auto"/>
                <w:lang w:eastAsia="zh-CN"/>
              </w:rPr>
              <w:t>。</w:t>
            </w:r>
          </w:p>
          <w:p>
            <w:pPr>
              <w:pStyle w:val="5"/>
              <w:suppressLineNumbers w:val="0"/>
              <w:bidi w:val="0"/>
              <w:spacing w:before="0" w:after="0"/>
              <w:ind w:left="0" w:right="0"/>
              <w:rPr>
                <w:rFonts w:hint="eastAsia"/>
                <w:color w:val="auto"/>
                <w:lang w:eastAsia="zh-CN"/>
              </w:rPr>
            </w:pPr>
            <w:r>
              <w:rPr>
                <w:rFonts w:hint="eastAsia"/>
                <w:color w:val="auto"/>
                <w:lang w:eastAsia="zh-CN"/>
              </w:rPr>
              <w:t>预测范围、点位与评价因子</w:t>
            </w:r>
          </w:p>
          <w:p>
            <w:pPr>
              <w:keepNext w:val="0"/>
              <w:keepLines w:val="0"/>
              <w:suppressLineNumbers w:val="0"/>
              <w:bidi w:val="0"/>
              <w:spacing w:before="0" w:beforeAutospacing="0" w:after="0" w:afterAutospacing="0"/>
              <w:ind w:left="0" w:right="0"/>
              <w:rPr>
                <w:rFonts w:hint="eastAsia"/>
                <w:color w:val="auto"/>
                <w:lang w:eastAsia="zh-CN"/>
              </w:rPr>
            </w:pPr>
            <w:r>
              <w:rPr>
                <w:rFonts w:hint="eastAsia"/>
                <w:color w:val="auto"/>
                <w:lang w:eastAsia="zh-CN"/>
              </w:rPr>
              <w:t>根据企业提供资料可知，本项目光伏发电区共设57座箱变，箱变距离</w:t>
            </w:r>
            <w:r>
              <w:rPr>
                <w:rFonts w:hint="eastAsia"/>
                <w:color w:val="auto"/>
                <w:lang w:val="en-US" w:eastAsia="zh-CN"/>
              </w:rPr>
              <w:t>光伏区</w:t>
            </w:r>
            <w:r>
              <w:rPr>
                <w:rFonts w:hint="eastAsia"/>
                <w:color w:val="auto"/>
                <w:lang w:eastAsia="zh-CN"/>
              </w:rPr>
              <w:t>边界最小距离为</w:t>
            </w:r>
            <w:r>
              <w:rPr>
                <w:rFonts w:hint="eastAsia"/>
                <w:color w:val="auto"/>
                <w:lang w:val="en-US" w:eastAsia="zh-CN"/>
              </w:rPr>
              <w:t>3</w:t>
            </w:r>
            <w:r>
              <w:rPr>
                <w:rFonts w:hint="eastAsia"/>
                <w:color w:val="auto"/>
                <w:lang w:eastAsia="zh-CN"/>
              </w:rPr>
              <w:t>m，</w:t>
            </w:r>
            <w:r>
              <w:rPr>
                <w:rFonts w:hint="eastAsia"/>
                <w:color w:val="auto"/>
                <w:lang w:val="en-US" w:eastAsia="zh-CN"/>
              </w:rPr>
              <w:t>选取离边界最近的箱变作为预测对象。</w:t>
            </w:r>
          </w:p>
          <w:p>
            <w:pPr>
              <w:keepNext w:val="0"/>
              <w:keepLines w:val="0"/>
              <w:suppressLineNumbers w:val="0"/>
              <w:bidi w:val="0"/>
              <w:spacing w:before="0" w:beforeAutospacing="0" w:after="0" w:afterAutospacing="0"/>
              <w:ind w:left="0" w:right="0"/>
              <w:rPr>
                <w:rFonts w:hint="eastAsia"/>
                <w:color w:val="auto"/>
                <w:lang w:eastAsia="zh-CN"/>
              </w:rPr>
            </w:pPr>
            <w:r>
              <w:rPr>
                <w:rFonts w:hint="eastAsia"/>
                <w:color w:val="auto"/>
                <w:lang w:eastAsia="zh-CN"/>
              </w:rPr>
              <w:t xml:space="preserve">预测范围：厂界外1m </w:t>
            </w:r>
          </w:p>
          <w:p>
            <w:pPr>
              <w:keepNext w:val="0"/>
              <w:keepLines w:val="0"/>
              <w:suppressLineNumbers w:val="0"/>
              <w:bidi w:val="0"/>
              <w:spacing w:before="0" w:beforeAutospacing="0" w:after="0" w:afterAutospacing="0"/>
              <w:ind w:left="0" w:right="0"/>
              <w:rPr>
                <w:rFonts w:hint="eastAsia"/>
                <w:color w:val="auto"/>
                <w:lang w:eastAsia="zh-CN"/>
              </w:rPr>
            </w:pPr>
            <w:r>
              <w:rPr>
                <w:rFonts w:hint="eastAsia"/>
                <w:color w:val="auto"/>
                <w:lang w:eastAsia="zh-CN"/>
              </w:rPr>
              <w:t>预测点位：升压站四厂界</w:t>
            </w:r>
          </w:p>
          <w:p>
            <w:pPr>
              <w:keepNext w:val="0"/>
              <w:keepLines w:val="0"/>
              <w:suppressLineNumbers w:val="0"/>
              <w:bidi w:val="0"/>
              <w:spacing w:before="0" w:beforeAutospacing="0" w:after="0" w:afterAutospacing="0"/>
              <w:ind w:left="0" w:right="0"/>
              <w:rPr>
                <w:rFonts w:hint="eastAsia"/>
                <w:color w:val="auto"/>
                <w:lang w:eastAsia="zh-CN"/>
              </w:rPr>
            </w:pPr>
            <w:r>
              <w:rPr>
                <w:rFonts w:hint="eastAsia"/>
                <w:color w:val="auto"/>
                <w:lang w:eastAsia="zh-CN"/>
              </w:rPr>
              <w:t>预测因子：等效连续A声级</w:t>
            </w:r>
          </w:p>
          <w:p>
            <w:pPr>
              <w:pStyle w:val="5"/>
              <w:suppressLineNumbers w:val="0"/>
              <w:bidi w:val="0"/>
              <w:spacing w:before="0" w:after="0"/>
              <w:ind w:left="0" w:right="0"/>
              <w:rPr>
                <w:rFonts w:hint="eastAsia"/>
                <w:color w:val="auto"/>
                <w:lang w:eastAsia="zh-CN"/>
              </w:rPr>
            </w:pPr>
            <w:r>
              <w:rPr>
                <w:rFonts w:hint="eastAsia"/>
                <w:color w:val="auto"/>
                <w:lang w:eastAsia="zh-CN"/>
              </w:rPr>
              <w:t>噪声预测结果与分析</w:t>
            </w:r>
          </w:p>
          <w:p>
            <w:pPr>
              <w:keepNext w:val="0"/>
              <w:keepLines w:val="0"/>
              <w:suppressLineNumbers w:val="0"/>
              <w:spacing w:before="0" w:beforeAutospacing="0" w:after="0" w:afterAutospacing="0"/>
              <w:ind w:left="0" w:right="0"/>
              <w:rPr>
                <w:rFonts w:hint="eastAsia"/>
                <w:color w:val="auto"/>
                <w:lang w:eastAsia="zh-CN"/>
              </w:rPr>
            </w:pPr>
            <w:r>
              <w:rPr>
                <w:rFonts w:hint="eastAsia"/>
                <w:color w:val="auto"/>
                <w:lang w:eastAsia="zh-CN"/>
              </w:rPr>
              <w:t>按照噪声预测模式及源强参数，结合噪声源到各预测点距离，预测计算</w:t>
            </w:r>
            <w:r>
              <w:rPr>
                <w:rFonts w:hint="eastAsia"/>
                <w:color w:val="auto"/>
                <w:lang w:val="en-US" w:eastAsia="zh-CN"/>
              </w:rPr>
              <w:t>箱变</w:t>
            </w:r>
            <w:r>
              <w:rPr>
                <w:rFonts w:hint="eastAsia"/>
                <w:color w:val="auto"/>
                <w:lang w:eastAsia="zh-CN"/>
              </w:rPr>
              <w:t>噪声对边界贡献值见下表。</w:t>
            </w:r>
          </w:p>
          <w:p>
            <w:pPr>
              <w:pStyle w:val="37"/>
              <w:keepNext w:val="0"/>
              <w:keepLines w:val="0"/>
              <w:suppressLineNumbers w:val="0"/>
              <w:spacing w:before="0" w:beforeAutospacing="0" w:after="0" w:afterAutospacing="0"/>
              <w:ind w:right="0"/>
              <w:rPr>
                <w:rFonts w:hint="default" w:ascii="Times New Roman" w:hAnsi="Times New Roman" w:cs="Times New Roman"/>
                <w:color w:val="auto"/>
              </w:rPr>
            </w:pPr>
            <w:r>
              <w:rPr>
                <w:rFonts w:ascii="Times New Roman" w:hAnsi="Times New Roman" w:cs="Times New Roman"/>
                <w:color w:val="auto"/>
              </w:rPr>
              <w:t>噪声源边界噪声贡献值一览表</w:t>
            </w:r>
          </w:p>
          <w:tbl>
            <w:tblPr>
              <w:tblStyle w:val="2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3"/>
              <w:gridCol w:w="2126"/>
              <w:gridCol w:w="2100"/>
              <w:gridCol w:w="2196"/>
              <w:gridCol w:w="10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3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点位</w:t>
                  </w:r>
                </w:p>
              </w:tc>
              <w:tc>
                <w:tcPr>
                  <w:tcW w:w="204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昼间贡献值</w:t>
                  </w:r>
                  <w:r>
                    <w:rPr>
                      <w:rFonts w:hint="default" w:ascii="Times New Roman" w:hAnsi="Times New Roman" w:cs="Times New Roman"/>
                      <w:b/>
                      <w:bCs/>
                      <w:color w:val="auto"/>
                    </w:rPr>
                    <w:t>dB</w:t>
                  </w:r>
                  <w:r>
                    <w:rPr>
                      <w:rFonts w:hint="eastAsia" w:ascii="Times New Roman" w:hAnsi="Times New Roman" w:cs="Times New Roman"/>
                      <w:b/>
                      <w:bCs/>
                      <w:color w:val="auto"/>
                    </w:rPr>
                    <w:t>（</w:t>
                  </w:r>
                  <w:r>
                    <w:rPr>
                      <w:rFonts w:hint="default" w:ascii="Times New Roman" w:hAnsi="Times New Roman" w:cs="Times New Roman"/>
                      <w:b/>
                      <w:bCs/>
                      <w:color w:val="auto"/>
                    </w:rPr>
                    <w:t>A</w:t>
                  </w:r>
                  <w:r>
                    <w:rPr>
                      <w:rFonts w:hint="eastAsia" w:ascii="Times New Roman" w:hAnsi="Times New Roman" w:cs="Times New Roman"/>
                      <w:b/>
                      <w:bCs/>
                      <w:color w:val="auto"/>
                    </w:rPr>
                    <w:t>）</w:t>
                  </w:r>
                </w:p>
              </w:tc>
              <w:tc>
                <w:tcPr>
                  <w:tcW w:w="2022"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夜间贡献值</w:t>
                  </w:r>
                  <w:r>
                    <w:rPr>
                      <w:rFonts w:hint="default" w:ascii="Times New Roman" w:hAnsi="Times New Roman" w:cs="Times New Roman"/>
                      <w:b/>
                      <w:bCs/>
                      <w:color w:val="auto"/>
                    </w:rPr>
                    <w:t>dB</w:t>
                  </w:r>
                  <w:r>
                    <w:rPr>
                      <w:rFonts w:hint="eastAsia" w:ascii="Times New Roman" w:hAnsi="Times New Roman" w:cs="Times New Roman"/>
                      <w:b/>
                      <w:bCs/>
                      <w:color w:val="auto"/>
                    </w:rPr>
                    <w:t>（</w:t>
                  </w:r>
                  <w:r>
                    <w:rPr>
                      <w:rFonts w:hint="default" w:ascii="Times New Roman" w:hAnsi="Times New Roman" w:cs="Times New Roman"/>
                      <w:b/>
                      <w:bCs/>
                      <w:color w:val="auto"/>
                    </w:rPr>
                    <w:t>A</w:t>
                  </w:r>
                  <w:r>
                    <w:rPr>
                      <w:rFonts w:hint="eastAsia" w:ascii="Times New Roman" w:hAnsi="Times New Roman" w:cs="Times New Roman"/>
                      <w:b/>
                      <w:bCs/>
                      <w:color w:val="auto"/>
                    </w:rPr>
                    <w:t>）</w:t>
                  </w:r>
                </w:p>
              </w:tc>
              <w:tc>
                <w:tcPr>
                  <w:tcW w:w="2114"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标准值</w:t>
                  </w:r>
                  <w:r>
                    <w:rPr>
                      <w:rFonts w:hint="default" w:ascii="Times New Roman" w:hAnsi="Times New Roman" w:cs="Times New Roman"/>
                      <w:b/>
                      <w:bCs/>
                      <w:color w:val="auto"/>
                    </w:rPr>
                    <w:t>dB</w:t>
                  </w:r>
                  <w:r>
                    <w:rPr>
                      <w:rFonts w:hint="eastAsia" w:ascii="Times New Roman" w:hAnsi="Times New Roman" w:cs="Times New Roman"/>
                      <w:b/>
                      <w:bCs/>
                      <w:color w:val="auto"/>
                    </w:rPr>
                    <w:t>（</w:t>
                  </w:r>
                  <w:r>
                    <w:rPr>
                      <w:rFonts w:hint="default" w:ascii="Times New Roman" w:hAnsi="Times New Roman" w:cs="Times New Roman"/>
                      <w:b/>
                      <w:bCs/>
                      <w:color w:val="auto"/>
                    </w:rPr>
                    <w:t>A</w:t>
                  </w:r>
                  <w:r>
                    <w:rPr>
                      <w:rFonts w:hint="eastAsia" w:ascii="Times New Roman" w:hAnsi="Times New Roman" w:cs="Times New Roman"/>
                      <w:b/>
                      <w:bCs/>
                      <w:color w:val="auto"/>
                    </w:rPr>
                    <w:t>）</w:t>
                  </w:r>
                </w:p>
              </w:tc>
              <w:tc>
                <w:tcPr>
                  <w:tcW w:w="1014"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达标性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3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北厂界</w:t>
                  </w:r>
                </w:p>
              </w:tc>
              <w:tc>
                <w:tcPr>
                  <w:tcW w:w="204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eastAsia="宋体" w:cs="Times New Roman"/>
                      <w:color w:val="auto"/>
                      <w:lang w:val="en-US" w:eastAsia="zh-CN"/>
                    </w:rPr>
                  </w:pPr>
                  <w:r>
                    <w:rPr>
                      <w:rFonts w:hint="eastAsia" w:cs="Times New Roman"/>
                      <w:color w:val="auto"/>
                      <w:lang w:val="en-US" w:eastAsia="zh-CN"/>
                    </w:rPr>
                    <w:t>29.61</w:t>
                  </w:r>
                </w:p>
              </w:tc>
              <w:tc>
                <w:tcPr>
                  <w:tcW w:w="2022"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leftChars="0" w:right="0" w:rightChars="0" w:firstLine="0" w:firstLineChars="0"/>
                    <w:rPr>
                      <w:rFonts w:hint="default" w:ascii="Times New Roman" w:hAnsi="Times New Roman" w:cs="Times New Roman"/>
                      <w:color w:val="auto"/>
                    </w:rPr>
                  </w:pPr>
                  <w:r>
                    <w:rPr>
                      <w:rFonts w:hint="eastAsia" w:cs="Times New Roman"/>
                      <w:color w:val="auto"/>
                      <w:lang w:val="en-US" w:eastAsia="zh-CN"/>
                    </w:rPr>
                    <w:t>29.61</w:t>
                  </w:r>
                </w:p>
              </w:tc>
              <w:tc>
                <w:tcPr>
                  <w:tcW w:w="2114" w:type="dxa"/>
                  <w:vMerge w:val="restart"/>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eastAsia="宋体" w:cs="Times New Roman"/>
                      <w:color w:val="auto"/>
                      <w:lang w:val="en-US" w:eastAsia="zh-CN"/>
                    </w:rPr>
                  </w:pPr>
                  <w:r>
                    <w:rPr>
                      <w:rFonts w:hint="eastAsia" w:ascii="Times New Roman" w:hAnsi="Times New Roman" w:cs="Times New Roman"/>
                      <w:color w:val="auto"/>
                    </w:rPr>
                    <w:t>昼间</w:t>
                  </w:r>
                  <w:r>
                    <w:rPr>
                      <w:rFonts w:hint="default" w:ascii="Times New Roman" w:hAnsi="Times New Roman" w:cs="Times New Roman"/>
                      <w:color w:val="auto"/>
                    </w:rPr>
                    <w:t>≤</w:t>
                  </w:r>
                  <w:r>
                    <w:rPr>
                      <w:rFonts w:hint="eastAsia" w:cs="Times New Roman"/>
                      <w:color w:val="auto"/>
                      <w:lang w:val="en-US" w:eastAsia="zh-CN"/>
                    </w:rPr>
                    <w:t>60</w:t>
                  </w:r>
                </w:p>
                <w:p>
                  <w:pPr>
                    <w:pStyle w:val="30"/>
                    <w:keepNext w:val="0"/>
                    <w:keepLines w:val="0"/>
                    <w:suppressLineNumbers w:val="0"/>
                    <w:spacing w:before="0" w:beforeAutospacing="0" w:after="0" w:afterAutospacing="0"/>
                    <w:ind w:left="0" w:right="0"/>
                    <w:rPr>
                      <w:rFonts w:hint="default" w:ascii="Times New Roman" w:hAnsi="Times New Roman" w:eastAsia="宋体" w:cs="Times New Roman"/>
                      <w:color w:val="auto"/>
                      <w:lang w:val="en-US" w:eastAsia="zh-CN"/>
                    </w:rPr>
                  </w:pPr>
                  <w:r>
                    <w:rPr>
                      <w:rFonts w:hint="eastAsia" w:ascii="Times New Roman" w:hAnsi="Times New Roman" w:cs="Times New Roman"/>
                      <w:color w:val="auto"/>
                    </w:rPr>
                    <w:t>夜间</w:t>
                  </w:r>
                  <w:r>
                    <w:rPr>
                      <w:rFonts w:hint="default" w:ascii="Times New Roman" w:hAnsi="Times New Roman" w:cs="Times New Roman"/>
                      <w:color w:val="auto"/>
                    </w:rPr>
                    <w:t>≤</w:t>
                  </w:r>
                  <w:r>
                    <w:rPr>
                      <w:rFonts w:hint="eastAsia" w:cs="Times New Roman"/>
                      <w:color w:val="auto"/>
                      <w:lang w:val="en-US" w:eastAsia="zh-CN"/>
                    </w:rPr>
                    <w:t>50</w:t>
                  </w:r>
                </w:p>
              </w:tc>
              <w:tc>
                <w:tcPr>
                  <w:tcW w:w="1014"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3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东厂界</w:t>
                  </w:r>
                </w:p>
              </w:tc>
              <w:tc>
                <w:tcPr>
                  <w:tcW w:w="204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eastAsia="宋体" w:cs="Times New Roman"/>
                      <w:color w:val="auto"/>
                      <w:lang w:val="en-US" w:eastAsia="zh-CN"/>
                    </w:rPr>
                  </w:pPr>
                  <w:r>
                    <w:rPr>
                      <w:rFonts w:hint="eastAsia" w:cs="Times New Roman"/>
                      <w:color w:val="auto"/>
                      <w:lang w:val="en-US" w:eastAsia="zh-CN"/>
                    </w:rPr>
                    <w:t>1.19</w:t>
                  </w:r>
                </w:p>
              </w:tc>
              <w:tc>
                <w:tcPr>
                  <w:tcW w:w="2022"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leftChars="0" w:right="0" w:rightChars="0" w:firstLine="0" w:firstLineChars="0"/>
                    <w:rPr>
                      <w:rFonts w:hint="default" w:ascii="Times New Roman" w:hAnsi="Times New Roman" w:cs="Times New Roman"/>
                      <w:color w:val="auto"/>
                    </w:rPr>
                  </w:pPr>
                  <w:r>
                    <w:rPr>
                      <w:rFonts w:hint="eastAsia" w:cs="Times New Roman"/>
                      <w:color w:val="auto"/>
                      <w:lang w:val="en-US" w:eastAsia="zh-CN"/>
                    </w:rPr>
                    <w:t>1.19</w:t>
                  </w:r>
                </w:p>
              </w:tc>
              <w:tc>
                <w:tcPr>
                  <w:tcW w:w="2114" w:type="dxa"/>
                  <w:vMerge w:val="continue"/>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014"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3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南厂界</w:t>
                  </w:r>
                </w:p>
              </w:tc>
              <w:tc>
                <w:tcPr>
                  <w:tcW w:w="204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eastAsia="宋体" w:cs="Times New Roman"/>
                      <w:color w:val="auto"/>
                      <w:lang w:eastAsia="zh-CN"/>
                    </w:rPr>
                  </w:pPr>
                  <w:r>
                    <w:rPr>
                      <w:rFonts w:hint="eastAsia" w:cs="Times New Roman"/>
                      <w:color w:val="auto"/>
                      <w:lang w:val="en-US" w:eastAsia="zh-CN"/>
                    </w:rPr>
                    <w:t>0</w:t>
                  </w:r>
                </w:p>
              </w:tc>
              <w:tc>
                <w:tcPr>
                  <w:tcW w:w="2022"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leftChars="0" w:right="0" w:rightChars="0" w:firstLine="0" w:firstLineChars="0"/>
                    <w:rPr>
                      <w:rFonts w:hint="default" w:ascii="Times New Roman" w:hAnsi="Times New Roman" w:cs="Times New Roman"/>
                      <w:color w:val="auto"/>
                    </w:rPr>
                  </w:pPr>
                  <w:r>
                    <w:rPr>
                      <w:rFonts w:hint="eastAsia" w:cs="Times New Roman"/>
                      <w:color w:val="auto"/>
                      <w:lang w:val="en-US" w:eastAsia="zh-CN"/>
                    </w:rPr>
                    <w:t>0</w:t>
                  </w:r>
                </w:p>
              </w:tc>
              <w:tc>
                <w:tcPr>
                  <w:tcW w:w="2114" w:type="dxa"/>
                  <w:vMerge w:val="continue"/>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014"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3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西厂界</w:t>
                  </w:r>
                </w:p>
              </w:tc>
              <w:tc>
                <w:tcPr>
                  <w:tcW w:w="204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eastAsia="宋体" w:cs="Times New Roman"/>
                      <w:color w:val="auto"/>
                      <w:lang w:eastAsia="zh-CN"/>
                    </w:rPr>
                  </w:pPr>
                  <w:r>
                    <w:rPr>
                      <w:rFonts w:hint="eastAsia" w:cs="Times New Roman"/>
                      <w:color w:val="auto"/>
                      <w:lang w:val="en-US" w:eastAsia="zh-CN"/>
                    </w:rPr>
                    <w:t>0</w:t>
                  </w:r>
                </w:p>
              </w:tc>
              <w:tc>
                <w:tcPr>
                  <w:tcW w:w="2022"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leftChars="0" w:right="0" w:rightChars="0" w:firstLine="0" w:firstLineChars="0"/>
                    <w:rPr>
                      <w:rFonts w:hint="default" w:ascii="Times New Roman" w:hAnsi="Times New Roman" w:cs="Times New Roman"/>
                      <w:color w:val="auto"/>
                    </w:rPr>
                  </w:pPr>
                  <w:r>
                    <w:rPr>
                      <w:rFonts w:hint="eastAsia" w:cs="Times New Roman"/>
                      <w:color w:val="auto"/>
                      <w:lang w:val="en-US" w:eastAsia="zh-CN"/>
                    </w:rPr>
                    <w:t>0</w:t>
                  </w:r>
                </w:p>
              </w:tc>
              <w:tc>
                <w:tcPr>
                  <w:tcW w:w="2114" w:type="dxa"/>
                  <w:vMerge w:val="continue"/>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014"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达标</w:t>
                  </w:r>
                </w:p>
              </w:tc>
            </w:tr>
          </w:tbl>
          <w:p>
            <w:pPr>
              <w:keepNext w:val="0"/>
              <w:keepLines w:val="0"/>
              <w:suppressLineNumbers w:val="0"/>
              <w:spacing w:before="0" w:beforeAutospacing="0" w:after="0" w:afterAutospacing="0" w:line="25" w:lineRule="exact"/>
              <w:ind w:left="0" w:right="0" w:firstLine="480"/>
              <w:rPr>
                <w:rFonts w:hint="default" w:ascii="Times New Roman" w:hAnsi="Times New Roman" w:cs="Times New Roman"/>
                <w:color w:val="auto"/>
              </w:rPr>
            </w:pPr>
            <w:r>
              <w:rPr>
                <w:rFonts w:hint="default" w:ascii="Times New Roman" w:hAnsi="Times New Roman" w:cs="Times New Roman"/>
                <w:color w:val="auto"/>
              </w:rPr>
              <w:t xml:space="preserve"> </w:t>
            </w:r>
          </w:p>
          <w:p>
            <w:pPr>
              <w:keepNext w:val="0"/>
              <w:keepLines w:val="0"/>
              <w:suppressLineNumbers w:val="0"/>
              <w:autoSpaceDE w:val="0"/>
              <w:spacing w:before="120" w:beforeLines="50" w:beforeAutospacing="0" w:after="0" w:afterAutospacing="0"/>
              <w:ind w:left="0" w:leftChars="0" w:right="0" w:firstLine="0" w:firstLineChars="0"/>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drawing>
                <wp:inline distT="0" distB="0" distL="114300" distR="114300">
                  <wp:extent cx="5363845" cy="3837305"/>
                  <wp:effectExtent l="0" t="0" r="8255" b="10795"/>
                  <wp:docPr id="23" name="图片 23" descr="cbec738788e4f1453bc627c886a33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bec738788e4f1453bc627c886a33047"/>
                          <pic:cNvPicPr>
                            <a:picLocks noChangeAspect="1"/>
                          </pic:cNvPicPr>
                        </pic:nvPicPr>
                        <pic:blipFill>
                          <a:blip r:embed="rId43"/>
                          <a:stretch>
                            <a:fillRect/>
                          </a:stretch>
                        </pic:blipFill>
                        <pic:spPr>
                          <a:xfrm>
                            <a:off x="0" y="0"/>
                            <a:ext cx="5363845" cy="3837305"/>
                          </a:xfrm>
                          <a:prstGeom prst="rect">
                            <a:avLst/>
                          </a:prstGeom>
                        </pic:spPr>
                      </pic:pic>
                    </a:graphicData>
                  </a:graphic>
                </wp:inline>
              </w:drawing>
            </w:r>
          </w:p>
          <w:p>
            <w:pPr>
              <w:keepNext w:val="0"/>
              <w:keepLines w:val="0"/>
              <w:suppressLineNumbers w:val="0"/>
              <w:bidi w:val="0"/>
              <w:spacing w:before="0" w:beforeAutospacing="0" w:after="0" w:afterAutospacing="0"/>
              <w:ind w:left="0" w:leftChars="0" w:right="0" w:firstLine="0" w:firstLineChars="0"/>
              <w:jc w:val="center"/>
              <w:rPr>
                <w:rFonts w:hint="eastAsia"/>
                <w:color w:val="auto"/>
                <w:lang w:eastAsia="zh-CN"/>
              </w:rPr>
            </w:pPr>
            <w:r>
              <w:rPr>
                <w:rFonts w:hint="eastAsia"/>
                <w:b/>
                <w:bCs/>
                <w:color w:val="auto"/>
                <w:sz w:val="21"/>
                <w:szCs w:val="21"/>
                <w:lang w:eastAsia="zh-CN"/>
              </w:rPr>
              <w:t>图4-2  升压站噪声昼间贡献值分布图</w:t>
            </w:r>
          </w:p>
          <w:p>
            <w:pPr>
              <w:keepNext w:val="0"/>
              <w:keepLines w:val="0"/>
              <w:suppressLineNumbers w:val="0"/>
              <w:autoSpaceDE w:val="0"/>
              <w:spacing w:before="120" w:beforeLines="5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箱式变压器在光伏发电区布置较为分散，通过选用低噪声设备，企业合理布局箱式变压器，使其远离光伏场边界，经距离衰减后，光伏发电区边界噪声能够满足《工业企业厂界环境噪声排放标准》（</w:t>
            </w:r>
            <w:r>
              <w:rPr>
                <w:rFonts w:hint="default" w:ascii="Times New Roman" w:hAnsi="Times New Roman" w:cs="Times New Roman"/>
                <w:color w:val="auto"/>
              </w:rPr>
              <w:t>GB12348-2008</w:t>
            </w:r>
            <w:r>
              <w:rPr>
                <w:rFonts w:hint="eastAsia" w:ascii="Times New Roman" w:hAnsi="Times New Roman" w:cs="Times New Roman"/>
                <w:color w:val="auto"/>
              </w:rPr>
              <w:t>）的</w:t>
            </w:r>
            <w:r>
              <w:rPr>
                <w:rFonts w:hint="eastAsia" w:cs="Times New Roman"/>
                <w:color w:val="auto"/>
                <w:lang w:val="en-US" w:eastAsia="zh-CN"/>
              </w:rPr>
              <w:t>2</w:t>
            </w:r>
            <w:r>
              <w:rPr>
                <w:rFonts w:hint="eastAsia" w:ascii="Times New Roman" w:hAnsi="Times New Roman" w:cs="Times New Roman"/>
                <w:color w:val="auto"/>
              </w:rPr>
              <w:t>类噪声排放限值。</w:t>
            </w:r>
          </w:p>
          <w:p>
            <w:pPr>
              <w:pStyle w:val="4"/>
              <w:suppressLineNumbers w:val="0"/>
              <w:spacing w:before="0" w:after="0"/>
              <w:ind w:left="0" w:right="0" w:firstLine="482"/>
              <w:rPr>
                <w:rFonts w:hint="default" w:cs="Times New Roman"/>
                <w:color w:val="auto"/>
              </w:rPr>
            </w:pPr>
            <w:r>
              <w:rPr>
                <w:rFonts w:hint="eastAsia" w:cs="Times New Roman"/>
                <w:color w:val="auto"/>
              </w:rPr>
              <w:t>升压站</w:t>
            </w:r>
          </w:p>
          <w:p>
            <w:pPr>
              <w:pStyle w:val="5"/>
              <w:suppressLineNumbers w:val="0"/>
              <w:spacing w:before="0" w:after="0"/>
              <w:ind w:left="0" w:right="0" w:firstLine="482"/>
              <w:rPr>
                <w:rFonts w:hint="default" w:ascii="Times New Roman" w:hAnsi="Times New Roman" w:cs="Times New Roman"/>
                <w:color w:val="auto"/>
              </w:rPr>
            </w:pPr>
            <w:r>
              <w:rPr>
                <w:rFonts w:hint="eastAsia" w:ascii="Times New Roman" w:hAnsi="Times New Roman" w:cs="Times New Roman"/>
                <w:color w:val="auto"/>
              </w:rPr>
              <w:t>噪声源源强分析</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类比同类设备产噪情况，确定本项目升压站各噪声源参数见下表。</w:t>
            </w:r>
          </w:p>
          <w:p>
            <w:pPr>
              <w:pStyle w:val="37"/>
              <w:keepNext w:val="0"/>
              <w:keepLines w:val="0"/>
              <w:suppressLineNumbers w:val="0"/>
              <w:spacing w:before="0" w:beforeAutospacing="0" w:after="0" w:afterAutospacing="0"/>
              <w:ind w:right="0"/>
              <w:rPr>
                <w:rFonts w:hint="default" w:ascii="Times New Roman" w:hAnsi="Times New Roman" w:cs="Times New Roman"/>
                <w:color w:val="auto"/>
              </w:rPr>
            </w:pPr>
            <w:r>
              <w:rPr>
                <w:rFonts w:ascii="Times New Roman" w:hAnsi="Times New Roman" w:cs="Times New Roman"/>
                <w:color w:val="auto"/>
              </w:rPr>
              <w:t>项目噪声源强声级表</w:t>
            </w:r>
            <w:r>
              <w:rPr>
                <w:rFonts w:hint="default" w:ascii="Times New Roman" w:hAnsi="Times New Roman" w:cs="Times New Roman"/>
                <w:color w:val="auto"/>
              </w:rPr>
              <w:t xml:space="preserve">    </w:t>
            </w:r>
            <w:r>
              <w:rPr>
                <w:rFonts w:ascii="Times New Roman" w:hAnsi="Times New Roman" w:cs="Times New Roman"/>
                <w:color w:val="auto"/>
              </w:rPr>
              <w:t>单位：</w:t>
            </w:r>
            <w:r>
              <w:rPr>
                <w:rFonts w:hint="default" w:ascii="Times New Roman" w:hAnsi="Times New Roman" w:cs="Times New Roman"/>
                <w:color w:val="auto"/>
              </w:rPr>
              <w:t>dB(A)</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801"/>
              <w:gridCol w:w="1583"/>
              <w:gridCol w:w="788"/>
              <w:gridCol w:w="1445"/>
              <w:gridCol w:w="2166"/>
              <w:gridCol w:w="16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71"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b/>
                      <w:bCs/>
                      <w:color w:val="auto"/>
                    </w:rPr>
                  </w:pPr>
                  <w:r>
                    <w:rPr>
                      <w:rFonts w:hint="eastAsia" w:ascii="Times New Roman" w:hAnsi="Times New Roman" w:cs="Times New Roman"/>
                      <w:b/>
                      <w:bCs/>
                      <w:color w:val="auto"/>
                    </w:rPr>
                    <w:t>位置</w:t>
                  </w:r>
                </w:p>
              </w:tc>
              <w:tc>
                <w:tcPr>
                  <w:tcW w:w="1524"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设备名称</w:t>
                  </w:r>
                </w:p>
              </w:tc>
              <w:tc>
                <w:tcPr>
                  <w:tcW w:w="759"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台数</w:t>
                  </w:r>
                </w:p>
              </w:tc>
              <w:tc>
                <w:tcPr>
                  <w:tcW w:w="1391"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源强</w:t>
                  </w:r>
                  <w:r>
                    <w:rPr>
                      <w:rFonts w:hint="default" w:ascii="Times New Roman" w:hAnsi="Times New Roman" w:cs="Times New Roman"/>
                      <w:b/>
                      <w:bCs/>
                      <w:color w:val="auto"/>
                    </w:rPr>
                    <w:t>(dB(A))</w:t>
                  </w:r>
                </w:p>
              </w:tc>
              <w:tc>
                <w:tcPr>
                  <w:tcW w:w="2086"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降噪措施</w:t>
                  </w:r>
                </w:p>
              </w:tc>
              <w:tc>
                <w:tcPr>
                  <w:tcW w:w="1606"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降噪效果</w:t>
                  </w:r>
                  <w:r>
                    <w:rPr>
                      <w:rFonts w:hint="default" w:ascii="Times New Roman" w:hAnsi="Times New Roman" w:cs="Times New Roman"/>
                      <w:b/>
                      <w:bCs/>
                      <w:color w:val="auto"/>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71" w:type="dxa"/>
                  <w:vMerge w:val="restart"/>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升压站</w:t>
                  </w:r>
                </w:p>
              </w:tc>
              <w:tc>
                <w:tcPr>
                  <w:tcW w:w="1524"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升压变压器</w:t>
                  </w:r>
                </w:p>
              </w:tc>
              <w:tc>
                <w:tcPr>
                  <w:tcW w:w="759"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default" w:ascii="Times New Roman" w:hAnsi="Times New Roman" w:cs="Times New Roman"/>
                      <w:color w:val="auto"/>
                    </w:rPr>
                    <w:t>1</w:t>
                  </w:r>
                </w:p>
              </w:tc>
              <w:tc>
                <w:tcPr>
                  <w:tcW w:w="1391"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85</w:t>
                  </w:r>
                </w:p>
              </w:tc>
              <w:tc>
                <w:tcPr>
                  <w:tcW w:w="2086"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低噪声设备、基础减震</w:t>
                  </w:r>
                </w:p>
              </w:tc>
              <w:tc>
                <w:tcPr>
                  <w:tcW w:w="1606"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71" w:type="dxa"/>
                  <w:vMerge w:val="continue"/>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524"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水泵</w:t>
                  </w:r>
                </w:p>
              </w:tc>
              <w:tc>
                <w:tcPr>
                  <w:tcW w:w="759"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2</w:t>
                  </w:r>
                </w:p>
              </w:tc>
              <w:tc>
                <w:tcPr>
                  <w:tcW w:w="1391"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80</w:t>
                  </w:r>
                </w:p>
              </w:tc>
              <w:tc>
                <w:tcPr>
                  <w:tcW w:w="2086"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基础减震、布置在室内</w:t>
                  </w:r>
                </w:p>
              </w:tc>
              <w:tc>
                <w:tcPr>
                  <w:tcW w:w="1606"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771" w:type="dxa"/>
                  <w:vMerge w:val="continue"/>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524"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油烟净化器风机</w:t>
                  </w:r>
                </w:p>
              </w:tc>
              <w:tc>
                <w:tcPr>
                  <w:tcW w:w="759"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default" w:ascii="Times New Roman" w:hAnsi="Times New Roman" w:cs="Times New Roman"/>
                      <w:color w:val="auto"/>
                    </w:rPr>
                    <w:t>1</w:t>
                  </w:r>
                </w:p>
              </w:tc>
              <w:tc>
                <w:tcPr>
                  <w:tcW w:w="1391"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75</w:t>
                  </w:r>
                </w:p>
              </w:tc>
              <w:tc>
                <w:tcPr>
                  <w:tcW w:w="2086"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低噪声设备、基础减震、距离衰减</w:t>
                  </w:r>
                </w:p>
              </w:tc>
              <w:tc>
                <w:tcPr>
                  <w:tcW w:w="1606"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20</w:t>
                  </w:r>
                </w:p>
              </w:tc>
            </w:tr>
          </w:tbl>
          <w:p>
            <w:pPr>
              <w:pStyle w:val="5"/>
              <w:suppressLineNumbers w:val="0"/>
              <w:spacing w:before="0" w:after="0"/>
              <w:ind w:left="0" w:right="0" w:firstLine="482"/>
              <w:rPr>
                <w:rFonts w:hint="default" w:ascii="Times New Roman" w:hAnsi="Times New Roman" w:cs="Times New Roman"/>
                <w:color w:val="auto"/>
              </w:rPr>
            </w:pPr>
            <w:r>
              <w:rPr>
                <w:rFonts w:hint="eastAsia" w:ascii="Times New Roman" w:hAnsi="Times New Roman" w:cs="Times New Roman"/>
                <w:color w:val="auto"/>
              </w:rPr>
              <w:t>预测范围、点位与评价因子</w:t>
            </w:r>
          </w:p>
          <w:p>
            <w:pPr>
              <w:keepNext w:val="0"/>
              <w:keepLines w:val="0"/>
              <w:suppressLineNumbers w:val="0"/>
              <w:autoSpaceDE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预测范围：厂界外</w:t>
            </w:r>
            <w:r>
              <w:rPr>
                <w:rFonts w:hint="default" w:ascii="Times New Roman" w:hAnsi="Times New Roman" w:cs="Times New Roman"/>
                <w:color w:val="auto"/>
              </w:rPr>
              <w:t xml:space="preserve">1m </w:t>
            </w:r>
          </w:p>
          <w:p>
            <w:pPr>
              <w:keepNext w:val="0"/>
              <w:keepLines w:val="0"/>
              <w:suppressLineNumbers w:val="0"/>
              <w:autoSpaceDE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预测点位：升压站四厂界</w:t>
            </w:r>
          </w:p>
          <w:p>
            <w:pPr>
              <w:keepNext w:val="0"/>
              <w:keepLines w:val="0"/>
              <w:suppressLineNumbers w:val="0"/>
              <w:autoSpaceDE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预测因子：等效连续</w:t>
            </w:r>
            <w:r>
              <w:rPr>
                <w:rFonts w:hint="default" w:ascii="Times New Roman" w:hAnsi="Times New Roman" w:cs="Times New Roman"/>
                <w:color w:val="auto"/>
              </w:rPr>
              <w:t>A</w:t>
            </w:r>
            <w:r>
              <w:rPr>
                <w:rFonts w:hint="eastAsia" w:ascii="Times New Roman" w:hAnsi="Times New Roman" w:cs="Times New Roman"/>
                <w:color w:val="auto"/>
              </w:rPr>
              <w:t>声级</w:t>
            </w:r>
          </w:p>
          <w:p>
            <w:pPr>
              <w:pStyle w:val="5"/>
              <w:suppressLineNumbers w:val="0"/>
              <w:spacing w:before="0" w:after="0"/>
              <w:ind w:left="0" w:right="0" w:firstLine="482"/>
              <w:rPr>
                <w:rFonts w:hint="eastAsia" w:ascii="Times New Roman" w:hAnsi="Times New Roman" w:cs="Times New Roman"/>
                <w:color w:val="auto"/>
              </w:rPr>
            </w:pPr>
            <w:r>
              <w:rPr>
                <w:rFonts w:hint="eastAsia" w:ascii="Times New Roman" w:hAnsi="Times New Roman" w:cs="Times New Roman"/>
                <w:color w:val="auto"/>
              </w:rPr>
              <w:t>预测模式</w:t>
            </w:r>
          </w:p>
          <w:p>
            <w:pPr>
              <w:keepNext w:val="0"/>
              <w:keepLines w:val="0"/>
              <w:suppressLineNumbers w:val="0"/>
              <w:topLinePunct/>
              <w:autoSpaceDE w:val="0"/>
              <w:spacing w:before="0" w:beforeAutospacing="0" w:after="0" w:afterAutospacing="0"/>
              <w:ind w:left="0" w:right="0" w:firstLine="480"/>
              <w:textAlignment w:val="center"/>
              <w:rPr>
                <w:rFonts w:hint="default" w:ascii="Times New Roman" w:hAnsi="Times New Roman" w:cs="Times New Roman"/>
                <w:color w:val="auto"/>
              </w:rPr>
            </w:pPr>
            <w:r>
              <w:rPr>
                <w:rFonts w:hint="eastAsia" w:ascii="Times New Roman" w:hAnsi="Times New Roman" w:cs="Times New Roman"/>
                <w:color w:val="auto"/>
              </w:rPr>
              <w:t>本评价选用《环境影响评价技术导则 声环境》（</w:t>
            </w:r>
            <w:r>
              <w:rPr>
                <w:rFonts w:hint="default" w:ascii="Times New Roman" w:hAnsi="Times New Roman" w:cs="Times New Roman"/>
                <w:color w:val="auto"/>
              </w:rPr>
              <w:t>HJ</w:t>
            </w:r>
            <w:r>
              <w:rPr>
                <w:rFonts w:hint="eastAsia" w:ascii="Times New Roman" w:hAnsi="Times New Roman" w:cs="Times New Roman"/>
                <w:color w:val="auto"/>
              </w:rPr>
              <w:t xml:space="preserve"> </w:t>
            </w:r>
            <w:r>
              <w:rPr>
                <w:rFonts w:hint="default" w:ascii="Times New Roman" w:hAnsi="Times New Roman" w:cs="Times New Roman"/>
                <w:color w:val="auto"/>
              </w:rPr>
              <w:t>2.4-2021</w:t>
            </w:r>
            <w:r>
              <w:rPr>
                <w:rFonts w:hint="eastAsia" w:ascii="Times New Roman" w:hAnsi="Times New Roman" w:cs="Times New Roman"/>
                <w:color w:val="auto"/>
              </w:rPr>
              <w:t>）中推荐的预测模式预测本项目噪声影响。将噪声设备看作一个噪声点声源处理。</w:t>
            </w:r>
          </w:p>
          <w:p>
            <w:pPr>
              <w:keepNext w:val="0"/>
              <w:keepLines w:val="0"/>
              <w:suppressLineNumbers w:val="0"/>
              <w:autoSpaceDE w:val="0"/>
              <w:autoSpaceDN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①首先计算室内靠近墙壁围护结构处的倍频带声压级：</w:t>
            </w:r>
          </w:p>
          <w:p>
            <w:pPr>
              <w:keepNext w:val="0"/>
              <w:keepLines w:val="0"/>
              <w:suppressLineNumbers w:val="0"/>
              <w:autoSpaceDE w:val="0"/>
              <w:autoSpaceDN w:val="0"/>
              <w:spacing w:before="0" w:beforeAutospacing="0" w:after="0" w:afterAutospacing="0"/>
              <w:ind w:left="0" w:right="0" w:firstLine="0" w:firstLineChars="0"/>
              <w:jc w:val="center"/>
              <w:rPr>
                <w:rFonts w:hint="default" w:ascii="Times New Roman" w:hAnsi="Times New Roman" w:cs="Times New Roman"/>
                <w:color w:val="auto"/>
              </w:rPr>
            </w:pPr>
            <w:r>
              <w:rPr>
                <w:rFonts w:hint="default" w:ascii="Times New Roman" w:hAnsi="Times New Roman" w:cs="Times New Roman"/>
                <w:color w:val="auto"/>
                <w:position w:val="-34"/>
                <w:lang w:val="zh-CN"/>
              </w:rPr>
              <w:object>
                <v:shape id="_x0000_i1025" o:spt="75" type="#_x0000_t75" style="height:42.2pt;width:129.1pt;" o:ole="t" filled="f" o:preferrelative="t" stroked="f" coordsize="21600,21600">
                  <v:path/>
                  <v:fill on="f" focussize="0,0"/>
                  <v:stroke on="f"/>
                  <v:imagedata r:id="rId45" o:title=""/>
                  <o:lock v:ext="edit" aspectratio="t"/>
                  <w10:wrap type="none"/>
                  <w10:anchorlock/>
                </v:shape>
                <o:OLEObject Type="Embed" ProgID="Equation.3" ShapeID="_x0000_i1025" DrawAspect="Content" ObjectID="_1468075725" r:id="rId44">
                  <o:LockedField>false</o:LockedField>
                </o:OLEObject>
              </w:object>
            </w:r>
          </w:p>
          <w:p>
            <w:pPr>
              <w:keepNext w:val="0"/>
              <w:keepLines w:val="0"/>
              <w:suppressLineNumbers w:val="0"/>
              <w:spacing w:before="0" w:beforeAutospacing="0" w:after="0" w:afterAutospacing="0"/>
              <w:ind w:left="0" w:right="113" w:firstLine="480"/>
              <w:rPr>
                <w:rFonts w:hint="eastAsia" w:ascii="Times New Roman" w:hAnsi="Times New Roman" w:cs="Times New Roman"/>
                <w:color w:val="auto"/>
              </w:rPr>
            </w:pPr>
            <w:r>
              <w:rPr>
                <w:rFonts w:hint="eastAsia" w:ascii="Times New Roman" w:hAnsi="Times New Roman" w:cs="Times New Roman"/>
                <w:color w:val="auto"/>
              </w:rPr>
              <w:t>式中：</w:t>
            </w:r>
            <w:r>
              <w:rPr>
                <w:rFonts w:hint="default" w:ascii="Times New Roman" w:hAnsi="Times New Roman" w:cs="Times New Roman"/>
                <w:color w:val="auto"/>
              </w:rPr>
              <w:t>L</w:t>
            </w:r>
            <w:r>
              <w:rPr>
                <w:rFonts w:hint="default" w:ascii="Times New Roman" w:hAnsi="Times New Roman" w:cs="Times New Roman"/>
                <w:color w:val="auto"/>
                <w:vertAlign w:val="subscript"/>
              </w:rPr>
              <w:t>p1</w:t>
            </w:r>
            <w:r>
              <w:rPr>
                <w:rFonts w:hint="eastAsia" w:ascii="Times New Roman" w:hAnsi="Times New Roman" w:cs="Times New Roman"/>
                <w:color w:val="auto"/>
              </w:rPr>
              <w:t>为某个室内声源在靠近围护结构处产生的倍频带声压级；</w:t>
            </w:r>
            <w:r>
              <w:rPr>
                <w:rFonts w:hint="default" w:ascii="Times New Roman" w:hAnsi="Times New Roman" w:cs="Times New Roman"/>
                <w:color w:val="auto"/>
              </w:rPr>
              <w:t>L</w:t>
            </w:r>
            <w:r>
              <w:rPr>
                <w:rFonts w:hint="default" w:ascii="Times New Roman" w:hAnsi="Times New Roman" w:cs="Times New Roman"/>
                <w:color w:val="auto"/>
                <w:vertAlign w:val="subscript"/>
              </w:rPr>
              <w:t>w</w:t>
            </w:r>
            <w:r>
              <w:rPr>
                <w:rFonts w:hint="eastAsia" w:ascii="Times New Roman" w:hAnsi="Times New Roman" w:cs="Times New Roman"/>
                <w:color w:val="auto"/>
              </w:rPr>
              <w:t>为某个声源的倍频带声功率级；</w:t>
            </w:r>
            <w:r>
              <w:rPr>
                <w:rFonts w:hint="default" w:ascii="Times New Roman" w:hAnsi="Times New Roman" w:cs="Times New Roman"/>
                <w:color w:val="auto"/>
              </w:rPr>
              <w:t>r</w:t>
            </w:r>
            <w:r>
              <w:rPr>
                <w:rFonts w:hint="eastAsia" w:ascii="Times New Roman" w:hAnsi="Times New Roman" w:cs="Times New Roman"/>
                <w:color w:val="auto"/>
              </w:rPr>
              <w:t>为室内某个声源与靠近围护结构某点处的距离；</w:t>
            </w:r>
            <w:r>
              <w:rPr>
                <w:rFonts w:hint="default" w:ascii="Times New Roman" w:hAnsi="Times New Roman" w:cs="Times New Roman"/>
                <w:color w:val="auto"/>
              </w:rPr>
              <w:t>R</w:t>
            </w:r>
            <w:r>
              <w:rPr>
                <w:rFonts w:hint="eastAsia" w:ascii="Times New Roman" w:hAnsi="Times New Roman" w:cs="Times New Roman"/>
                <w:color w:val="auto"/>
              </w:rPr>
              <w:t>为房间常数；</w:t>
            </w:r>
            <w:r>
              <w:rPr>
                <w:rFonts w:hint="default" w:ascii="Times New Roman" w:hAnsi="Times New Roman" w:cs="Times New Roman"/>
                <w:color w:val="auto"/>
              </w:rPr>
              <w:t>Q</w:t>
            </w:r>
            <w:r>
              <w:rPr>
                <w:rFonts w:hint="eastAsia" w:ascii="Times New Roman" w:hAnsi="Times New Roman" w:cs="Times New Roman"/>
                <w:color w:val="auto"/>
              </w:rPr>
              <w:t>为指向性因数。</w:t>
            </w:r>
          </w:p>
          <w:p>
            <w:pPr>
              <w:keepNext w:val="0"/>
              <w:keepLines w:val="0"/>
              <w:suppressLineNumbers w:val="0"/>
              <w:spacing w:before="0" w:beforeAutospacing="0" w:after="0" w:afterAutospacing="0"/>
              <w:ind w:left="0" w:right="0" w:firstLine="0" w:firstLineChars="0"/>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2057400" cy="1143635"/>
                  <wp:effectExtent l="0" t="0" r="0" b="0"/>
                  <wp:docPr id="17"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6"/>
                          <pic:cNvPicPr>
                            <a:picLocks noChangeAspect="1"/>
                          </pic:cNvPicPr>
                        </pic:nvPicPr>
                        <pic:blipFill>
                          <a:blip r:embed="rId46"/>
                          <a:srcRect l="48521" t="28206" r="5563" b="26706"/>
                          <a:stretch>
                            <a:fillRect/>
                          </a:stretch>
                        </pic:blipFill>
                        <pic:spPr>
                          <a:xfrm>
                            <a:off x="0" y="0"/>
                            <a:ext cx="2057400" cy="1143635"/>
                          </a:xfrm>
                          <a:prstGeom prst="rect">
                            <a:avLst/>
                          </a:prstGeom>
                          <a:noFill/>
                          <a:ln>
                            <a:noFill/>
                          </a:ln>
                        </pic:spPr>
                      </pic:pic>
                    </a:graphicData>
                  </a:graphic>
                </wp:inline>
              </w:drawing>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②计算出所有室内声源在靠近围护结构处产生的</w:t>
            </w:r>
            <w:r>
              <w:rPr>
                <w:rFonts w:hint="default" w:ascii="Times New Roman" w:hAnsi="Times New Roman" w:cs="Times New Roman"/>
                <w:color w:val="auto"/>
              </w:rPr>
              <w:t>i</w:t>
            </w:r>
            <w:r>
              <w:rPr>
                <w:rFonts w:hint="eastAsia" w:ascii="Times New Roman" w:hAnsi="Times New Roman" w:cs="Times New Roman"/>
                <w:color w:val="auto"/>
              </w:rPr>
              <w:t>倍频带叠加声压级：</w:t>
            </w:r>
          </w:p>
          <w:p>
            <w:pPr>
              <w:keepNext w:val="0"/>
              <w:keepLines w:val="0"/>
              <w:suppressLineNumbers w:val="0"/>
              <w:autoSpaceDE w:val="0"/>
              <w:autoSpaceDN w:val="0"/>
              <w:spacing w:before="0" w:beforeAutospacing="0" w:after="0" w:afterAutospacing="0"/>
              <w:ind w:left="0" w:right="0" w:firstLine="0" w:firstLineChars="0"/>
              <w:jc w:val="center"/>
              <w:rPr>
                <w:rFonts w:hint="default" w:ascii="Times New Roman" w:hAnsi="Times New Roman" w:cs="Times New Roman"/>
                <w:color w:val="auto"/>
              </w:rPr>
            </w:pPr>
            <w:r>
              <w:rPr>
                <w:rFonts w:hint="default" w:ascii="Times New Roman" w:hAnsi="Times New Roman" w:cs="Times New Roman"/>
                <w:color w:val="auto"/>
                <w:position w:val="-32"/>
                <w:lang w:val="zh-CN"/>
              </w:rPr>
              <w:object>
                <v:shape id="_x0000_i1026" o:spt="75" type="#_x0000_t75" style="height:46.05pt;width:166.15pt;" o:ole="t" filled="f" o:preferrelative="t" stroked="f" coordsize="21600,21600">
                  <v:path/>
                  <v:fill on="f" focussize="0,0"/>
                  <v:stroke on="f"/>
                  <v:imagedata r:id="rId48" cropright="-7482f" cropbottom="-12191f" o:title=""/>
                  <o:lock v:ext="edit" aspectratio="t"/>
                  <w10:wrap type="none"/>
                  <w10:anchorlock/>
                </v:shape>
                <o:OLEObject Type="Embed" ProgID="Equation.3" ShapeID="_x0000_i1026" DrawAspect="Content" ObjectID="_1468075726" r:id="rId47">
                  <o:LockedField>false</o:LockedField>
                </o:OLEObject>
              </w:object>
            </w:r>
          </w:p>
          <w:p>
            <w:pPr>
              <w:keepNext w:val="0"/>
              <w:keepLines w:val="0"/>
              <w:suppressLineNumbers w:val="0"/>
              <w:topLinePunct/>
              <w:spacing w:before="0" w:beforeAutospacing="0" w:after="0" w:afterAutospacing="0"/>
              <w:ind w:left="0" w:right="0" w:firstLine="480"/>
              <w:textAlignment w:val="center"/>
              <w:rPr>
                <w:rFonts w:hint="default" w:ascii="Times New Roman" w:hAnsi="Times New Roman" w:cs="Times New Roman"/>
                <w:color w:val="auto"/>
              </w:rPr>
            </w:pPr>
            <w:r>
              <w:rPr>
                <w:rFonts w:hint="eastAsia" w:ascii="Times New Roman" w:hAnsi="Times New Roman" w:cs="Times New Roman"/>
                <w:color w:val="auto"/>
              </w:rPr>
              <w:t>式中：</w:t>
            </w:r>
            <w:r>
              <w:rPr>
                <w:rFonts w:hint="default" w:ascii="Times New Roman" w:hAnsi="Times New Roman" w:cs="Times New Roman"/>
                <w:color w:val="auto"/>
              </w:rPr>
              <w:t>L</w:t>
            </w:r>
            <w:r>
              <w:rPr>
                <w:rFonts w:hint="default" w:ascii="Times New Roman" w:hAnsi="Times New Roman" w:cs="Times New Roman"/>
                <w:color w:val="auto"/>
                <w:vertAlign w:val="subscript"/>
              </w:rPr>
              <w:t>P1i</w:t>
            </w:r>
            <w:r>
              <w:rPr>
                <w:rFonts w:hint="eastAsia" w:ascii="Times New Roman" w:hAnsi="Times New Roman" w:cs="Times New Roman"/>
                <w:color w:val="auto"/>
              </w:rPr>
              <w:t>（</w:t>
            </w:r>
            <w:r>
              <w:rPr>
                <w:rFonts w:hint="default" w:ascii="Times New Roman" w:hAnsi="Times New Roman" w:cs="Times New Roman"/>
                <w:color w:val="auto"/>
              </w:rPr>
              <w:t>T</w:t>
            </w:r>
            <w:r>
              <w:rPr>
                <w:rFonts w:hint="eastAsia" w:ascii="Times New Roman" w:hAnsi="Times New Roman" w:cs="Times New Roman"/>
                <w:color w:val="auto"/>
              </w:rPr>
              <w:t>）为靠近围护结构处室内</w:t>
            </w:r>
            <w:r>
              <w:rPr>
                <w:rFonts w:hint="default" w:ascii="Times New Roman" w:hAnsi="Times New Roman" w:cs="Times New Roman"/>
                <w:color w:val="auto"/>
              </w:rPr>
              <w:t>N</w:t>
            </w:r>
            <w:r>
              <w:rPr>
                <w:rFonts w:hint="eastAsia" w:ascii="Times New Roman" w:hAnsi="Times New Roman" w:cs="Times New Roman"/>
                <w:color w:val="auto"/>
              </w:rPr>
              <w:t>个声源</w:t>
            </w:r>
            <w:r>
              <w:rPr>
                <w:rFonts w:hint="default" w:ascii="Times New Roman" w:hAnsi="Times New Roman" w:cs="Times New Roman"/>
                <w:color w:val="auto"/>
              </w:rPr>
              <w:t>i</w:t>
            </w:r>
            <w:r>
              <w:rPr>
                <w:rFonts w:hint="eastAsia" w:ascii="Times New Roman" w:hAnsi="Times New Roman" w:cs="Times New Roman"/>
                <w:color w:val="auto"/>
              </w:rPr>
              <w:t>倍频带的叠加声压级，</w:t>
            </w:r>
            <w:r>
              <w:rPr>
                <w:rFonts w:hint="default" w:ascii="Times New Roman" w:hAnsi="Times New Roman" w:cs="Times New Roman"/>
                <w:color w:val="auto"/>
              </w:rPr>
              <w:t>dB</w:t>
            </w:r>
            <w:r>
              <w:rPr>
                <w:rFonts w:hint="eastAsia" w:ascii="Times New Roman" w:hAnsi="Times New Roman" w:cs="Times New Roman"/>
                <w:color w:val="auto"/>
              </w:rPr>
              <w:t>；</w:t>
            </w:r>
            <w:r>
              <w:rPr>
                <w:rFonts w:hint="default" w:ascii="Times New Roman" w:hAnsi="Times New Roman" w:cs="Times New Roman"/>
                <w:color w:val="auto"/>
              </w:rPr>
              <w:t>L</w:t>
            </w:r>
            <w:r>
              <w:rPr>
                <w:rFonts w:hint="default" w:ascii="Times New Roman" w:hAnsi="Times New Roman" w:cs="Times New Roman"/>
                <w:color w:val="auto"/>
                <w:vertAlign w:val="subscript"/>
              </w:rPr>
              <w:t>P1ij</w:t>
            </w:r>
            <w:r>
              <w:rPr>
                <w:rFonts w:hint="eastAsia" w:ascii="Times New Roman" w:hAnsi="Times New Roman" w:cs="Times New Roman"/>
                <w:color w:val="auto"/>
              </w:rPr>
              <w:t>为室内</w:t>
            </w:r>
            <w:r>
              <w:rPr>
                <w:rFonts w:hint="default" w:ascii="Times New Roman" w:hAnsi="Times New Roman" w:cs="Times New Roman"/>
                <w:color w:val="auto"/>
              </w:rPr>
              <w:t>j</w:t>
            </w:r>
            <w:r>
              <w:rPr>
                <w:rFonts w:hint="eastAsia" w:ascii="Times New Roman" w:hAnsi="Times New Roman" w:cs="Times New Roman"/>
                <w:color w:val="auto"/>
              </w:rPr>
              <w:t>声源</w:t>
            </w:r>
            <w:r>
              <w:rPr>
                <w:rFonts w:hint="default" w:ascii="Times New Roman" w:hAnsi="Times New Roman" w:cs="Times New Roman"/>
                <w:color w:val="auto"/>
              </w:rPr>
              <w:t>i</w:t>
            </w:r>
            <w:r>
              <w:rPr>
                <w:rFonts w:hint="eastAsia" w:ascii="Times New Roman" w:hAnsi="Times New Roman" w:cs="Times New Roman"/>
                <w:color w:val="auto"/>
              </w:rPr>
              <w:t>倍频带声压级；</w:t>
            </w:r>
            <w:r>
              <w:rPr>
                <w:rFonts w:hint="default" w:ascii="Times New Roman" w:hAnsi="Times New Roman" w:cs="Times New Roman"/>
                <w:color w:val="auto"/>
              </w:rPr>
              <w:t>N</w:t>
            </w:r>
            <w:r>
              <w:rPr>
                <w:rFonts w:hint="eastAsia" w:ascii="Times New Roman" w:hAnsi="Times New Roman" w:cs="Times New Roman"/>
                <w:color w:val="auto"/>
              </w:rPr>
              <w:t>为室内声源总数。</w:t>
            </w:r>
          </w:p>
          <w:p>
            <w:pPr>
              <w:keepNext w:val="0"/>
              <w:keepLines w:val="0"/>
              <w:suppressLineNumbers w:val="0"/>
              <w:autoSpaceDE w:val="0"/>
              <w:autoSpaceDN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③计算出室外靠近围护结构处的声压级：</w:t>
            </w:r>
          </w:p>
          <w:p>
            <w:pPr>
              <w:keepNext w:val="0"/>
              <w:keepLines w:val="0"/>
              <w:suppressLineNumbers w:val="0"/>
              <w:autoSpaceDE w:val="0"/>
              <w:autoSpaceDN w:val="0"/>
              <w:spacing w:before="0" w:beforeAutospacing="0" w:after="0" w:afterAutospacing="0"/>
              <w:ind w:left="0" w:right="0" w:firstLine="0" w:firstLineChars="0"/>
              <w:jc w:val="center"/>
              <w:rPr>
                <w:rFonts w:hint="default" w:ascii="Times New Roman" w:hAnsi="Times New Roman" w:cs="Times New Roman"/>
                <w:color w:val="auto"/>
              </w:rPr>
            </w:pPr>
            <w:r>
              <w:rPr>
                <w:rFonts w:hint="default" w:ascii="Times New Roman" w:hAnsi="Times New Roman" w:cs="Times New Roman"/>
                <w:color w:val="auto"/>
                <w:lang w:val="zh-CN"/>
              </w:rPr>
              <w:object>
                <v:shape id="_x0000_i1027" o:spt="75" type="#_x0000_t75" style="height:19.9pt;width:132.75pt;" o:ole="t" filled="f" o:preferrelative="t" stroked="f" coordsize="21600,21600">
                  <v:path/>
                  <v:fill on="f" focussize="0,0"/>
                  <v:stroke on="f"/>
                  <v:imagedata r:id="rId50" o:title=""/>
                  <o:lock v:ext="edit" aspectratio="t"/>
                  <w10:wrap type="none"/>
                  <w10:anchorlock/>
                </v:shape>
                <o:OLEObject Type="Embed" ProgID="Equation.3" ShapeID="_x0000_i1027" DrawAspect="Content" ObjectID="_1468075727" r:id="rId49">
                  <o:LockedField>false</o:LockedField>
                </o:OLEObject>
              </w:object>
            </w:r>
          </w:p>
          <w:p>
            <w:pPr>
              <w:keepNext w:val="0"/>
              <w:keepLines w:val="0"/>
              <w:suppressLineNumbers w:val="0"/>
              <w:topLinePunct/>
              <w:spacing w:before="0" w:beforeAutospacing="0" w:after="0" w:afterAutospacing="0"/>
              <w:ind w:left="0" w:right="0" w:firstLine="480"/>
              <w:textAlignment w:val="center"/>
              <w:rPr>
                <w:rFonts w:hint="default" w:ascii="Times New Roman" w:hAnsi="Times New Roman" w:cs="Times New Roman"/>
                <w:color w:val="auto"/>
              </w:rPr>
            </w:pPr>
            <w:r>
              <w:rPr>
                <w:rFonts w:hint="eastAsia" w:ascii="Times New Roman" w:hAnsi="Times New Roman" w:cs="Times New Roman"/>
                <w:color w:val="auto"/>
              </w:rPr>
              <w:t>式中：</w:t>
            </w:r>
            <w:r>
              <w:rPr>
                <w:rFonts w:hint="default" w:ascii="Times New Roman" w:hAnsi="Times New Roman" w:cs="Times New Roman"/>
                <w:color w:val="auto"/>
              </w:rPr>
              <w:t>L</w:t>
            </w:r>
            <w:r>
              <w:rPr>
                <w:rFonts w:hint="default" w:ascii="Times New Roman" w:hAnsi="Times New Roman" w:cs="Times New Roman"/>
                <w:color w:val="auto"/>
                <w:vertAlign w:val="subscript"/>
              </w:rPr>
              <w:t>P2i</w:t>
            </w:r>
            <w:r>
              <w:rPr>
                <w:rFonts w:hint="eastAsia" w:ascii="Times New Roman" w:hAnsi="Times New Roman" w:cs="Times New Roman"/>
                <w:color w:val="auto"/>
              </w:rPr>
              <w:t>（</w:t>
            </w:r>
            <w:r>
              <w:rPr>
                <w:rFonts w:hint="default" w:ascii="Times New Roman" w:hAnsi="Times New Roman" w:cs="Times New Roman"/>
                <w:color w:val="auto"/>
              </w:rPr>
              <w:t>T</w:t>
            </w:r>
            <w:r>
              <w:rPr>
                <w:rFonts w:hint="eastAsia" w:ascii="Times New Roman" w:hAnsi="Times New Roman" w:cs="Times New Roman"/>
                <w:color w:val="auto"/>
              </w:rPr>
              <w:t>）为靠近围护结构处室外</w:t>
            </w:r>
            <w:r>
              <w:rPr>
                <w:rFonts w:hint="default" w:ascii="Times New Roman" w:hAnsi="Times New Roman" w:cs="Times New Roman"/>
                <w:color w:val="auto"/>
              </w:rPr>
              <w:t>N</w:t>
            </w:r>
            <w:r>
              <w:rPr>
                <w:rFonts w:hint="eastAsia" w:ascii="Times New Roman" w:hAnsi="Times New Roman" w:cs="Times New Roman"/>
                <w:color w:val="auto"/>
              </w:rPr>
              <w:t>个声源</w:t>
            </w:r>
            <w:r>
              <w:rPr>
                <w:rFonts w:hint="default" w:ascii="Times New Roman" w:hAnsi="Times New Roman" w:cs="Times New Roman"/>
                <w:color w:val="auto"/>
              </w:rPr>
              <w:t>i</w:t>
            </w:r>
            <w:r>
              <w:rPr>
                <w:rFonts w:hint="eastAsia" w:ascii="Times New Roman" w:hAnsi="Times New Roman" w:cs="Times New Roman"/>
                <w:color w:val="auto"/>
              </w:rPr>
              <w:t>倍频带的叠加声压级，</w:t>
            </w:r>
            <w:r>
              <w:rPr>
                <w:rFonts w:hint="default" w:ascii="Times New Roman" w:hAnsi="Times New Roman" w:cs="Times New Roman"/>
                <w:color w:val="auto"/>
              </w:rPr>
              <w:t>dB</w:t>
            </w:r>
            <w:r>
              <w:rPr>
                <w:rFonts w:hint="eastAsia" w:ascii="Times New Roman" w:hAnsi="Times New Roman" w:cs="Times New Roman"/>
                <w:color w:val="auto"/>
              </w:rPr>
              <w:t>；</w:t>
            </w:r>
            <w:r>
              <w:rPr>
                <w:rFonts w:hint="default" w:ascii="Times New Roman" w:hAnsi="Times New Roman" w:cs="Times New Roman"/>
                <w:color w:val="auto"/>
              </w:rPr>
              <w:t>TL</w:t>
            </w:r>
            <w:r>
              <w:rPr>
                <w:rFonts w:hint="default" w:ascii="Times New Roman" w:hAnsi="Times New Roman" w:cs="Times New Roman"/>
                <w:color w:val="auto"/>
                <w:vertAlign w:val="subscript"/>
              </w:rPr>
              <w:t>i</w:t>
            </w:r>
            <w:r>
              <w:rPr>
                <w:rFonts w:hint="eastAsia" w:ascii="Times New Roman" w:hAnsi="Times New Roman" w:cs="Times New Roman"/>
                <w:color w:val="auto"/>
              </w:rPr>
              <w:t>为围护结构</w:t>
            </w:r>
            <w:r>
              <w:rPr>
                <w:rFonts w:hint="default" w:ascii="Times New Roman" w:hAnsi="Times New Roman" w:cs="Times New Roman"/>
                <w:color w:val="auto"/>
              </w:rPr>
              <w:t>i</w:t>
            </w:r>
            <w:r>
              <w:rPr>
                <w:rFonts w:hint="eastAsia" w:ascii="Times New Roman" w:hAnsi="Times New Roman" w:cs="Times New Roman"/>
                <w:color w:val="auto"/>
              </w:rPr>
              <w:t>倍频带的隔声量，</w:t>
            </w:r>
            <w:r>
              <w:rPr>
                <w:rFonts w:hint="default" w:ascii="Times New Roman" w:hAnsi="Times New Roman" w:cs="Times New Roman"/>
                <w:color w:val="auto"/>
              </w:rPr>
              <w:t>dB</w:t>
            </w:r>
            <w:r>
              <w:rPr>
                <w:rFonts w:hint="eastAsia" w:ascii="Times New Roman" w:hAnsi="Times New Roman" w:cs="Times New Roman"/>
                <w:color w:val="auto"/>
              </w:rPr>
              <w:t>。</w:t>
            </w:r>
          </w:p>
          <w:p>
            <w:pPr>
              <w:keepNext w:val="0"/>
              <w:keepLines w:val="0"/>
              <w:suppressLineNumbers w:val="0"/>
              <w:topLinePunct/>
              <w:spacing w:before="0" w:beforeAutospacing="0" w:after="0" w:afterAutospacing="0"/>
              <w:ind w:left="0" w:right="0" w:firstLine="480"/>
              <w:textAlignment w:val="center"/>
              <w:rPr>
                <w:rFonts w:hint="default" w:ascii="Times New Roman" w:hAnsi="Times New Roman" w:cs="Times New Roman"/>
                <w:color w:val="auto"/>
              </w:rPr>
            </w:pPr>
            <w:r>
              <w:rPr>
                <w:rFonts w:hint="eastAsia" w:ascii="Times New Roman" w:hAnsi="Times New Roman" w:cs="Times New Roman"/>
                <w:color w:val="auto"/>
              </w:rPr>
              <w:t>④将室外声级</w:t>
            </w:r>
            <w:r>
              <w:rPr>
                <w:rFonts w:hint="default" w:ascii="Times New Roman" w:hAnsi="Times New Roman" w:cs="Times New Roman"/>
                <w:color w:val="auto"/>
              </w:rPr>
              <w:t>Loct,2</w:t>
            </w:r>
            <w:r>
              <w:rPr>
                <w:rFonts w:hint="eastAsia" w:ascii="Times New Roman" w:hAnsi="Times New Roman" w:cs="Times New Roman"/>
                <w:color w:val="auto"/>
              </w:rPr>
              <w:t>（</w:t>
            </w:r>
            <w:r>
              <w:rPr>
                <w:rFonts w:hint="default" w:ascii="Times New Roman" w:hAnsi="Times New Roman" w:cs="Times New Roman"/>
                <w:color w:val="auto"/>
              </w:rPr>
              <w:t>T</w:t>
            </w:r>
            <w:r>
              <w:rPr>
                <w:rFonts w:hint="eastAsia" w:ascii="Times New Roman" w:hAnsi="Times New Roman" w:cs="Times New Roman"/>
                <w:color w:val="auto"/>
              </w:rPr>
              <w:t>）和透过面积换算成等效的室外声源，计算出中心位置位于透声面积（</w:t>
            </w:r>
            <w:r>
              <w:rPr>
                <w:rFonts w:hint="default" w:ascii="Times New Roman" w:hAnsi="Times New Roman" w:cs="Times New Roman"/>
                <w:color w:val="auto"/>
              </w:rPr>
              <w:t>S</w:t>
            </w:r>
            <w:r>
              <w:rPr>
                <w:rFonts w:hint="eastAsia" w:ascii="Times New Roman" w:hAnsi="Times New Roman" w:cs="Times New Roman"/>
                <w:color w:val="auto"/>
              </w:rPr>
              <w:t>）处的等效声源的倍频带声功率级</w:t>
            </w:r>
            <w:r>
              <w:rPr>
                <w:rFonts w:hint="default" w:ascii="Times New Roman" w:hAnsi="Times New Roman" w:cs="Times New Roman"/>
                <w:color w:val="auto"/>
              </w:rPr>
              <w:softHyphen/>
            </w:r>
            <w:r>
              <w:rPr>
                <w:rFonts w:hint="default" w:ascii="Times New Roman" w:hAnsi="Times New Roman" w:cs="Times New Roman"/>
                <w:color w:val="auto"/>
              </w:rPr>
              <w:softHyphen/>
            </w:r>
            <w:r>
              <w:rPr>
                <w:rFonts w:hint="eastAsia" w:ascii="Times New Roman" w:hAnsi="Times New Roman" w:cs="Times New Roman"/>
                <w:color w:val="auto"/>
              </w:rPr>
              <w:t>：</w:t>
            </w:r>
          </w:p>
          <w:p>
            <w:pPr>
              <w:keepNext w:val="0"/>
              <w:keepLines w:val="0"/>
              <w:suppressLineNumbers w:val="0"/>
              <w:autoSpaceDE w:val="0"/>
              <w:autoSpaceDN w:val="0"/>
              <w:spacing w:before="0" w:beforeAutospacing="0" w:after="0" w:afterAutospacing="0"/>
              <w:ind w:left="0" w:right="0" w:firstLine="0" w:firstLineChars="0"/>
              <w:jc w:val="center"/>
              <w:rPr>
                <w:rFonts w:hint="default" w:ascii="Times New Roman" w:hAnsi="Times New Roman" w:cs="Times New Roman"/>
                <w:color w:val="auto"/>
              </w:rPr>
            </w:pPr>
            <w:r>
              <w:rPr>
                <w:rFonts w:hint="default" w:ascii="Times New Roman" w:hAnsi="Times New Roman" w:cs="Times New Roman"/>
                <w:color w:val="auto"/>
                <w:lang w:val="zh-CN"/>
              </w:rPr>
              <w:object>
                <v:shape id="_x0000_i1028" o:spt="75" type="#_x0000_t75" style="height:18.4pt;width:109.7pt;" o:ole="t" filled="f" stroked="f" coordsize="21600,21600">
                  <v:path/>
                  <v:fill on="f" focussize="0,0"/>
                  <v:stroke on="f"/>
                  <v:imagedata r:id="rId52" o:title=""/>
                  <o:lock v:ext="edit" aspectratio="t"/>
                  <w10:wrap type="none"/>
                  <w10:anchorlock/>
                </v:shape>
                <o:OLEObject Type="Embed" ProgID="Equation.3" ShapeID="_x0000_i1028" DrawAspect="Content" ObjectID="_1468075728" r:id="rId51">
                  <o:LockedField>false</o:LockedField>
                </o:OLEObject>
              </w:object>
            </w:r>
          </w:p>
          <w:p>
            <w:pPr>
              <w:keepNext w:val="0"/>
              <w:keepLines w:val="0"/>
              <w:suppressLineNumbers w:val="0"/>
              <w:topLinePunct/>
              <w:spacing w:before="0" w:beforeAutospacing="0" w:after="0" w:afterAutospacing="0"/>
              <w:ind w:left="0" w:right="0" w:firstLine="480"/>
              <w:textAlignment w:val="center"/>
              <w:rPr>
                <w:rFonts w:hint="default" w:ascii="Times New Roman" w:hAnsi="Times New Roman" w:cs="Times New Roman"/>
                <w:color w:val="auto"/>
              </w:rPr>
            </w:pPr>
            <w:r>
              <w:rPr>
                <w:rFonts w:hint="eastAsia" w:ascii="Times New Roman" w:hAnsi="Times New Roman" w:cs="Times New Roman"/>
                <w:color w:val="auto"/>
              </w:rPr>
              <w:t>式中：</w:t>
            </w:r>
            <w:r>
              <w:rPr>
                <w:rFonts w:hint="default" w:ascii="Times New Roman" w:hAnsi="Times New Roman" w:cs="Times New Roman"/>
                <w:color w:val="auto"/>
              </w:rPr>
              <w:t>S</w:t>
            </w:r>
            <w:r>
              <w:rPr>
                <w:rFonts w:hint="eastAsia" w:ascii="Times New Roman" w:hAnsi="Times New Roman" w:cs="Times New Roman"/>
                <w:color w:val="auto"/>
              </w:rPr>
              <w:t>为透声面积，</w:t>
            </w:r>
            <w:r>
              <w:rPr>
                <w:rFonts w:hint="default" w:ascii="Times New Roman" w:hAnsi="Times New Roman" w:cs="Times New Roman"/>
                <w:color w:val="auto"/>
              </w:rPr>
              <w:t>m</w:t>
            </w:r>
            <w:r>
              <w:rPr>
                <w:rFonts w:hint="default" w:ascii="Times New Roman" w:hAnsi="Times New Roman" w:cs="Times New Roman"/>
                <w:color w:val="auto"/>
                <w:vertAlign w:val="superscript"/>
              </w:rPr>
              <w:t>2</w:t>
            </w:r>
            <w:r>
              <w:rPr>
                <w:rFonts w:hint="eastAsia" w:ascii="Times New Roman" w:hAnsi="Times New Roman" w:cs="Times New Roman"/>
                <w:color w:val="auto"/>
              </w:rPr>
              <w:t>。</w:t>
            </w:r>
          </w:p>
          <w:p>
            <w:pPr>
              <w:keepNext w:val="0"/>
              <w:keepLines w:val="0"/>
              <w:suppressLineNumbers w:val="0"/>
              <w:topLinePunct/>
              <w:spacing w:before="0" w:beforeAutospacing="0" w:after="0" w:afterAutospacing="0"/>
              <w:ind w:left="0" w:right="0" w:firstLine="480"/>
              <w:textAlignment w:val="center"/>
              <w:rPr>
                <w:rFonts w:hint="default" w:ascii="Times New Roman" w:hAnsi="Times New Roman" w:cs="Times New Roman"/>
                <w:color w:val="auto"/>
              </w:rPr>
            </w:pPr>
            <w:r>
              <w:rPr>
                <w:rFonts w:hint="eastAsia" w:ascii="Times New Roman" w:hAnsi="Times New Roman" w:cs="Times New Roman"/>
                <w:color w:val="auto"/>
              </w:rPr>
              <w:t>⑤等效室外声源的位置为围护结构的位置，其倍频带声功率级为</w:t>
            </w:r>
            <w:r>
              <w:rPr>
                <w:rFonts w:hint="default" w:ascii="Times New Roman" w:hAnsi="Times New Roman" w:cs="Times New Roman"/>
                <w:color w:val="auto"/>
              </w:rPr>
              <w:t>LW</w:t>
            </w:r>
            <w:r>
              <w:rPr>
                <w:rFonts w:hint="eastAsia" w:ascii="Times New Roman" w:hAnsi="Times New Roman" w:cs="Times New Roman"/>
                <w:color w:val="auto"/>
              </w:rPr>
              <w:t>，由此按室外声源方法计算等效室外声源在预测点产生的声级。</w:t>
            </w:r>
          </w:p>
          <w:p>
            <w:pPr>
              <w:keepNext w:val="0"/>
              <w:keepLines w:val="0"/>
              <w:suppressLineNumbers w:val="0"/>
              <w:topLinePunct/>
              <w:spacing w:before="0" w:beforeAutospacing="0" w:after="0" w:afterAutospacing="0"/>
              <w:ind w:left="0" w:right="0" w:firstLine="480"/>
              <w:textAlignment w:val="center"/>
              <w:rPr>
                <w:rFonts w:hint="eastAsia" w:ascii="Times New Roman" w:hAnsi="Times New Roman" w:cs="Times New Roman"/>
                <w:color w:val="auto"/>
              </w:rPr>
            </w:pPr>
            <w:r>
              <w:rPr>
                <w:rFonts w:hint="eastAsia" w:ascii="Times New Roman" w:hAnsi="Times New Roman" w:cs="Times New Roman"/>
                <w:color w:val="auto"/>
              </w:rPr>
              <w:t>计算某个声源在预测点的倍频带声压级（评价中采取各噪声源主要采用下面的模式进行预测），如果已知点声源的倍频带声功率级</w:t>
            </w:r>
            <w:r>
              <w:rPr>
                <w:rFonts w:hint="default" w:ascii="Times New Roman" w:hAnsi="Times New Roman" w:cs="Times New Roman"/>
                <w:color w:val="auto"/>
              </w:rPr>
              <w:t>LW</w:t>
            </w:r>
            <w:r>
              <w:rPr>
                <w:rFonts w:hint="eastAsia" w:ascii="Times New Roman" w:hAnsi="Times New Roman" w:cs="Times New Roman"/>
                <w:color w:val="auto"/>
              </w:rPr>
              <w:t>，且声源处于自由声场，则按以下公式计算：</w:t>
            </w:r>
          </w:p>
          <w:p>
            <w:pPr>
              <w:keepNext w:val="0"/>
              <w:keepLines w:val="0"/>
              <w:suppressLineNumbers w:val="0"/>
              <w:topLinePunct/>
              <w:spacing w:before="0" w:beforeAutospacing="0" w:after="0" w:afterAutospacing="0"/>
              <w:ind w:left="0" w:right="0" w:firstLine="0" w:firstLineChars="0"/>
              <w:jc w:val="center"/>
              <w:textAlignment w:val="center"/>
              <w:rPr>
                <w:rFonts w:hint="default" w:ascii="Times New Roman" w:hAnsi="Times New Roman" w:cs="Times New Roman"/>
                <w:color w:val="auto"/>
              </w:rPr>
            </w:pPr>
            <w:r>
              <w:rPr>
                <w:rFonts w:hint="eastAsia" w:ascii="Times New Roman" w:hAnsi="Times New Roman" w:cs="Times New Roman"/>
                <w:color w:val="auto"/>
              </w:rPr>
              <w:object>
                <v:shape id="_x0000_i1029" o:spt="75" type="#_x0000_t75" style="height:19.85pt;width:143pt;" o:ole="t" filled="f" o:preferrelative="t" stroked="f" coordsize="21600,21600">
                  <v:path/>
                  <v:fill on="f" focussize="0,0"/>
                  <v:stroke on="f"/>
                  <v:imagedata r:id="rId54" o:title=""/>
                  <o:lock v:ext="edit" aspectratio="t"/>
                  <w10:wrap type="none"/>
                  <w10:anchorlock/>
                </v:shape>
                <o:OLEObject Type="Embed" ProgID="" ShapeID="_x0000_i1029" DrawAspect="Content" ObjectID="_1468075729" r:id="rId53">
                  <o:LockedField>false</o:LockedField>
                </o:OLEObject>
              </w:objec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如果声源处于半自由声场，则按照以下公式计算：</w:t>
            </w:r>
          </w:p>
          <w:p>
            <w:pPr>
              <w:keepNext w:val="0"/>
              <w:keepLines w:val="0"/>
              <w:suppressLineNumbers w:val="0"/>
              <w:topLinePunct/>
              <w:spacing w:before="0" w:beforeAutospacing="0" w:after="0" w:afterAutospacing="0"/>
              <w:ind w:left="0" w:right="0" w:firstLine="0" w:firstLineChars="0"/>
              <w:jc w:val="center"/>
              <w:textAlignment w:val="center"/>
              <w:rPr>
                <w:rFonts w:hint="default" w:ascii="Times New Roman" w:hAnsi="Times New Roman" w:cs="Times New Roman"/>
                <w:color w:val="auto"/>
              </w:rPr>
            </w:pPr>
            <w:r>
              <w:rPr>
                <w:rFonts w:hint="default" w:ascii="Times New Roman" w:hAnsi="Times New Roman" w:cs="Times New Roman"/>
                <w:color w:val="auto"/>
              </w:rPr>
              <w:object>
                <v:shape id="_x0000_i1030" o:spt="75" type="#_x0000_t75" style="height:19.7pt;width:136.45pt;" o:ole="t" filled="f" o:preferrelative="t" stroked="f" coordsize="21600,21600">
                  <v:path/>
                  <v:fill on="f" focussize="0,0"/>
                  <v:stroke on="f"/>
                  <v:imagedata r:id="rId56" o:title=""/>
                  <o:lock v:ext="edit" aspectratio="t"/>
                  <w10:wrap type="none"/>
                  <w10:anchorlock/>
                </v:shape>
                <o:OLEObject Type="Embed" ProgID="" ShapeID="_x0000_i1030" DrawAspect="Content" ObjectID="_1468075730" r:id="rId55">
                  <o:LockedField>false</o:LockedField>
                </o:OLEObject>
              </w:objec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式中：</w:t>
            </w:r>
            <w:r>
              <w:rPr>
                <w:rFonts w:hint="default" w:ascii="Times New Roman" w:hAnsi="Times New Roman" w:cs="Times New Roman"/>
                <w:color w:val="auto"/>
              </w:rPr>
              <w:t>L</w:t>
            </w:r>
            <w:r>
              <w:rPr>
                <w:rFonts w:hint="default" w:ascii="Times New Roman" w:hAnsi="Times New Roman" w:cs="Times New Roman"/>
                <w:color w:val="auto"/>
                <w:vertAlign w:val="subscript"/>
              </w:rPr>
              <w:t>P</w:t>
            </w:r>
            <w:r>
              <w:rPr>
                <w:rFonts w:hint="eastAsia" w:ascii="Times New Roman" w:hAnsi="Times New Roman" w:cs="Times New Roman"/>
                <w:color w:val="auto"/>
              </w:rPr>
              <w:t>（</w:t>
            </w:r>
            <w:r>
              <w:rPr>
                <w:rFonts w:hint="default" w:ascii="Times New Roman" w:hAnsi="Times New Roman" w:cs="Times New Roman"/>
                <w:color w:val="auto"/>
              </w:rPr>
              <w:t>r</w:t>
            </w:r>
            <w:r>
              <w:rPr>
                <w:rFonts w:hint="eastAsia" w:ascii="Times New Roman" w:hAnsi="Times New Roman" w:cs="Times New Roman"/>
                <w:color w:val="auto"/>
              </w:rPr>
              <w:t>）为点声源在预测点产生的倍频带声压级，</w:t>
            </w:r>
            <w:r>
              <w:rPr>
                <w:rFonts w:hint="default" w:ascii="Times New Roman" w:hAnsi="Times New Roman" w:cs="Times New Roman"/>
                <w:color w:val="auto"/>
              </w:rPr>
              <w:t>dB</w:t>
            </w:r>
            <w:r>
              <w:rPr>
                <w:rFonts w:hint="eastAsia" w:ascii="Times New Roman" w:hAnsi="Times New Roman" w:cs="Times New Roman"/>
                <w:color w:val="auto"/>
              </w:rPr>
              <w:t>；</w:t>
            </w:r>
            <w:r>
              <w:rPr>
                <w:rFonts w:hint="default" w:ascii="Times New Roman" w:hAnsi="Times New Roman" w:cs="Times New Roman"/>
                <w:color w:val="auto"/>
              </w:rPr>
              <w:t>r</w:t>
            </w:r>
            <w:r>
              <w:rPr>
                <w:rFonts w:hint="eastAsia" w:ascii="Times New Roman" w:hAnsi="Times New Roman" w:cs="Times New Roman"/>
                <w:color w:val="auto"/>
              </w:rPr>
              <w:t>为预测点距声源的距离，</w:t>
            </w:r>
            <w:r>
              <w:rPr>
                <w:rFonts w:hint="default" w:ascii="Times New Roman" w:hAnsi="Times New Roman" w:cs="Times New Roman"/>
                <w:color w:val="auto"/>
              </w:rPr>
              <w:t>m</w:t>
            </w:r>
            <w:r>
              <w:rPr>
                <w:rFonts w:hint="eastAsia" w:ascii="Times New Roman" w:hAnsi="Times New Roman" w:cs="Times New Roman"/>
                <w:color w:val="auto"/>
              </w:rPr>
              <w:t>。</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⑥由各倍频带声压级合成计算出该声源产生的声级</w:t>
            </w:r>
            <w:r>
              <w:rPr>
                <w:rFonts w:hint="default" w:ascii="Times New Roman" w:hAnsi="Times New Roman" w:cs="Times New Roman"/>
                <w:color w:val="auto"/>
              </w:rPr>
              <w:t>L</w:t>
            </w:r>
            <w:r>
              <w:rPr>
                <w:rFonts w:hint="default" w:ascii="Times New Roman" w:hAnsi="Times New Roman" w:cs="Times New Roman"/>
                <w:color w:val="auto"/>
                <w:vertAlign w:val="subscript"/>
              </w:rPr>
              <w:t>A</w:t>
            </w:r>
            <w:r>
              <w:rPr>
                <w:rFonts w:hint="eastAsia" w:ascii="Times New Roman" w:hAnsi="Times New Roman" w:cs="Times New Roman"/>
                <w:color w:val="auto"/>
              </w:rPr>
              <w:t>。</w:t>
            </w:r>
          </w:p>
          <w:p>
            <w:pPr>
              <w:pStyle w:val="5"/>
              <w:suppressLineNumbers w:val="0"/>
              <w:spacing w:before="0" w:after="0"/>
              <w:ind w:left="0" w:right="0" w:firstLine="482"/>
              <w:rPr>
                <w:rFonts w:hint="default" w:ascii="Times New Roman" w:hAnsi="Times New Roman" w:cs="Times New Roman"/>
                <w:color w:val="auto"/>
              </w:rPr>
            </w:pPr>
            <w:r>
              <w:rPr>
                <w:rFonts w:hint="eastAsia" w:ascii="Times New Roman" w:hAnsi="Times New Roman" w:cs="Times New Roman"/>
                <w:color w:val="auto"/>
              </w:rPr>
              <w:t>噪声预测结果与分析</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按照噪声预测模式及源强参数，结合噪声源到各预测点距离，预测计算场区噪声对边界贡献值见下表。</w:t>
            </w:r>
          </w:p>
          <w:p>
            <w:pPr>
              <w:pStyle w:val="37"/>
              <w:keepNext w:val="0"/>
              <w:keepLines w:val="0"/>
              <w:suppressLineNumbers w:val="0"/>
              <w:spacing w:before="0" w:beforeAutospacing="0" w:after="0" w:afterAutospacing="0"/>
              <w:ind w:right="0"/>
              <w:rPr>
                <w:rFonts w:ascii="Times New Roman" w:hAnsi="Times New Roman" w:cs="Times New Roman"/>
                <w:color w:val="auto"/>
              </w:rPr>
            </w:pPr>
            <w:r>
              <w:rPr>
                <w:rFonts w:ascii="Times New Roman" w:hAnsi="Times New Roman" w:cs="Times New Roman"/>
                <w:color w:val="auto"/>
              </w:rPr>
              <w:t>升压站噪声影响预测结果</w:t>
            </w:r>
          </w:p>
          <w:tbl>
            <w:tblPr>
              <w:tblStyle w:val="2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3"/>
              <w:gridCol w:w="2126"/>
              <w:gridCol w:w="2100"/>
              <w:gridCol w:w="2196"/>
              <w:gridCol w:w="10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3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点位</w:t>
                  </w:r>
                </w:p>
              </w:tc>
              <w:tc>
                <w:tcPr>
                  <w:tcW w:w="204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昼间贡献值</w:t>
                  </w:r>
                  <w:r>
                    <w:rPr>
                      <w:rFonts w:hint="default" w:ascii="Times New Roman" w:hAnsi="Times New Roman" w:cs="Times New Roman"/>
                      <w:b/>
                      <w:bCs/>
                      <w:color w:val="auto"/>
                    </w:rPr>
                    <w:t>dB</w:t>
                  </w:r>
                  <w:r>
                    <w:rPr>
                      <w:rFonts w:hint="eastAsia" w:ascii="Times New Roman" w:hAnsi="Times New Roman" w:cs="Times New Roman"/>
                      <w:b/>
                      <w:bCs/>
                      <w:color w:val="auto"/>
                    </w:rPr>
                    <w:t>（</w:t>
                  </w:r>
                  <w:r>
                    <w:rPr>
                      <w:rFonts w:hint="default" w:ascii="Times New Roman" w:hAnsi="Times New Roman" w:cs="Times New Roman"/>
                      <w:b/>
                      <w:bCs/>
                      <w:color w:val="auto"/>
                    </w:rPr>
                    <w:t>A</w:t>
                  </w:r>
                  <w:r>
                    <w:rPr>
                      <w:rFonts w:hint="eastAsia" w:ascii="Times New Roman" w:hAnsi="Times New Roman" w:cs="Times New Roman"/>
                      <w:b/>
                      <w:bCs/>
                      <w:color w:val="auto"/>
                    </w:rPr>
                    <w:t>）</w:t>
                  </w:r>
                </w:p>
              </w:tc>
              <w:tc>
                <w:tcPr>
                  <w:tcW w:w="2022"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夜间贡献值</w:t>
                  </w:r>
                  <w:r>
                    <w:rPr>
                      <w:rFonts w:hint="default" w:ascii="Times New Roman" w:hAnsi="Times New Roman" w:cs="Times New Roman"/>
                      <w:b/>
                      <w:bCs/>
                      <w:color w:val="auto"/>
                    </w:rPr>
                    <w:t>dB</w:t>
                  </w:r>
                  <w:r>
                    <w:rPr>
                      <w:rFonts w:hint="eastAsia" w:ascii="Times New Roman" w:hAnsi="Times New Roman" w:cs="Times New Roman"/>
                      <w:b/>
                      <w:bCs/>
                      <w:color w:val="auto"/>
                    </w:rPr>
                    <w:t>（</w:t>
                  </w:r>
                  <w:r>
                    <w:rPr>
                      <w:rFonts w:hint="default" w:ascii="Times New Roman" w:hAnsi="Times New Roman" w:cs="Times New Roman"/>
                      <w:b/>
                      <w:bCs/>
                      <w:color w:val="auto"/>
                    </w:rPr>
                    <w:t>A</w:t>
                  </w:r>
                  <w:r>
                    <w:rPr>
                      <w:rFonts w:hint="eastAsia" w:ascii="Times New Roman" w:hAnsi="Times New Roman" w:cs="Times New Roman"/>
                      <w:b/>
                      <w:bCs/>
                      <w:color w:val="auto"/>
                    </w:rPr>
                    <w:t>）</w:t>
                  </w:r>
                </w:p>
              </w:tc>
              <w:tc>
                <w:tcPr>
                  <w:tcW w:w="2114"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标准值</w:t>
                  </w:r>
                  <w:r>
                    <w:rPr>
                      <w:rFonts w:hint="default" w:ascii="Times New Roman" w:hAnsi="Times New Roman" w:cs="Times New Roman"/>
                      <w:b/>
                      <w:bCs/>
                      <w:color w:val="auto"/>
                    </w:rPr>
                    <w:t>dB</w:t>
                  </w:r>
                  <w:r>
                    <w:rPr>
                      <w:rFonts w:hint="eastAsia" w:ascii="Times New Roman" w:hAnsi="Times New Roman" w:cs="Times New Roman"/>
                      <w:b/>
                      <w:bCs/>
                      <w:color w:val="auto"/>
                    </w:rPr>
                    <w:t>（</w:t>
                  </w:r>
                  <w:r>
                    <w:rPr>
                      <w:rFonts w:hint="default" w:ascii="Times New Roman" w:hAnsi="Times New Roman" w:cs="Times New Roman"/>
                      <w:b/>
                      <w:bCs/>
                      <w:color w:val="auto"/>
                    </w:rPr>
                    <w:t>A</w:t>
                  </w:r>
                  <w:r>
                    <w:rPr>
                      <w:rFonts w:hint="eastAsia" w:ascii="Times New Roman" w:hAnsi="Times New Roman" w:cs="Times New Roman"/>
                      <w:b/>
                      <w:bCs/>
                      <w:color w:val="auto"/>
                    </w:rPr>
                    <w:t>）</w:t>
                  </w:r>
                </w:p>
              </w:tc>
              <w:tc>
                <w:tcPr>
                  <w:tcW w:w="1014"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达标性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3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北厂界</w:t>
                  </w:r>
                </w:p>
              </w:tc>
              <w:tc>
                <w:tcPr>
                  <w:tcW w:w="204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28.72</w:t>
                  </w:r>
                </w:p>
              </w:tc>
              <w:tc>
                <w:tcPr>
                  <w:tcW w:w="2022"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28.72</w:t>
                  </w:r>
                </w:p>
              </w:tc>
              <w:tc>
                <w:tcPr>
                  <w:tcW w:w="2114" w:type="dxa"/>
                  <w:vMerge w:val="restart"/>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eastAsia="宋体" w:cs="Times New Roman"/>
                      <w:color w:val="auto"/>
                      <w:lang w:val="en-US" w:eastAsia="zh-CN"/>
                    </w:rPr>
                  </w:pPr>
                  <w:r>
                    <w:rPr>
                      <w:rFonts w:hint="eastAsia" w:ascii="Times New Roman" w:hAnsi="Times New Roman" w:cs="Times New Roman"/>
                      <w:color w:val="auto"/>
                    </w:rPr>
                    <w:t>昼间</w:t>
                  </w:r>
                  <w:r>
                    <w:rPr>
                      <w:rFonts w:hint="default" w:ascii="Times New Roman" w:hAnsi="Times New Roman" w:cs="Times New Roman"/>
                      <w:color w:val="auto"/>
                    </w:rPr>
                    <w:t>≤</w:t>
                  </w:r>
                  <w:r>
                    <w:rPr>
                      <w:rFonts w:hint="eastAsia" w:cs="Times New Roman"/>
                      <w:color w:val="auto"/>
                      <w:lang w:val="en-US" w:eastAsia="zh-CN"/>
                    </w:rPr>
                    <w:t>60</w:t>
                  </w:r>
                </w:p>
                <w:p>
                  <w:pPr>
                    <w:pStyle w:val="30"/>
                    <w:keepNext w:val="0"/>
                    <w:keepLines w:val="0"/>
                    <w:suppressLineNumbers w:val="0"/>
                    <w:spacing w:before="0" w:beforeAutospacing="0" w:after="0" w:afterAutospacing="0"/>
                    <w:ind w:left="0" w:right="0"/>
                    <w:rPr>
                      <w:rFonts w:hint="default" w:ascii="Times New Roman" w:hAnsi="Times New Roman" w:eastAsia="宋体" w:cs="Times New Roman"/>
                      <w:color w:val="auto"/>
                      <w:lang w:val="en-US" w:eastAsia="zh-CN"/>
                    </w:rPr>
                  </w:pPr>
                  <w:r>
                    <w:rPr>
                      <w:rFonts w:hint="eastAsia" w:ascii="Times New Roman" w:hAnsi="Times New Roman" w:cs="Times New Roman"/>
                      <w:color w:val="auto"/>
                    </w:rPr>
                    <w:t>夜间</w:t>
                  </w:r>
                  <w:r>
                    <w:rPr>
                      <w:rFonts w:hint="default" w:ascii="Times New Roman" w:hAnsi="Times New Roman" w:cs="Times New Roman"/>
                      <w:color w:val="auto"/>
                    </w:rPr>
                    <w:t>≤</w:t>
                  </w:r>
                  <w:r>
                    <w:rPr>
                      <w:rFonts w:hint="eastAsia" w:cs="Times New Roman"/>
                      <w:color w:val="auto"/>
                      <w:lang w:val="en-US" w:eastAsia="zh-CN"/>
                    </w:rPr>
                    <w:t>50</w:t>
                  </w:r>
                </w:p>
              </w:tc>
              <w:tc>
                <w:tcPr>
                  <w:tcW w:w="1014"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3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东厂界</w:t>
                  </w:r>
                </w:p>
              </w:tc>
              <w:tc>
                <w:tcPr>
                  <w:tcW w:w="204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24.65</w:t>
                  </w:r>
                </w:p>
              </w:tc>
              <w:tc>
                <w:tcPr>
                  <w:tcW w:w="2022"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24.65</w:t>
                  </w:r>
                </w:p>
              </w:tc>
              <w:tc>
                <w:tcPr>
                  <w:tcW w:w="2114" w:type="dxa"/>
                  <w:vMerge w:val="continue"/>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014"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3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南厂界</w:t>
                  </w:r>
                </w:p>
              </w:tc>
              <w:tc>
                <w:tcPr>
                  <w:tcW w:w="204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26.56</w:t>
                  </w:r>
                </w:p>
              </w:tc>
              <w:tc>
                <w:tcPr>
                  <w:tcW w:w="2022"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26.56</w:t>
                  </w:r>
                </w:p>
              </w:tc>
              <w:tc>
                <w:tcPr>
                  <w:tcW w:w="2114" w:type="dxa"/>
                  <w:vMerge w:val="continue"/>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014"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3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西厂界</w:t>
                  </w:r>
                </w:p>
              </w:tc>
              <w:tc>
                <w:tcPr>
                  <w:tcW w:w="204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34.64</w:t>
                  </w:r>
                </w:p>
              </w:tc>
              <w:tc>
                <w:tcPr>
                  <w:tcW w:w="2022"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34.64</w:t>
                  </w:r>
                </w:p>
              </w:tc>
              <w:tc>
                <w:tcPr>
                  <w:tcW w:w="2114" w:type="dxa"/>
                  <w:vMerge w:val="continue"/>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014"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达标</w:t>
                  </w:r>
                </w:p>
              </w:tc>
            </w:tr>
          </w:tbl>
          <w:p>
            <w:pPr>
              <w:keepNext w:val="0"/>
              <w:keepLines w:val="0"/>
              <w:suppressLineNumbers w:val="0"/>
              <w:autoSpaceDE w:val="0"/>
              <w:spacing w:before="0" w:beforeAutospacing="0" w:after="120" w:afterLines="50" w:afterAutospacing="0"/>
              <w:ind w:left="0" w:right="0" w:firstLine="0" w:firstLineChars="0"/>
              <w:jc w:val="center"/>
              <w:rPr>
                <w:rFonts w:hint="eastAsia" w:ascii="Times New Roman" w:hAnsi="Times New Roman" w:cs="Times New Roman"/>
                <w:color w:val="auto"/>
              </w:rPr>
            </w:pPr>
          </w:p>
          <w:p>
            <w:pPr>
              <w:keepNext w:val="0"/>
              <w:keepLines w:val="0"/>
              <w:suppressLineNumbers w:val="0"/>
              <w:spacing w:before="0" w:beforeAutospacing="0" w:after="0" w:afterAutospacing="0"/>
              <w:ind w:left="0" w:right="0" w:firstLine="0" w:firstLineChars="0"/>
              <w:rPr>
                <w:rFonts w:hint="eastAsia" w:ascii="Times New Roman" w:hAnsi="Times New Roman" w:cs="Times New Roman"/>
                <w:color w:val="auto"/>
              </w:rPr>
            </w:pPr>
            <w:r>
              <w:rPr>
                <w:rFonts w:hint="eastAsia" w:ascii="Times New Roman" w:hAnsi="Times New Roman" w:cs="Times New Roman"/>
                <w:color w:val="auto"/>
              </w:rPr>
              <w:drawing>
                <wp:inline distT="0" distB="0" distL="114300" distR="114300">
                  <wp:extent cx="5370195" cy="3527425"/>
                  <wp:effectExtent l="0" t="0" r="1905" b="3175"/>
                  <wp:docPr id="18" name="图片 66" descr="a3beaf030cca16763b20378d606f5d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6" descr="a3beaf030cca16763b20378d606f5d45"/>
                          <pic:cNvPicPr>
                            <a:picLocks noChangeAspect="1"/>
                          </pic:cNvPicPr>
                        </pic:nvPicPr>
                        <pic:blipFill>
                          <a:blip r:embed="rId57"/>
                          <a:stretch>
                            <a:fillRect/>
                          </a:stretch>
                        </pic:blipFill>
                        <pic:spPr>
                          <a:xfrm>
                            <a:off x="0" y="0"/>
                            <a:ext cx="5370195" cy="3527425"/>
                          </a:xfrm>
                          <a:prstGeom prst="rect">
                            <a:avLst/>
                          </a:prstGeom>
                          <a:noFill/>
                          <a:ln>
                            <a:noFill/>
                          </a:ln>
                        </pic:spPr>
                      </pic:pic>
                    </a:graphicData>
                  </a:graphic>
                </wp:inline>
              </w:drawing>
            </w:r>
          </w:p>
          <w:p>
            <w:pPr>
              <w:keepNext w:val="0"/>
              <w:keepLines w:val="0"/>
              <w:suppressLineNumbers w:val="0"/>
              <w:spacing w:before="0" w:beforeAutospacing="0" w:after="0" w:afterAutospacing="0"/>
              <w:ind w:left="0" w:right="0" w:firstLine="422"/>
              <w:jc w:val="center"/>
              <w:rPr>
                <w:rFonts w:hint="default" w:ascii="Times New Roman" w:hAnsi="Times New Roman" w:cs="Times New Roman"/>
                <w:b/>
                <w:bCs/>
                <w:color w:val="auto"/>
                <w:sz w:val="21"/>
                <w:szCs w:val="21"/>
              </w:rPr>
            </w:pPr>
            <w:r>
              <w:rPr>
                <w:rFonts w:hint="eastAsia" w:ascii="Times New Roman" w:hAnsi="Times New Roman" w:cs="Times New Roman"/>
                <w:b/>
                <w:bCs/>
                <w:color w:val="auto"/>
                <w:sz w:val="21"/>
                <w:szCs w:val="21"/>
              </w:rPr>
              <w:t>图</w:t>
            </w:r>
            <w:r>
              <w:rPr>
                <w:rFonts w:hint="default" w:ascii="Times New Roman" w:hAnsi="Times New Roman" w:cs="Times New Roman"/>
                <w:b/>
                <w:bCs/>
                <w:color w:val="auto"/>
                <w:sz w:val="21"/>
                <w:szCs w:val="21"/>
              </w:rPr>
              <w:t>4-</w:t>
            </w:r>
            <w:r>
              <w:rPr>
                <w:rFonts w:hint="eastAsia" w:cs="Times New Roman"/>
                <w:b/>
                <w:bCs/>
                <w:color w:val="auto"/>
                <w:sz w:val="21"/>
                <w:szCs w:val="21"/>
                <w:lang w:val="en-US" w:eastAsia="zh-CN"/>
              </w:rPr>
              <w:t>3</w:t>
            </w:r>
            <w:r>
              <w:rPr>
                <w:rFonts w:hint="default" w:ascii="Times New Roman" w:hAnsi="Times New Roman" w:cs="Times New Roman"/>
                <w:b/>
                <w:bCs/>
                <w:color w:val="auto"/>
                <w:sz w:val="21"/>
                <w:szCs w:val="21"/>
              </w:rPr>
              <w:t xml:space="preserve">  </w:t>
            </w:r>
            <w:r>
              <w:rPr>
                <w:rFonts w:hint="eastAsia" w:ascii="Times New Roman" w:hAnsi="Times New Roman" w:cs="Times New Roman"/>
                <w:b/>
                <w:bCs/>
                <w:color w:val="auto"/>
                <w:sz w:val="21"/>
                <w:szCs w:val="21"/>
              </w:rPr>
              <w:t>升压站噪声昼间贡献值分布图</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根据上表预测结果可知，项目升压站四厂界噪声预测值符合《工业企业厂界环境噪声排放标准》（</w:t>
            </w:r>
            <w:r>
              <w:rPr>
                <w:rFonts w:hint="default" w:ascii="Times New Roman" w:hAnsi="Times New Roman" w:cs="Times New Roman"/>
                <w:color w:val="auto"/>
              </w:rPr>
              <w:t>GB12348-2008</w:t>
            </w:r>
            <w:r>
              <w:rPr>
                <w:rFonts w:hint="eastAsia" w:ascii="Times New Roman" w:hAnsi="Times New Roman" w:cs="Times New Roman"/>
                <w:color w:val="auto"/>
              </w:rPr>
              <w:t>）中</w:t>
            </w:r>
            <w:r>
              <w:rPr>
                <w:rFonts w:hint="eastAsia" w:cs="Times New Roman"/>
                <w:color w:val="auto"/>
                <w:lang w:val="en-US" w:eastAsia="zh-CN"/>
              </w:rPr>
              <w:t>2</w:t>
            </w:r>
            <w:r>
              <w:rPr>
                <w:rFonts w:hint="eastAsia" w:ascii="Times New Roman" w:hAnsi="Times New Roman" w:cs="Times New Roman"/>
                <w:color w:val="auto"/>
              </w:rPr>
              <w:t>类标准要求，噪声达标排放。</w:t>
            </w:r>
          </w:p>
          <w:p>
            <w:pPr>
              <w:pStyle w:val="3"/>
              <w:keepLines w:val="0"/>
              <w:numPr>
                <w:ilvl w:val="0"/>
                <w:numId w:val="18"/>
              </w:numPr>
              <w:suppressLineNumbers w:val="0"/>
              <w:spacing w:before="120" w:beforeAutospacing="0" w:after="0" w:afterAutospacing="0"/>
              <w:ind w:right="0" w:firstLine="482"/>
              <w:rPr>
                <w:rFonts w:hint="default" w:ascii="Times New Roman" w:hAnsi="Times New Roman" w:cs="Times New Roman"/>
                <w:color w:val="auto"/>
              </w:rPr>
            </w:pPr>
            <w:r>
              <w:rPr>
                <w:rFonts w:hint="eastAsia" w:ascii="Times New Roman" w:hAnsi="Times New Roman" w:cs="Times New Roman"/>
                <w:color w:val="auto"/>
              </w:rPr>
              <w:t>固体废物影响分析</w:t>
            </w:r>
          </w:p>
          <w:p>
            <w:pPr>
              <w:pStyle w:val="4"/>
              <w:suppressLineNumbers w:val="0"/>
              <w:spacing w:before="0" w:after="0"/>
              <w:ind w:left="0" w:right="0" w:firstLine="482"/>
              <w:rPr>
                <w:rFonts w:hint="default" w:cs="Times New Roman"/>
                <w:color w:val="auto"/>
              </w:rPr>
            </w:pPr>
            <w:r>
              <w:rPr>
                <w:rFonts w:hint="eastAsia" w:cs="Times New Roman"/>
                <w:color w:val="auto"/>
              </w:rPr>
              <w:t>固体废物产生情况</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本项目固体废物主要为职工办公生活垃圾，污水处理站污泥，废光伏组件，</w:t>
            </w:r>
            <w:r>
              <w:rPr>
                <w:rFonts w:hint="eastAsia" w:ascii="Times New Roman" w:hAnsi="Times New Roman" w:cs="Times New Roman"/>
                <w:color w:val="auto"/>
                <w:lang w:val="en-US" w:eastAsia="zh-CN"/>
              </w:rPr>
              <w:t>储能装置产生的废旧锂电池，</w:t>
            </w:r>
            <w:r>
              <w:rPr>
                <w:rFonts w:hint="eastAsia" w:ascii="Times New Roman" w:hAnsi="Times New Roman" w:cs="Times New Roman"/>
                <w:color w:val="auto"/>
              </w:rPr>
              <w:t>升压站运行过程中产生废旧蓄电池，变压器检修、更换以及发生事故产生的废变压器油、含油抹布、劳保用品及废油桶。固体废物处理情况如下：</w:t>
            </w:r>
          </w:p>
          <w:p>
            <w:pPr>
              <w:pStyle w:val="5"/>
              <w:suppressLineNumbers w:val="0"/>
              <w:spacing w:before="0" w:after="0"/>
              <w:ind w:left="0" w:right="0" w:firstLine="482"/>
              <w:rPr>
                <w:rFonts w:hint="default" w:ascii="Times New Roman" w:hAnsi="Times New Roman" w:cs="Times New Roman"/>
                <w:color w:val="auto"/>
              </w:rPr>
            </w:pPr>
            <w:r>
              <w:rPr>
                <w:rFonts w:hint="eastAsia" w:ascii="Times New Roman" w:hAnsi="Times New Roman" w:cs="Times New Roman"/>
                <w:color w:val="auto"/>
              </w:rPr>
              <w:t>废旧蓄电池</w:t>
            </w:r>
          </w:p>
          <w:p>
            <w:pPr>
              <w:keepNext w:val="0"/>
              <w:keepLines w:val="0"/>
              <w:suppressLineNumbers w:val="0"/>
              <w:autoSpaceDE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升压站运行过程中产生废旧蓄电池，处理不当会对周围环境产生影响，废旧蓄电池更换后放置于危险废物贮存间内，由有资质的危废单位定期处理。蓄电池寿命长</w:t>
            </w:r>
            <w:r>
              <w:rPr>
                <w:rFonts w:hint="default" w:ascii="Times New Roman" w:hAnsi="Times New Roman" w:cs="Times New Roman"/>
                <w:color w:val="auto"/>
              </w:rPr>
              <w:t>10</w:t>
            </w:r>
            <w:r>
              <w:rPr>
                <w:rFonts w:hint="eastAsia" w:ascii="Times New Roman" w:hAnsi="Times New Roman" w:cs="Times New Roman"/>
                <w:color w:val="auto"/>
              </w:rPr>
              <w:t>年～</w:t>
            </w:r>
            <w:r>
              <w:rPr>
                <w:rFonts w:hint="default" w:ascii="Times New Roman" w:hAnsi="Times New Roman" w:cs="Times New Roman"/>
                <w:color w:val="auto"/>
              </w:rPr>
              <w:t>20</w:t>
            </w:r>
            <w:r>
              <w:rPr>
                <w:rFonts w:hint="eastAsia" w:ascii="Times New Roman" w:hAnsi="Times New Roman" w:cs="Times New Roman"/>
                <w:color w:val="auto"/>
              </w:rPr>
              <w:t>年，应加强蓄电池维护延长其使用寿命，有效降低废旧蓄电池产生量，并加强巡查及时更换到期的蓄电池。废旧蓄电池产生量约为</w:t>
            </w:r>
            <w:r>
              <w:rPr>
                <w:rFonts w:hint="default" w:ascii="Times New Roman" w:hAnsi="Times New Roman" w:cs="Times New Roman"/>
                <w:color w:val="auto"/>
              </w:rPr>
              <w:t>2</w:t>
            </w:r>
            <w:r>
              <w:rPr>
                <w:rFonts w:hint="eastAsia" w:ascii="Times New Roman" w:hAnsi="Times New Roman" w:cs="Times New Roman"/>
                <w:color w:val="auto"/>
              </w:rPr>
              <w:t>个</w:t>
            </w:r>
            <w:r>
              <w:rPr>
                <w:rFonts w:hint="default" w:ascii="Times New Roman" w:hAnsi="Times New Roman" w:cs="Times New Roman"/>
                <w:color w:val="auto"/>
              </w:rPr>
              <w:t>/a</w:t>
            </w:r>
            <w:r>
              <w:rPr>
                <w:rFonts w:hint="eastAsia" w:ascii="Times New Roman" w:hAnsi="Times New Roman" w:cs="Times New Roman"/>
                <w:color w:val="auto"/>
              </w:rPr>
              <w:t>。</w:t>
            </w:r>
          </w:p>
          <w:p>
            <w:pPr>
              <w:pStyle w:val="5"/>
              <w:suppressLineNumbers w:val="0"/>
              <w:bidi w:val="0"/>
              <w:spacing w:before="0" w:after="0"/>
              <w:ind w:left="0" w:right="0"/>
              <w:rPr>
                <w:rFonts w:hint="default"/>
                <w:color w:val="auto"/>
                <w:lang w:val="en-US" w:eastAsia="zh-CN"/>
              </w:rPr>
            </w:pPr>
            <w:r>
              <w:rPr>
                <w:rFonts w:hint="default"/>
                <w:color w:val="auto"/>
                <w:lang w:val="en-US" w:eastAsia="zh-CN"/>
              </w:rPr>
              <w:t>废旧锂电池</w:t>
            </w:r>
          </w:p>
          <w:p>
            <w:pPr>
              <w:keepNext w:val="0"/>
              <w:keepLines w:val="0"/>
              <w:suppressLineNumbers w:val="0"/>
              <w:bidi w:val="0"/>
              <w:spacing w:before="0" w:beforeAutospacing="0" w:after="0" w:afterAutospacing="0"/>
              <w:ind w:left="0" w:right="0"/>
              <w:rPr>
                <w:rFonts w:hint="default"/>
                <w:color w:val="auto"/>
              </w:rPr>
            </w:pPr>
            <w:r>
              <w:rPr>
                <w:rFonts w:hint="default"/>
                <w:color w:val="auto"/>
                <w:lang w:val="en-US" w:eastAsia="zh-CN"/>
              </w:rPr>
              <w:t>项目储能设施采用锂电池组，运行过程中产生废旧锂电池，处理不当会对周围环境产生影响，废旧锂电池更换后放置于升压站内库房，由专业电池回收单位回收处置。锂电池寿命长10年～20年，应加强锂电池维护延长其使用寿命，有效降低废旧锂电池产生量，并加强巡查及时更换到期的锂电池。废旧锂电池产生量约为2个/a。</w:t>
            </w:r>
          </w:p>
          <w:p>
            <w:pPr>
              <w:pStyle w:val="5"/>
              <w:suppressLineNumbers w:val="0"/>
              <w:spacing w:before="0" w:after="0"/>
              <w:ind w:left="0" w:right="0" w:firstLine="482"/>
              <w:rPr>
                <w:rFonts w:hint="default" w:ascii="Times New Roman" w:hAnsi="Times New Roman" w:cs="Times New Roman"/>
                <w:color w:val="auto"/>
              </w:rPr>
            </w:pPr>
            <w:r>
              <w:rPr>
                <w:rFonts w:hint="eastAsia" w:ascii="Times New Roman" w:hAnsi="Times New Roman" w:cs="Times New Roman"/>
                <w:color w:val="auto"/>
              </w:rPr>
              <w:t>废变压器油</w:t>
            </w:r>
          </w:p>
          <w:p>
            <w:pPr>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主</w:t>
            </w:r>
            <w:r>
              <w:rPr>
                <w:rFonts w:hint="eastAsia" w:ascii="Times New Roman" w:hAnsi="Times New Roman" w:cs="Times New Roman"/>
                <w:color w:val="auto"/>
              </w:rPr>
              <w:t>变压器检修、更换以及发生事故时产生一定量的废变压器油，产生的废变压器油属于危险废物，危废编号为</w:t>
            </w:r>
            <w:r>
              <w:rPr>
                <w:rFonts w:hint="default" w:ascii="Times New Roman" w:hAnsi="Times New Roman" w:cs="Times New Roman"/>
                <w:color w:val="auto"/>
              </w:rPr>
              <w:t>HW08</w:t>
            </w:r>
            <w:r>
              <w:rPr>
                <w:rFonts w:hint="eastAsia" w:ascii="Times New Roman" w:hAnsi="Times New Roman" w:cs="Times New Roman"/>
                <w:color w:val="auto"/>
              </w:rPr>
              <w:t>废矿物油与含矿物油废物，废物代码</w:t>
            </w:r>
            <w:r>
              <w:rPr>
                <w:rFonts w:hint="default" w:ascii="Times New Roman" w:hAnsi="Times New Roman" w:cs="Times New Roman"/>
                <w:color w:val="auto"/>
              </w:rPr>
              <w:t>900-220-08</w:t>
            </w:r>
            <w:r>
              <w:rPr>
                <w:rFonts w:hint="eastAsia" w:ascii="Times New Roman" w:hAnsi="Times New Roman" w:cs="Times New Roman"/>
                <w:color w:val="auto"/>
              </w:rPr>
              <w:t>，产生量约为</w:t>
            </w:r>
            <w:r>
              <w:rPr>
                <w:rFonts w:hint="eastAsia" w:ascii="Times New Roman" w:hAnsi="Times New Roman" w:cs="Times New Roman"/>
                <w:color w:val="auto"/>
                <w:lang w:val="en-US" w:eastAsia="zh-CN"/>
              </w:rPr>
              <w:t>1.7</w:t>
            </w:r>
            <w:r>
              <w:rPr>
                <w:rFonts w:hint="default" w:ascii="Times New Roman" w:hAnsi="Times New Roman" w:cs="Times New Roman"/>
                <w:color w:val="auto"/>
              </w:rPr>
              <w:t>t/a</w:t>
            </w:r>
            <w:r>
              <w:rPr>
                <w:rFonts w:hint="eastAsia" w:ascii="Times New Roman" w:hAnsi="Times New Roman" w:cs="Times New Roman"/>
                <w:color w:val="auto"/>
              </w:rPr>
              <w:t>，经收集后，暂存于危废间，定期交由有资质单位清运并处置。</w:t>
            </w:r>
            <w:r>
              <w:rPr>
                <w:rFonts w:hint="eastAsia" w:ascii="Times New Roman" w:hAnsi="Times New Roman" w:cs="Times New Roman"/>
                <w:color w:val="auto"/>
                <w:lang w:val="en-US" w:eastAsia="zh-CN"/>
              </w:rPr>
              <w:t>光伏区的箱式变压器为干式变压器，无需使用变压器油，也无废变压器油产生。</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变压器事故情况下有废油产生，变压器事故主要为漏油、局部过热等，在定期维护情况下出现事故概率较小，万一发生泄漏，变压器油会透过地面进入事故油池。事故油池及排油槽四壁及底面均采用防渗措施，防止废油渗漏产生污染。对事故油池采取全面防腐、防渗处理，防渗层为</w:t>
            </w:r>
            <w:r>
              <w:rPr>
                <w:rFonts w:hint="default" w:ascii="Times New Roman" w:hAnsi="Times New Roman" w:cs="Times New Roman"/>
                <w:color w:val="auto"/>
              </w:rPr>
              <w:t>2mm</w:t>
            </w:r>
            <w:r>
              <w:rPr>
                <w:rFonts w:hint="eastAsia" w:ascii="Times New Roman" w:hAnsi="Times New Roman" w:cs="Times New Roman"/>
                <w:color w:val="auto"/>
              </w:rPr>
              <w:t>厚高密度聚乙烯，或</w:t>
            </w:r>
            <w:r>
              <w:rPr>
                <w:rFonts w:hint="default" w:ascii="Times New Roman" w:hAnsi="Times New Roman" w:cs="Times New Roman"/>
                <w:color w:val="auto"/>
              </w:rPr>
              <w:t>2mm</w:t>
            </w:r>
            <w:r>
              <w:rPr>
                <w:rFonts w:hint="eastAsia" w:ascii="Times New Roman" w:hAnsi="Times New Roman" w:cs="Times New Roman"/>
                <w:color w:val="auto"/>
              </w:rPr>
              <w:t>厚的其它人工材料（防渗层渗透系数小于</w:t>
            </w:r>
            <w:r>
              <w:rPr>
                <w:rFonts w:hint="default" w:ascii="Times New Roman" w:hAnsi="Times New Roman" w:cs="Times New Roman"/>
                <w:color w:val="auto"/>
              </w:rPr>
              <w:t>1</w:t>
            </w:r>
            <w:r>
              <w:rPr>
                <w:rFonts w:hint="eastAsia" w:ascii="Times New Roman" w:hAnsi="Times New Roman" w:cs="Times New Roman"/>
                <w:color w:val="auto"/>
              </w:rPr>
              <w:t>×</w:t>
            </w:r>
            <w:r>
              <w:rPr>
                <w:rFonts w:hint="default" w:ascii="Times New Roman" w:hAnsi="Times New Roman" w:cs="Times New Roman"/>
                <w:color w:val="auto"/>
              </w:rPr>
              <w:t>10</w:t>
            </w:r>
            <w:r>
              <w:rPr>
                <w:rFonts w:hint="default" w:ascii="Times New Roman" w:hAnsi="Times New Roman" w:cs="Times New Roman"/>
                <w:color w:val="auto"/>
                <w:vertAlign w:val="superscript"/>
              </w:rPr>
              <w:t>-10</w:t>
            </w:r>
            <w:r>
              <w:rPr>
                <w:rFonts w:hint="default" w:ascii="Times New Roman" w:hAnsi="Times New Roman" w:cs="Times New Roman"/>
                <w:color w:val="auto"/>
              </w:rPr>
              <w:t>cm/s</w:t>
            </w:r>
            <w:r>
              <w:rPr>
                <w:rFonts w:hint="eastAsia" w:ascii="Times New Roman" w:hAnsi="Times New Roman" w:cs="Times New Roman"/>
                <w:color w:val="auto"/>
              </w:rPr>
              <w:t>）。升压站内拟设置</w:t>
            </w:r>
            <w:r>
              <w:rPr>
                <w:rFonts w:hint="default" w:ascii="Times New Roman" w:hAnsi="Times New Roman" w:cs="Times New Roman"/>
                <w:color w:val="auto"/>
              </w:rPr>
              <w:t>1</w:t>
            </w:r>
            <w:r>
              <w:rPr>
                <w:rFonts w:hint="eastAsia" w:ascii="Times New Roman" w:hAnsi="Times New Roman" w:cs="Times New Roman"/>
                <w:color w:val="auto"/>
              </w:rPr>
              <w:t>座容积为30</w:t>
            </w:r>
            <w:r>
              <w:rPr>
                <w:rFonts w:hint="default" w:ascii="Times New Roman" w:hAnsi="Times New Roman" w:cs="Times New Roman"/>
                <w:color w:val="auto"/>
              </w:rPr>
              <w:t>m</w:t>
            </w:r>
            <w:r>
              <w:rPr>
                <w:rFonts w:hint="default" w:ascii="Times New Roman" w:hAnsi="Times New Roman" w:cs="Times New Roman"/>
                <w:color w:val="auto"/>
                <w:vertAlign w:val="superscript"/>
              </w:rPr>
              <w:t>3</w:t>
            </w:r>
            <w:r>
              <w:rPr>
                <w:rFonts w:hint="eastAsia" w:ascii="Times New Roman" w:hAnsi="Times New Roman" w:cs="Times New Roman"/>
                <w:color w:val="auto"/>
              </w:rPr>
              <w:t>的事故油池，能满足主变的排油需要。</w:t>
            </w:r>
          </w:p>
          <w:p>
            <w:pPr>
              <w:pStyle w:val="5"/>
              <w:suppressLineNumbers w:val="0"/>
              <w:spacing w:before="0" w:after="0"/>
              <w:ind w:left="0" w:right="0" w:firstLine="482"/>
              <w:rPr>
                <w:rFonts w:hint="default" w:ascii="Times New Roman" w:hAnsi="Times New Roman" w:cs="Times New Roman"/>
                <w:color w:val="auto"/>
              </w:rPr>
            </w:pPr>
            <w:r>
              <w:rPr>
                <w:rFonts w:hint="eastAsia" w:ascii="Times New Roman" w:hAnsi="Times New Roman" w:cs="Times New Roman"/>
                <w:color w:val="auto"/>
              </w:rPr>
              <w:t>废油桶</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变压器检修、更换时会伴随产生废油桶，产生的废油桶属于危险废物，危废编号为</w:t>
            </w:r>
            <w:r>
              <w:rPr>
                <w:rFonts w:hint="default" w:ascii="Times New Roman" w:hAnsi="Times New Roman" w:cs="Times New Roman"/>
                <w:color w:val="auto"/>
              </w:rPr>
              <w:t>HW08</w:t>
            </w:r>
            <w:r>
              <w:rPr>
                <w:rFonts w:hint="eastAsia" w:ascii="Times New Roman" w:hAnsi="Times New Roman" w:cs="Times New Roman"/>
                <w:color w:val="auto"/>
              </w:rPr>
              <w:t>废矿物油与含矿物油废物，废物代码</w:t>
            </w:r>
            <w:r>
              <w:rPr>
                <w:rFonts w:hint="default" w:ascii="Times New Roman" w:hAnsi="Times New Roman" w:cs="Times New Roman"/>
                <w:color w:val="auto"/>
              </w:rPr>
              <w:t>900-249-08</w:t>
            </w:r>
            <w:r>
              <w:rPr>
                <w:rFonts w:hint="eastAsia" w:ascii="Times New Roman" w:hAnsi="Times New Roman" w:cs="Times New Roman"/>
                <w:color w:val="auto"/>
              </w:rPr>
              <w:t>，产生量约为</w:t>
            </w:r>
            <w:r>
              <w:rPr>
                <w:rFonts w:hint="default" w:ascii="Times New Roman" w:hAnsi="Times New Roman" w:cs="Times New Roman"/>
                <w:color w:val="auto"/>
              </w:rPr>
              <w:t>0.1t/a</w:t>
            </w:r>
            <w:r>
              <w:rPr>
                <w:rFonts w:hint="eastAsia" w:ascii="Times New Roman" w:hAnsi="Times New Roman" w:cs="Times New Roman"/>
                <w:color w:val="auto"/>
              </w:rPr>
              <w:t>，经收集后，暂存于危废间，定期交由有资质单位清运并处置。</w:t>
            </w:r>
          </w:p>
          <w:p>
            <w:pPr>
              <w:pStyle w:val="5"/>
              <w:suppressLineNumbers w:val="0"/>
              <w:spacing w:before="0" w:after="0"/>
              <w:ind w:left="0" w:right="0" w:firstLine="482"/>
              <w:rPr>
                <w:rFonts w:hint="default" w:ascii="Times New Roman" w:hAnsi="Times New Roman" w:cs="Times New Roman"/>
                <w:color w:val="auto"/>
              </w:rPr>
            </w:pPr>
            <w:r>
              <w:rPr>
                <w:rFonts w:hint="eastAsia" w:ascii="Times New Roman" w:hAnsi="Times New Roman" w:cs="Times New Roman"/>
                <w:color w:val="auto"/>
              </w:rPr>
              <w:t>含油抹布及劳保用品</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变压器检修、更换时会伴随产生废含油抹布及劳保用品，产生的含油抹布及劳保用品属于危险废物，危废编号为</w:t>
            </w:r>
            <w:r>
              <w:rPr>
                <w:rFonts w:hint="default" w:ascii="Times New Roman" w:hAnsi="Times New Roman" w:cs="Times New Roman"/>
                <w:color w:val="auto"/>
              </w:rPr>
              <w:t>HW49</w:t>
            </w:r>
            <w:r>
              <w:rPr>
                <w:rFonts w:hint="eastAsia" w:ascii="Times New Roman" w:hAnsi="Times New Roman" w:cs="Times New Roman"/>
                <w:color w:val="auto"/>
              </w:rPr>
              <w:t>其他废物，废物代码</w:t>
            </w:r>
            <w:r>
              <w:rPr>
                <w:rFonts w:hint="default" w:ascii="Times New Roman" w:hAnsi="Times New Roman" w:cs="Times New Roman"/>
                <w:color w:val="auto"/>
              </w:rPr>
              <w:t>900-041-49</w:t>
            </w:r>
            <w:r>
              <w:rPr>
                <w:rFonts w:hint="eastAsia" w:ascii="Times New Roman" w:hAnsi="Times New Roman" w:cs="Times New Roman"/>
                <w:color w:val="auto"/>
              </w:rPr>
              <w:t>，产生量约为</w:t>
            </w:r>
            <w:r>
              <w:rPr>
                <w:rFonts w:hint="default" w:ascii="Times New Roman" w:hAnsi="Times New Roman" w:cs="Times New Roman"/>
                <w:color w:val="auto"/>
              </w:rPr>
              <w:t>0.01t/a</w:t>
            </w:r>
            <w:r>
              <w:rPr>
                <w:rFonts w:hint="eastAsia" w:ascii="Times New Roman" w:hAnsi="Times New Roman" w:cs="Times New Roman"/>
                <w:color w:val="auto"/>
              </w:rPr>
              <w:t>，经收集后，暂存于危废间，定期交由有资质单位清运并处置。</w:t>
            </w:r>
          </w:p>
          <w:p>
            <w:pPr>
              <w:pStyle w:val="5"/>
              <w:suppressLineNumbers w:val="0"/>
              <w:spacing w:before="0" w:after="0"/>
              <w:ind w:left="0" w:right="0" w:firstLine="482"/>
              <w:rPr>
                <w:rFonts w:hint="default" w:ascii="Times New Roman" w:hAnsi="Times New Roman" w:cs="Times New Roman"/>
                <w:color w:val="auto"/>
              </w:rPr>
            </w:pPr>
            <w:r>
              <w:rPr>
                <w:rFonts w:hint="eastAsia" w:ascii="Times New Roman" w:hAnsi="Times New Roman" w:cs="Times New Roman"/>
                <w:color w:val="auto"/>
              </w:rPr>
              <w:t>废旧的光伏组件</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项目光伏系统使用寿命为</w:t>
            </w:r>
            <w:r>
              <w:rPr>
                <w:rFonts w:hint="default" w:ascii="Times New Roman" w:hAnsi="Times New Roman" w:cs="Times New Roman"/>
                <w:color w:val="auto"/>
              </w:rPr>
              <w:t>25</w:t>
            </w:r>
            <w:r>
              <w:rPr>
                <w:rFonts w:hint="eastAsia" w:ascii="Times New Roman" w:hAnsi="Times New Roman" w:cs="Times New Roman"/>
                <w:color w:val="auto"/>
              </w:rPr>
              <w:t>年，其中组件寿命</w:t>
            </w:r>
            <w:r>
              <w:rPr>
                <w:rFonts w:hint="default" w:ascii="Times New Roman" w:hAnsi="Times New Roman" w:cs="Times New Roman"/>
                <w:color w:val="auto"/>
              </w:rPr>
              <w:t>25</w:t>
            </w:r>
            <w:r>
              <w:rPr>
                <w:rFonts w:hint="eastAsia" w:ascii="Times New Roman" w:hAnsi="Times New Roman" w:cs="Times New Roman"/>
                <w:color w:val="auto"/>
              </w:rPr>
              <w:t>年，类比同行业实际运行情况，本项目废弃电池板的故障率约为万分之一，本项目共布置光伏组件</w:t>
            </w:r>
            <w:r>
              <w:rPr>
                <w:rFonts w:hint="default" w:ascii="Times New Roman" w:hAnsi="Times New Roman" w:cs="Times New Roman"/>
                <w:color w:val="auto"/>
              </w:rPr>
              <w:t>363662</w:t>
            </w:r>
            <w:r>
              <w:rPr>
                <w:rFonts w:hint="eastAsia" w:ascii="Times New Roman" w:hAnsi="Times New Roman" w:cs="Times New Roman"/>
                <w:color w:val="auto"/>
              </w:rPr>
              <w:t>块，则光伏电站每年出现故障的废弃电池板约为</w:t>
            </w:r>
            <w:r>
              <w:rPr>
                <w:rFonts w:hint="default" w:ascii="Times New Roman" w:hAnsi="Times New Roman" w:cs="Times New Roman"/>
                <w:color w:val="auto"/>
              </w:rPr>
              <w:t>3</w:t>
            </w:r>
            <w:r>
              <w:rPr>
                <w:rFonts w:hint="eastAsia" w:ascii="Times New Roman" w:hAnsi="Times New Roman" w:cs="Times New Roman"/>
                <w:color w:val="auto"/>
              </w:rPr>
              <w:t>6块，为保障太阳能发电站的稳定性，设备厂家对其进行定期检测，对于损坏更换的电池组件以及光伏电池组件使用寿命到期后更换下来的电池组件，根据《国家危险废物名录》（</w:t>
            </w:r>
            <w:r>
              <w:rPr>
                <w:rFonts w:hint="default" w:ascii="Times New Roman" w:hAnsi="Times New Roman" w:cs="Times New Roman"/>
                <w:color w:val="auto"/>
              </w:rPr>
              <w:t>2021</w:t>
            </w:r>
            <w:r>
              <w:rPr>
                <w:rFonts w:hint="eastAsia" w:ascii="Times New Roman" w:hAnsi="Times New Roman" w:cs="Times New Roman"/>
                <w:color w:val="auto"/>
              </w:rPr>
              <w:t>版），本项目电池组件不属于危险废物，为一般固体废物（一般固废代码：</w:t>
            </w:r>
            <w:r>
              <w:rPr>
                <w:rFonts w:hint="default" w:ascii="Times New Roman" w:hAnsi="Times New Roman" w:cs="Times New Roman"/>
                <w:color w:val="auto"/>
              </w:rPr>
              <w:t>900-999-99</w:t>
            </w:r>
            <w:r>
              <w:rPr>
                <w:rFonts w:hint="eastAsia" w:ascii="Times New Roman" w:hAnsi="Times New Roman" w:cs="Times New Roman"/>
                <w:color w:val="auto"/>
              </w:rPr>
              <w:t>），暂存于升压站内库房，定期由设备厂家回收，年产生光伏组件折合约为</w:t>
            </w:r>
            <w:r>
              <w:rPr>
                <w:rFonts w:hint="default" w:ascii="Times New Roman" w:hAnsi="Times New Roman" w:cs="Times New Roman"/>
                <w:color w:val="auto"/>
              </w:rPr>
              <w:t>1t/a</w:t>
            </w:r>
            <w:r>
              <w:rPr>
                <w:rFonts w:hint="eastAsia" w:ascii="Times New Roman" w:hAnsi="Times New Roman" w:cs="Times New Roman"/>
                <w:color w:val="auto"/>
              </w:rPr>
              <w:t>。</w:t>
            </w:r>
          </w:p>
          <w:p>
            <w:pPr>
              <w:pStyle w:val="5"/>
              <w:suppressLineNumbers w:val="0"/>
              <w:spacing w:before="0" w:after="0"/>
              <w:ind w:left="0" w:right="0" w:firstLine="482"/>
              <w:rPr>
                <w:rFonts w:hint="default" w:ascii="Times New Roman" w:hAnsi="Times New Roman" w:cs="Times New Roman"/>
                <w:color w:val="auto"/>
              </w:rPr>
            </w:pPr>
            <w:r>
              <w:rPr>
                <w:rFonts w:hint="eastAsia" w:ascii="Times New Roman" w:hAnsi="Times New Roman" w:cs="Times New Roman"/>
                <w:color w:val="auto"/>
              </w:rPr>
              <w:t>生活垃圾</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项目固定员工为24人，生活垃圾产生量按</w:t>
            </w:r>
            <w:r>
              <w:rPr>
                <w:rFonts w:hint="default" w:ascii="Times New Roman" w:hAnsi="Times New Roman" w:cs="Times New Roman"/>
                <w:color w:val="auto"/>
              </w:rPr>
              <w:t>0.5kg/d</w:t>
            </w:r>
            <w:r>
              <w:rPr>
                <w:rFonts w:hint="eastAsia" w:ascii="Times New Roman" w:hAnsi="Times New Roman" w:cs="Times New Roman"/>
                <w:color w:val="auto"/>
              </w:rPr>
              <w:t>人，项目生活垃圾产生量为4.38</w:t>
            </w:r>
            <w:r>
              <w:rPr>
                <w:rFonts w:hint="default" w:ascii="Times New Roman" w:hAnsi="Times New Roman" w:cs="Times New Roman"/>
                <w:color w:val="auto"/>
              </w:rPr>
              <w:t>t/a</w:t>
            </w:r>
            <w:r>
              <w:rPr>
                <w:rFonts w:hint="eastAsia" w:ascii="Times New Roman" w:hAnsi="Times New Roman" w:cs="Times New Roman"/>
                <w:color w:val="auto"/>
              </w:rPr>
              <w:t>，生活垃圾集中收集后由环卫部门处理。</w:t>
            </w:r>
          </w:p>
          <w:p>
            <w:pPr>
              <w:pStyle w:val="5"/>
              <w:suppressLineNumbers w:val="0"/>
              <w:spacing w:before="0" w:after="0"/>
              <w:ind w:left="0" w:right="0" w:firstLine="482"/>
              <w:rPr>
                <w:rFonts w:hint="eastAsia" w:ascii="Times New Roman" w:hAnsi="Times New Roman" w:cs="Times New Roman"/>
                <w:color w:val="auto"/>
              </w:rPr>
            </w:pPr>
            <w:r>
              <w:rPr>
                <w:rFonts w:hint="eastAsia" w:ascii="Times New Roman" w:hAnsi="Times New Roman" w:cs="Times New Roman"/>
                <w:color w:val="auto"/>
              </w:rPr>
              <w:t>污水处理站污泥</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污水处理站污泥产生量为</w:t>
            </w:r>
            <w:r>
              <w:rPr>
                <w:rFonts w:hint="default" w:ascii="Times New Roman" w:hAnsi="Times New Roman" w:cs="Times New Roman"/>
                <w:color w:val="auto"/>
              </w:rPr>
              <w:t>0.1t/a</w:t>
            </w:r>
            <w:r>
              <w:rPr>
                <w:rFonts w:hint="eastAsia" w:ascii="Times New Roman" w:hAnsi="Times New Roman" w:cs="Times New Roman"/>
                <w:color w:val="auto"/>
              </w:rPr>
              <w:t>，污水处理站污泥定期清掏用作农肥。</w:t>
            </w:r>
          </w:p>
          <w:p>
            <w:pPr>
              <w:pStyle w:val="37"/>
              <w:keepNext w:val="0"/>
              <w:keepLines w:val="0"/>
              <w:suppressLineNumbers w:val="0"/>
              <w:spacing w:before="0" w:beforeAutospacing="0" w:after="0" w:afterAutospacing="0"/>
              <w:ind w:right="0"/>
              <w:rPr>
                <w:rFonts w:hint="default" w:ascii="Times New Roman" w:hAnsi="Times New Roman" w:cs="Times New Roman"/>
                <w:color w:val="auto"/>
              </w:rPr>
            </w:pPr>
            <w:r>
              <w:rPr>
                <w:rFonts w:ascii="Times New Roman" w:hAnsi="Times New Roman" w:cs="Times New Roman"/>
                <w:color w:val="auto"/>
              </w:rPr>
              <w:t>固废产生情况一览表</w:t>
            </w:r>
          </w:p>
          <w:tbl>
            <w:tblPr>
              <w:tblStyle w:val="20"/>
              <w:tblW w:w="506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7"/>
              <w:gridCol w:w="880"/>
              <w:gridCol w:w="657"/>
              <w:gridCol w:w="893"/>
              <w:gridCol w:w="1097"/>
              <w:gridCol w:w="690"/>
              <w:gridCol w:w="696"/>
              <w:gridCol w:w="831"/>
              <w:gridCol w:w="684"/>
              <w:gridCol w:w="13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9"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产生环节</w:t>
                  </w:r>
                </w:p>
              </w:tc>
              <w:tc>
                <w:tcPr>
                  <w:tcW w:w="84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名称</w:t>
                  </w:r>
                </w:p>
              </w:tc>
              <w:tc>
                <w:tcPr>
                  <w:tcW w:w="633"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属性</w:t>
                  </w:r>
                </w:p>
              </w:tc>
              <w:tc>
                <w:tcPr>
                  <w:tcW w:w="86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编码</w:t>
                  </w:r>
                </w:p>
              </w:tc>
              <w:tc>
                <w:tcPr>
                  <w:tcW w:w="1056"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主要有毒有害物质名称</w:t>
                  </w:r>
                </w:p>
              </w:tc>
              <w:tc>
                <w:tcPr>
                  <w:tcW w:w="664"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物理性状</w:t>
                  </w:r>
                </w:p>
              </w:tc>
              <w:tc>
                <w:tcPr>
                  <w:tcW w:w="67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环境危险特性</w:t>
                  </w:r>
                </w:p>
              </w:tc>
              <w:tc>
                <w:tcPr>
                  <w:tcW w:w="80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b/>
                      <w:bCs/>
                      <w:color w:val="auto"/>
                    </w:rPr>
                  </w:pPr>
                  <w:r>
                    <w:rPr>
                      <w:rFonts w:hint="eastAsia" w:ascii="Times New Roman" w:hAnsi="Times New Roman" w:cs="Times New Roman"/>
                      <w:b/>
                      <w:bCs/>
                      <w:color w:val="auto"/>
                    </w:rPr>
                    <w:t>产生量（</w:t>
                  </w:r>
                  <w:r>
                    <w:rPr>
                      <w:rFonts w:hint="default" w:ascii="Times New Roman" w:hAnsi="Times New Roman" w:cs="Times New Roman"/>
                      <w:b/>
                      <w:bCs/>
                      <w:color w:val="auto"/>
                    </w:rPr>
                    <w:t>t/a</w:t>
                  </w:r>
                  <w:r>
                    <w:rPr>
                      <w:rFonts w:hint="eastAsia" w:ascii="Times New Roman" w:hAnsi="Times New Roman" w:cs="Times New Roman"/>
                      <w:b/>
                      <w:bCs/>
                      <w:color w:val="auto"/>
                    </w:rPr>
                    <w:t>）</w:t>
                  </w:r>
                </w:p>
              </w:tc>
              <w:tc>
                <w:tcPr>
                  <w:tcW w:w="659"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贮存方式</w:t>
                  </w:r>
                </w:p>
              </w:tc>
              <w:tc>
                <w:tcPr>
                  <w:tcW w:w="1301"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处置方式及去向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color w:val="auto"/>
                    </w:rPr>
                  </w:pPr>
                  <w:r>
                    <w:rPr>
                      <w:rFonts w:hint="default" w:ascii="Times New Roman" w:hAnsi="Times New Roman" w:eastAsia="宋体" w:cs="Times New Roman"/>
                      <w:color w:val="auto"/>
                      <w:sz w:val="21"/>
                      <w:szCs w:val="21"/>
                      <w:highlight w:val="none"/>
                      <w:lang w:eastAsia="zh-CN"/>
                    </w:rPr>
                    <w:t>储能设施</w:t>
                  </w:r>
                </w:p>
              </w:tc>
              <w:tc>
                <w:tcPr>
                  <w:tcW w:w="84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color w:val="auto"/>
                    </w:rPr>
                  </w:pPr>
                  <w:r>
                    <w:rPr>
                      <w:rFonts w:hint="default" w:ascii="Times New Roman" w:hAnsi="Times New Roman" w:eastAsia="宋体" w:cs="Times New Roman"/>
                      <w:color w:val="auto"/>
                      <w:sz w:val="21"/>
                      <w:szCs w:val="21"/>
                      <w:highlight w:val="none"/>
                      <w:lang w:eastAsia="zh-CN"/>
                    </w:rPr>
                    <w:t>废旧</w:t>
                  </w:r>
                  <w:r>
                    <w:rPr>
                      <w:rFonts w:hint="default" w:ascii="Times New Roman" w:hAnsi="Times New Roman" w:eastAsia="宋体" w:cs="Times New Roman"/>
                      <w:color w:val="auto"/>
                      <w:sz w:val="21"/>
                      <w:szCs w:val="21"/>
                      <w:highlight w:val="none"/>
                      <w:lang w:val="en-US" w:eastAsia="zh-CN"/>
                    </w:rPr>
                    <w:t>锂</w:t>
                  </w:r>
                  <w:r>
                    <w:rPr>
                      <w:rFonts w:hint="default" w:ascii="Times New Roman" w:hAnsi="Times New Roman" w:eastAsia="宋体" w:cs="Times New Roman"/>
                      <w:color w:val="auto"/>
                      <w:sz w:val="21"/>
                      <w:szCs w:val="21"/>
                      <w:highlight w:val="none"/>
                      <w:lang w:eastAsia="zh-CN"/>
                    </w:rPr>
                    <w:t>电池</w:t>
                  </w:r>
                </w:p>
              </w:tc>
              <w:tc>
                <w:tcPr>
                  <w:tcW w:w="63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color w:val="auto"/>
                    </w:rPr>
                  </w:pPr>
                  <w:r>
                    <w:rPr>
                      <w:rFonts w:hint="default" w:ascii="Times New Roman" w:hAnsi="Times New Roman" w:eastAsia="宋体" w:cs="Times New Roman"/>
                      <w:color w:val="auto"/>
                      <w:sz w:val="21"/>
                      <w:szCs w:val="21"/>
                      <w:highlight w:val="none"/>
                      <w:lang w:eastAsia="zh-CN"/>
                    </w:rPr>
                    <w:t>一般固废</w:t>
                  </w:r>
                </w:p>
              </w:tc>
              <w:tc>
                <w:tcPr>
                  <w:tcW w:w="86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rPr>
                  </w:pPr>
                  <w:r>
                    <w:rPr>
                      <w:rFonts w:hint="default" w:ascii="Times New Roman" w:hAnsi="Times New Roman" w:eastAsia="宋体" w:cs="Times New Roman"/>
                      <w:color w:val="auto"/>
                      <w:sz w:val="21"/>
                      <w:szCs w:val="21"/>
                      <w:highlight w:val="none"/>
                      <w:lang w:eastAsia="zh-CN"/>
                    </w:rPr>
                    <w:t>900-999-99</w:t>
                  </w:r>
                </w:p>
              </w:tc>
              <w:tc>
                <w:tcPr>
                  <w:tcW w:w="105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rPr>
                  </w:pPr>
                  <w:r>
                    <w:rPr>
                      <w:rFonts w:hint="default" w:ascii="Times New Roman" w:hAnsi="Times New Roman" w:eastAsia="宋体" w:cs="Times New Roman"/>
                      <w:color w:val="auto"/>
                      <w:sz w:val="21"/>
                      <w:szCs w:val="21"/>
                      <w:highlight w:val="none"/>
                      <w:lang w:eastAsia="zh-CN"/>
                    </w:rPr>
                    <w:t>/</w:t>
                  </w:r>
                </w:p>
              </w:tc>
              <w:tc>
                <w:tcPr>
                  <w:tcW w:w="66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color w:val="auto"/>
                    </w:rPr>
                  </w:pPr>
                  <w:r>
                    <w:rPr>
                      <w:rFonts w:hint="default" w:ascii="Times New Roman" w:hAnsi="Times New Roman" w:eastAsia="宋体" w:cs="Times New Roman"/>
                      <w:color w:val="auto"/>
                      <w:sz w:val="21"/>
                      <w:szCs w:val="21"/>
                      <w:highlight w:val="none"/>
                      <w:lang w:eastAsia="zh-CN"/>
                    </w:rPr>
                    <w:t>固态</w:t>
                  </w:r>
                </w:p>
              </w:tc>
              <w:tc>
                <w:tcPr>
                  <w:tcW w:w="6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rPr>
                  </w:pPr>
                  <w:r>
                    <w:rPr>
                      <w:rFonts w:hint="default" w:ascii="Times New Roman" w:hAnsi="Times New Roman" w:eastAsia="宋体" w:cs="Times New Roman"/>
                      <w:color w:val="auto"/>
                      <w:sz w:val="21"/>
                      <w:szCs w:val="21"/>
                      <w:highlight w:val="none"/>
                      <w:lang w:eastAsia="zh-CN"/>
                    </w:rPr>
                    <w:t>T，C</w:t>
                  </w:r>
                </w:p>
              </w:tc>
              <w:tc>
                <w:tcPr>
                  <w:tcW w:w="80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rPr>
                  </w:pPr>
                  <w:r>
                    <w:rPr>
                      <w:rFonts w:hint="default" w:ascii="Times New Roman" w:hAnsi="Times New Roman" w:eastAsia="宋体" w:cs="Times New Roman"/>
                      <w:color w:val="auto"/>
                      <w:sz w:val="21"/>
                      <w:szCs w:val="21"/>
                      <w:highlight w:val="none"/>
                      <w:lang w:eastAsia="zh-CN"/>
                    </w:rPr>
                    <w:t>2个/a</w:t>
                  </w:r>
                </w:p>
              </w:tc>
              <w:tc>
                <w:tcPr>
                  <w:tcW w:w="65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color w:val="auto"/>
                    </w:rPr>
                  </w:pPr>
                  <w:r>
                    <w:rPr>
                      <w:rFonts w:hint="default" w:ascii="Times New Roman" w:hAnsi="Times New Roman" w:eastAsia="宋体" w:cs="Times New Roman"/>
                      <w:color w:val="auto"/>
                      <w:sz w:val="21"/>
                      <w:szCs w:val="21"/>
                      <w:highlight w:val="none"/>
                      <w:lang w:eastAsia="zh-CN"/>
                    </w:rPr>
                    <w:t>库房</w:t>
                  </w:r>
                </w:p>
              </w:tc>
              <w:tc>
                <w:tcPr>
                  <w:tcW w:w="130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color w:val="auto"/>
                    </w:rPr>
                  </w:pPr>
                  <w:r>
                    <w:rPr>
                      <w:rFonts w:hint="default" w:ascii="Times New Roman" w:hAnsi="Times New Roman" w:eastAsia="宋体" w:cs="Times New Roman"/>
                      <w:color w:val="auto"/>
                      <w:sz w:val="21"/>
                      <w:szCs w:val="21"/>
                      <w:highlight w:val="none"/>
                      <w:lang w:eastAsia="zh-CN"/>
                    </w:rPr>
                    <w:t>由专业电池回收单位回收处置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9"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光伏系统</w:t>
                  </w:r>
                </w:p>
              </w:tc>
              <w:tc>
                <w:tcPr>
                  <w:tcW w:w="84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废旧的光伏组件</w:t>
                  </w:r>
                </w:p>
              </w:tc>
              <w:tc>
                <w:tcPr>
                  <w:tcW w:w="633"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一般固废</w:t>
                  </w:r>
                </w:p>
              </w:tc>
              <w:tc>
                <w:tcPr>
                  <w:tcW w:w="86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900-999-99</w:t>
                  </w:r>
                </w:p>
              </w:tc>
              <w:tc>
                <w:tcPr>
                  <w:tcW w:w="1056"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w:t>
                  </w:r>
                </w:p>
              </w:tc>
              <w:tc>
                <w:tcPr>
                  <w:tcW w:w="664"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固态</w:t>
                  </w:r>
                </w:p>
              </w:tc>
              <w:tc>
                <w:tcPr>
                  <w:tcW w:w="67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w:t>
                  </w:r>
                </w:p>
              </w:tc>
              <w:tc>
                <w:tcPr>
                  <w:tcW w:w="80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w:t>
                  </w:r>
                </w:p>
              </w:tc>
              <w:tc>
                <w:tcPr>
                  <w:tcW w:w="659"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库房</w:t>
                  </w:r>
                </w:p>
              </w:tc>
              <w:tc>
                <w:tcPr>
                  <w:tcW w:w="1301"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定期由设备厂家回收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9"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职工生活</w:t>
                  </w:r>
                </w:p>
              </w:tc>
              <w:tc>
                <w:tcPr>
                  <w:tcW w:w="84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生活垃圾</w:t>
                  </w:r>
                </w:p>
              </w:tc>
              <w:tc>
                <w:tcPr>
                  <w:tcW w:w="633"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w:t>
                  </w:r>
                </w:p>
              </w:tc>
              <w:tc>
                <w:tcPr>
                  <w:tcW w:w="86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w:t>
                  </w:r>
                </w:p>
              </w:tc>
              <w:tc>
                <w:tcPr>
                  <w:tcW w:w="1056"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w:t>
                  </w:r>
                </w:p>
              </w:tc>
              <w:tc>
                <w:tcPr>
                  <w:tcW w:w="664"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固态</w:t>
                  </w:r>
                </w:p>
              </w:tc>
              <w:tc>
                <w:tcPr>
                  <w:tcW w:w="67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w:t>
                  </w:r>
                </w:p>
              </w:tc>
              <w:tc>
                <w:tcPr>
                  <w:tcW w:w="80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4.38</w:t>
                  </w:r>
                </w:p>
              </w:tc>
              <w:tc>
                <w:tcPr>
                  <w:tcW w:w="659"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垃圾箱</w:t>
                  </w:r>
                </w:p>
              </w:tc>
              <w:tc>
                <w:tcPr>
                  <w:tcW w:w="1301"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定期委托环卫部门处理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9"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污水处理站</w:t>
                  </w:r>
                </w:p>
              </w:tc>
              <w:tc>
                <w:tcPr>
                  <w:tcW w:w="84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污泥</w:t>
                  </w:r>
                </w:p>
              </w:tc>
              <w:tc>
                <w:tcPr>
                  <w:tcW w:w="633"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一般固废</w:t>
                  </w:r>
                </w:p>
              </w:tc>
              <w:tc>
                <w:tcPr>
                  <w:tcW w:w="86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900-052-62</w:t>
                  </w:r>
                </w:p>
              </w:tc>
              <w:tc>
                <w:tcPr>
                  <w:tcW w:w="1056"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w:t>
                  </w:r>
                </w:p>
              </w:tc>
              <w:tc>
                <w:tcPr>
                  <w:tcW w:w="664"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固态</w:t>
                  </w:r>
                </w:p>
              </w:tc>
              <w:tc>
                <w:tcPr>
                  <w:tcW w:w="67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w:t>
                  </w:r>
                </w:p>
              </w:tc>
              <w:tc>
                <w:tcPr>
                  <w:tcW w:w="80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0.1</w:t>
                  </w:r>
                </w:p>
              </w:tc>
              <w:tc>
                <w:tcPr>
                  <w:tcW w:w="659"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污泥</w:t>
                  </w:r>
                </w:p>
              </w:tc>
              <w:tc>
                <w:tcPr>
                  <w:tcW w:w="1301"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定期清掏用作农肥</w:t>
                  </w:r>
                </w:p>
              </w:tc>
            </w:tr>
          </w:tbl>
          <w:p>
            <w:pPr>
              <w:pStyle w:val="37"/>
              <w:keepNext w:val="0"/>
              <w:keepLines w:val="0"/>
              <w:suppressLineNumbers w:val="0"/>
              <w:spacing w:before="0" w:beforeAutospacing="0" w:after="0" w:afterAutospacing="0"/>
              <w:ind w:right="0"/>
              <w:rPr>
                <w:rFonts w:hint="default" w:ascii="Times New Roman" w:hAnsi="Times New Roman" w:cs="Times New Roman"/>
                <w:color w:val="auto"/>
              </w:rPr>
            </w:pPr>
            <w:r>
              <w:rPr>
                <w:rFonts w:ascii="Times New Roman" w:hAnsi="Times New Roman" w:cs="Times New Roman"/>
                <w:color w:val="auto"/>
              </w:rPr>
              <w:t>危险废物汇总表</w:t>
            </w:r>
          </w:p>
          <w:tbl>
            <w:tblPr>
              <w:tblStyle w:val="20"/>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5"/>
              <w:gridCol w:w="728"/>
              <w:gridCol w:w="887"/>
              <w:gridCol w:w="814"/>
              <w:gridCol w:w="766"/>
              <w:gridCol w:w="774"/>
              <w:gridCol w:w="786"/>
              <w:gridCol w:w="636"/>
              <w:gridCol w:w="636"/>
              <w:gridCol w:w="445"/>
              <w:gridCol w:w="798"/>
              <w:gridCol w:w="7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0" w:hRule="atLeast"/>
                <w:jc w:val="center"/>
              </w:trPr>
              <w:tc>
                <w:tcPr>
                  <w:tcW w:w="421"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b/>
                      <w:bCs/>
                      <w:color w:val="auto"/>
                    </w:rPr>
                  </w:pPr>
                  <w:r>
                    <w:rPr>
                      <w:rFonts w:hint="eastAsia" w:ascii="Times New Roman" w:hAnsi="Times New Roman" w:cs="Times New Roman"/>
                      <w:b/>
                      <w:bCs/>
                      <w:color w:val="auto"/>
                    </w:rPr>
                    <w:t>序号</w:t>
                  </w:r>
                </w:p>
              </w:tc>
              <w:tc>
                <w:tcPr>
                  <w:tcW w:w="72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危险废物名称</w:t>
                  </w:r>
                </w:p>
              </w:tc>
              <w:tc>
                <w:tcPr>
                  <w:tcW w:w="87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危险废物类别</w:t>
                  </w:r>
                </w:p>
              </w:tc>
              <w:tc>
                <w:tcPr>
                  <w:tcW w:w="805"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危险废物代码</w:t>
                  </w:r>
                </w:p>
              </w:tc>
              <w:tc>
                <w:tcPr>
                  <w:tcW w:w="758"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产生量（吨</w:t>
                  </w:r>
                  <w:r>
                    <w:rPr>
                      <w:rFonts w:hint="default" w:ascii="Times New Roman" w:hAnsi="Times New Roman" w:cs="Times New Roman"/>
                      <w:b/>
                      <w:bCs/>
                      <w:color w:val="auto"/>
                    </w:rPr>
                    <w:t>/</w:t>
                  </w:r>
                  <w:r>
                    <w:rPr>
                      <w:rFonts w:hint="eastAsia" w:ascii="Times New Roman" w:hAnsi="Times New Roman" w:cs="Times New Roman"/>
                      <w:b/>
                      <w:bCs/>
                      <w:color w:val="auto"/>
                    </w:rPr>
                    <w:t>年）</w:t>
                  </w:r>
                </w:p>
              </w:tc>
              <w:tc>
                <w:tcPr>
                  <w:tcW w:w="766"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产生工序及装置</w:t>
                  </w:r>
                </w:p>
              </w:tc>
              <w:tc>
                <w:tcPr>
                  <w:tcW w:w="778"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b/>
                      <w:bCs/>
                      <w:color w:val="auto"/>
                    </w:rPr>
                  </w:pPr>
                  <w:r>
                    <w:rPr>
                      <w:rFonts w:hint="eastAsia" w:ascii="Times New Roman" w:hAnsi="Times New Roman" w:cs="Times New Roman"/>
                      <w:b/>
                      <w:bCs/>
                      <w:color w:val="auto"/>
                    </w:rPr>
                    <w:t>形态</w:t>
                  </w:r>
                </w:p>
              </w:tc>
              <w:tc>
                <w:tcPr>
                  <w:tcW w:w="629"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b/>
                      <w:bCs/>
                      <w:color w:val="auto"/>
                    </w:rPr>
                  </w:pPr>
                  <w:r>
                    <w:rPr>
                      <w:rFonts w:hint="eastAsia" w:ascii="Times New Roman" w:hAnsi="Times New Roman" w:cs="Times New Roman"/>
                      <w:b/>
                      <w:bCs/>
                      <w:color w:val="auto"/>
                    </w:rPr>
                    <w:t>主要成分</w:t>
                  </w:r>
                </w:p>
              </w:tc>
              <w:tc>
                <w:tcPr>
                  <w:tcW w:w="629"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有害成分</w:t>
                  </w:r>
                </w:p>
              </w:tc>
              <w:tc>
                <w:tcPr>
                  <w:tcW w:w="44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产废周期</w:t>
                  </w:r>
                </w:p>
              </w:tc>
              <w:tc>
                <w:tcPr>
                  <w:tcW w:w="789"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b/>
                      <w:bCs/>
                      <w:color w:val="auto"/>
                    </w:rPr>
                  </w:pPr>
                  <w:r>
                    <w:rPr>
                      <w:rFonts w:hint="eastAsia" w:ascii="Times New Roman" w:hAnsi="Times New Roman" w:cs="Times New Roman"/>
                      <w:b/>
                      <w:bCs/>
                      <w:color w:val="auto"/>
                    </w:rPr>
                    <w:t>环境危险特性</w:t>
                  </w:r>
                </w:p>
              </w:tc>
              <w:tc>
                <w:tcPr>
                  <w:tcW w:w="743"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污染防治措施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9" w:hRule="atLeast"/>
                <w:jc w:val="center"/>
              </w:trPr>
              <w:tc>
                <w:tcPr>
                  <w:tcW w:w="421"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w:t>
                  </w:r>
                </w:p>
              </w:tc>
              <w:tc>
                <w:tcPr>
                  <w:tcW w:w="72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废变压器油</w:t>
                  </w:r>
                </w:p>
              </w:tc>
              <w:tc>
                <w:tcPr>
                  <w:tcW w:w="877" w:type="dxa"/>
                  <w:vMerge w:val="restart"/>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HW08</w:t>
                  </w:r>
                  <w:r>
                    <w:rPr>
                      <w:rFonts w:hint="eastAsia" w:ascii="Times New Roman" w:hAnsi="Times New Roman" w:cs="Times New Roman"/>
                      <w:color w:val="auto"/>
                    </w:rPr>
                    <w:t>废矿物油与含矿物油废物</w:t>
                  </w:r>
                </w:p>
              </w:tc>
              <w:tc>
                <w:tcPr>
                  <w:tcW w:w="805"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900-220-08</w:t>
                  </w:r>
                </w:p>
              </w:tc>
              <w:tc>
                <w:tcPr>
                  <w:tcW w:w="758"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1.7</w:t>
                  </w:r>
                </w:p>
              </w:tc>
              <w:tc>
                <w:tcPr>
                  <w:tcW w:w="766" w:type="dxa"/>
                  <w:vMerge w:val="restart"/>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升压站事故状态</w:t>
                  </w:r>
                </w:p>
              </w:tc>
              <w:tc>
                <w:tcPr>
                  <w:tcW w:w="778"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液态</w:t>
                  </w:r>
                </w:p>
              </w:tc>
              <w:tc>
                <w:tcPr>
                  <w:tcW w:w="629"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矿物油</w:t>
                  </w:r>
                </w:p>
              </w:tc>
              <w:tc>
                <w:tcPr>
                  <w:tcW w:w="629"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矿物油</w:t>
                  </w:r>
                </w:p>
              </w:tc>
              <w:tc>
                <w:tcPr>
                  <w:tcW w:w="44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每年</w:t>
                  </w:r>
                </w:p>
              </w:tc>
              <w:tc>
                <w:tcPr>
                  <w:tcW w:w="789"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T</w:t>
                  </w:r>
                  <w:r>
                    <w:rPr>
                      <w:rFonts w:hint="eastAsia" w:ascii="Times New Roman" w:hAnsi="Times New Roman" w:cs="Times New Roman"/>
                      <w:color w:val="auto"/>
                    </w:rPr>
                    <w:t>，</w:t>
                  </w:r>
                  <w:r>
                    <w:rPr>
                      <w:rFonts w:hint="default" w:ascii="Times New Roman" w:hAnsi="Times New Roman" w:cs="Times New Roman"/>
                      <w:color w:val="auto"/>
                    </w:rPr>
                    <w:t>I</w:t>
                  </w:r>
                </w:p>
              </w:tc>
              <w:tc>
                <w:tcPr>
                  <w:tcW w:w="743" w:type="dxa"/>
                  <w:vMerge w:val="restart"/>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集中收集至危废间内，定期交由有资质单位处置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8" w:hRule="atLeast"/>
                <w:jc w:val="center"/>
              </w:trPr>
              <w:tc>
                <w:tcPr>
                  <w:tcW w:w="421"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2</w:t>
                  </w:r>
                </w:p>
              </w:tc>
              <w:tc>
                <w:tcPr>
                  <w:tcW w:w="72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废油桶</w:t>
                  </w:r>
                </w:p>
              </w:tc>
              <w:tc>
                <w:tcPr>
                  <w:tcW w:w="877" w:type="dxa"/>
                  <w:vMerge w:val="continue"/>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805"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900-249-08</w:t>
                  </w:r>
                </w:p>
              </w:tc>
              <w:tc>
                <w:tcPr>
                  <w:tcW w:w="758"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0.1</w:t>
                  </w:r>
                </w:p>
              </w:tc>
              <w:tc>
                <w:tcPr>
                  <w:tcW w:w="766" w:type="dxa"/>
                  <w:vMerge w:val="continue"/>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778"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固态</w:t>
                  </w:r>
                </w:p>
              </w:tc>
              <w:tc>
                <w:tcPr>
                  <w:tcW w:w="629"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矿物油</w:t>
                  </w:r>
                </w:p>
              </w:tc>
              <w:tc>
                <w:tcPr>
                  <w:tcW w:w="629"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矿物油</w:t>
                  </w:r>
                </w:p>
              </w:tc>
              <w:tc>
                <w:tcPr>
                  <w:tcW w:w="44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每年</w:t>
                  </w:r>
                </w:p>
              </w:tc>
              <w:tc>
                <w:tcPr>
                  <w:tcW w:w="789"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T</w:t>
                  </w:r>
                  <w:r>
                    <w:rPr>
                      <w:rFonts w:hint="eastAsia" w:ascii="Times New Roman" w:hAnsi="Times New Roman" w:cs="Times New Roman"/>
                      <w:color w:val="auto"/>
                    </w:rPr>
                    <w:t>，</w:t>
                  </w:r>
                  <w:r>
                    <w:rPr>
                      <w:rFonts w:hint="default" w:ascii="Times New Roman" w:hAnsi="Times New Roman" w:cs="Times New Roman"/>
                      <w:color w:val="auto"/>
                    </w:rPr>
                    <w:t>I</w:t>
                  </w:r>
                </w:p>
              </w:tc>
              <w:tc>
                <w:tcPr>
                  <w:tcW w:w="743" w:type="dxa"/>
                  <w:vMerge w:val="continue"/>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4" w:hRule="atLeast"/>
                <w:jc w:val="center"/>
              </w:trPr>
              <w:tc>
                <w:tcPr>
                  <w:tcW w:w="421"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3</w:t>
                  </w:r>
                </w:p>
              </w:tc>
              <w:tc>
                <w:tcPr>
                  <w:tcW w:w="72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含油抹布及劳保用品</w:t>
                  </w:r>
                </w:p>
              </w:tc>
              <w:tc>
                <w:tcPr>
                  <w:tcW w:w="87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HW49</w:t>
                  </w:r>
                  <w:r>
                    <w:rPr>
                      <w:rFonts w:hint="eastAsia" w:ascii="Times New Roman" w:hAnsi="Times New Roman" w:cs="Times New Roman"/>
                      <w:color w:val="auto"/>
                    </w:rPr>
                    <w:t>其他废物</w:t>
                  </w:r>
                </w:p>
              </w:tc>
              <w:tc>
                <w:tcPr>
                  <w:tcW w:w="805"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900-041-49</w:t>
                  </w:r>
                </w:p>
              </w:tc>
              <w:tc>
                <w:tcPr>
                  <w:tcW w:w="758"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0.01</w:t>
                  </w:r>
                </w:p>
              </w:tc>
              <w:tc>
                <w:tcPr>
                  <w:tcW w:w="766" w:type="dxa"/>
                  <w:vMerge w:val="continue"/>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778"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固态</w:t>
                  </w:r>
                </w:p>
              </w:tc>
              <w:tc>
                <w:tcPr>
                  <w:tcW w:w="629"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矿物油、纤维</w:t>
                  </w:r>
                </w:p>
              </w:tc>
              <w:tc>
                <w:tcPr>
                  <w:tcW w:w="629"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矿物油</w:t>
                  </w:r>
                </w:p>
              </w:tc>
              <w:tc>
                <w:tcPr>
                  <w:tcW w:w="44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每年</w:t>
                  </w:r>
                </w:p>
              </w:tc>
              <w:tc>
                <w:tcPr>
                  <w:tcW w:w="789"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T/In</w:t>
                  </w:r>
                </w:p>
              </w:tc>
              <w:tc>
                <w:tcPr>
                  <w:tcW w:w="743" w:type="dxa"/>
                  <w:vMerge w:val="continue"/>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4" w:hRule="atLeast"/>
                <w:jc w:val="center"/>
              </w:trPr>
              <w:tc>
                <w:tcPr>
                  <w:tcW w:w="421"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default" w:ascii="Times New Roman" w:hAnsi="Times New Roman" w:cs="Times New Roman"/>
                      <w:color w:val="auto"/>
                    </w:rPr>
                    <w:t>4</w:t>
                  </w:r>
                </w:p>
              </w:tc>
              <w:tc>
                <w:tcPr>
                  <w:tcW w:w="72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废旧蓄电池</w:t>
                  </w:r>
                </w:p>
              </w:tc>
              <w:tc>
                <w:tcPr>
                  <w:tcW w:w="87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HW31</w:t>
                  </w:r>
                  <w:r>
                    <w:rPr>
                      <w:rFonts w:hint="eastAsia" w:ascii="Times New Roman" w:hAnsi="Times New Roman" w:cs="Times New Roman"/>
                      <w:color w:val="auto"/>
                    </w:rPr>
                    <w:t>含铅废物</w:t>
                  </w:r>
                </w:p>
              </w:tc>
              <w:tc>
                <w:tcPr>
                  <w:tcW w:w="805"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900-052-31</w:t>
                  </w:r>
                </w:p>
              </w:tc>
              <w:tc>
                <w:tcPr>
                  <w:tcW w:w="758"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2</w:t>
                  </w:r>
                  <w:r>
                    <w:rPr>
                      <w:rFonts w:hint="eastAsia" w:ascii="Times New Roman" w:hAnsi="Times New Roman" w:cs="Times New Roman"/>
                      <w:color w:val="auto"/>
                    </w:rPr>
                    <w:t>个</w:t>
                  </w:r>
                  <w:r>
                    <w:rPr>
                      <w:rFonts w:hint="default" w:ascii="Times New Roman" w:hAnsi="Times New Roman" w:cs="Times New Roman"/>
                      <w:color w:val="auto"/>
                    </w:rPr>
                    <w:t>/a</w:t>
                  </w:r>
                </w:p>
              </w:tc>
              <w:tc>
                <w:tcPr>
                  <w:tcW w:w="766"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升压站等</w:t>
                  </w:r>
                </w:p>
              </w:tc>
              <w:tc>
                <w:tcPr>
                  <w:tcW w:w="778"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固态</w:t>
                  </w:r>
                </w:p>
              </w:tc>
              <w:tc>
                <w:tcPr>
                  <w:tcW w:w="629"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重金属、酸</w:t>
                  </w:r>
                </w:p>
              </w:tc>
              <w:tc>
                <w:tcPr>
                  <w:tcW w:w="629"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重金属、酸</w:t>
                  </w:r>
                </w:p>
              </w:tc>
              <w:tc>
                <w:tcPr>
                  <w:tcW w:w="44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每年</w:t>
                  </w:r>
                </w:p>
              </w:tc>
              <w:tc>
                <w:tcPr>
                  <w:tcW w:w="789"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T</w:t>
                  </w:r>
                  <w:r>
                    <w:rPr>
                      <w:rFonts w:hint="eastAsia" w:ascii="Times New Roman" w:hAnsi="Times New Roman" w:cs="Times New Roman"/>
                      <w:color w:val="auto"/>
                    </w:rPr>
                    <w:t>，</w:t>
                  </w:r>
                  <w:r>
                    <w:rPr>
                      <w:rFonts w:hint="default" w:ascii="Times New Roman" w:hAnsi="Times New Roman" w:cs="Times New Roman"/>
                      <w:color w:val="auto"/>
                    </w:rPr>
                    <w:t>C</w:t>
                  </w:r>
                </w:p>
              </w:tc>
              <w:tc>
                <w:tcPr>
                  <w:tcW w:w="743" w:type="dxa"/>
                  <w:vMerge w:val="continue"/>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bl>
          <w:p>
            <w:pPr>
              <w:pStyle w:val="4"/>
              <w:suppressLineNumbers w:val="0"/>
              <w:spacing w:before="0" w:after="0"/>
              <w:ind w:left="0" w:right="0" w:firstLine="482"/>
              <w:rPr>
                <w:rFonts w:hint="default" w:cs="Times New Roman"/>
                <w:color w:val="auto"/>
              </w:rPr>
            </w:pPr>
            <w:r>
              <w:rPr>
                <w:rFonts w:hint="eastAsia" w:cs="Times New Roman"/>
                <w:color w:val="auto"/>
              </w:rPr>
              <w:t>危险废物贮存场所（设施）</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建设单位拟建设危险废物贮存间，位于升压站南侧靠近南厂界，面积29m</w:t>
            </w:r>
            <w:r>
              <w:rPr>
                <w:rFonts w:hint="eastAsia" w:ascii="Times New Roman" w:hAnsi="Times New Roman" w:cs="Times New Roman"/>
                <w:color w:val="auto"/>
                <w:vertAlign w:val="superscript"/>
              </w:rPr>
              <w:t>2</w:t>
            </w:r>
            <w:r>
              <w:rPr>
                <w:rFonts w:hint="eastAsia" w:ascii="Times New Roman" w:hAnsi="Times New Roman" w:cs="Times New Roman"/>
                <w:color w:val="auto"/>
              </w:rPr>
              <w:t>，并按照《危险废物收集、贮存、运输技术规范》（</w:t>
            </w:r>
            <w:r>
              <w:rPr>
                <w:rFonts w:hint="default" w:ascii="Times New Roman" w:hAnsi="Times New Roman" w:cs="Times New Roman"/>
                <w:color w:val="auto"/>
              </w:rPr>
              <w:t>HJ2025-2012</w:t>
            </w:r>
            <w:r>
              <w:rPr>
                <w:rFonts w:hint="eastAsia" w:ascii="Times New Roman" w:hAnsi="Times New Roman" w:cs="Times New Roman"/>
                <w:color w:val="auto"/>
              </w:rPr>
              <w:t>）及《危险废物贮存污染控制标准》（</w:t>
            </w:r>
            <w:r>
              <w:rPr>
                <w:rFonts w:hint="default" w:ascii="Times New Roman" w:hAnsi="Times New Roman" w:cs="Times New Roman"/>
                <w:color w:val="auto"/>
              </w:rPr>
              <w:t>GB18597-2023</w:t>
            </w:r>
            <w:r>
              <w:rPr>
                <w:rFonts w:hint="eastAsia" w:ascii="Times New Roman" w:hAnsi="Times New Roman" w:cs="Times New Roman"/>
                <w:color w:val="auto"/>
              </w:rPr>
              <w:t>）中相关技术要求设置，具体如下：</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1</w:t>
            </w:r>
            <w:r>
              <w:rPr>
                <w:rFonts w:hint="eastAsia" w:ascii="Times New Roman" w:hAnsi="Times New Roman" w:cs="Times New Roman"/>
                <w:color w:val="auto"/>
              </w:rPr>
              <w:t>）危险废物贮存设施的选址、设计、建设、运行管理应满足</w:t>
            </w:r>
            <w:r>
              <w:rPr>
                <w:rFonts w:hint="default" w:ascii="Times New Roman" w:hAnsi="Times New Roman" w:cs="Times New Roman"/>
                <w:color w:val="auto"/>
              </w:rPr>
              <w:t>GB18597</w:t>
            </w:r>
            <w:r>
              <w:rPr>
                <w:rFonts w:hint="eastAsia" w:ascii="Times New Roman" w:hAnsi="Times New Roman" w:cs="Times New Roman"/>
                <w:color w:val="auto"/>
              </w:rPr>
              <w:t>、</w:t>
            </w:r>
            <w:r>
              <w:rPr>
                <w:rFonts w:hint="default" w:ascii="Times New Roman" w:hAnsi="Times New Roman" w:cs="Times New Roman"/>
                <w:color w:val="auto"/>
              </w:rPr>
              <w:t>GBZ1</w:t>
            </w:r>
            <w:r>
              <w:rPr>
                <w:rFonts w:hint="eastAsia" w:ascii="Times New Roman" w:hAnsi="Times New Roman" w:cs="Times New Roman"/>
                <w:color w:val="auto"/>
              </w:rPr>
              <w:t>和</w:t>
            </w:r>
            <w:r>
              <w:rPr>
                <w:rFonts w:hint="default" w:ascii="Times New Roman" w:hAnsi="Times New Roman" w:cs="Times New Roman"/>
                <w:color w:val="auto"/>
              </w:rPr>
              <w:t>GBZ2</w:t>
            </w:r>
            <w:r>
              <w:rPr>
                <w:rFonts w:hint="eastAsia" w:ascii="Times New Roman" w:hAnsi="Times New Roman" w:cs="Times New Roman"/>
                <w:color w:val="auto"/>
              </w:rPr>
              <w:t>的有关要求。</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2</w:t>
            </w:r>
            <w:r>
              <w:rPr>
                <w:rFonts w:hint="eastAsia" w:ascii="Times New Roman" w:hAnsi="Times New Roman" w:cs="Times New Roman"/>
                <w:color w:val="auto"/>
              </w:rPr>
              <w:t>）贮存设施应根据危险废物的形态、物理化学性质、包装形式和污染物迁移途径，采取必要的防风、防晒、防雨、防漏、防渗、防腐以及其他环境污染防治措施，不应露天堆放危险废物。</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3</w:t>
            </w:r>
            <w:r>
              <w:rPr>
                <w:rFonts w:hint="eastAsia" w:ascii="Times New Roman" w:hAnsi="Times New Roman" w:cs="Times New Roman"/>
                <w:color w:val="auto"/>
              </w:rPr>
              <w:t>）贮存设施应根据危险废物的类别、数量、形态、物理化学性质和污染防治等要求设置必要的贮存分区，避免不相容的危险废物接触、混合。</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4</w:t>
            </w:r>
            <w:r>
              <w:rPr>
                <w:rFonts w:hint="eastAsia" w:ascii="Times New Roman" w:hAnsi="Times New Roman" w:cs="Times New Roman"/>
                <w:color w:val="auto"/>
              </w:rPr>
              <w:t>）贮存设施或贮存分区内地面、墙面裙脚、堵截泄漏的围堰、接触危险废物的隔板和墙体等应采用坚固的材料建造，表面无裂缝。</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5</w:t>
            </w:r>
            <w:r>
              <w:rPr>
                <w:rFonts w:hint="eastAsia" w:ascii="Times New Roman" w:hAnsi="Times New Roman" w:cs="Times New Roman"/>
                <w:color w:val="auto"/>
              </w:rPr>
              <w:t>）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w:t>
            </w:r>
            <w:r>
              <w:rPr>
                <w:rFonts w:hint="default" w:ascii="Times New Roman" w:hAnsi="Times New Roman" w:cs="Times New Roman"/>
                <w:color w:val="auto"/>
              </w:rPr>
              <w:t>1m</w:t>
            </w:r>
            <w:r>
              <w:rPr>
                <w:rFonts w:hint="eastAsia" w:ascii="Times New Roman" w:hAnsi="Times New Roman" w:cs="Times New Roman"/>
                <w:color w:val="auto"/>
              </w:rPr>
              <w:t>厚黏土层（渗透系数不大于</w:t>
            </w:r>
            <w:r>
              <w:rPr>
                <w:rFonts w:hint="default" w:ascii="Times New Roman" w:hAnsi="Times New Roman" w:cs="Times New Roman"/>
                <w:color w:val="auto"/>
              </w:rPr>
              <w:t>10</w:t>
            </w:r>
            <w:r>
              <w:rPr>
                <w:rFonts w:hint="default" w:ascii="Times New Roman" w:hAnsi="Times New Roman" w:cs="Times New Roman"/>
                <w:color w:val="auto"/>
                <w:vertAlign w:val="superscript"/>
              </w:rPr>
              <w:t>-7</w:t>
            </w:r>
            <w:r>
              <w:rPr>
                <w:rFonts w:hint="default" w:ascii="Times New Roman" w:hAnsi="Times New Roman" w:cs="Times New Roman"/>
                <w:color w:val="auto"/>
              </w:rPr>
              <w:t>cm/s</w:t>
            </w:r>
            <w:r>
              <w:rPr>
                <w:rFonts w:hint="eastAsia" w:ascii="Times New Roman" w:hAnsi="Times New Roman" w:cs="Times New Roman"/>
                <w:color w:val="auto"/>
              </w:rPr>
              <w:t>），或至少</w:t>
            </w:r>
            <w:r>
              <w:rPr>
                <w:rFonts w:hint="default" w:ascii="Times New Roman" w:hAnsi="Times New Roman" w:cs="Times New Roman"/>
                <w:color w:val="auto"/>
              </w:rPr>
              <w:t>2mm</w:t>
            </w:r>
            <w:r>
              <w:rPr>
                <w:rFonts w:hint="eastAsia" w:ascii="Times New Roman" w:hAnsi="Times New Roman" w:cs="Times New Roman"/>
                <w:color w:val="auto"/>
              </w:rPr>
              <w:t>厚高密度聚乙烯膜等人工防渗材料（渗透系数不大于</w:t>
            </w:r>
            <w:r>
              <w:rPr>
                <w:rFonts w:hint="default" w:ascii="Times New Roman" w:hAnsi="Times New Roman" w:cs="Times New Roman"/>
                <w:color w:val="auto"/>
              </w:rPr>
              <w:t>10</w:t>
            </w:r>
            <w:r>
              <w:rPr>
                <w:rFonts w:hint="default" w:ascii="Times New Roman" w:hAnsi="Times New Roman" w:cs="Times New Roman"/>
                <w:color w:val="auto"/>
                <w:vertAlign w:val="superscript"/>
              </w:rPr>
              <w:t>-10</w:t>
            </w:r>
            <w:r>
              <w:rPr>
                <w:rFonts w:hint="default" w:ascii="Times New Roman" w:hAnsi="Times New Roman" w:cs="Times New Roman"/>
                <w:color w:val="auto"/>
              </w:rPr>
              <w:t>cm/s</w:t>
            </w:r>
            <w:r>
              <w:rPr>
                <w:rFonts w:hint="eastAsia" w:ascii="Times New Roman" w:hAnsi="Times New Roman" w:cs="Times New Roman"/>
                <w:color w:val="auto"/>
              </w:rPr>
              <w:t>），或其他防渗性能等效的材料。</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6</w:t>
            </w:r>
            <w:r>
              <w:rPr>
                <w:rFonts w:hint="eastAsia" w:ascii="Times New Roman" w:hAnsi="Times New Roman" w:cs="Times New Roman"/>
                <w:color w:val="auto"/>
              </w:rPr>
              <w:t xml:space="preserve">）同一贮存设施宜采用相同的防渗、防腐工艺（包括防渗、防腐结构或材料），防渗、防腐材料应覆盖所有可能与废物及其渗滤液、渗漏液等接触的构筑物表面；采用不同防渗、防腐工艺应分别建设贮存分区。 </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7</w:t>
            </w:r>
            <w:r>
              <w:rPr>
                <w:rFonts w:hint="eastAsia" w:ascii="Times New Roman" w:hAnsi="Times New Roman" w:cs="Times New Roman"/>
                <w:color w:val="auto"/>
              </w:rPr>
              <w:t>）贮存设施应采取技术和管理措施防止无关人员进入。</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8</w:t>
            </w:r>
            <w:r>
              <w:rPr>
                <w:rFonts w:hint="eastAsia" w:ascii="Times New Roman" w:hAnsi="Times New Roman" w:cs="Times New Roman"/>
                <w:color w:val="auto"/>
              </w:rPr>
              <w:t>）贮存库内不同贮存分区之间应采取隔离措施。隔离措施可根据危险废物特性采用过道、隔板或隔墙等方式。</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9</w:t>
            </w:r>
            <w:r>
              <w:rPr>
                <w:rFonts w:hint="eastAsia" w:ascii="Times New Roman" w:hAnsi="Times New Roman" w:cs="Times New Roman"/>
                <w:color w:val="auto"/>
              </w:rPr>
              <w:t>）在贮存库内或通过贮存分区方式贮存液态危险废物的，应具有液体泄漏堵截设施，堵截设施最小容积不应低于对应贮存区域最大液态废物容器容积或液态废物总储量</w:t>
            </w:r>
            <w:r>
              <w:rPr>
                <w:rFonts w:hint="default" w:ascii="Times New Roman" w:hAnsi="Times New Roman" w:cs="Times New Roman"/>
                <w:color w:val="auto"/>
              </w:rPr>
              <w:t>1/10</w:t>
            </w:r>
            <w:r>
              <w:rPr>
                <w:rFonts w:hint="eastAsia" w:ascii="Times New Roman" w:hAnsi="Times New Roman" w:cs="Times New Roman"/>
                <w:color w:val="auto"/>
              </w:rPr>
              <w:t>（二者取较大者）；用于贮存可能产生渗滤液的危险废物的贮存库或贮存分区应设计渗滤液收集设施，收集设施容积应满足渗滤液的收集要求。</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10</w:t>
            </w:r>
            <w:r>
              <w:rPr>
                <w:rFonts w:hint="eastAsia" w:ascii="Times New Roman" w:hAnsi="Times New Roman" w:cs="Times New Roman"/>
                <w:color w:val="auto"/>
              </w:rPr>
              <w:t>）危险废物贮存期限按《中华人民共和国固体废物污染环境防治法》的有关规定，及时交由资质单位集中处置。</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11</w:t>
            </w:r>
            <w:r>
              <w:rPr>
                <w:rFonts w:hint="eastAsia" w:ascii="Times New Roman" w:hAnsi="Times New Roman" w:cs="Times New Roman"/>
                <w:color w:val="auto"/>
              </w:rPr>
              <w:t>）危险废物贮存单位应建立危险废物贮存的台账制度，并做好危险废物出入库交接记录。</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12</w:t>
            </w:r>
            <w:r>
              <w:rPr>
                <w:rFonts w:hint="eastAsia" w:ascii="Times New Roman" w:hAnsi="Times New Roman" w:cs="Times New Roman"/>
                <w:color w:val="auto"/>
              </w:rPr>
              <w:t>）危险废物暂存场所设置符合《危险废物识别标志设置技术规范》（</w:t>
            </w:r>
            <w:r>
              <w:rPr>
                <w:rFonts w:hint="default" w:ascii="Times New Roman" w:hAnsi="Times New Roman" w:cs="Times New Roman"/>
                <w:color w:val="auto"/>
              </w:rPr>
              <w:t>HJ 1276</w:t>
            </w:r>
            <w:r>
              <w:rPr>
                <w:rFonts w:hint="eastAsia" w:ascii="Times New Roman" w:hAnsi="Times New Roman" w:cs="Times New Roman"/>
                <w:color w:val="auto"/>
              </w:rPr>
              <w:t>—</w:t>
            </w:r>
            <w:r>
              <w:rPr>
                <w:rFonts w:hint="default" w:ascii="Times New Roman" w:hAnsi="Times New Roman" w:cs="Times New Roman"/>
                <w:color w:val="auto"/>
              </w:rPr>
              <w:t>2022</w:t>
            </w:r>
            <w:r>
              <w:rPr>
                <w:rFonts w:hint="eastAsia" w:ascii="Times New Roman" w:hAnsi="Times New Roman" w:cs="Times New Roman"/>
                <w:color w:val="auto"/>
              </w:rPr>
              <w:t>）中相关要求。</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危险废物贮存间基本情况列表如下。</w:t>
            </w:r>
          </w:p>
          <w:p>
            <w:pPr>
              <w:pStyle w:val="37"/>
              <w:keepNext w:val="0"/>
              <w:keepLines w:val="0"/>
              <w:suppressLineNumbers w:val="0"/>
              <w:spacing w:before="0" w:beforeAutospacing="0" w:after="0" w:afterAutospacing="0"/>
              <w:ind w:right="0"/>
              <w:rPr>
                <w:rFonts w:ascii="Times New Roman" w:hAnsi="Times New Roman" w:cs="Times New Roman"/>
                <w:color w:val="auto"/>
              </w:rPr>
            </w:pPr>
            <w:r>
              <w:rPr>
                <w:rFonts w:ascii="Times New Roman" w:hAnsi="Times New Roman" w:cs="Times New Roman"/>
                <w:color w:val="auto"/>
              </w:rPr>
              <w:t>建设项目危险废物贮存场所（设施）基本情况表</w:t>
            </w:r>
          </w:p>
          <w:tbl>
            <w:tblPr>
              <w:tblStyle w:val="20"/>
              <w:tblW w:w="8218" w:type="dxa"/>
              <w:tblInd w:w="4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4"/>
              <w:gridCol w:w="987"/>
              <w:gridCol w:w="1173"/>
              <w:gridCol w:w="988"/>
              <w:gridCol w:w="1342"/>
              <w:gridCol w:w="711"/>
              <w:gridCol w:w="661"/>
              <w:gridCol w:w="671"/>
              <w:gridCol w:w="800"/>
              <w:gridCol w:w="4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4"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b/>
                      <w:bCs/>
                      <w:color w:val="auto"/>
                    </w:rPr>
                  </w:pPr>
                  <w:r>
                    <w:rPr>
                      <w:rFonts w:hint="eastAsia" w:ascii="Times New Roman" w:hAnsi="Times New Roman" w:cs="Times New Roman"/>
                      <w:b/>
                      <w:bCs/>
                      <w:color w:val="auto"/>
                    </w:rPr>
                    <w:t>序号</w:t>
                  </w:r>
                </w:p>
              </w:tc>
              <w:tc>
                <w:tcPr>
                  <w:tcW w:w="987"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b/>
                      <w:bCs/>
                      <w:color w:val="auto"/>
                    </w:rPr>
                  </w:pPr>
                  <w:r>
                    <w:rPr>
                      <w:rFonts w:hint="eastAsia" w:ascii="Times New Roman" w:hAnsi="Times New Roman" w:cs="Times New Roman"/>
                      <w:b/>
                      <w:bCs/>
                      <w:color w:val="auto"/>
                    </w:rPr>
                    <w:t>贮存场所（设施）名称</w:t>
                  </w:r>
                </w:p>
              </w:tc>
              <w:tc>
                <w:tcPr>
                  <w:tcW w:w="1173"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b/>
                      <w:bCs/>
                      <w:color w:val="auto"/>
                    </w:rPr>
                  </w:pPr>
                  <w:r>
                    <w:rPr>
                      <w:rFonts w:hint="eastAsia" w:ascii="Times New Roman" w:hAnsi="Times New Roman" w:cs="Times New Roman"/>
                      <w:b/>
                      <w:bCs/>
                      <w:color w:val="auto"/>
                    </w:rPr>
                    <w:t>危险废物名称</w:t>
                  </w:r>
                </w:p>
              </w:tc>
              <w:tc>
                <w:tcPr>
                  <w:tcW w:w="988"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b/>
                      <w:bCs/>
                      <w:color w:val="auto"/>
                    </w:rPr>
                  </w:pPr>
                  <w:r>
                    <w:rPr>
                      <w:rFonts w:hint="eastAsia" w:ascii="Times New Roman" w:hAnsi="Times New Roman" w:cs="Times New Roman"/>
                      <w:b/>
                      <w:bCs/>
                      <w:color w:val="auto"/>
                    </w:rPr>
                    <w:t>危险废物类别</w:t>
                  </w:r>
                </w:p>
              </w:tc>
              <w:tc>
                <w:tcPr>
                  <w:tcW w:w="1342"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b/>
                      <w:bCs/>
                      <w:color w:val="auto"/>
                    </w:rPr>
                  </w:pPr>
                  <w:r>
                    <w:rPr>
                      <w:rFonts w:hint="eastAsia" w:ascii="Times New Roman" w:hAnsi="Times New Roman" w:cs="Times New Roman"/>
                      <w:b/>
                      <w:bCs/>
                      <w:color w:val="auto"/>
                    </w:rPr>
                    <w:t>危险废物代码</w:t>
                  </w:r>
                </w:p>
              </w:tc>
              <w:tc>
                <w:tcPr>
                  <w:tcW w:w="711"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b/>
                      <w:bCs/>
                      <w:color w:val="auto"/>
                    </w:rPr>
                  </w:pPr>
                  <w:r>
                    <w:rPr>
                      <w:rFonts w:hint="eastAsia" w:ascii="Times New Roman" w:hAnsi="Times New Roman" w:cs="Times New Roman"/>
                      <w:b/>
                      <w:bCs/>
                      <w:color w:val="auto"/>
                    </w:rPr>
                    <w:t>位置</w:t>
                  </w:r>
                </w:p>
              </w:tc>
              <w:tc>
                <w:tcPr>
                  <w:tcW w:w="661"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b/>
                      <w:bCs/>
                      <w:color w:val="auto"/>
                    </w:rPr>
                  </w:pPr>
                  <w:r>
                    <w:rPr>
                      <w:rFonts w:hint="eastAsia" w:ascii="Times New Roman" w:hAnsi="Times New Roman" w:cs="Times New Roman"/>
                      <w:b/>
                      <w:bCs/>
                      <w:color w:val="auto"/>
                    </w:rPr>
                    <w:t>占地面积</w:t>
                  </w:r>
                </w:p>
              </w:tc>
              <w:tc>
                <w:tcPr>
                  <w:tcW w:w="671"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b/>
                      <w:bCs/>
                      <w:color w:val="auto"/>
                    </w:rPr>
                  </w:pPr>
                  <w:r>
                    <w:rPr>
                      <w:rFonts w:hint="eastAsia" w:ascii="Times New Roman" w:hAnsi="Times New Roman" w:cs="Times New Roman"/>
                      <w:b/>
                      <w:bCs/>
                      <w:color w:val="auto"/>
                    </w:rPr>
                    <w:t>贮存方式</w:t>
                  </w:r>
                </w:p>
              </w:tc>
              <w:tc>
                <w:tcPr>
                  <w:tcW w:w="80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b/>
                      <w:bCs/>
                      <w:color w:val="auto"/>
                    </w:rPr>
                  </w:pPr>
                  <w:r>
                    <w:rPr>
                      <w:rFonts w:hint="eastAsia" w:ascii="Times New Roman" w:hAnsi="Times New Roman" w:cs="Times New Roman"/>
                      <w:b/>
                      <w:bCs/>
                      <w:color w:val="auto"/>
                    </w:rPr>
                    <w:t>贮存能力（</w:t>
                  </w:r>
                  <w:r>
                    <w:rPr>
                      <w:rFonts w:hint="default" w:ascii="Times New Roman" w:hAnsi="Times New Roman" w:cs="Times New Roman"/>
                      <w:b/>
                      <w:bCs/>
                      <w:color w:val="auto"/>
                    </w:rPr>
                    <w:t>t/a</w:t>
                  </w:r>
                  <w:r>
                    <w:rPr>
                      <w:rFonts w:hint="eastAsia" w:ascii="Times New Roman" w:hAnsi="Times New Roman" w:cs="Times New Roman"/>
                      <w:b/>
                      <w:bCs/>
                      <w:color w:val="auto"/>
                    </w:rPr>
                    <w:t>）</w:t>
                  </w:r>
                </w:p>
              </w:tc>
              <w:tc>
                <w:tcPr>
                  <w:tcW w:w="441"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b/>
                      <w:bCs/>
                      <w:color w:val="auto"/>
                    </w:rPr>
                  </w:pPr>
                  <w:r>
                    <w:rPr>
                      <w:rFonts w:hint="eastAsia" w:ascii="Times New Roman" w:hAnsi="Times New Roman" w:cs="Times New Roman"/>
                      <w:b/>
                      <w:bCs/>
                      <w:color w:val="auto"/>
                    </w:rPr>
                    <w:t>贮存</w:t>
                  </w:r>
                </w:p>
                <w:p>
                  <w:pPr>
                    <w:pStyle w:val="30"/>
                    <w:keepNext w:val="0"/>
                    <w:keepLines w:val="0"/>
                    <w:suppressLineNumbers w:val="0"/>
                    <w:spacing w:before="0" w:beforeAutospacing="0" w:after="0" w:afterAutospacing="0"/>
                    <w:ind w:left="0" w:right="0"/>
                    <w:rPr>
                      <w:rFonts w:hint="eastAsia" w:ascii="Times New Roman" w:hAnsi="Times New Roman" w:cs="Times New Roman"/>
                      <w:b/>
                      <w:bCs/>
                      <w:color w:val="auto"/>
                    </w:rPr>
                  </w:pPr>
                  <w:r>
                    <w:rPr>
                      <w:rFonts w:hint="eastAsia" w:ascii="Times New Roman" w:hAnsi="Times New Roman" w:cs="Times New Roman"/>
                      <w:b/>
                      <w:bCs/>
                      <w:color w:val="auto"/>
                    </w:rPr>
                    <w:t>周期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4"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w:t>
                  </w:r>
                </w:p>
              </w:tc>
              <w:tc>
                <w:tcPr>
                  <w:tcW w:w="987" w:type="dxa"/>
                  <w:vMerge w:val="restart"/>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危险废物贮存间</w:t>
                  </w:r>
                </w:p>
              </w:tc>
              <w:tc>
                <w:tcPr>
                  <w:tcW w:w="1173"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废变压器油</w:t>
                  </w:r>
                </w:p>
              </w:tc>
              <w:tc>
                <w:tcPr>
                  <w:tcW w:w="988" w:type="dxa"/>
                  <w:vMerge w:val="restart"/>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HW08</w:t>
                  </w:r>
                  <w:r>
                    <w:rPr>
                      <w:rFonts w:hint="eastAsia" w:ascii="Times New Roman" w:hAnsi="Times New Roman" w:cs="Times New Roman"/>
                      <w:color w:val="auto"/>
                    </w:rPr>
                    <w:t>废矿物油与含矿物油废物</w:t>
                  </w:r>
                </w:p>
              </w:tc>
              <w:tc>
                <w:tcPr>
                  <w:tcW w:w="1342"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900-220-08</w:t>
                  </w:r>
                </w:p>
              </w:tc>
              <w:tc>
                <w:tcPr>
                  <w:tcW w:w="711" w:type="dxa"/>
                  <w:vMerge w:val="restart"/>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升压站内，东北侧</w:t>
                  </w:r>
                </w:p>
              </w:tc>
              <w:tc>
                <w:tcPr>
                  <w:tcW w:w="661" w:type="dxa"/>
                  <w:vMerge w:val="restart"/>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29</w:t>
                  </w:r>
                  <w:r>
                    <w:rPr>
                      <w:rFonts w:hint="default" w:ascii="Times New Roman" w:hAnsi="Times New Roman" w:cs="Times New Roman"/>
                      <w:color w:val="auto"/>
                    </w:rPr>
                    <w:t>m</w:t>
                  </w:r>
                  <w:r>
                    <w:rPr>
                      <w:rFonts w:hint="default" w:ascii="Times New Roman" w:hAnsi="Times New Roman" w:cs="Times New Roman"/>
                      <w:color w:val="auto"/>
                      <w:vertAlign w:val="superscript"/>
                    </w:rPr>
                    <w:t>2</w:t>
                  </w:r>
                </w:p>
              </w:tc>
              <w:tc>
                <w:tcPr>
                  <w:tcW w:w="671"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桶装</w:t>
                  </w:r>
                </w:p>
              </w:tc>
              <w:tc>
                <w:tcPr>
                  <w:tcW w:w="80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0.2</w:t>
                  </w:r>
                </w:p>
              </w:tc>
              <w:tc>
                <w:tcPr>
                  <w:tcW w:w="441"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default" w:ascii="Times New Roman" w:hAnsi="Times New Roman" w:cs="Times New Roman"/>
                      <w:color w:val="auto"/>
                    </w:rPr>
                    <w:t>1</w:t>
                  </w:r>
                  <w:r>
                    <w:rPr>
                      <w:rFonts w:hint="eastAsia" w:ascii="Times New Roman" w:hAnsi="Times New Roman" w:cs="Times New Roman"/>
                      <w:color w:val="auto"/>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4"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default" w:ascii="Times New Roman" w:hAnsi="Times New Roman" w:cs="Times New Roman"/>
                      <w:color w:val="auto"/>
                    </w:rPr>
                    <w:t>2</w:t>
                  </w:r>
                </w:p>
              </w:tc>
              <w:tc>
                <w:tcPr>
                  <w:tcW w:w="987" w:type="dxa"/>
                  <w:vMerge w:val="continue"/>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173"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废油桶</w:t>
                  </w:r>
                </w:p>
              </w:tc>
              <w:tc>
                <w:tcPr>
                  <w:tcW w:w="988" w:type="dxa"/>
                  <w:vMerge w:val="continue"/>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342"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900-249-08</w:t>
                  </w:r>
                </w:p>
              </w:tc>
              <w:tc>
                <w:tcPr>
                  <w:tcW w:w="711" w:type="dxa"/>
                  <w:vMerge w:val="continue"/>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661" w:type="dxa"/>
                  <w:vMerge w:val="continue"/>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671"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default" w:ascii="Times New Roman" w:hAnsi="Times New Roman" w:cs="Times New Roman"/>
                      <w:color w:val="auto"/>
                    </w:rPr>
                    <w:t>/</w:t>
                  </w:r>
                </w:p>
              </w:tc>
              <w:tc>
                <w:tcPr>
                  <w:tcW w:w="80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0.1</w:t>
                  </w:r>
                </w:p>
              </w:tc>
              <w:tc>
                <w:tcPr>
                  <w:tcW w:w="441"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w:t>
                  </w:r>
                  <w:r>
                    <w:rPr>
                      <w:rFonts w:hint="eastAsia" w:ascii="Times New Roman" w:hAnsi="Times New Roman" w:cs="Times New Roman"/>
                      <w:color w:val="auto"/>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4"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default" w:ascii="Times New Roman" w:hAnsi="Times New Roman" w:cs="Times New Roman"/>
                      <w:color w:val="auto"/>
                    </w:rPr>
                    <w:t>3</w:t>
                  </w:r>
                </w:p>
              </w:tc>
              <w:tc>
                <w:tcPr>
                  <w:tcW w:w="987" w:type="dxa"/>
                  <w:vMerge w:val="continue"/>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173"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含油抹布及劳保用品</w:t>
                  </w:r>
                </w:p>
              </w:tc>
              <w:tc>
                <w:tcPr>
                  <w:tcW w:w="988"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HW49</w:t>
                  </w:r>
                  <w:r>
                    <w:rPr>
                      <w:rFonts w:hint="eastAsia" w:ascii="Times New Roman" w:hAnsi="Times New Roman" w:cs="Times New Roman"/>
                      <w:color w:val="auto"/>
                    </w:rPr>
                    <w:t>其他废物</w:t>
                  </w:r>
                </w:p>
              </w:tc>
              <w:tc>
                <w:tcPr>
                  <w:tcW w:w="1342"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900-041-49</w:t>
                  </w:r>
                </w:p>
              </w:tc>
              <w:tc>
                <w:tcPr>
                  <w:tcW w:w="711" w:type="dxa"/>
                  <w:vMerge w:val="continue"/>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661" w:type="dxa"/>
                  <w:vMerge w:val="continue"/>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671"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袋装</w:t>
                  </w:r>
                </w:p>
              </w:tc>
              <w:tc>
                <w:tcPr>
                  <w:tcW w:w="80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0.01</w:t>
                  </w:r>
                </w:p>
              </w:tc>
              <w:tc>
                <w:tcPr>
                  <w:tcW w:w="441"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1</w:t>
                  </w:r>
                  <w:r>
                    <w:rPr>
                      <w:rFonts w:hint="eastAsia" w:ascii="Times New Roman" w:hAnsi="Times New Roman" w:cs="Times New Roman"/>
                      <w:color w:val="auto"/>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4"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4</w:t>
                  </w:r>
                </w:p>
              </w:tc>
              <w:tc>
                <w:tcPr>
                  <w:tcW w:w="987" w:type="dxa"/>
                  <w:vMerge w:val="continue"/>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173"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废旧蓄电池</w:t>
                  </w:r>
                </w:p>
              </w:tc>
              <w:tc>
                <w:tcPr>
                  <w:tcW w:w="988"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HW31</w:t>
                  </w:r>
                  <w:r>
                    <w:rPr>
                      <w:rFonts w:hint="eastAsia" w:ascii="Times New Roman" w:hAnsi="Times New Roman" w:cs="Times New Roman"/>
                      <w:color w:val="auto"/>
                    </w:rPr>
                    <w:t>含铅废物</w:t>
                  </w:r>
                </w:p>
              </w:tc>
              <w:tc>
                <w:tcPr>
                  <w:tcW w:w="1342"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900-052-31</w:t>
                  </w:r>
                </w:p>
              </w:tc>
              <w:tc>
                <w:tcPr>
                  <w:tcW w:w="711" w:type="dxa"/>
                  <w:vMerge w:val="continue"/>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661" w:type="dxa"/>
                  <w:vMerge w:val="continue"/>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671"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w:t>
                  </w:r>
                </w:p>
              </w:tc>
              <w:tc>
                <w:tcPr>
                  <w:tcW w:w="800"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2</w:t>
                  </w:r>
                  <w:r>
                    <w:rPr>
                      <w:rFonts w:hint="eastAsia" w:ascii="Times New Roman" w:hAnsi="Times New Roman" w:cs="Times New Roman"/>
                      <w:color w:val="auto"/>
                    </w:rPr>
                    <w:t>个</w:t>
                  </w:r>
                  <w:r>
                    <w:rPr>
                      <w:rFonts w:hint="default" w:ascii="Times New Roman" w:hAnsi="Times New Roman" w:cs="Times New Roman"/>
                      <w:color w:val="auto"/>
                    </w:rPr>
                    <w:t>/a</w:t>
                  </w:r>
                </w:p>
              </w:tc>
              <w:tc>
                <w:tcPr>
                  <w:tcW w:w="441" w:type="dxa"/>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default" w:ascii="Times New Roman" w:hAnsi="Times New Roman" w:cs="Times New Roman"/>
                      <w:color w:val="auto"/>
                    </w:rPr>
                    <w:t>1</w:t>
                  </w:r>
                  <w:r>
                    <w:rPr>
                      <w:rFonts w:hint="eastAsia" w:ascii="Times New Roman" w:hAnsi="Times New Roman" w:cs="Times New Roman"/>
                      <w:color w:val="auto"/>
                    </w:rPr>
                    <w:t>年</w:t>
                  </w:r>
                </w:p>
              </w:tc>
            </w:tr>
          </w:tbl>
          <w:p>
            <w:pPr>
              <w:pStyle w:val="4"/>
              <w:suppressLineNumbers w:val="0"/>
              <w:spacing w:before="0" w:after="0"/>
              <w:ind w:left="0" w:right="0" w:firstLine="482"/>
              <w:rPr>
                <w:rFonts w:hint="default" w:cs="Times New Roman"/>
                <w:color w:val="auto"/>
              </w:rPr>
            </w:pPr>
            <w:r>
              <w:rPr>
                <w:rFonts w:hint="eastAsia" w:cs="Times New Roman"/>
                <w:color w:val="auto"/>
              </w:rPr>
              <w:t>运输过程的环境影响分析</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项目危险废物运输由建设单位委托有资质的危险废物处置单位进行运输，建设单位应配合运输单位员工进行危险废物中转作业，中转装卸及运输过程应遵守如下技术要求：</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①装卸危险废物的工作人员应熟悉危险废物的属性，并配备适当的个人防护装备，装卸剧毒废物应配备特殊的防护装备。</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②装卸区应配备必要的消防设备和设施，并设置明显的指示标志。</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③危险废物装卸区应设置必要的隔离设施，液态废物卸载区应设置收集槽和缓冲罐等必要的应急设施。</w:t>
            </w:r>
          </w:p>
          <w:p>
            <w:pPr>
              <w:pStyle w:val="4"/>
              <w:suppressLineNumbers w:val="0"/>
              <w:spacing w:before="0" w:after="0"/>
              <w:ind w:left="0" w:right="0" w:firstLine="482"/>
              <w:rPr>
                <w:rFonts w:hint="default" w:cs="Times New Roman"/>
                <w:color w:val="auto"/>
              </w:rPr>
            </w:pPr>
            <w:r>
              <w:rPr>
                <w:rFonts w:hint="eastAsia" w:cs="Times New Roman"/>
                <w:color w:val="auto"/>
              </w:rPr>
              <w:t>委托利用或者处置的环境影响分析</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本项目产生的危险废物分类收集暂存于危险废物贮存间内，定期交由有资质的单位处理。项目周边区域分布有资质的单位，如承德双然环保科技有限公司、河北港安环保科技有限公司。承德双然环保科技有限公司</w:t>
            </w:r>
            <w:r>
              <w:rPr>
                <w:rFonts w:hint="default" w:ascii="Times New Roman" w:hAnsi="Times New Roman" w:cs="Times New Roman"/>
                <w:color w:val="auto"/>
              </w:rPr>
              <w:t>HW08</w:t>
            </w:r>
            <w:r>
              <w:rPr>
                <w:rFonts w:hint="eastAsia" w:ascii="Times New Roman" w:hAnsi="Times New Roman" w:cs="Times New Roman"/>
                <w:color w:val="auto"/>
              </w:rPr>
              <w:t>类收集规模为</w:t>
            </w:r>
            <w:r>
              <w:rPr>
                <w:rFonts w:hint="default" w:ascii="Times New Roman" w:hAnsi="Times New Roman" w:cs="Times New Roman"/>
                <w:color w:val="auto"/>
              </w:rPr>
              <w:t>12000t/a</w:t>
            </w:r>
            <w:r>
              <w:rPr>
                <w:rFonts w:hint="eastAsia" w:ascii="Times New Roman" w:hAnsi="Times New Roman" w:cs="Times New Roman"/>
                <w:color w:val="auto"/>
              </w:rPr>
              <w:t>，其他类危废收集规模为</w:t>
            </w:r>
            <w:r>
              <w:rPr>
                <w:rFonts w:hint="default" w:ascii="Times New Roman" w:hAnsi="Times New Roman" w:cs="Times New Roman"/>
                <w:color w:val="auto"/>
              </w:rPr>
              <w:t>10000t/a</w:t>
            </w:r>
            <w:r>
              <w:rPr>
                <w:rFonts w:hint="eastAsia" w:ascii="Times New Roman" w:hAnsi="Times New Roman" w:cs="Times New Roman"/>
                <w:color w:val="auto"/>
              </w:rPr>
              <w:t>，可充分接纳本项目废变压器油（</w:t>
            </w:r>
            <w:r>
              <w:rPr>
                <w:rFonts w:hint="default" w:ascii="Times New Roman" w:hAnsi="Times New Roman" w:cs="Times New Roman"/>
                <w:color w:val="auto"/>
              </w:rPr>
              <w:t>900-220-08</w:t>
            </w:r>
            <w:r>
              <w:rPr>
                <w:rFonts w:hint="eastAsia" w:ascii="Times New Roman" w:hAnsi="Times New Roman" w:cs="Times New Roman"/>
                <w:color w:val="auto"/>
              </w:rPr>
              <w:t>）、废油桶（</w:t>
            </w:r>
            <w:r>
              <w:rPr>
                <w:rFonts w:hint="default" w:ascii="Times New Roman" w:hAnsi="Times New Roman" w:cs="Times New Roman"/>
                <w:color w:val="auto"/>
              </w:rPr>
              <w:t>900-249-08</w:t>
            </w:r>
            <w:r>
              <w:rPr>
                <w:rFonts w:hint="eastAsia" w:ascii="Times New Roman" w:hAnsi="Times New Roman" w:cs="Times New Roman"/>
                <w:color w:val="auto"/>
              </w:rPr>
              <w:t>）、含油抹布及劳保用品（</w:t>
            </w:r>
            <w:r>
              <w:rPr>
                <w:rFonts w:hint="default" w:ascii="Times New Roman" w:hAnsi="Times New Roman" w:cs="Times New Roman"/>
                <w:color w:val="auto"/>
              </w:rPr>
              <w:t>900-041-49</w:t>
            </w:r>
            <w:r>
              <w:rPr>
                <w:rFonts w:hint="eastAsia" w:ascii="Times New Roman" w:hAnsi="Times New Roman" w:cs="Times New Roman"/>
                <w:color w:val="auto"/>
              </w:rPr>
              <w:t>），承德双然环保科技有限公司已和河北翔宇环保科技有限公司签订危险废物委托处置合同，该公司年度核准经营规模为</w:t>
            </w:r>
            <w:r>
              <w:rPr>
                <w:rFonts w:hint="default" w:ascii="Times New Roman" w:hAnsi="Times New Roman" w:cs="Times New Roman"/>
                <w:color w:val="auto"/>
              </w:rPr>
              <w:t>14980t/a</w:t>
            </w:r>
            <w:r>
              <w:rPr>
                <w:rFonts w:hint="eastAsia" w:ascii="Times New Roman" w:hAnsi="Times New Roman" w:cs="Times New Roman"/>
                <w:color w:val="auto"/>
              </w:rPr>
              <w:t>，可处置承德双然环保科技有限公司收集的</w:t>
            </w:r>
            <w:r>
              <w:rPr>
                <w:rFonts w:hint="default" w:ascii="Times New Roman" w:hAnsi="Times New Roman" w:cs="Times New Roman"/>
                <w:color w:val="auto"/>
              </w:rPr>
              <w:t>HW08</w:t>
            </w:r>
            <w:r>
              <w:rPr>
                <w:rFonts w:hint="eastAsia" w:ascii="Times New Roman" w:hAnsi="Times New Roman" w:cs="Times New Roman"/>
                <w:color w:val="auto"/>
              </w:rPr>
              <w:t>、</w:t>
            </w:r>
            <w:r>
              <w:rPr>
                <w:rFonts w:hint="default" w:ascii="Times New Roman" w:hAnsi="Times New Roman" w:cs="Times New Roman"/>
                <w:color w:val="auto"/>
              </w:rPr>
              <w:t>HW49</w:t>
            </w:r>
            <w:r>
              <w:rPr>
                <w:rFonts w:hint="eastAsia" w:ascii="Times New Roman" w:hAnsi="Times New Roman" w:cs="Times New Roman"/>
                <w:color w:val="auto"/>
              </w:rPr>
              <w:t>等类危险废物。河北港安环保科技有限公司年度核准经营规模为：焚烧处置危险废物经营规模</w:t>
            </w:r>
            <w:r>
              <w:rPr>
                <w:rFonts w:hint="default" w:ascii="Times New Roman" w:hAnsi="Times New Roman" w:cs="Times New Roman"/>
                <w:color w:val="auto"/>
              </w:rPr>
              <w:t>180000</w:t>
            </w:r>
            <w:r>
              <w:rPr>
                <w:rFonts w:hint="eastAsia" w:ascii="Times New Roman" w:hAnsi="Times New Roman" w:cs="Times New Roman"/>
                <w:color w:val="auto"/>
              </w:rPr>
              <w:t>吨</w:t>
            </w:r>
            <w:r>
              <w:rPr>
                <w:rFonts w:hint="default" w:ascii="Times New Roman" w:hAnsi="Times New Roman" w:cs="Times New Roman"/>
                <w:color w:val="auto"/>
              </w:rPr>
              <w:t>/</w:t>
            </w:r>
            <w:r>
              <w:rPr>
                <w:rFonts w:hint="eastAsia" w:ascii="Times New Roman" w:hAnsi="Times New Roman" w:cs="Times New Roman"/>
                <w:color w:val="auto"/>
              </w:rPr>
              <w:t>年（可处理本项目废旧蓄电池</w:t>
            </w:r>
            <w:r>
              <w:rPr>
                <w:rFonts w:hint="default" w:ascii="Times New Roman" w:hAnsi="Times New Roman" w:cs="Times New Roman"/>
                <w:color w:val="auto"/>
              </w:rPr>
              <w:t>900-052-31</w:t>
            </w:r>
            <w:r>
              <w:rPr>
                <w:rFonts w:hint="eastAsia" w:ascii="Times New Roman" w:hAnsi="Times New Roman" w:cs="Times New Roman"/>
                <w:color w:val="auto"/>
              </w:rPr>
              <w:t>）。故建议本项目废变压器油、废油桶和含油抹布及劳保用品可以委托承德双然环保科技有限公司负责转运，河北翔宇环保科技有限公司处置；废旧蓄电池可以委托河北港安环保科技有限公司处置。综上，本项目危险废物定期交由有资质的单位处理措施可行。</w:t>
            </w:r>
          </w:p>
          <w:p>
            <w:pPr>
              <w:pStyle w:val="4"/>
              <w:suppressLineNumbers w:val="0"/>
              <w:spacing w:before="0" w:after="0"/>
              <w:ind w:left="0" w:right="0" w:firstLine="482"/>
              <w:rPr>
                <w:rFonts w:hint="default" w:cs="Times New Roman"/>
                <w:color w:val="auto"/>
              </w:rPr>
            </w:pPr>
            <w:r>
              <w:rPr>
                <w:rFonts w:hint="eastAsia" w:cs="Times New Roman"/>
                <w:color w:val="auto"/>
              </w:rPr>
              <w:t>危险废物收集、储存、转运过程应急预案</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危险废物收集、储存、转运过程应编制相应的应急预案，应急预案的编制可参照《危险废物经营单位编制应急预案指南》，针对危险废物收集、储运、中转过程产生的事故易发环节应定期组织应急演练。</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危险废物收集、储运、中转过程一旦发生意外事故，建设单位应根据风险应急预案立即采取如下措施：</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①设立事故警戒线，启动应急预案，并按要求向环保主管部门进行报告。</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②对事故受到污染的土壤和水体等进行相应的清理和修复。</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③清理过程产生的所有废物均应按危险废物进行管理和处置。</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④进入现场清理和包装危险废物的人员应受过专业培训，穿着防护服，佩戴防护用具。</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危险废物贮存满足《危险废物贮存污染控制标准》（</w:t>
            </w:r>
            <w:r>
              <w:rPr>
                <w:rFonts w:hint="default" w:ascii="Times New Roman" w:hAnsi="Times New Roman" w:cs="Times New Roman"/>
                <w:color w:val="auto"/>
              </w:rPr>
              <w:t>GB18597-2023</w:t>
            </w:r>
            <w:r>
              <w:rPr>
                <w:rFonts w:hint="eastAsia" w:ascii="Times New Roman" w:hAnsi="Times New Roman" w:cs="Times New Roman"/>
                <w:color w:val="auto"/>
              </w:rPr>
              <w:t>）相关要求。</w:t>
            </w:r>
          </w:p>
          <w:p>
            <w:pPr>
              <w:pStyle w:val="4"/>
              <w:suppressLineNumbers w:val="0"/>
              <w:spacing w:before="0" w:after="0"/>
              <w:ind w:left="0" w:right="0" w:firstLine="482"/>
              <w:rPr>
                <w:rFonts w:hint="default" w:cs="Times New Roman"/>
                <w:color w:val="auto"/>
              </w:rPr>
            </w:pPr>
            <w:r>
              <w:rPr>
                <w:rFonts w:hint="default" w:cs="Times New Roman"/>
                <w:color w:val="auto"/>
              </w:rPr>
              <w:t>固体废物环境管理要求</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①项目运营期固体废物的产生、贮存、利用和处置全过程应严格遵守国家有关建设项目环境保护管理的规定。</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②项目运营期产生、收集、贮存、运输、利用、处置固体废物时，应当采取防扬散、防流失、防渗漏或者其他纺织污染环境的措施，不得擅自倾倒、堆放、丢弃、遗撒固体废物；</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③建设单位运营期应当建立健全工业固体废物和危险废物产生、收集、贮存、运输、利用、处置全过程的污染环境纺织责任制度，建立工业固体废物和危险废物管理台账，如实记录产生工业固体废物的种类、数量、流向、贮存、利用、处置等信息，实现工业固体废物和危险废物可追溯，可查询，并采取防治工业固体废物和危险废物污染环境的措施；</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④企业对收集、贮存、运输、处置一般工业固体废物和危险废物的设施、设备和场所，应当加强管理和维护，保证其正常运行和使用。</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⑤严禁将生活垃圾与一般工业固体废物、危险废物混合处置。</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default" w:ascii="Times New Roman" w:hAnsi="Times New Roman" w:cs="Times New Roman"/>
                <w:color w:val="auto"/>
              </w:rPr>
              <w:t>⑥项目运营期间需要终止生产的，应当事先对工业固体废物和危险废物的贮存、处置设施、场所采取污染防治措施，并对未处置的工业固体废物和危险废物作出妥善处置，防止污染环境。</w:t>
            </w:r>
          </w:p>
          <w:p>
            <w:pPr>
              <w:pStyle w:val="3"/>
              <w:keepLines w:val="0"/>
              <w:numPr>
                <w:ilvl w:val="0"/>
                <w:numId w:val="18"/>
              </w:numPr>
              <w:suppressLineNumbers w:val="0"/>
              <w:spacing w:before="120" w:beforeAutospacing="0" w:after="0" w:afterAutospacing="0"/>
              <w:ind w:right="0" w:firstLine="482"/>
              <w:rPr>
                <w:rFonts w:hint="default" w:ascii="Times New Roman" w:hAnsi="Times New Roman" w:cs="Times New Roman"/>
                <w:color w:val="auto"/>
              </w:rPr>
            </w:pPr>
            <w:r>
              <w:rPr>
                <w:rFonts w:hint="eastAsia" w:ascii="Times New Roman" w:hAnsi="Times New Roman" w:cs="Times New Roman"/>
                <w:color w:val="auto"/>
              </w:rPr>
              <w:t>土壤和地下水环境影响分析</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本项目升压站产生食堂废水收集并暂存于隔油池中、生活污水收集并暂存于化粪池中，食堂废水和生活污水经一体化污水处理设施处置后用于厂区降尘，为防止化粪池防渗层的破损，引起废水的下渗，对周边土壤、地下水产生的不利影响，升压站对</w:t>
            </w:r>
            <w:r>
              <w:rPr>
                <w:rFonts w:hint="eastAsia" w:cs="Times New Roman"/>
                <w:color w:val="auto"/>
                <w:lang w:val="en-US" w:eastAsia="zh-CN"/>
              </w:rPr>
              <w:t>污水处理</w:t>
            </w:r>
            <w:r>
              <w:rPr>
                <w:rFonts w:hint="eastAsia" w:ascii="Times New Roman" w:hAnsi="Times New Roman" w:cs="Times New Roman"/>
                <w:color w:val="auto"/>
              </w:rPr>
              <w:t>区域进行一般防渗。</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为避免升压站事故油、危废间内废变压器油泄漏对土壤、地下水造成污染影响，事故油收集坑采用抗渗混凝土进行防渗，防渗层渗透系数≤10</w:t>
            </w:r>
            <w:r>
              <w:rPr>
                <w:rFonts w:hint="eastAsia" w:ascii="Times New Roman" w:hAnsi="Times New Roman" w:cs="Times New Roman"/>
                <w:color w:val="auto"/>
                <w:vertAlign w:val="superscript"/>
              </w:rPr>
              <w:t>-10</w:t>
            </w:r>
            <w:r>
              <w:rPr>
                <w:rFonts w:hint="eastAsia" w:ascii="Times New Roman" w:hAnsi="Times New Roman" w:cs="Times New Roman"/>
                <w:color w:val="auto"/>
              </w:rPr>
              <w:t>cm/s；危险废物贮存间防渗层渗透系数≤10</w:t>
            </w:r>
            <w:r>
              <w:rPr>
                <w:rFonts w:hint="eastAsia" w:ascii="Times New Roman" w:hAnsi="Times New Roman" w:cs="Times New Roman"/>
                <w:color w:val="auto"/>
                <w:vertAlign w:val="superscript"/>
              </w:rPr>
              <w:t>-10</w:t>
            </w:r>
            <w:r>
              <w:rPr>
                <w:rFonts w:hint="eastAsia" w:ascii="Times New Roman" w:hAnsi="Times New Roman" w:cs="Times New Roman"/>
                <w:color w:val="auto"/>
              </w:rPr>
              <w:t>cm/s；</w:t>
            </w:r>
            <w:r>
              <w:rPr>
                <w:rFonts w:hint="default" w:ascii="Times New Roman" w:hAnsi="Times New Roman" w:cs="Times New Roman"/>
                <w:color w:val="auto"/>
              </w:rPr>
              <w:t>为防止化粪池防渗层的破损，引起废水的下渗，对周边土壤、地下水产生的不利影响</w:t>
            </w:r>
            <w:r>
              <w:rPr>
                <w:rFonts w:hint="eastAsia" w:ascii="Times New Roman" w:hAnsi="Times New Roman" w:cs="Times New Roman"/>
                <w:color w:val="auto"/>
              </w:rPr>
              <w:t>，污水处理区所在地面采取一般防渗；其他区域属简单防渗区，采取地面硬化。</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在严格落实各防渗措施，并加强巡查检修，可有效控制污染物通过下渗污染土壤及地下水。因此对土壤、地下水环境影响可接受。</w:t>
            </w:r>
          </w:p>
          <w:p>
            <w:pPr>
              <w:pStyle w:val="3"/>
              <w:keepLines w:val="0"/>
              <w:suppressLineNumbers w:val="0"/>
              <w:spacing w:before="120" w:beforeAutospacing="0" w:after="0" w:afterAutospacing="0"/>
              <w:ind w:right="0" w:firstLine="482"/>
              <w:rPr>
                <w:rFonts w:hint="eastAsia" w:ascii="Times New Roman" w:hAnsi="Times New Roman" w:cs="Times New Roman"/>
                <w:color w:val="auto"/>
              </w:rPr>
            </w:pPr>
            <w:r>
              <w:rPr>
                <w:rFonts w:hint="eastAsia" w:ascii="Times New Roman" w:hAnsi="Times New Roman" w:cs="Times New Roman"/>
                <w:color w:val="auto"/>
              </w:rPr>
              <w:t>光污染影响分析</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本项目采用太阳能光伏板作为能量采集装置，在吸收太阳能的过程中，会反射、折射太阳光。由于目前我国目前还没有一部专门的法律来规制光污染这种行为，鉴于光污染也是环境污染的一种，本项目也将光污染列为须采取有效措施防治的对象。</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为减少光污染对周边居民的影响，本项目作出以下措施：</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（1）本项目采取太阳能电池组件支架为固定支架，倾角为36°的安装方式，能够最大程度地减少对太阳光的反射，减少光反射对周边居民的影响；</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（2）本工程采用单晶硅太阳能电池，该电池组件最外层为特种钢化玻璃。这种钢化玻璃的透光率极高，达95%以上，能够减少光反射的产生，以减少光反射对周边居民的影响。</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因此，通过以上各类物体表面反射率与太阳能电池板反射率的对比情况，本项目电池组件拟选用表面涂覆有防反射涂层单晶硅组件，透光率高、反射率很低，不会造成明显光污染影响。</w:t>
            </w:r>
          </w:p>
          <w:p>
            <w:pPr>
              <w:pStyle w:val="3"/>
              <w:keepLines w:val="0"/>
              <w:numPr>
                <w:ilvl w:val="0"/>
                <w:numId w:val="18"/>
              </w:numPr>
              <w:suppressLineNumbers w:val="0"/>
              <w:spacing w:before="120" w:beforeAutospacing="0" w:after="0" w:afterAutospacing="0"/>
              <w:ind w:right="0" w:firstLine="482"/>
              <w:rPr>
                <w:rFonts w:hint="default" w:ascii="Times New Roman" w:hAnsi="Times New Roman" w:cs="Times New Roman"/>
                <w:color w:val="auto"/>
              </w:rPr>
            </w:pPr>
            <w:r>
              <w:rPr>
                <w:rFonts w:hint="eastAsia" w:ascii="Times New Roman" w:hAnsi="Times New Roman" w:cs="Times New Roman"/>
                <w:color w:val="auto"/>
              </w:rPr>
              <w:t>生态环境</w:t>
            </w:r>
          </w:p>
          <w:p>
            <w:pPr>
              <w:pStyle w:val="4"/>
              <w:suppressLineNumbers w:val="0"/>
              <w:spacing w:before="0" w:after="0"/>
              <w:ind w:left="0" w:right="0" w:firstLine="482"/>
              <w:rPr>
                <w:rFonts w:hint="default" w:cs="Times New Roman"/>
                <w:color w:val="auto"/>
              </w:rPr>
            </w:pPr>
            <w:r>
              <w:rPr>
                <w:rFonts w:hint="default" w:cs="Times New Roman"/>
                <w:color w:val="auto"/>
              </w:rPr>
              <w:t>对植被生物量的影响分析</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本项目为</w:t>
            </w:r>
            <w:r>
              <w:rPr>
                <w:rFonts w:hint="eastAsia" w:ascii="Times New Roman" w:hAnsi="Times New Roman" w:cs="Times New Roman"/>
                <w:color w:val="auto"/>
              </w:rPr>
              <w:t>“牧光互补”复合项目</w:t>
            </w:r>
            <w:r>
              <w:rPr>
                <w:rFonts w:hint="default" w:ascii="Times New Roman" w:hAnsi="Times New Roman" w:cs="Times New Roman"/>
                <w:color w:val="auto"/>
              </w:rPr>
              <w:t>，项目运行后，土地综合利用开发方式为“牧光互补”形式，即按照光伏复合项目相关建设标准和要求把光伏组件架高，在光伏组件下种植</w:t>
            </w:r>
            <w:r>
              <w:rPr>
                <w:rFonts w:hint="eastAsia" w:ascii="Times New Roman" w:hAnsi="Times New Roman" w:cs="Times New Roman"/>
                <w:color w:val="auto"/>
              </w:rPr>
              <w:t>牧草</w:t>
            </w:r>
            <w:r>
              <w:rPr>
                <w:rFonts w:hint="default" w:ascii="Times New Roman" w:hAnsi="Times New Roman" w:cs="Times New Roman"/>
                <w:color w:val="auto"/>
              </w:rPr>
              <w:t>，本项目的建设可以增加占地范围内的植被覆盖面积，增</w:t>
            </w:r>
            <w:r>
              <w:rPr>
                <w:rFonts w:hint="eastAsia" w:ascii="Times New Roman" w:hAnsi="Times New Roman" w:cs="Times New Roman"/>
                <w:color w:val="auto"/>
              </w:rPr>
              <w:t>加</w:t>
            </w:r>
            <w:r>
              <w:rPr>
                <w:rFonts w:hint="default" w:ascii="Times New Roman" w:hAnsi="Times New Roman" w:cs="Times New Roman"/>
                <w:color w:val="auto"/>
              </w:rPr>
              <w:t>植被覆盖率，增加区域生物量，因此，本项目通过补偿的方式改善生态环境，不会对区域植被造成严重影响。</w:t>
            </w:r>
          </w:p>
          <w:p>
            <w:pPr>
              <w:pStyle w:val="4"/>
              <w:suppressLineNumbers w:val="0"/>
              <w:spacing w:before="0" w:after="0"/>
              <w:ind w:left="0" w:right="0" w:firstLine="482"/>
              <w:rPr>
                <w:rFonts w:hint="default" w:cs="Times New Roman"/>
                <w:color w:val="auto"/>
              </w:rPr>
            </w:pPr>
            <w:r>
              <w:rPr>
                <w:rFonts w:hint="default" w:cs="Times New Roman"/>
                <w:color w:val="auto"/>
              </w:rPr>
              <w:t>对野生动物的影响分析</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本项目场址范围内无大型哺乳动物出没，小型动物多为鼠、兔类，预计项目建成后，随着后期生态的恢复，区域生存的动物种群便可以迁回，设置围栏后，动物一般不能在光伏场内活动，由于光场区周围生境基本相同，动物避让、绕行光伏场即可，不会对动物生境产生大的影响，因此不会对其种类和数量产生不利影响。</w:t>
            </w:r>
          </w:p>
          <w:p>
            <w:pPr>
              <w:pStyle w:val="4"/>
              <w:suppressLineNumbers w:val="0"/>
              <w:spacing w:before="0" w:after="0"/>
              <w:ind w:left="0" w:right="0" w:firstLine="482"/>
              <w:rPr>
                <w:rFonts w:hint="default" w:cs="Times New Roman"/>
                <w:color w:val="auto"/>
              </w:rPr>
            </w:pPr>
            <w:r>
              <w:rPr>
                <w:rFonts w:hint="default" w:cs="Times New Roman"/>
                <w:color w:val="auto"/>
              </w:rPr>
              <w:t>对区域景观的影响分析</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本项目的建</w:t>
            </w:r>
            <w:r>
              <w:rPr>
                <w:rFonts w:hint="eastAsia" w:ascii="Times New Roman" w:hAnsi="Times New Roman" w:cs="Times New Roman"/>
                <w:color w:val="auto"/>
              </w:rPr>
              <w:t>设不会导致</w:t>
            </w:r>
            <w:r>
              <w:rPr>
                <w:rFonts w:hint="default" w:ascii="Times New Roman" w:hAnsi="Times New Roman" w:cs="Times New Roman"/>
                <w:color w:val="auto"/>
              </w:rPr>
              <w:t>区域景观异质性</w:t>
            </w:r>
            <w:r>
              <w:rPr>
                <w:rFonts w:hint="eastAsia" w:ascii="Times New Roman" w:hAnsi="Times New Roman" w:cs="Times New Roman"/>
                <w:color w:val="auto"/>
              </w:rPr>
              <w:t>发生较大变化</w:t>
            </w:r>
            <w:r>
              <w:rPr>
                <w:rFonts w:hint="default" w:ascii="Times New Roman" w:hAnsi="Times New Roman" w:cs="Times New Roman"/>
                <w:color w:val="auto"/>
              </w:rPr>
              <w:t>，</w:t>
            </w:r>
            <w:r>
              <w:rPr>
                <w:rFonts w:hint="eastAsia" w:ascii="Times New Roman" w:hAnsi="Times New Roman" w:cs="Times New Roman"/>
                <w:color w:val="auto"/>
              </w:rPr>
              <w:t>本项目占地主要为农用地，项目建设后，在光伏板下种植牧草，</w:t>
            </w:r>
            <w:r>
              <w:rPr>
                <w:rFonts w:hint="default" w:ascii="Times New Roman" w:hAnsi="Times New Roman" w:cs="Times New Roman"/>
                <w:color w:val="auto"/>
              </w:rPr>
              <w:t>反映了人与自然的协同发展，具有</w:t>
            </w:r>
            <w:r>
              <w:rPr>
                <w:rFonts w:hint="eastAsia" w:ascii="Times New Roman" w:hAnsi="Times New Roman" w:cs="Times New Roman"/>
                <w:color w:val="auto"/>
              </w:rPr>
              <w:t>一定</w:t>
            </w:r>
            <w:r>
              <w:rPr>
                <w:rFonts w:hint="default" w:ascii="Times New Roman" w:hAnsi="Times New Roman" w:cs="Times New Roman"/>
                <w:color w:val="auto"/>
              </w:rPr>
              <w:t>的社会效益和经济效益。</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为保护项目生态环境，应对项目光伏场地周边进行撒籽绿化。绿化是减轻环境污染，提高环境质量的重要手段之一，具有净化空气、消声减噪的功能。因此，项目在建设过程中应充分考虑到绿化，在光伏阵列区绿化，植物绿化不仅美化了环境，同时也可起到减轻污染、防噪降噪的效果。</w:t>
            </w:r>
          </w:p>
          <w:p>
            <w:pPr>
              <w:pStyle w:val="4"/>
              <w:suppressLineNumbers w:val="0"/>
              <w:spacing w:before="0" w:after="0"/>
              <w:ind w:left="0" w:right="0" w:firstLine="482"/>
              <w:rPr>
                <w:rFonts w:hint="default" w:cs="Times New Roman"/>
                <w:color w:val="auto"/>
              </w:rPr>
            </w:pPr>
            <w:r>
              <w:rPr>
                <w:rFonts w:hint="default" w:cs="Times New Roman"/>
                <w:color w:val="auto"/>
              </w:rPr>
              <w:t>水土流失影响分析</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本项目施工完成后将及时平整土地、恢复植被，</w:t>
            </w:r>
            <w:r>
              <w:rPr>
                <w:rFonts w:hint="eastAsia" w:cs="Times New Roman"/>
                <w:color w:val="auto"/>
                <w:lang w:val="en-US" w:eastAsia="zh-CN"/>
              </w:rPr>
              <w:t>将集电线路和施工临时占地上土地恢复成开施工前状况，在光伏区种植牧草，由施工便道改建的光伏场区检修道路进行压实，并在一侧修建雨水排水沟。上述措施</w:t>
            </w:r>
            <w:r>
              <w:rPr>
                <w:rFonts w:hint="default" w:ascii="Times New Roman" w:hAnsi="Times New Roman" w:cs="Times New Roman"/>
                <w:color w:val="auto"/>
              </w:rPr>
              <w:t>将有效地控制项目用地范围内的水土流失，同时随着各类植物的成长，造成的水土流失将逐渐减弱、稳定，达到轻度以下的水平，不会造成过多的水土流失。</w:t>
            </w:r>
          </w:p>
          <w:p>
            <w:pPr>
              <w:pStyle w:val="3"/>
              <w:keepLines w:val="0"/>
              <w:suppressLineNumbers w:val="0"/>
              <w:spacing w:before="120" w:beforeAutospacing="0" w:after="0" w:afterAutospacing="0"/>
              <w:ind w:right="0" w:firstLine="482"/>
              <w:rPr>
                <w:rFonts w:hint="default" w:ascii="Times New Roman" w:hAnsi="Times New Roman" w:cs="Times New Roman"/>
                <w:color w:val="auto"/>
              </w:rPr>
            </w:pPr>
            <w:r>
              <w:rPr>
                <w:rFonts w:hint="eastAsia" w:ascii="Times New Roman" w:hAnsi="Times New Roman" w:cs="Times New Roman"/>
                <w:color w:val="auto"/>
              </w:rPr>
              <w:t>风险事故</w:t>
            </w:r>
          </w:p>
          <w:p>
            <w:pPr>
              <w:pStyle w:val="4"/>
              <w:suppressLineNumbers w:val="0"/>
              <w:spacing w:before="0" w:after="0"/>
              <w:ind w:left="0" w:right="0" w:firstLine="482"/>
              <w:rPr>
                <w:rFonts w:hint="eastAsia" w:cs="Times New Roman"/>
                <w:color w:val="auto"/>
              </w:rPr>
            </w:pPr>
            <w:r>
              <w:rPr>
                <w:rFonts w:hint="eastAsia" w:cs="Times New Roman"/>
                <w:color w:val="auto"/>
              </w:rPr>
              <w:t>风险识别</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本项目涉及的风险物质主要为废变压器油（属于矿物油）和主变压器油（属于矿物油），其物质特性见下表：</w:t>
            </w:r>
          </w:p>
          <w:p>
            <w:pPr>
              <w:pStyle w:val="37"/>
              <w:keepNext w:val="0"/>
              <w:keepLines w:val="0"/>
              <w:suppressLineNumbers w:val="0"/>
              <w:spacing w:before="0" w:beforeAutospacing="0" w:after="0" w:afterAutospacing="0"/>
              <w:ind w:right="0"/>
              <w:rPr>
                <w:rFonts w:ascii="Times New Roman" w:hAnsi="Times New Roman" w:cs="Times New Roman"/>
                <w:color w:val="auto"/>
              </w:rPr>
            </w:pPr>
            <w:r>
              <w:rPr>
                <w:rFonts w:ascii="Times New Roman" w:hAnsi="Times New Roman" w:cs="Times New Roman"/>
                <w:color w:val="auto"/>
              </w:rPr>
              <w:t>矿物油物质特性</w:t>
            </w:r>
          </w:p>
          <w:tbl>
            <w:tblPr>
              <w:tblStyle w:val="20"/>
              <w:tblW w:w="475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9"/>
              <w:gridCol w:w="2633"/>
              <w:gridCol w:w="2493"/>
              <w:gridCol w:w="18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3" w:type="pct"/>
                  <w:vMerge w:val="restart"/>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标识</w:t>
                  </w:r>
                </w:p>
              </w:tc>
              <w:tc>
                <w:tcPr>
                  <w:tcW w:w="1637" w:type="pct"/>
                  <w:tcBorders>
                    <w:top w:val="single" w:color="auto" w:sz="4" w:space="0"/>
                    <w:left w:val="nil"/>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中文名：</w:t>
                  </w:r>
                  <w:r>
                    <w:rPr>
                      <w:rFonts w:hint="eastAsia" w:ascii="Times New Roman" w:hAnsi="Times New Roman" w:cs="Times New Roman"/>
                      <w:color w:val="auto"/>
                    </w:rPr>
                    <w:t>矿物油</w:t>
                  </w:r>
                </w:p>
              </w:tc>
              <w:tc>
                <w:tcPr>
                  <w:tcW w:w="2679" w:type="pct"/>
                  <w:gridSpan w:val="2"/>
                  <w:tcBorders>
                    <w:top w:val="single" w:color="auto" w:sz="4" w:space="0"/>
                    <w:left w:val="nil"/>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英文名：mineral oil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3" w:type="pct"/>
                  <w:vMerge w:val="continue"/>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637" w:type="pct"/>
                  <w:tcBorders>
                    <w:top w:val="single" w:color="auto" w:sz="4" w:space="0"/>
                    <w:left w:val="nil"/>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分子式：</w:t>
                  </w:r>
                </w:p>
              </w:tc>
              <w:tc>
                <w:tcPr>
                  <w:tcW w:w="1550" w:type="pct"/>
                  <w:tcBorders>
                    <w:top w:val="single" w:color="auto" w:sz="4" w:space="0"/>
                    <w:left w:val="nil"/>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分子量：230-500</w:t>
                  </w:r>
                </w:p>
              </w:tc>
              <w:tc>
                <w:tcPr>
                  <w:tcW w:w="1128" w:type="pct"/>
                  <w:tcBorders>
                    <w:top w:val="single" w:color="auto" w:sz="4" w:space="0"/>
                    <w:left w:val="nil"/>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UN编号：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3" w:type="pct"/>
                  <w:vMerge w:val="continue"/>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637" w:type="pct"/>
                  <w:tcBorders>
                    <w:top w:val="single" w:color="auto" w:sz="4" w:space="0"/>
                    <w:left w:val="nil"/>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常规号：</w:t>
                  </w:r>
                </w:p>
              </w:tc>
              <w:tc>
                <w:tcPr>
                  <w:tcW w:w="1550" w:type="pct"/>
                  <w:tcBorders>
                    <w:top w:val="single" w:color="auto" w:sz="4" w:space="0"/>
                    <w:left w:val="nil"/>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RTECS号：</w:t>
                  </w:r>
                </w:p>
              </w:tc>
              <w:tc>
                <w:tcPr>
                  <w:tcW w:w="1128" w:type="pct"/>
                  <w:tcBorders>
                    <w:top w:val="single" w:color="auto" w:sz="4" w:space="0"/>
                    <w:left w:val="nil"/>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 xml:space="preserve">CAS编号：74869-22-0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3" w:type="pct"/>
                  <w:vMerge w:val="restart"/>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理化特性</w:t>
                  </w:r>
                </w:p>
              </w:tc>
              <w:tc>
                <w:tcPr>
                  <w:tcW w:w="1637" w:type="pct"/>
                  <w:tcBorders>
                    <w:top w:val="single" w:color="auto" w:sz="4" w:space="0"/>
                    <w:left w:val="nil"/>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性状</w:t>
                  </w:r>
                </w:p>
              </w:tc>
              <w:tc>
                <w:tcPr>
                  <w:tcW w:w="2679" w:type="pct"/>
                  <w:gridSpan w:val="2"/>
                  <w:tcBorders>
                    <w:top w:val="single" w:color="auto" w:sz="4" w:space="0"/>
                    <w:left w:val="nil"/>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油状液体，淡黄色至褐色，无气味或略带气味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3" w:type="pct"/>
                  <w:vMerge w:val="continue"/>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637" w:type="pct"/>
                  <w:tcBorders>
                    <w:top w:val="single" w:color="auto" w:sz="4" w:space="0"/>
                    <w:left w:val="nil"/>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熔点（℃）</w:t>
                  </w:r>
                </w:p>
              </w:tc>
              <w:tc>
                <w:tcPr>
                  <w:tcW w:w="2679" w:type="pct"/>
                  <w:gridSpan w:val="2"/>
                  <w:tcBorders>
                    <w:top w:val="single" w:color="auto" w:sz="4" w:space="0"/>
                    <w:left w:val="nil"/>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3" w:type="pct"/>
                  <w:vMerge w:val="continue"/>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637" w:type="pct"/>
                  <w:tcBorders>
                    <w:top w:val="single" w:color="auto" w:sz="4" w:space="0"/>
                    <w:left w:val="nil"/>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沸点（℃）</w:t>
                  </w:r>
                </w:p>
              </w:tc>
              <w:tc>
                <w:tcPr>
                  <w:tcW w:w="2679" w:type="pct"/>
                  <w:gridSpan w:val="2"/>
                  <w:tcBorders>
                    <w:top w:val="single" w:color="auto" w:sz="4" w:space="0"/>
                    <w:left w:val="nil"/>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3" w:type="pct"/>
                  <w:vMerge w:val="continue"/>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637" w:type="pct"/>
                  <w:tcBorders>
                    <w:top w:val="single" w:color="auto" w:sz="4" w:space="0"/>
                    <w:left w:val="nil"/>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相对密度（水=1）</w:t>
                  </w:r>
                </w:p>
              </w:tc>
              <w:tc>
                <w:tcPr>
                  <w:tcW w:w="2679" w:type="pct"/>
                  <w:gridSpan w:val="2"/>
                  <w:tcBorders>
                    <w:top w:val="single" w:color="auto" w:sz="4" w:space="0"/>
                    <w:left w:val="nil"/>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0.85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3" w:type="pct"/>
                  <w:vMerge w:val="continue"/>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637" w:type="pct"/>
                  <w:tcBorders>
                    <w:top w:val="single" w:color="auto" w:sz="4" w:space="0"/>
                    <w:left w:val="nil"/>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饱和蒸气压(kPa)</w:t>
                  </w:r>
                </w:p>
              </w:tc>
              <w:tc>
                <w:tcPr>
                  <w:tcW w:w="2679" w:type="pct"/>
                  <w:gridSpan w:val="2"/>
                  <w:tcBorders>
                    <w:top w:val="single" w:color="auto" w:sz="4" w:space="0"/>
                    <w:left w:val="nil"/>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3" w:type="pct"/>
                  <w:vMerge w:val="continue"/>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637" w:type="pct"/>
                  <w:tcBorders>
                    <w:top w:val="single" w:color="auto" w:sz="4" w:space="0"/>
                    <w:left w:val="nil"/>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燃烧热(kJ/mol)</w:t>
                  </w:r>
                </w:p>
              </w:tc>
              <w:tc>
                <w:tcPr>
                  <w:tcW w:w="2679" w:type="pct"/>
                  <w:gridSpan w:val="2"/>
                  <w:tcBorders>
                    <w:top w:val="single" w:color="auto" w:sz="4" w:space="0"/>
                    <w:left w:val="nil"/>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3" w:type="pct"/>
                  <w:vMerge w:val="continue"/>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637" w:type="pct"/>
                  <w:tcBorders>
                    <w:top w:val="single" w:color="auto" w:sz="4" w:space="0"/>
                    <w:left w:val="nil"/>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溶解性</w:t>
                  </w:r>
                </w:p>
              </w:tc>
              <w:tc>
                <w:tcPr>
                  <w:tcW w:w="2679" w:type="pct"/>
                  <w:gridSpan w:val="2"/>
                  <w:tcBorders>
                    <w:top w:val="single" w:color="auto" w:sz="4" w:space="0"/>
                    <w:left w:val="nil"/>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不溶于水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3" w:type="pct"/>
                  <w:vMerge w:val="continue"/>
                  <w:tcBorders>
                    <w:top w:val="nil"/>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1637" w:type="pct"/>
                  <w:tcBorders>
                    <w:top w:val="single" w:color="auto" w:sz="4" w:space="0"/>
                    <w:left w:val="nil"/>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主要用途</w:t>
                  </w:r>
                </w:p>
              </w:tc>
              <w:tc>
                <w:tcPr>
                  <w:tcW w:w="2679" w:type="pct"/>
                  <w:gridSpan w:val="2"/>
                  <w:tcBorders>
                    <w:top w:val="single" w:color="auto" w:sz="4" w:space="0"/>
                    <w:left w:val="nil"/>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用作润滑、冷却、防锈、密封、减震等。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3" w:type="pct"/>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爆炸特性</w:t>
                  </w:r>
                </w:p>
              </w:tc>
              <w:tc>
                <w:tcPr>
                  <w:tcW w:w="4316" w:type="pct"/>
                  <w:gridSpan w:val="3"/>
                  <w:tcBorders>
                    <w:top w:val="single" w:color="auto" w:sz="4" w:space="0"/>
                    <w:left w:val="nil"/>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闪点：120-340℃；引燃点：248℃；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3" w:type="pct"/>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危险特征</w:t>
                  </w:r>
                </w:p>
              </w:tc>
              <w:tc>
                <w:tcPr>
                  <w:tcW w:w="4316" w:type="pct"/>
                  <w:gridSpan w:val="3"/>
                  <w:tcBorders>
                    <w:top w:val="single" w:color="auto" w:sz="4" w:space="0"/>
                    <w:left w:val="nil"/>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遇明火、高热或与氧化剂接触，有引起燃烧爆炸的危险。若遇高热，容器内压增大，有开裂和爆炸的危险。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3" w:type="pct"/>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灭火方法</w:t>
                  </w:r>
                </w:p>
              </w:tc>
              <w:tc>
                <w:tcPr>
                  <w:tcW w:w="4316" w:type="pct"/>
                  <w:gridSpan w:val="3"/>
                  <w:tcBorders>
                    <w:top w:val="single" w:color="auto" w:sz="4" w:space="0"/>
                    <w:left w:val="nil"/>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消防人员须佩戴防毒面具、穿全身消防服，在上风向灭火。尽可能将容器从火场移至空旷处。喷水保持火场容器冷却，直至灭火结束。处在火场中的容器若已变色或从安全泄压装置中产生声音，必须马上撤离。灭火剂有泡沫、二氧化碳、干粉、1211灭火剂、砂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3" w:type="pct"/>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稳定性</w:t>
                  </w:r>
                </w:p>
              </w:tc>
              <w:tc>
                <w:tcPr>
                  <w:tcW w:w="4316" w:type="pct"/>
                  <w:gridSpan w:val="3"/>
                  <w:tcBorders>
                    <w:top w:val="single" w:color="auto" w:sz="4" w:space="0"/>
                    <w:left w:val="nil"/>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稳定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3" w:type="pct"/>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健康危害</w:t>
                  </w:r>
                </w:p>
              </w:tc>
              <w:tc>
                <w:tcPr>
                  <w:tcW w:w="4316" w:type="pct"/>
                  <w:gridSpan w:val="3"/>
                  <w:tcBorders>
                    <w:top w:val="single" w:color="auto" w:sz="4" w:space="0"/>
                    <w:left w:val="nil"/>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皮肤接触柴油可引起接触性皮炎、油性痤疮，吸入可引起吸入性肺炎。能经胎盘进入胎儿血中。柴油废气可引起眼、鼻刺激症状，头晕及头痛。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3" w:type="pct"/>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毒理学资料</w:t>
                  </w:r>
                </w:p>
              </w:tc>
              <w:tc>
                <w:tcPr>
                  <w:tcW w:w="4316" w:type="pct"/>
                  <w:gridSpan w:val="3"/>
                  <w:tcBorders>
                    <w:top w:val="single" w:color="auto" w:sz="4" w:space="0"/>
                    <w:left w:val="nil"/>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暂无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3" w:type="pct"/>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职业接触</w:t>
                  </w:r>
                </w:p>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限值</w:t>
                  </w:r>
                </w:p>
              </w:tc>
              <w:tc>
                <w:tcPr>
                  <w:tcW w:w="4316" w:type="pct"/>
                  <w:gridSpan w:val="3"/>
                  <w:tcBorders>
                    <w:top w:val="single" w:color="auto" w:sz="4" w:space="0"/>
                    <w:left w:val="nil"/>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中国MAC：未制订标准</w:t>
                  </w:r>
                  <w:r>
                    <w:rPr>
                      <w:rFonts w:hint="default" w:ascii="Times New Roman" w:hAnsi="Times New Roman" w:cs="Times New Roman"/>
                      <w:color w:val="auto"/>
                    </w:rPr>
                    <w:br w:type="textWrapping"/>
                  </w:r>
                  <w:r>
                    <w:rPr>
                      <w:rFonts w:hint="default" w:ascii="Times New Roman" w:hAnsi="Times New Roman" w:cs="Times New Roman"/>
                      <w:color w:val="auto"/>
                    </w:rPr>
                    <w:t>前苏联MAC：未制订标准</w:t>
                  </w:r>
                  <w:r>
                    <w:rPr>
                      <w:rFonts w:hint="default" w:ascii="Times New Roman" w:hAnsi="Times New Roman" w:cs="Times New Roman"/>
                      <w:color w:val="auto"/>
                    </w:rPr>
                    <w:br w:type="textWrapping"/>
                  </w:r>
                  <w:r>
                    <w:rPr>
                      <w:rFonts w:hint="default" w:ascii="Times New Roman" w:hAnsi="Times New Roman" w:cs="Times New Roman"/>
                      <w:color w:val="auto"/>
                    </w:rPr>
                    <w:t>美国TLV—TWA：未制订标准</w:t>
                  </w:r>
                  <w:r>
                    <w:rPr>
                      <w:rFonts w:hint="default" w:ascii="Times New Roman" w:hAnsi="Times New Roman" w:cs="Times New Roman"/>
                      <w:color w:val="auto"/>
                    </w:rPr>
                    <w:br w:type="textWrapping"/>
                  </w:r>
                  <w:r>
                    <w:rPr>
                      <w:rFonts w:hint="default" w:ascii="Times New Roman" w:hAnsi="Times New Roman" w:cs="Times New Roman"/>
                      <w:color w:val="auto"/>
                    </w:rPr>
                    <w:t>美国TLV—STEL：未制订标准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3" w:type="pct"/>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急救措施</w:t>
                  </w:r>
                </w:p>
              </w:tc>
              <w:tc>
                <w:tcPr>
                  <w:tcW w:w="4316" w:type="pct"/>
                  <w:gridSpan w:val="3"/>
                  <w:tcBorders>
                    <w:top w:val="single" w:color="auto" w:sz="4" w:space="0"/>
                    <w:left w:val="nil"/>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皮肤接触时脱去污染的衣着，用肥皂和大量清水清洗污染皮肤；眼睛接触时立即翻开上下眼睑，用流动清水冲洗，至少15分钟，就医；吸入后脱离现场。脱去污染的衣着，至空气新鲜处，就医。防治吸入性肺炎；误食后误服者饮牛奶或植物油，洗胃并灌肠，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3" w:type="pct"/>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泄漏应急</w:t>
                  </w:r>
                </w:p>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处理</w:t>
                  </w:r>
                </w:p>
              </w:tc>
              <w:tc>
                <w:tcPr>
                  <w:tcW w:w="4316" w:type="pct"/>
                  <w:gridSpan w:val="3"/>
                  <w:tcBorders>
                    <w:top w:val="single" w:color="auto" w:sz="4" w:space="0"/>
                    <w:left w:val="nil"/>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切断火源。应急处理人员戴好防毒面具，穿化学防护服。在确保安全情况下堵漏。用活性炭或其它惰性材料吸收，然后收集运到空旷处焚烧。如大量泄漏，利用围堤收容，然后收集、转移、回收或无害处理后废弃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3" w:type="pct"/>
                  <w:tcBorders>
                    <w:top w:val="single" w:color="auto" w:sz="4" w:space="0"/>
                    <w:left w:val="single" w:color="auto" w:sz="4" w:space="0"/>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贮运注意</w:t>
                  </w:r>
                </w:p>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事项</w:t>
                  </w:r>
                </w:p>
              </w:tc>
              <w:tc>
                <w:tcPr>
                  <w:tcW w:w="4316" w:type="pct"/>
                  <w:gridSpan w:val="3"/>
                  <w:tcBorders>
                    <w:top w:val="single" w:color="auto" w:sz="4" w:space="0"/>
                    <w:left w:val="nil"/>
                    <w:bottom w:val="single" w:color="auto" w:sz="4" w:space="0"/>
                    <w:right w:val="single" w:color="auto" w:sz="4" w:space="0"/>
                  </w:tcBorders>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储存于阴凉、通风仓间内。远离火种、热源。防止阳光直射。保持容器密封。应与氧化剂分开存放。桶装堆垛不可过大，应留墙距、顶距、柱距及必要的防火检查走道。罐储时要有防火防爆技术措施。禁止使用易产生火花的机械设备和工具。充装要控制流速，注意防止静电积聚。搬运时要轻装轻卸，防止包装及容器损坏。</w:t>
                  </w:r>
                </w:p>
              </w:tc>
            </w:tr>
          </w:tbl>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本项目涉及环境风险的物质为废变压器油和主变压器油。环境风险主要为运行期环境风险，主要包括：火灾风险、升压变电站事故漏油、箱变漏油、危废间内废变压器油泄漏等。</w:t>
            </w:r>
          </w:p>
          <w:p>
            <w:pPr>
              <w:pStyle w:val="4"/>
              <w:suppressLineNumbers w:val="0"/>
              <w:spacing w:before="0" w:after="0"/>
              <w:ind w:left="0" w:right="0" w:firstLine="482"/>
              <w:rPr>
                <w:rFonts w:hint="eastAsia" w:cs="Times New Roman"/>
                <w:color w:val="auto"/>
              </w:rPr>
            </w:pPr>
            <w:r>
              <w:rPr>
                <w:rFonts w:hint="eastAsia" w:cs="Times New Roman"/>
                <w:color w:val="auto"/>
              </w:rPr>
              <w:t>环境风险分析</w:t>
            </w:r>
          </w:p>
          <w:p>
            <w:pPr>
              <w:pStyle w:val="5"/>
              <w:suppressLineNumbers w:val="0"/>
              <w:spacing w:before="0" w:after="0"/>
              <w:ind w:left="0" w:right="0" w:firstLine="482"/>
              <w:rPr>
                <w:rFonts w:hint="eastAsia" w:ascii="Times New Roman" w:hAnsi="Times New Roman" w:cs="Times New Roman"/>
                <w:color w:val="auto"/>
              </w:rPr>
            </w:pPr>
            <w:r>
              <w:rPr>
                <w:rFonts w:hint="eastAsia" w:ascii="Times New Roman" w:hAnsi="Times New Roman" w:cs="Times New Roman"/>
                <w:color w:val="auto"/>
              </w:rPr>
              <w:t>大气环境危害后果</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光伏场区逆变升压单元等各种电气设备，在外部火源移近、过负荷、短路、过电压、绝缘层严重过热、老化、损坏等情况下，均可能引发电气火灾。燃烧时有发光火焰。未完全燃烧的危险物质在高温下会迅速挥发释放至大气环境，燃烧过程中产生的伴生/次生污染物也会释放至大气环境，在短时间内对周围大气环境造成不利影响。</w:t>
            </w:r>
          </w:p>
          <w:p>
            <w:pPr>
              <w:pStyle w:val="5"/>
              <w:suppressLineNumbers w:val="0"/>
              <w:spacing w:before="0" w:after="0"/>
              <w:ind w:left="0" w:right="0" w:firstLine="482"/>
              <w:rPr>
                <w:rFonts w:hint="eastAsia" w:ascii="Times New Roman" w:hAnsi="Times New Roman" w:cs="Times New Roman"/>
                <w:color w:val="auto"/>
              </w:rPr>
            </w:pPr>
            <w:r>
              <w:rPr>
                <w:rFonts w:hint="eastAsia" w:ascii="Times New Roman" w:hAnsi="Times New Roman" w:cs="Times New Roman"/>
                <w:color w:val="auto"/>
              </w:rPr>
              <w:t>地表水危害后果</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本项目危废间内废变压器油泄漏、主变压器油泄漏或箱变漏油，有毒有害物质进入水体，对地表水环境造成不利影响。</w:t>
            </w:r>
          </w:p>
          <w:p>
            <w:pPr>
              <w:pStyle w:val="5"/>
              <w:suppressLineNumbers w:val="0"/>
              <w:spacing w:before="0" w:after="0"/>
              <w:ind w:left="0" w:right="0" w:firstLine="482"/>
              <w:rPr>
                <w:rFonts w:hint="eastAsia" w:ascii="Times New Roman" w:hAnsi="Times New Roman" w:cs="Times New Roman"/>
                <w:color w:val="auto"/>
              </w:rPr>
            </w:pPr>
            <w:r>
              <w:rPr>
                <w:rFonts w:hint="eastAsia" w:ascii="Times New Roman" w:hAnsi="Times New Roman" w:cs="Times New Roman"/>
                <w:color w:val="auto"/>
              </w:rPr>
              <w:t>土壤危害后果</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本项目危废间内废变压器油泄漏、主变压器油泄漏或箱变漏油，有毒有害物质进入土壤，对土壤环境造成不利影响。</w:t>
            </w:r>
          </w:p>
          <w:p>
            <w:pPr>
              <w:pStyle w:val="5"/>
              <w:suppressLineNumbers w:val="0"/>
              <w:spacing w:before="0" w:after="0"/>
              <w:ind w:left="0" w:right="0" w:firstLine="482"/>
              <w:rPr>
                <w:rFonts w:hint="eastAsia" w:ascii="Times New Roman" w:hAnsi="Times New Roman" w:cs="Times New Roman"/>
                <w:color w:val="auto"/>
              </w:rPr>
            </w:pPr>
            <w:r>
              <w:rPr>
                <w:rFonts w:hint="eastAsia" w:ascii="Times New Roman" w:hAnsi="Times New Roman" w:cs="Times New Roman"/>
                <w:color w:val="auto"/>
              </w:rPr>
              <w:t>生态环境危害后果</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光伏场发生的火灾，如火灾蔓延到周边，对周边植被和生态系统造成严重破坏；危废间内废矿物油泄漏、主变压器油泄漏或箱变漏油，有毒有害物质进入土壤及水体，将对植物生长造成不利影响。</w:t>
            </w:r>
          </w:p>
          <w:p>
            <w:pPr>
              <w:pStyle w:val="4"/>
              <w:suppressLineNumbers w:val="0"/>
              <w:spacing w:before="0" w:after="0"/>
              <w:ind w:left="0" w:right="0" w:firstLine="482"/>
              <w:rPr>
                <w:rFonts w:hint="eastAsia" w:cs="Times New Roman"/>
                <w:color w:val="auto"/>
              </w:rPr>
            </w:pPr>
            <w:r>
              <w:rPr>
                <w:rFonts w:hint="eastAsia" w:cs="Times New Roman"/>
                <w:color w:val="auto"/>
              </w:rPr>
              <w:t>风险防范措施要求</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为使环境风险减小到最低限度，必须加强劳动安全管理，制定完备、有效的安全防范措施，尽可能降低项目环境风险事故发生的概率。</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①严禁野外生火、乱丢烟头等可能引发火灾的不良行为；在秋收季节火灾高风险时期严禁一切野外用火；对进入光伏区的人员进行必要的监管，对进入区的人员及车辆进行细致的检查工作，防止各类火种入场。</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②加强对各种仪器设备的管理并定期检修，及时发现和消除火灾隐患。</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③建立严格的环境管理制度，加强对工作人员和运行管理人员的防火意识和宣传教育，成立防火工作领导小组，进行定期和随机监督检查，发现隐患及时解决，并采取一定的奖惩制度机制，对引起火灾的责任者追究行政和法律责任。</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④按照《变电站和换流站给水排水设计规程》（DL/T5413-2018），升压站内集油池及箱变集油池应满足电力设计规范中事故油池的有效容积应满足最大单台设备油量的100%的要求，升压站设置1座有效容积为30m</w:t>
            </w:r>
            <w:r>
              <w:rPr>
                <w:rFonts w:hint="eastAsia" w:ascii="Times New Roman" w:hAnsi="Times New Roman" w:cs="Times New Roman"/>
                <w:color w:val="auto"/>
                <w:vertAlign w:val="superscript"/>
              </w:rPr>
              <w:t>3</w:t>
            </w:r>
            <w:r>
              <w:rPr>
                <w:rFonts w:hint="eastAsia" w:ascii="Times New Roman" w:hAnsi="Times New Roman" w:cs="Times New Roman"/>
                <w:color w:val="auto"/>
              </w:rPr>
              <w:t>的事故油池；单台箱变下方设置容积为3m</w:t>
            </w:r>
            <w:r>
              <w:rPr>
                <w:rFonts w:hint="eastAsia" w:ascii="Times New Roman" w:hAnsi="Times New Roman" w:cs="Times New Roman"/>
                <w:color w:val="auto"/>
                <w:vertAlign w:val="superscript"/>
              </w:rPr>
              <w:t>3</w:t>
            </w:r>
            <w:r>
              <w:rPr>
                <w:rFonts w:hint="eastAsia" w:ascii="Times New Roman" w:hAnsi="Times New Roman" w:cs="Times New Roman"/>
                <w:color w:val="auto"/>
              </w:rPr>
              <w:t>的事故油池，共设置57座，箱式变压器位于各地块内靠近检修道路的地方，箱变事故油池位于箱式变压器下方。对事故油池采取全面防腐、防渗处理，防渗层为2mm厚高密度聚乙烯，或2mm厚的其它人工材料（防渗层渗透系数小于1×10</w:t>
            </w:r>
            <w:r>
              <w:rPr>
                <w:rFonts w:hint="eastAsia" w:ascii="Times New Roman" w:hAnsi="Times New Roman" w:cs="Times New Roman"/>
                <w:color w:val="auto"/>
                <w:vertAlign w:val="superscript"/>
              </w:rPr>
              <w:t>-10</w:t>
            </w:r>
            <w:r>
              <w:rPr>
                <w:rFonts w:hint="eastAsia" w:ascii="Times New Roman" w:hAnsi="Times New Roman" w:cs="Times New Roman"/>
                <w:color w:val="auto"/>
              </w:rPr>
              <w:t>cm/s）。废变压器油暂存于危废间内，定期交由有资质的单位进行处理，危废间采取全面防腐、防渗处理，防渗层为2mm厚高密度聚乙烯，或2mm厚的其它人工材料（防渗层渗透系数小于1×10</w:t>
            </w:r>
            <w:r>
              <w:rPr>
                <w:rFonts w:hint="eastAsia" w:ascii="Times New Roman" w:hAnsi="Times New Roman" w:cs="Times New Roman"/>
                <w:color w:val="auto"/>
                <w:vertAlign w:val="superscript"/>
              </w:rPr>
              <w:t>-10</w:t>
            </w:r>
            <w:r>
              <w:rPr>
                <w:rFonts w:hint="eastAsia" w:ascii="Times New Roman" w:hAnsi="Times New Roman" w:cs="Times New Roman"/>
                <w:color w:val="auto"/>
              </w:rPr>
              <w:t>cm/s）。</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⑤制定突发环境事件应急预案</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建设单位应制定事故状况下的应急预案和应急措施，一旦发生火灾爆炸事故应立即对周围人员进行疏散，同时利用消防设施进行扑救，并应及时与消防、环保等部门取得联系，多方配合尽量将事故损失降到最低。</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根据环发《企事业单位突发环境事件应急预案备案管理办法（试行）》（[2015]4号），建设单位应编制突发环境事件应急预案，并向所在地环境保护主管部门备案。</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综上，企业在认真落实本报告提出的各项环境风险应急对策措施后，本项目的风险处于可防控的水平，风险管理措施有效可行，因而从风险角度分析本项目的环境风险是可以防控的。</w:t>
            </w:r>
          </w:p>
          <w:p>
            <w:pPr>
              <w:pStyle w:val="3"/>
              <w:keepLines w:val="0"/>
              <w:suppressLineNumbers w:val="0"/>
              <w:spacing w:before="120" w:beforeAutospacing="0" w:after="0" w:afterAutospacing="0"/>
              <w:ind w:right="0" w:firstLine="482"/>
              <w:rPr>
                <w:rFonts w:hint="default" w:ascii="Times New Roman" w:hAnsi="Times New Roman" w:cs="Times New Roman"/>
                <w:color w:val="auto"/>
              </w:rPr>
            </w:pPr>
            <w:r>
              <w:rPr>
                <w:rFonts w:hint="default" w:ascii="Times New Roman" w:hAnsi="Times New Roman" w:cs="Times New Roman"/>
                <w:color w:val="auto"/>
              </w:rPr>
              <w:t>电磁辐射</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本环评不包括电磁辐射影响分析，电磁辐射部分</w:t>
            </w:r>
            <w:r>
              <w:rPr>
                <w:rFonts w:hint="eastAsia" w:ascii="Times New Roman" w:hAnsi="Times New Roman" w:cs="Times New Roman"/>
                <w:color w:val="auto"/>
              </w:rPr>
              <w:t>应根据《建设项目环境影响评价分类管理名录（2021年版）》</w:t>
            </w:r>
            <w:r>
              <w:rPr>
                <w:rFonts w:hint="default" w:ascii="Times New Roman" w:hAnsi="Times New Roman" w:cs="Times New Roman"/>
                <w:color w:val="auto"/>
              </w:rPr>
              <w:t>进行环境影响</w:t>
            </w:r>
            <w:r>
              <w:rPr>
                <w:rFonts w:hint="eastAsia" w:ascii="Times New Roman" w:hAnsi="Times New Roman" w:cs="Times New Roman"/>
                <w:color w:val="auto"/>
              </w:rPr>
              <w:t>报告表进行单独</w:t>
            </w:r>
            <w:r>
              <w:rPr>
                <w:rFonts w:hint="default" w:ascii="Times New Roman" w:hAnsi="Times New Roman" w:cs="Times New Roman"/>
                <w:color w:val="auto"/>
              </w:rPr>
              <w:t>评价。</w:t>
            </w:r>
          </w:p>
          <w:p>
            <w:pPr>
              <w:pStyle w:val="3"/>
              <w:keepLines w:val="0"/>
              <w:suppressLineNumbers w:val="0"/>
              <w:spacing w:before="120" w:beforeAutospacing="0" w:after="0" w:afterAutospacing="0"/>
              <w:ind w:right="0" w:firstLine="482"/>
              <w:rPr>
                <w:rFonts w:hint="default" w:ascii="Times New Roman" w:hAnsi="Times New Roman" w:cs="Times New Roman"/>
                <w:color w:val="auto"/>
              </w:rPr>
            </w:pPr>
            <w:r>
              <w:rPr>
                <w:rFonts w:hint="eastAsia" w:ascii="Times New Roman" w:hAnsi="Times New Roman" w:cs="Times New Roman"/>
                <w:color w:val="auto"/>
              </w:rPr>
              <w:t xml:space="preserve"> </w:t>
            </w:r>
            <w:r>
              <w:rPr>
                <w:rFonts w:hint="default" w:ascii="Times New Roman" w:hAnsi="Times New Roman" w:cs="Times New Roman"/>
                <w:color w:val="auto"/>
              </w:rPr>
              <w:t>服务期满后环境影响分析</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本项目太阳能电池板寿命约25年，待项目运营期满后，按国家相关要求，将对生产区（电池组件及支架等）进行全部拆除或者更换。光伏电站服务期满后影响主要为拆除的</w:t>
            </w:r>
            <w:r>
              <w:rPr>
                <w:rFonts w:hint="eastAsia" w:ascii="Times New Roman" w:hAnsi="Times New Roman" w:cs="Times New Roman"/>
                <w:color w:val="auto"/>
              </w:rPr>
              <w:t>废旧蓄电池</w:t>
            </w:r>
            <w:r>
              <w:rPr>
                <w:rFonts w:hint="default" w:ascii="Times New Roman" w:hAnsi="Times New Roman" w:cs="Times New Roman"/>
                <w:color w:val="auto"/>
              </w:rPr>
              <w:t>等固体废物影响。项目服务期满后废</w:t>
            </w:r>
            <w:r>
              <w:rPr>
                <w:rFonts w:hint="eastAsia" w:ascii="Times New Roman" w:hAnsi="Times New Roman" w:cs="Times New Roman"/>
                <w:color w:val="auto"/>
              </w:rPr>
              <w:t>蓄电池</w:t>
            </w:r>
            <w:r>
              <w:rPr>
                <w:rFonts w:hint="default" w:ascii="Times New Roman" w:hAnsi="Times New Roman" w:cs="Times New Roman"/>
                <w:color w:val="auto"/>
              </w:rPr>
              <w:t>由有资质的单位处置，减少服务期满后不良影响。</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在光伏</w:t>
            </w:r>
            <w:r>
              <w:rPr>
                <w:rFonts w:hint="eastAsia" w:ascii="Times New Roman" w:hAnsi="Times New Roman" w:cs="Times New Roman"/>
                <w:color w:val="auto"/>
              </w:rPr>
              <w:t>场区</w:t>
            </w:r>
            <w:r>
              <w:rPr>
                <w:rFonts w:hint="default" w:ascii="Times New Roman" w:hAnsi="Times New Roman" w:cs="Times New Roman"/>
                <w:color w:val="auto"/>
              </w:rPr>
              <w:t>服务期满后，拆除所有太阳能电池板，处理不当可能对环境造成不良影响</w:t>
            </w:r>
            <w:r>
              <w:rPr>
                <w:rFonts w:hint="eastAsia" w:ascii="Times New Roman" w:hAnsi="Times New Roman" w:cs="Times New Roman"/>
                <w:color w:val="auto"/>
              </w:rPr>
              <w:t>，</w:t>
            </w:r>
            <w:r>
              <w:rPr>
                <w:rFonts w:hint="default" w:ascii="Times New Roman" w:hAnsi="Times New Roman" w:cs="Times New Roman"/>
                <w:color w:val="auto"/>
              </w:rPr>
              <w:t>光伏</w:t>
            </w:r>
            <w:r>
              <w:rPr>
                <w:rFonts w:hint="eastAsia" w:ascii="Times New Roman" w:hAnsi="Times New Roman" w:cs="Times New Roman"/>
                <w:color w:val="auto"/>
              </w:rPr>
              <w:t>场区</w:t>
            </w:r>
            <w:r>
              <w:rPr>
                <w:rFonts w:hint="default" w:ascii="Times New Roman" w:hAnsi="Times New Roman" w:cs="Times New Roman"/>
                <w:color w:val="auto"/>
              </w:rPr>
              <w:t>服务期满后</w:t>
            </w:r>
            <w:r>
              <w:rPr>
                <w:rFonts w:hint="eastAsia" w:ascii="Times New Roman" w:hAnsi="Times New Roman" w:cs="Times New Roman"/>
                <w:color w:val="auto"/>
              </w:rPr>
              <w:t>，</w:t>
            </w:r>
            <w:r>
              <w:rPr>
                <w:rFonts w:hint="default" w:ascii="Times New Roman" w:hAnsi="Times New Roman" w:cs="Times New Roman"/>
                <w:color w:val="auto"/>
              </w:rPr>
              <w:t>光伏</w:t>
            </w:r>
            <w:r>
              <w:rPr>
                <w:rFonts w:hint="eastAsia" w:ascii="Times New Roman" w:hAnsi="Times New Roman" w:cs="Times New Roman"/>
                <w:color w:val="auto"/>
              </w:rPr>
              <w:t>场区对</w:t>
            </w:r>
            <w:r>
              <w:rPr>
                <w:rFonts w:hint="default" w:ascii="Times New Roman" w:hAnsi="Times New Roman" w:cs="Times New Roman"/>
                <w:color w:val="auto"/>
              </w:rPr>
              <w:t>太阳能电池板</w:t>
            </w:r>
            <w:r>
              <w:rPr>
                <w:rFonts w:hint="eastAsia" w:ascii="Times New Roman" w:hAnsi="Times New Roman" w:cs="Times New Roman"/>
                <w:color w:val="auto"/>
              </w:rPr>
              <w:t>等进行拆除后，应</w:t>
            </w:r>
            <w:r>
              <w:rPr>
                <w:rFonts w:hint="default" w:ascii="Times New Roman" w:hAnsi="Times New Roman" w:cs="Times New Roman"/>
                <w:color w:val="auto"/>
              </w:rPr>
              <w:t>对</w:t>
            </w:r>
            <w:r>
              <w:rPr>
                <w:rFonts w:hint="eastAsia" w:ascii="Times New Roman" w:hAnsi="Times New Roman" w:cs="Times New Roman"/>
                <w:color w:val="auto"/>
              </w:rPr>
              <w:t>场地</w:t>
            </w:r>
            <w:r>
              <w:rPr>
                <w:rFonts w:hint="default" w:ascii="Times New Roman" w:hAnsi="Times New Roman" w:cs="Times New Roman"/>
                <w:color w:val="auto"/>
              </w:rPr>
              <w:t>进行</w:t>
            </w:r>
            <w:r>
              <w:rPr>
                <w:rFonts w:hint="eastAsia" w:ascii="Times New Roman" w:hAnsi="Times New Roman" w:cs="Times New Roman"/>
                <w:color w:val="auto"/>
              </w:rPr>
              <w:t>生态</w:t>
            </w:r>
            <w:r>
              <w:rPr>
                <w:rFonts w:hint="default" w:ascii="Times New Roman" w:hAnsi="Times New Roman" w:cs="Times New Roman"/>
                <w:color w:val="auto"/>
              </w:rPr>
              <w:t>恢复。</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综上所述，企业必须严格采取上述环境保护措施，确保无遗留环保问题：项目在服务期满后，均能达到光伏电站环境质量标准要求。</w:t>
            </w:r>
            <w:r>
              <w:rPr>
                <w:rFonts w:hint="eastAsia" w:ascii="Times New Roman" w:hAnsi="Times New Roman" w:cs="Times New Roman"/>
                <w:color w:val="auto"/>
              </w:rPr>
              <w:t xml:space="preserve">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31" w:hRule="atLeast"/>
          <w:jc w:val="center"/>
        </w:trPr>
        <w:tc>
          <w:tcPr>
            <w:tcW w:w="674"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选址选线环境合理性分析</w:t>
            </w:r>
          </w:p>
        </w:tc>
        <w:tc>
          <w:tcPr>
            <w:tcW w:w="8677" w:type="dxa"/>
            <w:noWrap w:val="0"/>
            <w:vAlign w:val="top"/>
          </w:tcPr>
          <w:p>
            <w:pPr>
              <w:pStyle w:val="4"/>
              <w:suppressLineNumbers w:val="0"/>
              <w:spacing w:before="0" w:after="0"/>
              <w:ind w:left="0" w:right="0" w:firstLine="482"/>
              <w:rPr>
                <w:rFonts w:hint="eastAsia" w:cs="Times New Roman"/>
                <w:color w:val="auto"/>
              </w:rPr>
            </w:pPr>
            <w:r>
              <w:rPr>
                <w:rFonts w:hint="eastAsia" w:cs="Times New Roman"/>
                <w:color w:val="auto"/>
              </w:rPr>
              <w:t>占地规划符合性</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本项目建设地点位于河北省承德市丰宁满族自治县万胜永乡等周边区域。项目已在丰宁满族自治县行政审批局备案，备案证编号为丰审批备字[2023]62号。项目不在生态保护红线范围内、项目不占用水环境优先保护区。项目升压站涉及</w:t>
            </w:r>
            <w:r>
              <w:rPr>
                <w:rFonts w:hint="default" w:ascii="Times New Roman" w:hAnsi="Times New Roman" w:cs="Times New Roman"/>
                <w:color w:val="auto"/>
              </w:rPr>
              <w:t>农用地优先保护区</w:t>
            </w:r>
            <w:r>
              <w:rPr>
                <w:rFonts w:hint="eastAsia" w:ascii="Times New Roman" w:hAnsi="Times New Roman" w:cs="Times New Roman"/>
                <w:color w:val="auto"/>
              </w:rPr>
              <w:t>，但根据承德市自然资源和规划局出具的用地预审与选址意见书，项目符合国土空间用途管制要求，选址合理可行。</w:t>
            </w:r>
          </w:p>
          <w:p>
            <w:pPr>
              <w:keepNext w:val="0"/>
              <w:keepLines w:val="0"/>
              <w:numPr>
                <w:ilvl w:val="0"/>
                <w:numId w:val="19"/>
              </w:numPr>
              <w:suppressLineNumbers w:val="0"/>
              <w:bidi w:val="0"/>
              <w:spacing w:before="0" w:beforeAutospacing="0" w:after="0" w:afterAutospacing="0"/>
              <w:ind w:left="5" w:leftChars="0" w:right="0" w:firstLine="472" w:firstLineChars="197"/>
              <w:rPr>
                <w:rFonts w:hint="eastAsia"/>
                <w:color w:val="auto"/>
              </w:rPr>
            </w:pPr>
            <w:r>
              <w:rPr>
                <w:rFonts w:hint="eastAsia"/>
                <w:color w:val="auto"/>
              </w:rPr>
              <w:t>本项目已取得丰宁满族自治县林业和草原局关于本项目升压站用地情况说明，</w:t>
            </w:r>
            <w:r>
              <w:rPr>
                <w:rFonts w:hint="eastAsia"/>
                <w:color w:val="auto"/>
                <w:lang w:val="en-US" w:eastAsia="zh-CN"/>
              </w:rPr>
              <w:t>本项目用地不在林保范围内，不在林地范围内，不在公益林、天保范围内，不在风景名胜区、自然保护区、森林公园、湿地公园范围内</w:t>
            </w:r>
            <w:r>
              <w:rPr>
                <w:rFonts w:hint="eastAsia"/>
                <w:color w:val="auto"/>
                <w:lang w:eastAsia="zh-CN"/>
              </w:rPr>
              <w:t>，</w:t>
            </w:r>
            <w:r>
              <w:rPr>
                <w:rFonts w:hint="eastAsia"/>
                <w:color w:val="auto"/>
                <w:lang w:val="en-US" w:eastAsia="zh-CN"/>
              </w:rPr>
              <w:t>具体内容见附件3</w:t>
            </w:r>
            <w:r>
              <w:rPr>
                <w:rFonts w:hint="eastAsia"/>
                <w:color w:val="auto"/>
                <w:lang w:eastAsia="zh-CN"/>
              </w:rPr>
              <w:t>；</w:t>
            </w:r>
          </w:p>
          <w:p>
            <w:pPr>
              <w:keepNext w:val="0"/>
              <w:keepLines w:val="0"/>
              <w:numPr>
                <w:ilvl w:val="0"/>
                <w:numId w:val="19"/>
              </w:numPr>
              <w:suppressLineNumbers w:val="0"/>
              <w:bidi w:val="0"/>
              <w:spacing w:before="0" w:beforeAutospacing="0" w:after="0" w:afterAutospacing="0"/>
              <w:ind w:left="5" w:leftChars="0" w:right="0" w:firstLine="472" w:firstLineChars="197"/>
              <w:rPr>
                <w:rFonts w:hint="default"/>
                <w:color w:val="auto"/>
              </w:rPr>
            </w:pPr>
            <w:r>
              <w:rPr>
                <w:rFonts w:hint="eastAsia"/>
                <w:color w:val="auto"/>
              </w:rPr>
              <w:t>本项目已取得承德市生态环境局丰宁满族自治县分局关于本项目是否在饮用水水源保护区的复函，复函中明确说明本项目</w:t>
            </w:r>
            <w:r>
              <w:rPr>
                <w:rFonts w:hint="eastAsia"/>
                <w:color w:val="auto"/>
                <w:lang w:val="en-US" w:eastAsia="zh-CN"/>
              </w:rPr>
              <w:t>所在地块</w:t>
            </w:r>
            <w:r>
              <w:rPr>
                <w:rFonts w:hint="eastAsia"/>
                <w:color w:val="auto"/>
              </w:rPr>
              <w:t>不占用饮用水水源保护区</w:t>
            </w:r>
            <w:r>
              <w:rPr>
                <w:rFonts w:hint="eastAsia"/>
                <w:color w:val="auto"/>
                <w:lang w:eastAsia="zh-CN"/>
              </w:rPr>
              <w:t>，</w:t>
            </w:r>
            <w:r>
              <w:rPr>
                <w:rFonts w:hint="eastAsia"/>
                <w:color w:val="auto"/>
                <w:lang w:val="en-US" w:eastAsia="zh-CN"/>
              </w:rPr>
              <w:t>具体内容见附件4</w:t>
            </w:r>
            <w:r>
              <w:rPr>
                <w:rFonts w:hint="eastAsia"/>
                <w:color w:val="auto"/>
              </w:rPr>
              <w:t>；</w:t>
            </w:r>
          </w:p>
          <w:p>
            <w:pPr>
              <w:keepNext w:val="0"/>
              <w:keepLines w:val="0"/>
              <w:numPr>
                <w:ilvl w:val="0"/>
                <w:numId w:val="19"/>
              </w:numPr>
              <w:suppressLineNumbers w:val="0"/>
              <w:bidi w:val="0"/>
              <w:spacing w:before="0" w:beforeAutospacing="0" w:after="0" w:afterAutospacing="0"/>
              <w:ind w:left="5" w:leftChars="0" w:right="0" w:firstLine="472" w:firstLineChars="197"/>
              <w:rPr>
                <w:rFonts w:hint="default"/>
                <w:color w:val="auto"/>
              </w:rPr>
            </w:pPr>
            <w:r>
              <w:rPr>
                <w:rFonts w:hint="default"/>
                <w:color w:val="auto"/>
              </w:rPr>
              <w:t>本项目已取得丰宁满族自治县自然资源和规划局关于本项目地类、基本农田、生态红线查询情况说明，说明中明确表明项目</w:t>
            </w:r>
            <w:r>
              <w:rPr>
                <w:rFonts w:hint="eastAsia"/>
                <w:color w:val="auto"/>
                <w:lang w:val="en-US" w:eastAsia="zh-CN"/>
              </w:rPr>
              <w:t>选址</w:t>
            </w:r>
            <w:r>
              <w:rPr>
                <w:rFonts w:hint="default"/>
                <w:color w:val="auto"/>
              </w:rPr>
              <w:t>不占用</w:t>
            </w:r>
            <w:r>
              <w:rPr>
                <w:rFonts w:hint="eastAsia"/>
                <w:color w:val="auto"/>
                <w:lang w:val="en-US" w:eastAsia="zh-CN"/>
              </w:rPr>
              <w:t>丰宁满族自治县2022版</w:t>
            </w:r>
            <w:r>
              <w:rPr>
                <w:rFonts w:hint="default"/>
                <w:color w:val="auto"/>
              </w:rPr>
              <w:t>基本农田</w:t>
            </w:r>
            <w:r>
              <w:rPr>
                <w:rFonts w:hint="eastAsia"/>
                <w:color w:val="auto"/>
                <w:lang w:val="en-US" w:eastAsia="zh-CN"/>
              </w:rPr>
              <w:t>保护区</w:t>
            </w:r>
            <w:r>
              <w:rPr>
                <w:rFonts w:hint="default"/>
                <w:color w:val="auto"/>
              </w:rPr>
              <w:t>，不在</w:t>
            </w:r>
            <w:r>
              <w:rPr>
                <w:rFonts w:hint="eastAsia"/>
                <w:color w:val="auto"/>
                <w:lang w:val="en-US" w:eastAsia="zh-CN"/>
              </w:rPr>
              <w:t>2022版</w:t>
            </w:r>
            <w:r>
              <w:rPr>
                <w:rFonts w:hint="default"/>
                <w:color w:val="auto"/>
              </w:rPr>
              <w:t>生态保护红线范围内</w:t>
            </w:r>
            <w:r>
              <w:rPr>
                <w:rFonts w:hint="default"/>
                <w:color w:val="auto"/>
                <w:lang w:eastAsia="zh-CN"/>
              </w:rPr>
              <w:t>，</w:t>
            </w:r>
            <w:r>
              <w:rPr>
                <w:rFonts w:hint="default"/>
                <w:color w:val="auto"/>
                <w:lang w:val="en-US" w:eastAsia="zh-CN"/>
              </w:rPr>
              <w:t>具体内容见附件</w:t>
            </w:r>
            <w:r>
              <w:rPr>
                <w:rFonts w:hint="eastAsia"/>
                <w:color w:val="auto"/>
                <w:lang w:val="en-US" w:eastAsia="zh-CN"/>
              </w:rPr>
              <w:t>5</w:t>
            </w:r>
            <w:r>
              <w:rPr>
                <w:rFonts w:hint="default"/>
                <w:color w:val="auto"/>
              </w:rPr>
              <w:t>；</w:t>
            </w:r>
          </w:p>
          <w:p>
            <w:pPr>
              <w:keepNext w:val="0"/>
              <w:keepLines w:val="0"/>
              <w:numPr>
                <w:ilvl w:val="0"/>
                <w:numId w:val="19"/>
              </w:numPr>
              <w:suppressLineNumbers w:val="0"/>
              <w:bidi w:val="0"/>
              <w:spacing w:before="0" w:beforeAutospacing="0" w:after="0" w:afterAutospacing="0"/>
              <w:ind w:left="5" w:leftChars="0" w:right="0" w:firstLine="472" w:firstLineChars="197"/>
              <w:rPr>
                <w:rFonts w:hint="default"/>
                <w:color w:val="auto"/>
              </w:rPr>
            </w:pPr>
            <w:r>
              <w:rPr>
                <w:rFonts w:hint="eastAsia"/>
                <w:color w:val="auto"/>
              </w:rPr>
              <w:t>本项目已取得丰宁满族自治县文物保护管理所关于本项目的回复，回复中明确说明项目用地范围内无</w:t>
            </w:r>
            <w:r>
              <w:rPr>
                <w:rFonts w:hint="eastAsia"/>
                <w:color w:val="auto"/>
                <w:lang w:val="en-US" w:eastAsia="zh-CN"/>
              </w:rPr>
              <w:t>国家、省、市、县级别的</w:t>
            </w:r>
            <w:r>
              <w:rPr>
                <w:rFonts w:hint="eastAsia"/>
                <w:color w:val="auto"/>
              </w:rPr>
              <w:t>文物保护单位和相关文物</w:t>
            </w:r>
            <w:r>
              <w:rPr>
                <w:rFonts w:hint="eastAsia"/>
                <w:color w:val="auto"/>
                <w:lang w:eastAsia="zh-CN"/>
              </w:rPr>
              <w:t>，</w:t>
            </w:r>
            <w:r>
              <w:rPr>
                <w:rFonts w:hint="eastAsia"/>
                <w:color w:val="auto"/>
                <w:lang w:val="en-US" w:eastAsia="zh-CN"/>
              </w:rPr>
              <w:t>同意开展项目前期工作，具体内容见附件6</w:t>
            </w:r>
            <w:r>
              <w:rPr>
                <w:rFonts w:hint="eastAsia"/>
                <w:color w:val="auto"/>
              </w:rPr>
              <w:t>；</w:t>
            </w:r>
          </w:p>
          <w:p>
            <w:pPr>
              <w:keepNext w:val="0"/>
              <w:keepLines w:val="0"/>
              <w:numPr>
                <w:ilvl w:val="0"/>
                <w:numId w:val="19"/>
              </w:numPr>
              <w:suppressLineNumbers w:val="0"/>
              <w:bidi w:val="0"/>
              <w:spacing w:before="0" w:beforeAutospacing="0" w:after="0" w:afterAutospacing="0"/>
              <w:ind w:left="5" w:leftChars="0" w:right="0" w:firstLine="472" w:firstLineChars="197"/>
              <w:rPr>
                <w:rFonts w:hint="default"/>
                <w:color w:val="auto"/>
              </w:rPr>
            </w:pPr>
            <w:r>
              <w:rPr>
                <w:rFonts w:hint="eastAsia"/>
                <w:color w:val="auto"/>
              </w:rPr>
              <w:t>本项目已取得丰宁满族自治县人民武装部关于本项目选择的意见，意见明确表明项目建设地点无人民武装部管辖的国防工程，</w:t>
            </w:r>
            <w:r>
              <w:rPr>
                <w:rFonts w:hint="eastAsia"/>
                <w:color w:val="auto"/>
                <w:lang w:val="en-US" w:eastAsia="zh-CN"/>
              </w:rPr>
              <w:t>原则上</w:t>
            </w:r>
            <w:r>
              <w:rPr>
                <w:rFonts w:hint="eastAsia"/>
                <w:color w:val="auto"/>
              </w:rPr>
              <w:t>同意选址方案</w:t>
            </w:r>
            <w:r>
              <w:rPr>
                <w:rFonts w:hint="eastAsia"/>
                <w:color w:val="auto"/>
                <w:lang w:eastAsia="zh-CN"/>
              </w:rPr>
              <w:t>，</w:t>
            </w:r>
            <w:r>
              <w:rPr>
                <w:rFonts w:hint="eastAsia"/>
                <w:color w:val="auto"/>
                <w:lang w:val="en-US" w:eastAsia="zh-CN"/>
              </w:rPr>
              <w:t>具体内容见附件7；</w:t>
            </w:r>
          </w:p>
          <w:p>
            <w:pPr>
              <w:keepNext w:val="0"/>
              <w:keepLines w:val="0"/>
              <w:numPr>
                <w:ilvl w:val="0"/>
                <w:numId w:val="19"/>
              </w:numPr>
              <w:suppressLineNumbers w:val="0"/>
              <w:bidi w:val="0"/>
              <w:spacing w:before="0" w:beforeAutospacing="0" w:after="0" w:afterAutospacing="0"/>
              <w:ind w:left="5" w:leftChars="0" w:right="0" w:firstLine="472" w:firstLineChars="197"/>
              <w:rPr>
                <w:rFonts w:hint="default"/>
                <w:color w:val="auto"/>
              </w:rPr>
            </w:pPr>
            <w:r>
              <w:rPr>
                <w:rFonts w:hint="default"/>
                <w:color w:val="auto"/>
              </w:rPr>
              <w:t>本项目已取得丰宁满族自治县水务局关于本项目选址意见的回复函，回复函中明确说明项目</w:t>
            </w:r>
            <w:r>
              <w:rPr>
                <w:rFonts w:hint="eastAsia"/>
                <w:color w:val="auto"/>
                <w:lang w:val="en-US" w:eastAsia="zh-CN"/>
              </w:rPr>
              <w:t>所在地块</w:t>
            </w:r>
            <w:r>
              <w:rPr>
                <w:rFonts w:hint="default"/>
                <w:color w:val="auto"/>
              </w:rPr>
              <w:t>不在主河道管理范围内</w:t>
            </w:r>
            <w:r>
              <w:rPr>
                <w:rFonts w:hint="default"/>
                <w:color w:val="auto"/>
                <w:lang w:eastAsia="zh-CN"/>
              </w:rPr>
              <w:t>，</w:t>
            </w:r>
            <w:r>
              <w:rPr>
                <w:rFonts w:hint="default"/>
                <w:color w:val="auto"/>
                <w:lang w:val="en-US" w:eastAsia="zh-CN"/>
              </w:rPr>
              <w:t>具体内容见附件</w:t>
            </w:r>
            <w:r>
              <w:rPr>
                <w:rFonts w:hint="eastAsia"/>
                <w:color w:val="auto"/>
                <w:lang w:val="en-US" w:eastAsia="zh-CN"/>
              </w:rPr>
              <w:t>8。</w:t>
            </w:r>
          </w:p>
          <w:p>
            <w:pPr>
              <w:pStyle w:val="4"/>
              <w:suppressLineNumbers w:val="0"/>
              <w:spacing w:before="0" w:after="0"/>
              <w:ind w:left="0" w:right="0" w:firstLine="482"/>
              <w:rPr>
                <w:rFonts w:hint="eastAsia" w:cs="Times New Roman"/>
                <w:color w:val="auto"/>
              </w:rPr>
            </w:pPr>
            <w:r>
              <w:rPr>
                <w:rFonts w:hint="eastAsia" w:cs="Times New Roman"/>
                <w:color w:val="auto"/>
              </w:rPr>
              <w:t>“三线一单”符合性分析</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根据上文“其他符合性分析”栏的分析结果，本项目占地符合区域“三线一单”的要求。</w:t>
            </w:r>
          </w:p>
          <w:p>
            <w:pPr>
              <w:pStyle w:val="4"/>
              <w:suppressLineNumbers w:val="0"/>
              <w:spacing w:before="0" w:after="0"/>
              <w:ind w:left="0" w:right="0" w:firstLine="482"/>
              <w:rPr>
                <w:rFonts w:hint="eastAsia" w:cs="Times New Roman"/>
                <w:color w:val="auto"/>
              </w:rPr>
            </w:pPr>
            <w:r>
              <w:rPr>
                <w:rFonts w:hint="eastAsia" w:cs="Times New Roman"/>
                <w:color w:val="auto"/>
              </w:rPr>
              <w:t>项目对区域环境影响分析</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①对区域植被的影响</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本项目</w:t>
            </w:r>
            <w:r>
              <w:rPr>
                <w:rFonts w:hint="eastAsia" w:cs="Times New Roman"/>
                <w:color w:val="auto"/>
                <w:lang w:val="en-US" w:eastAsia="zh-CN"/>
              </w:rPr>
              <w:t>施工时会导致</w:t>
            </w:r>
            <w:r>
              <w:rPr>
                <w:rFonts w:hint="eastAsia" w:ascii="Times New Roman" w:hAnsi="Times New Roman" w:cs="Times New Roman"/>
                <w:color w:val="auto"/>
              </w:rPr>
              <w:t>占地区域破坏植被，使植被生物量降低</w:t>
            </w:r>
            <w:r>
              <w:rPr>
                <w:rFonts w:hint="eastAsia" w:cs="Times New Roman"/>
                <w:color w:val="auto"/>
                <w:lang w:eastAsia="zh-CN"/>
              </w:rPr>
              <w:t>。</w:t>
            </w:r>
            <w:r>
              <w:rPr>
                <w:rFonts w:hint="eastAsia" w:ascii="Times New Roman" w:hAnsi="Times New Roman" w:cs="Times New Roman"/>
                <w:color w:val="auto"/>
              </w:rPr>
              <w:t>本项目不涉及基本农田和珍稀濒危植被的破坏。项目建成后及时恢道路、临时占地等区域植被，同时对光伏场区域内进行撒种、种牧草，恢复区域的植被的生物量。</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②对区域动物的影响</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施工机械噪声和人员活动噪声会对野生动物造成一定的影响。经过对当地的调查，本项目场址内没有大型野生动物出没，哺乳动物主要是鼠、兔等小型动物，可以及时找到类似生境，因此施工期对野生动物的影响有限。</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③对非生物因素的影响</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施工过程中使区域土壤结构、成分、养分发生变化。通过加强表土剥离及妥善保存，并用于后期植被恢复，保留土壤的原有养分，降低区域的生态影响。</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④水土流失的影响</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项目建设中将扰动、破坏原地貌及其植被，特别是工程活动形成的开挖破损面以及倒运、堆放的松散弃渣极易产生新的土壤侵蚀和水土流失。要求建设单位严格按照水土保持方案设置保护措施，降低水土流失的影响程度。</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⑤景观影响</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本项目施工期在该区域建设大面积的光伏设备，虽然一定程度上改变了该区域原有的草地的自然景观，但建成后形成人与自然完美结合的景观，为这一区域增添色彩。</w:t>
            </w:r>
          </w:p>
          <w:p>
            <w:pPr>
              <w:pStyle w:val="4"/>
              <w:suppressLineNumbers w:val="0"/>
              <w:spacing w:before="0" w:after="0"/>
              <w:ind w:left="0" w:right="0" w:firstLine="482"/>
              <w:rPr>
                <w:rFonts w:hint="eastAsia" w:cs="Times New Roman"/>
                <w:color w:val="auto"/>
              </w:rPr>
            </w:pPr>
            <w:r>
              <w:rPr>
                <w:rFonts w:hint="eastAsia" w:cs="Times New Roman"/>
                <w:color w:val="auto"/>
              </w:rPr>
              <w:t>结论</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综上所述，项目建设对区域生态环境的影响可接受，选址选线合理可行。</w:t>
            </w:r>
          </w:p>
        </w:tc>
      </w:tr>
    </w:tbl>
    <w:p>
      <w:pPr>
        <w:jc w:val="center"/>
        <w:rPr>
          <w:rFonts w:ascii="黑体" w:hAnsi="黑体" w:eastAsia="黑体"/>
          <w:snapToGrid w:val="0"/>
          <w:color w:val="auto"/>
          <w:sz w:val="36"/>
          <w:szCs w:val="36"/>
        </w:rPr>
        <w:sectPr>
          <w:pgSz w:w="11906" w:h="16838"/>
          <w:pgMar w:top="1440" w:right="1800" w:bottom="1440" w:left="1800" w:header="851" w:footer="1077" w:gutter="0"/>
          <w:cols w:space="720" w:num="1"/>
          <w:docGrid w:linePitch="312" w:charSpace="0"/>
        </w:sectPr>
      </w:pPr>
    </w:p>
    <w:p>
      <w:pPr>
        <w:spacing w:line="14" w:lineRule="auto"/>
        <w:ind w:firstLine="600"/>
        <w:jc w:val="center"/>
        <w:outlineLvl w:val="0"/>
        <w:rPr>
          <w:rFonts w:hint="eastAsia" w:ascii="黑体" w:hAnsi="黑体" w:eastAsia="黑体"/>
          <w:snapToGrid w:val="0"/>
          <w:color w:val="auto"/>
          <w:sz w:val="30"/>
          <w:szCs w:val="30"/>
        </w:rPr>
      </w:pPr>
    </w:p>
    <w:p>
      <w:pPr>
        <w:ind w:firstLine="600"/>
        <w:jc w:val="center"/>
        <w:outlineLvl w:val="0"/>
        <w:rPr>
          <w:rFonts w:ascii="黑体" w:hAnsi="黑体" w:eastAsia="黑体"/>
          <w:snapToGrid w:val="0"/>
          <w:color w:val="auto"/>
          <w:sz w:val="30"/>
          <w:szCs w:val="30"/>
        </w:rPr>
      </w:pPr>
      <w:r>
        <w:rPr>
          <w:rFonts w:hint="eastAsia" w:ascii="黑体" w:hAnsi="黑体" w:eastAsia="黑体"/>
          <w:snapToGrid w:val="0"/>
          <w:color w:val="auto"/>
          <w:sz w:val="30"/>
          <w:szCs w:val="30"/>
        </w:rPr>
        <w:t>五、主要生态环境保护措施</w:t>
      </w:r>
    </w:p>
    <w:tbl>
      <w:tblPr>
        <w:tblStyle w:val="20"/>
        <w:tblW w:w="921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53"/>
        <w:gridCol w:w="845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82" w:hRule="atLeast"/>
          <w:jc w:val="center"/>
        </w:trPr>
        <w:tc>
          <w:tcPr>
            <w:tcW w:w="753" w:type="dxa"/>
            <w:noWrap w:val="0"/>
            <w:tcMar>
              <w:left w:w="28" w:type="dxa"/>
              <w:right w:w="28" w:type="dxa"/>
            </w:tcMar>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施工期生态环境保护措施</w:t>
            </w:r>
          </w:p>
        </w:tc>
        <w:tc>
          <w:tcPr>
            <w:tcW w:w="8457" w:type="dxa"/>
            <w:noWrap w:val="0"/>
            <w:vAlign w:val="top"/>
          </w:tcPr>
          <w:p>
            <w:pPr>
              <w:pStyle w:val="3"/>
              <w:keepLines w:val="0"/>
              <w:numPr>
                <w:ilvl w:val="0"/>
                <w:numId w:val="20"/>
              </w:numPr>
              <w:suppressLineNumbers w:val="0"/>
              <w:spacing w:before="120" w:beforeAutospacing="0" w:after="0" w:afterAutospacing="0"/>
              <w:ind w:right="0" w:firstLine="482"/>
              <w:rPr>
                <w:rFonts w:hint="default" w:ascii="Times New Roman" w:hAnsi="Times New Roman" w:cs="Times New Roman"/>
                <w:color w:val="auto"/>
              </w:rPr>
            </w:pPr>
            <w:r>
              <w:rPr>
                <w:rFonts w:hint="eastAsia" w:ascii="Times New Roman" w:hAnsi="Times New Roman" w:cs="Times New Roman"/>
                <w:color w:val="auto"/>
              </w:rPr>
              <w:t>施工期</w:t>
            </w:r>
            <w:r>
              <w:rPr>
                <w:rFonts w:hint="default" w:ascii="Times New Roman" w:hAnsi="Times New Roman" w:cs="Times New Roman"/>
                <w:color w:val="auto"/>
              </w:rPr>
              <w:t>大气环境保护措施</w:t>
            </w:r>
          </w:p>
          <w:p>
            <w:pPr>
              <w:pStyle w:val="4"/>
              <w:suppressLineNumbers w:val="0"/>
              <w:spacing w:before="0" w:after="0"/>
              <w:ind w:left="0" w:right="0" w:firstLine="482"/>
              <w:rPr>
                <w:rFonts w:hint="default" w:cs="Times New Roman"/>
                <w:color w:val="auto"/>
              </w:rPr>
            </w:pPr>
            <w:r>
              <w:rPr>
                <w:rFonts w:hint="default" w:cs="Times New Roman"/>
                <w:color w:val="auto"/>
              </w:rPr>
              <w:t>施工扬尘、运输扬尘</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为减少施工期施工扬尘、运输扬尘产生量，采取积极控制措施：</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①在施工现场出入口明显位置设置公示牌，公示施工现场负责人、环保监督员、防尘措施、扬尘监督管理部门、举报投诉电话等信息；</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default" w:ascii="Times New Roman" w:hAnsi="Times New Roman" w:cs="Times New Roman"/>
                <w:color w:val="auto"/>
              </w:rPr>
              <w:t>②施工现场必须连续设置硬质围挡，围挡应坚固、美观，严禁围挡不严或敞开式施工。本项目围挡高度应不低于1.8m</w:t>
            </w:r>
            <w:r>
              <w:rPr>
                <w:rFonts w:hint="eastAsia" w:ascii="Times New Roman" w:hAnsi="Times New Roman" w:cs="Times New Roman"/>
                <w:color w:val="auto"/>
              </w:rPr>
              <w:t>；</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③对施工现场出入口、场内施工道路、材料加工堆放区进行硬化处理，并保持地面整洁；</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④在施工现场出口处设置车辆清洗设施并配套设置排水、泥浆沉淀设施，车辆冲洗干净后方可驶出；</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⑤建筑垃圾应当及时清运，运输车辆应减速慢行，运输建筑垃圾及土方时应采用蓬布遮盖，以避免沿途洒落，减少运输扬尘；建筑垃圾在场地内堆存的，应当集中堆放并采取密闭或者遮盖等防尘措施；</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⑥</w:t>
            </w:r>
            <w:r>
              <w:rPr>
                <w:rFonts w:hint="default" w:ascii="Times New Roman" w:hAnsi="Times New Roman" w:cs="Times New Roman"/>
                <w:color w:val="auto"/>
              </w:rPr>
              <w:t>建施工单位加强监管，对现场作业人员进行环境保护方面的培训教育，严格按照《河北省扬尘污染防治办法》（河北省人民政府令〔2020〕第1号）要求进行施工作业。采取以上措施，施工扬尘中PM</w:t>
            </w:r>
            <w:r>
              <w:rPr>
                <w:rFonts w:hint="default" w:ascii="Times New Roman" w:hAnsi="Times New Roman" w:cs="Times New Roman"/>
                <w:color w:val="auto"/>
                <w:vertAlign w:val="subscript"/>
              </w:rPr>
              <w:t>10</w:t>
            </w:r>
            <w:r>
              <w:rPr>
                <w:rFonts w:hint="default" w:ascii="Times New Roman" w:hAnsi="Times New Roman" w:cs="Times New Roman"/>
                <w:color w:val="auto"/>
              </w:rPr>
              <w:t>满足《施工场地扬尘排放标准》(DB13/2934-2019)表1中的扬尘排放浓度限值要求，对区域大气环境影响较小。</w:t>
            </w:r>
          </w:p>
          <w:p>
            <w:pPr>
              <w:pStyle w:val="4"/>
              <w:suppressLineNumbers w:val="0"/>
              <w:spacing w:before="0" w:after="0"/>
              <w:ind w:left="0" w:right="0" w:firstLine="482"/>
              <w:rPr>
                <w:rFonts w:hint="default" w:cs="Times New Roman"/>
                <w:color w:val="auto"/>
              </w:rPr>
            </w:pPr>
            <w:r>
              <w:rPr>
                <w:rFonts w:hint="default" w:cs="Times New Roman"/>
                <w:color w:val="auto"/>
              </w:rPr>
              <w:t>施工机械、机动车辆在施工时排放的尾气。</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尾气通过车辆和机械的排气管排放，排放高度较低，一般为0.5-1.5m，属于无组织排放。但本项目施工期较短，因此，施工车辆和机械的尾气中污染物排放量相对较少。在施工过程中施工方应保证施工机械及车辆运行状态的良好。在机械、车辆运转状况良好的条件下，产生的上述污染物质浓度较低，不会对环境空气质量产生较明显的影响，并且施工期施工时间较短，因此，施工机械对环境的影响仅是暂时性的，不会对当地的环境空气质量带来长久的影响。</w:t>
            </w:r>
          </w:p>
          <w:p>
            <w:pPr>
              <w:pStyle w:val="4"/>
              <w:suppressLineNumbers w:val="0"/>
              <w:spacing w:before="0" w:after="0"/>
              <w:ind w:left="0" w:right="0" w:firstLine="482"/>
              <w:rPr>
                <w:rFonts w:hint="default" w:cs="Times New Roman"/>
                <w:color w:val="auto"/>
              </w:rPr>
            </w:pPr>
            <w:r>
              <w:rPr>
                <w:rFonts w:hint="default" w:cs="Times New Roman"/>
                <w:color w:val="auto"/>
              </w:rPr>
              <w:t>措施可行性分析</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本项目按照《河北省建筑施工扬尘防治新15条标准》、《承德市建筑施工现场管理暂行办法》，采区合理安排施工进度，缩短施工期，大风天气禁止施工，施工场地洒水降尘，物料轻装轻卸，易起尘物料采用帆布遮盖堆存、土方开挖湿法作业、出入车辆清洗、渣土车辆密闭运输等。</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项目在采取了以上治理措施后，项目施工场地扬尘满足《施工场地扬尘排放标准》（DB 13/ 2934-2019）表1中扬尘排放浓度限值，对周围大气环境影响可接受。</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建设单位拟采用的废气治理措施均为在各类施工场地普遍采用的措施，具有较高的可操作性，经济成本低廉，措施效果显著，技术、经济可行。</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项目建设阶段对区域大气环境的影响将随着建设阶段的结束而消除，采取上述措施后，项目对区域大气环境影响可接受。</w:t>
            </w:r>
          </w:p>
          <w:p>
            <w:pPr>
              <w:pStyle w:val="3"/>
              <w:keepLines w:val="0"/>
              <w:suppressLineNumbers w:val="0"/>
              <w:spacing w:before="120" w:beforeAutospacing="0" w:after="0" w:afterAutospacing="0"/>
              <w:ind w:right="0" w:firstLine="482"/>
              <w:rPr>
                <w:rFonts w:hint="default" w:ascii="Times New Roman" w:hAnsi="Times New Roman" w:cs="Times New Roman"/>
                <w:color w:val="auto"/>
              </w:rPr>
            </w:pPr>
            <w:r>
              <w:rPr>
                <w:rFonts w:hint="eastAsia" w:ascii="Times New Roman" w:hAnsi="Times New Roman" w:cs="Times New Roman"/>
                <w:color w:val="auto"/>
              </w:rPr>
              <w:t>施工期</w:t>
            </w:r>
            <w:r>
              <w:rPr>
                <w:rFonts w:hint="default" w:ascii="Times New Roman" w:hAnsi="Times New Roman" w:cs="Times New Roman"/>
                <w:color w:val="auto"/>
              </w:rPr>
              <w:t>水环境保护措施</w:t>
            </w:r>
            <w:r>
              <w:rPr>
                <w:rFonts w:hint="eastAsia" w:ascii="Times New Roman" w:hAnsi="Times New Roman" w:cs="Times New Roman"/>
                <w:color w:val="auto"/>
              </w:rPr>
              <w:t xml:space="preserve"> </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为有效防治施工期施工废水和施工人员生活污水的影响，严守环境质量底线，确保环境功能区划不降低，强化了本项目施工期水污染防治措施，具体如下：</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①含有害物质的建材和其它固体废物不得随意倾倒或堆放，施工建材应设篷盖，必要时设围栏，各种固体废物应及时清运或依有关规定处理。</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②施工人员生活污水</w:t>
            </w:r>
            <w:r>
              <w:rPr>
                <w:rFonts w:hint="eastAsia" w:ascii="Times New Roman" w:hAnsi="Times New Roman" w:cs="Times New Roman"/>
                <w:color w:val="auto"/>
              </w:rPr>
              <w:t>洒水降尘</w:t>
            </w:r>
            <w:r>
              <w:rPr>
                <w:rFonts w:hint="default" w:ascii="Times New Roman" w:hAnsi="Times New Roman" w:cs="Times New Roman"/>
                <w:color w:val="auto"/>
              </w:rPr>
              <w:t>。</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③加强施工人员环境保护工作宣传教育工作，施工废料及生活垃圾严禁随意乱丢乱扔，不得随意倾倒、排放各种废水和固体废物。</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④</w:t>
            </w:r>
            <w:r>
              <w:rPr>
                <w:rFonts w:hint="default" w:ascii="Times New Roman" w:hAnsi="Times New Roman" w:cs="Times New Roman"/>
                <w:color w:val="auto"/>
              </w:rPr>
              <w:t>施工时应选择在非汛期，避开雨季，减小对所</w:t>
            </w:r>
            <w:r>
              <w:rPr>
                <w:rFonts w:hint="eastAsia" w:ascii="Times New Roman" w:hAnsi="Times New Roman" w:cs="Times New Roman"/>
                <w:color w:val="auto"/>
              </w:rPr>
              <w:t>在区域</w:t>
            </w:r>
            <w:r>
              <w:rPr>
                <w:rFonts w:hint="default" w:ascii="Times New Roman" w:hAnsi="Times New Roman" w:cs="Times New Roman"/>
                <w:color w:val="auto"/>
              </w:rPr>
              <w:t>的影响。</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采取以上措施后，无施工废水排至水环境，施工期废水不会对沿线水体产生影响，施工期废水治理措施可行。</w:t>
            </w:r>
          </w:p>
          <w:p>
            <w:pPr>
              <w:pStyle w:val="3"/>
              <w:keepLines w:val="0"/>
              <w:suppressLineNumbers w:val="0"/>
              <w:spacing w:before="120" w:beforeAutospacing="0" w:after="0" w:afterAutospacing="0"/>
              <w:ind w:right="0" w:firstLine="482"/>
              <w:rPr>
                <w:rFonts w:hint="default" w:ascii="Times New Roman" w:hAnsi="Times New Roman" w:cs="Times New Roman"/>
                <w:color w:val="auto"/>
              </w:rPr>
            </w:pPr>
            <w:r>
              <w:rPr>
                <w:rFonts w:hint="eastAsia" w:ascii="Times New Roman" w:hAnsi="Times New Roman" w:cs="Times New Roman"/>
                <w:color w:val="auto"/>
              </w:rPr>
              <w:t>施工期</w:t>
            </w:r>
            <w:r>
              <w:rPr>
                <w:rFonts w:hint="default" w:ascii="Times New Roman" w:hAnsi="Times New Roman" w:cs="Times New Roman"/>
                <w:color w:val="auto"/>
              </w:rPr>
              <w:t>声环境保护措施</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尽量采取低噪声设备，并对设备定期维修、养护，减少机械设备因故障而增加其工作过程中的噪声级，对因故障而使其噪声级成倍增加的设备立即关闭；按规定操作机械设备，在支架拆卸等过程中减少碰撞产生的刺耳噪声，做到文明施工。高噪声设备尽量设置在远离居民点位置。对于产生噪声较大机械设备，应采取防噪措施，合理安排作业时间，白天施工，以满足《建筑施工场界环境噪声排放限值》（GB12523-2011）中规定的噪声限值。如果必须夜间施工须办理相关手续，严禁高噪声设备运行，尽量降低噪声对附近居民的影响。此外还要加强施工机械的维修管理，保证施工设备处于低噪声、良好的工作状态；合理选择施工机械的停放场地。</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施工中强化施工期噪声环境管理。施工期噪声应严格执行《建筑施工场界噪声限值》（GB12523-2011）标准和当地建筑施工管理的有关规定，避免扰民事件的发生。</w:t>
            </w:r>
          </w:p>
          <w:p>
            <w:pPr>
              <w:pStyle w:val="3"/>
              <w:keepLines w:val="0"/>
              <w:suppressLineNumbers w:val="0"/>
              <w:spacing w:before="120" w:beforeAutospacing="0" w:after="0" w:afterAutospacing="0"/>
              <w:ind w:right="0" w:firstLine="482"/>
              <w:rPr>
                <w:rFonts w:hint="default" w:ascii="Times New Roman" w:hAnsi="Times New Roman" w:cs="Times New Roman"/>
                <w:color w:val="auto"/>
              </w:rPr>
            </w:pPr>
            <w:r>
              <w:rPr>
                <w:rFonts w:hint="default" w:ascii="Times New Roman" w:hAnsi="Times New Roman" w:cs="Times New Roman"/>
                <w:color w:val="auto"/>
              </w:rPr>
              <w:t>施工期固体废物环境保护措施</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项目施工期产生的固体废物包括土石方和生活垃圾。</w:t>
            </w:r>
          </w:p>
          <w:p>
            <w:pPr>
              <w:pStyle w:val="4"/>
              <w:suppressLineNumbers w:val="0"/>
              <w:spacing w:before="0" w:after="0"/>
              <w:ind w:left="0" w:right="0" w:firstLine="482"/>
              <w:rPr>
                <w:rFonts w:hint="default" w:cs="Times New Roman"/>
                <w:color w:val="auto"/>
              </w:rPr>
            </w:pPr>
            <w:r>
              <w:rPr>
                <w:rFonts w:hint="default" w:cs="Times New Roman"/>
                <w:color w:val="auto"/>
              </w:rPr>
              <w:t>施工期土石方</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项目不设弃土场，不设弃渣场，开挖土石方</w:t>
            </w:r>
            <w:r>
              <w:rPr>
                <w:rFonts w:hint="eastAsia" w:cs="Times New Roman"/>
                <w:color w:val="auto"/>
                <w:lang w:val="en-US" w:eastAsia="zh-CN"/>
              </w:rPr>
              <w:t>部分</w:t>
            </w:r>
            <w:r>
              <w:rPr>
                <w:rFonts w:hint="eastAsia" w:ascii="Times New Roman" w:hAnsi="Times New Roman" w:cs="Times New Roman"/>
                <w:color w:val="auto"/>
              </w:rPr>
              <w:t>回填</w:t>
            </w:r>
            <w:r>
              <w:rPr>
                <w:rFonts w:hint="eastAsia" w:cs="Times New Roman"/>
                <w:color w:val="auto"/>
                <w:lang w:eastAsia="zh-CN"/>
              </w:rPr>
              <w:t>，</w:t>
            </w:r>
            <w:r>
              <w:rPr>
                <w:rFonts w:hint="eastAsia" w:cs="Times New Roman"/>
                <w:color w:val="auto"/>
                <w:lang w:val="en-US" w:eastAsia="zh-CN"/>
              </w:rPr>
              <w:t>剩余部分用作道路垫道和土地平整使用，土石方均能合理利用，不外排</w:t>
            </w:r>
            <w:r>
              <w:rPr>
                <w:rFonts w:hint="eastAsia" w:ascii="Times New Roman" w:hAnsi="Times New Roman" w:cs="Times New Roman"/>
                <w:color w:val="auto"/>
              </w:rPr>
              <w:t>。</w:t>
            </w:r>
          </w:p>
          <w:p>
            <w:pPr>
              <w:pStyle w:val="4"/>
              <w:suppressLineNumbers w:val="0"/>
              <w:spacing w:before="0" w:after="0"/>
              <w:ind w:left="0" w:right="0" w:firstLine="482"/>
              <w:rPr>
                <w:rFonts w:hint="default" w:cs="Times New Roman"/>
                <w:color w:val="auto"/>
              </w:rPr>
            </w:pPr>
            <w:r>
              <w:rPr>
                <w:rFonts w:hint="default" w:cs="Times New Roman"/>
                <w:color w:val="auto"/>
              </w:rPr>
              <w:t>生活垃圾</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生活垃圾临时存放于垃圾箱内，</w:t>
            </w:r>
            <w:r>
              <w:rPr>
                <w:rFonts w:hint="eastAsia" w:ascii="Times New Roman" w:hAnsi="Times New Roman" w:cs="Times New Roman"/>
                <w:color w:val="auto"/>
              </w:rPr>
              <w:t>由环卫部门统一处理</w:t>
            </w:r>
            <w:r>
              <w:rPr>
                <w:rFonts w:hint="default" w:ascii="Times New Roman" w:hAnsi="Times New Roman" w:cs="Times New Roman"/>
                <w:color w:val="auto"/>
              </w:rPr>
              <w:t>。</w:t>
            </w:r>
          </w:p>
          <w:p>
            <w:pPr>
              <w:pStyle w:val="3"/>
              <w:keepLines w:val="0"/>
              <w:suppressLineNumbers w:val="0"/>
              <w:spacing w:before="120" w:beforeAutospacing="0" w:after="0" w:afterAutospacing="0"/>
              <w:ind w:right="0" w:firstLine="482"/>
              <w:rPr>
                <w:rFonts w:hint="default" w:ascii="Times New Roman" w:hAnsi="Times New Roman" w:cs="Times New Roman"/>
                <w:color w:val="auto"/>
              </w:rPr>
            </w:pPr>
            <w:r>
              <w:rPr>
                <w:rFonts w:hint="default" w:ascii="Times New Roman" w:hAnsi="Times New Roman" w:cs="Times New Roman"/>
                <w:color w:val="auto"/>
              </w:rPr>
              <w:t>施工期生态影响保护措施</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工程施工期拟采取的生态环境保护措施，简述如下：</w:t>
            </w:r>
          </w:p>
          <w:p>
            <w:pPr>
              <w:pStyle w:val="4"/>
              <w:suppressLineNumbers w:val="0"/>
              <w:spacing w:before="0" w:after="0"/>
              <w:ind w:left="0" w:right="0" w:firstLine="482"/>
              <w:rPr>
                <w:rFonts w:hint="default" w:cs="Times New Roman"/>
                <w:color w:val="auto"/>
              </w:rPr>
            </w:pPr>
            <w:r>
              <w:rPr>
                <w:rFonts w:hint="default" w:cs="Times New Roman"/>
                <w:color w:val="auto"/>
              </w:rPr>
              <w:t>水土流失保护措施</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项目区域以</w:t>
            </w:r>
            <w:r>
              <w:rPr>
                <w:rFonts w:hint="eastAsia" w:ascii="Times New Roman" w:hAnsi="Times New Roman" w:cs="Times New Roman"/>
                <w:color w:val="auto"/>
              </w:rPr>
              <w:t>农用地</w:t>
            </w:r>
            <w:r>
              <w:rPr>
                <w:rFonts w:hint="default" w:ascii="Times New Roman" w:hAnsi="Times New Roman" w:cs="Times New Roman"/>
                <w:color w:val="auto"/>
              </w:rPr>
              <w:t>为主，施工期间</w:t>
            </w:r>
            <w:r>
              <w:rPr>
                <w:rFonts w:hint="default" w:ascii="Times New Roman" w:hAnsi="Times New Roman" w:cs="Times New Roman"/>
                <w:color w:val="auto"/>
                <w:lang w:val="en-US" w:eastAsia="zh-CN"/>
              </w:rPr>
              <w:t>集电线路开挖、施工道路和施工临时占地、升压站</w:t>
            </w:r>
            <w:r>
              <w:rPr>
                <w:rFonts w:hint="default" w:ascii="Times New Roman" w:hAnsi="Times New Roman" w:cs="Times New Roman"/>
                <w:color w:val="auto"/>
              </w:rPr>
              <w:t>基础开挖与回填等工程活动都会扰动或再塑地表，并使地表植被受到不同程度的破坏，地表抗蚀能力减弱，产生新的水土流失。本项目通过采取一系列的生态防治措施可有效降低项目施工期导致的水土流失程度。</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①在本项目施工过程中，尽可能减少占地面积，减小对植被的破坏面积，因此应划定基础安装位置和范围，施工过程中不得超出划定基础施工范围，进一步减小施工面积，减小对地表的扰动破坏；</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②项目场地平整面积较大，因此应对需开挖土方上的表层土壤进行移植，即表层15cm的土壤应与植被一起堆放在就近表土堆存区，待施工结束，将表层土壤和植被直接铺于电池组件下方，或作为复垦时所需的复垦土，以用于播撒草种绿化；对场址范围内的原料堆放场和临时堆渣场进行遮盖和洒水处理，减小风蚀影响；</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③施工过程中尽量减少大型机械施工，基坑开挖后，尽快浇筑混凝土，并及时回填，对其表层进行碾压，缩短裸露时间，减少扬尘。对容易诱发扬尘、粉尘及污染土壤的建材进行覆盖；施工临时场地和临时便道限定作业范围，用彩带或其他标识界定围护，防止行人和车辆越界，并不定期进行洒水降尘或固结地表，以减少扬尘污染；</w:t>
            </w:r>
          </w:p>
          <w:p>
            <w:pPr>
              <w:keepNext w:val="0"/>
              <w:keepLines w:val="0"/>
              <w:suppressLineNumbers w:val="0"/>
              <w:spacing w:before="0" w:beforeAutospacing="0" w:after="0" w:afterAutospacing="0"/>
              <w:ind w:left="0" w:right="0" w:firstLine="480"/>
              <w:rPr>
                <w:rFonts w:hint="default" w:ascii="Times New Roman" w:hAnsi="Times New Roman" w:eastAsia="宋体" w:cs="Times New Roman"/>
                <w:color w:val="auto"/>
                <w:lang w:val="en-US" w:eastAsia="zh-CN"/>
              </w:rPr>
            </w:pPr>
            <w:r>
              <w:rPr>
                <w:rFonts w:hint="default" w:ascii="Times New Roman" w:hAnsi="Times New Roman" w:cs="Times New Roman"/>
                <w:color w:val="auto"/>
              </w:rPr>
              <w:t>④</w:t>
            </w:r>
            <w:r>
              <w:rPr>
                <w:rFonts w:hint="eastAsia" w:cs="Times New Roman"/>
                <w:color w:val="auto"/>
                <w:lang w:val="en-US" w:eastAsia="zh-CN"/>
              </w:rPr>
              <w:t>雨季施工时避开下雨天气，集电线路、临时占地和升压站施工时设置临时排水沟和沉淀池，降低雨水冲刷造成的水土流失；</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⑤对规划的绿化用地区域选用土质较好的土回填，以备恢复植被，土源可从场地平整时的土方中选择，平整覆土后种草绿化；</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 6 \* GB3 \* MERGEFORMAT </w:instrText>
            </w:r>
            <w:r>
              <w:rPr>
                <w:rFonts w:hint="default" w:ascii="Times New Roman" w:hAnsi="Times New Roman" w:cs="Times New Roman"/>
                <w:color w:val="auto"/>
              </w:rPr>
              <w:fldChar w:fldCharType="separate"/>
            </w:r>
            <w:r>
              <w:rPr>
                <w:rFonts w:hint="default"/>
                <w:color w:val="auto"/>
              </w:rPr>
              <w:t>⑥</w:t>
            </w:r>
            <w:r>
              <w:rPr>
                <w:rFonts w:hint="default" w:ascii="Times New Roman" w:hAnsi="Times New Roman" w:cs="Times New Roman"/>
                <w:color w:val="auto"/>
              </w:rPr>
              <w:fldChar w:fldCharType="end"/>
            </w:r>
            <w:r>
              <w:rPr>
                <w:rFonts w:hint="default" w:ascii="Times New Roman" w:hAnsi="Times New Roman" w:cs="Times New Roman"/>
                <w:color w:val="auto"/>
              </w:rPr>
              <w:t>完工后对临时便道进行达标整理，进站道路尽量利用原有便道，不能利用的便道要洒水固结，防止土壤被侵蚀。完工后对临时场地进行恢复，拆除临时建筑物，弃渣运至规定地点掩埋。同时结束后要对场区适宜绿化的地方进行绿化。</w:t>
            </w:r>
          </w:p>
          <w:p>
            <w:pPr>
              <w:pStyle w:val="4"/>
              <w:suppressLineNumbers w:val="0"/>
              <w:spacing w:before="0" w:after="0"/>
              <w:ind w:left="0" w:right="0" w:firstLine="482"/>
              <w:rPr>
                <w:rFonts w:hint="default" w:cs="Times New Roman"/>
                <w:color w:val="auto"/>
              </w:rPr>
            </w:pPr>
            <w:r>
              <w:rPr>
                <w:rFonts w:hint="default" w:cs="Times New Roman"/>
                <w:color w:val="auto"/>
              </w:rPr>
              <w:t>土地占用防护措施</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①施工单位在施工过程中，必须按照设计要求，严格控制开挖范围及开挖量，施工时基础开挖多余的土石方不允许就地倾倒，应采取回填方式妥善处置，不产生弃土。施工结束后，及时清理施工场地，并及时进行土地整治和施工迹地恢复，恢复原地貌及原有土地利用功能。</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②施工结束后施工单位应及时清理施工场地，对施工临时占地部分，根据原占地类型进行生态恢复。</w:t>
            </w:r>
          </w:p>
          <w:p>
            <w:pPr>
              <w:pStyle w:val="4"/>
              <w:suppressLineNumbers w:val="0"/>
              <w:spacing w:before="0" w:after="0"/>
              <w:ind w:left="0" w:right="0" w:firstLine="482"/>
              <w:rPr>
                <w:rFonts w:hint="default" w:cs="Times New Roman"/>
                <w:color w:val="auto"/>
              </w:rPr>
            </w:pPr>
            <w:r>
              <w:rPr>
                <w:rFonts w:hint="default" w:cs="Times New Roman"/>
                <w:color w:val="auto"/>
              </w:rPr>
              <w:t>植物保护措施</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①工程施工过程中应划定施工活动范围，加强监管，严禁踩踏施工区域外地表植被。</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②为保护地表植被，项目施工材料及设备尽量分拆改用小型运输工具运输，以减轻对地表植被的碾压。</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③施工便道的选线应避免和尽量减少对地表植被的破坏和影响。工程结束后立即对施工便道进行恢复。施工过程中，尽可能不破坏地形、地貌；施工完毕后，尽可能将施工地带地形、地貌恢复至施工前时的地形地貌。</w:t>
            </w:r>
          </w:p>
          <w:p>
            <w:pPr>
              <w:keepNext w:val="0"/>
              <w:keepLines w:val="0"/>
              <w:suppressLineNumbers w:val="0"/>
              <w:spacing w:before="0" w:beforeAutospacing="0" w:after="0" w:afterAutospacing="0"/>
              <w:ind w:left="0" w:right="0" w:firstLine="480"/>
              <w:rPr>
                <w:rFonts w:hint="default" w:eastAsia="宋体"/>
                <w:color w:val="auto"/>
                <w:lang w:val="en-US" w:eastAsia="zh-CN"/>
              </w:rPr>
            </w:pPr>
            <w:r>
              <w:rPr>
                <w:rFonts w:hint="eastAsia"/>
                <w:color w:val="auto"/>
                <w:lang w:val="en-US" w:eastAsia="zh-CN"/>
              </w:rPr>
              <w:t>④施工临时占地在施工结束后立即进行恢复，通过覆土绿化等方式将施工临时占地恢复到施工期状况。</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⑤加强环境管理，提高施工人员的环保意识。在开挖的工程中，不随意砍伐植物，不准破坏施工场地周围的植被。</w:t>
            </w:r>
          </w:p>
          <w:p>
            <w:pPr>
              <w:pStyle w:val="4"/>
              <w:suppressLineNumbers w:val="0"/>
              <w:spacing w:before="0" w:after="0"/>
              <w:ind w:left="0" w:right="0" w:firstLine="482"/>
              <w:rPr>
                <w:rFonts w:hint="default" w:cs="Times New Roman"/>
                <w:color w:val="auto"/>
              </w:rPr>
            </w:pPr>
            <w:r>
              <w:rPr>
                <w:rFonts w:hint="default" w:cs="Times New Roman"/>
                <w:color w:val="auto"/>
              </w:rPr>
              <w:t>野生动物保护措施</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施工期间人员活动、施工噪音、灯光等对两栖类、爬行类、哺乳类动物以及鸟类的生境有所影响，对此，应在施工现场设置警示或提示牌，警示或提示施工人员在施工过程中发现野生动物出没要自觉保护，严禁伤害与猎杀任何野生动物。施工期间还应在场地四周设置围挡、警示杆，避免野生动物或鸟类误入施工区造成动物或鸟类的伤亡。</w:t>
            </w:r>
          </w:p>
          <w:p>
            <w:pPr>
              <w:pStyle w:val="4"/>
              <w:suppressLineNumbers w:val="0"/>
              <w:spacing w:before="0" w:after="0"/>
              <w:ind w:left="0" w:right="0" w:firstLine="482"/>
              <w:rPr>
                <w:rFonts w:hint="default" w:cs="Times New Roman"/>
                <w:color w:val="auto"/>
              </w:rPr>
            </w:pPr>
            <w:r>
              <w:rPr>
                <w:rFonts w:hint="default" w:cs="Times New Roman"/>
                <w:color w:val="auto"/>
              </w:rPr>
              <w:t>景观保护措施</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在施工期，由于基础开挖、土方临时堆存、施工道路、物料运输造成的扬尘、施工人员生活垃圾等，如果管理不当将会对局部景观造成一定的不良影响。通过采取围挡作业、分段分区施工、及时清运弃方、采取防尘抑尘措施、集中收集施工人员生活垃圾并及时清运处理等措施，可以使施工区域及时恢复原有自然面貌，将施工期造成的景观影响降至最小。</w:t>
            </w:r>
          </w:p>
          <w:p>
            <w:pPr>
              <w:pStyle w:val="4"/>
              <w:suppressLineNumbers w:val="0"/>
              <w:spacing w:before="0" w:after="0"/>
              <w:ind w:left="0" w:right="0" w:firstLine="482"/>
              <w:rPr>
                <w:rFonts w:hint="eastAsia" w:cs="Times New Roman"/>
                <w:color w:val="auto"/>
              </w:rPr>
            </w:pPr>
            <w:r>
              <w:rPr>
                <w:rFonts w:hint="eastAsia" w:cs="Times New Roman"/>
                <w:color w:val="auto"/>
              </w:rPr>
              <w:t>结论</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经采取措施，本工程施工期在采取上述措施后，在评价区，可将对生态环境的影响降至最低。</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3" w:hRule="atLeast"/>
          <w:jc w:val="center"/>
        </w:trPr>
        <w:tc>
          <w:tcPr>
            <w:tcW w:w="753" w:type="dxa"/>
            <w:noWrap w:val="0"/>
            <w:tcMar>
              <w:left w:w="28" w:type="dxa"/>
              <w:right w:w="28" w:type="dxa"/>
            </w:tcMar>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运营期生态环境保护措施</w:t>
            </w:r>
          </w:p>
        </w:tc>
        <w:tc>
          <w:tcPr>
            <w:tcW w:w="8457" w:type="dxa"/>
            <w:noWrap w:val="0"/>
            <w:vAlign w:val="top"/>
          </w:tcPr>
          <w:p>
            <w:pPr>
              <w:pStyle w:val="3"/>
              <w:keepLines w:val="0"/>
              <w:numPr>
                <w:ilvl w:val="0"/>
                <w:numId w:val="21"/>
              </w:numPr>
              <w:suppressLineNumbers w:val="0"/>
              <w:spacing w:before="120" w:beforeAutospacing="0" w:after="0" w:afterAutospacing="0"/>
              <w:ind w:right="0" w:firstLine="482"/>
              <w:rPr>
                <w:rFonts w:hint="default" w:ascii="Times New Roman" w:hAnsi="Times New Roman" w:cs="Times New Roman"/>
                <w:color w:val="auto"/>
              </w:rPr>
            </w:pPr>
            <w:r>
              <w:rPr>
                <w:rFonts w:hint="eastAsia" w:ascii="Times New Roman" w:hAnsi="Times New Roman" w:cs="Times New Roman"/>
                <w:color w:val="auto"/>
              </w:rPr>
              <w:t>运营期大气环境影响和保护措施</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光伏发电是将太阳能转换为电能，在转换过程中没有废气排放，项目主要废气为食堂油烟及污水处理站恶臭。</w:t>
            </w:r>
          </w:p>
          <w:p>
            <w:pPr>
              <w:pStyle w:val="4"/>
              <w:suppressLineNumbers w:val="0"/>
              <w:spacing w:before="0" w:after="0"/>
              <w:ind w:left="0" w:right="0" w:firstLine="482"/>
              <w:rPr>
                <w:rFonts w:hint="default" w:cs="Times New Roman"/>
                <w:color w:val="auto"/>
              </w:rPr>
            </w:pPr>
            <w:r>
              <w:rPr>
                <w:rFonts w:hint="eastAsia" w:cs="Times New Roman"/>
                <w:color w:val="auto"/>
              </w:rPr>
              <w:t>运营期的废气防治措施</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default" w:ascii="Times New Roman" w:hAnsi="Times New Roman" w:cs="Times New Roman"/>
                <w:color w:val="auto"/>
              </w:rPr>
              <w:t>为减少运营期废气的环境影响，应加强运营期的管理并采取相应措施</w:t>
            </w:r>
            <w:r>
              <w:rPr>
                <w:rFonts w:hint="eastAsia" w:ascii="Times New Roman" w:hAnsi="Times New Roman" w:cs="Times New Roman"/>
                <w:color w:val="auto"/>
              </w:rPr>
              <w:t>：</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fldChar w:fldCharType="begin"/>
            </w:r>
            <w:r>
              <w:rPr>
                <w:rFonts w:hint="eastAsia" w:ascii="Times New Roman" w:hAnsi="Times New Roman" w:cs="Times New Roman"/>
                <w:color w:val="auto"/>
              </w:rPr>
              <w:instrText xml:space="preserve"> = 1 \* GB3 \* MERGEFORMAT </w:instrText>
            </w:r>
            <w:r>
              <w:rPr>
                <w:rFonts w:hint="eastAsia" w:ascii="Times New Roman" w:hAnsi="Times New Roman" w:cs="Times New Roman"/>
                <w:color w:val="auto"/>
              </w:rPr>
              <w:fldChar w:fldCharType="separate"/>
            </w:r>
            <w:r>
              <w:rPr>
                <w:rFonts w:hint="default" w:ascii="Times New Roman" w:hAnsi="Times New Roman" w:cs="Times New Roman"/>
                <w:color w:val="auto"/>
              </w:rPr>
              <w:t>①</w:t>
            </w:r>
            <w:r>
              <w:rPr>
                <w:rFonts w:hint="eastAsia" w:ascii="Times New Roman" w:hAnsi="Times New Roman" w:cs="Times New Roman"/>
                <w:color w:val="auto"/>
              </w:rPr>
              <w:fldChar w:fldCharType="end"/>
            </w:r>
            <w:r>
              <w:rPr>
                <w:rFonts w:hint="eastAsia" w:ascii="Times New Roman" w:hAnsi="Times New Roman" w:cs="Times New Roman"/>
                <w:color w:val="auto"/>
              </w:rPr>
              <w:t>食堂安装高效油烟净化器，其净化效率不低于60%。通过油烟净化器处理后，经引风机引至排烟筒排放。</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fldChar w:fldCharType="begin"/>
            </w:r>
            <w:r>
              <w:rPr>
                <w:rFonts w:hint="eastAsia" w:ascii="Times New Roman" w:hAnsi="Times New Roman" w:cs="Times New Roman"/>
                <w:color w:val="auto"/>
              </w:rPr>
              <w:instrText xml:space="preserve"> = 2 \* GB3 \* MERGEFORMAT </w:instrText>
            </w:r>
            <w:r>
              <w:rPr>
                <w:rFonts w:hint="eastAsia" w:ascii="Times New Roman" w:hAnsi="Times New Roman" w:cs="Times New Roman"/>
                <w:color w:val="auto"/>
              </w:rPr>
              <w:fldChar w:fldCharType="separate"/>
            </w:r>
            <w:r>
              <w:rPr>
                <w:rFonts w:hint="default" w:ascii="Times New Roman" w:hAnsi="Times New Roman" w:cs="Times New Roman"/>
                <w:color w:val="auto"/>
              </w:rPr>
              <w:t>②</w:t>
            </w:r>
            <w:r>
              <w:rPr>
                <w:rFonts w:hint="eastAsia" w:ascii="Times New Roman" w:hAnsi="Times New Roman" w:cs="Times New Roman"/>
                <w:color w:val="auto"/>
              </w:rPr>
              <w:fldChar w:fldCharType="end"/>
            </w:r>
            <w:r>
              <w:rPr>
                <w:rFonts w:hint="eastAsia" w:ascii="Times New Roman" w:hAnsi="Times New Roman" w:cs="Times New Roman"/>
                <w:color w:val="auto"/>
              </w:rPr>
              <w:t>污水处理站采取地埋式一体式污水处理装置，各池体加盖，并定期投放除臭剂。</w:t>
            </w:r>
          </w:p>
          <w:p>
            <w:pPr>
              <w:pStyle w:val="4"/>
              <w:suppressLineNumbers w:val="0"/>
              <w:spacing w:before="0" w:after="0"/>
              <w:ind w:left="0" w:right="0" w:firstLine="482"/>
              <w:rPr>
                <w:rFonts w:hint="default" w:cs="Times New Roman"/>
                <w:color w:val="auto"/>
              </w:rPr>
            </w:pPr>
            <w:r>
              <w:rPr>
                <w:rFonts w:hint="eastAsia" w:cs="Times New Roman"/>
                <w:color w:val="auto"/>
              </w:rPr>
              <w:t>污染治理设施可行性</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一体化污水处理装置采取地埋式，各池体加盖，并定期投放除臭剂，本项目污水处理站处理规模很小，处理措施技术成熟、购置方便、操作简易、成本低廉，措施可行。</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食堂配备油烟净化器，油烟去除效率不低于</w:t>
            </w:r>
            <w:r>
              <w:rPr>
                <w:rFonts w:hint="default" w:ascii="Times New Roman" w:hAnsi="Times New Roman" w:cs="Times New Roman"/>
                <w:color w:val="auto"/>
              </w:rPr>
              <w:t>60%</w:t>
            </w:r>
            <w:r>
              <w:rPr>
                <w:rFonts w:hint="eastAsia" w:ascii="Times New Roman" w:hAnsi="Times New Roman" w:cs="Times New Roman"/>
                <w:color w:val="auto"/>
              </w:rPr>
              <w:t>。油烟净化器是治理食堂油烟的常用设备，技术成熟、购置方便、操作简易、成本低廉。</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综上所述，项目采用的大气污染防治措施实用性强，效果明显，措施可行。</w:t>
            </w:r>
          </w:p>
          <w:p>
            <w:pPr>
              <w:pStyle w:val="4"/>
              <w:suppressLineNumbers w:val="0"/>
              <w:spacing w:before="0" w:after="0"/>
              <w:ind w:left="0" w:right="0" w:firstLine="482"/>
              <w:rPr>
                <w:rFonts w:hint="default" w:cs="Times New Roman"/>
                <w:color w:val="auto"/>
              </w:rPr>
            </w:pPr>
            <w:r>
              <w:rPr>
                <w:rFonts w:hint="eastAsia" w:cs="Times New Roman"/>
                <w:color w:val="auto"/>
              </w:rPr>
              <w:t>监测要求</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本项目大气污染源监测要求详见下表：</w:t>
            </w:r>
          </w:p>
          <w:p>
            <w:pPr>
              <w:pStyle w:val="38"/>
              <w:keepNext w:val="0"/>
              <w:keepLines w:val="0"/>
              <w:suppressLineNumbers w:val="0"/>
              <w:spacing w:before="0" w:beforeAutospacing="0" w:after="0" w:afterAutospacing="0"/>
              <w:ind w:right="0" w:firstLine="422"/>
              <w:rPr>
                <w:rFonts w:hint="default" w:ascii="Times New Roman" w:hAnsi="Times New Roman" w:cs="Times New Roman"/>
                <w:color w:val="auto"/>
              </w:rPr>
            </w:pPr>
            <w:r>
              <w:rPr>
                <w:rFonts w:ascii="Times New Roman" w:hAnsi="Times New Roman" w:cs="Times New Roman"/>
                <w:color w:val="auto"/>
              </w:rPr>
              <w:t>大气污染源监测计划</w:t>
            </w:r>
          </w:p>
          <w:tbl>
            <w:tblPr>
              <w:tblStyle w:val="2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7"/>
              <w:gridCol w:w="709"/>
              <w:gridCol w:w="1093"/>
              <w:gridCol w:w="1315"/>
              <w:gridCol w:w="890"/>
              <w:gridCol w:w="37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20" w:type="pct"/>
                  <w:gridSpan w:val="2"/>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环境要素</w:t>
                  </w:r>
                </w:p>
              </w:tc>
              <w:tc>
                <w:tcPr>
                  <w:tcW w:w="664"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监测位置</w:t>
                  </w:r>
                </w:p>
              </w:tc>
              <w:tc>
                <w:tcPr>
                  <w:tcW w:w="799"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监测项目</w:t>
                  </w:r>
                </w:p>
              </w:tc>
              <w:tc>
                <w:tcPr>
                  <w:tcW w:w="54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频次</w:t>
                  </w:r>
                </w:p>
              </w:tc>
              <w:tc>
                <w:tcPr>
                  <w:tcW w:w="2274"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eastAsia" w:ascii="Times New Roman" w:hAnsi="Times New Roman" w:cs="Times New Roman"/>
                      <w:b/>
                      <w:bCs/>
                      <w:color w:val="auto"/>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9" w:type="pc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废气</w:t>
                  </w:r>
                </w:p>
              </w:tc>
              <w:tc>
                <w:tcPr>
                  <w:tcW w:w="430" w:type="pc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无组织</w:t>
                  </w:r>
                </w:p>
              </w:tc>
              <w:tc>
                <w:tcPr>
                  <w:tcW w:w="664" w:type="pc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升压站厂界</w:t>
                  </w:r>
                </w:p>
              </w:tc>
              <w:tc>
                <w:tcPr>
                  <w:tcW w:w="799"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氨、硫化氢、臭气浓度</w:t>
                  </w:r>
                </w:p>
              </w:tc>
              <w:tc>
                <w:tcPr>
                  <w:tcW w:w="541"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每半年1次</w:t>
                  </w:r>
                </w:p>
              </w:tc>
              <w:tc>
                <w:tcPr>
                  <w:tcW w:w="2274"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《恶臭污染物排放标准》</w:t>
                  </w:r>
                  <w:r>
                    <w:rPr>
                      <w:rFonts w:hint="default" w:ascii="Times New Roman" w:hAnsi="Times New Roman" w:cs="Times New Roman"/>
                      <w:color w:val="auto"/>
                    </w:rPr>
                    <w:t>(GB14554-93)</w:t>
                  </w:r>
                  <w:r>
                    <w:rPr>
                      <w:rFonts w:hint="eastAsia" w:ascii="Times New Roman" w:hAnsi="Times New Roman" w:cs="Times New Roman"/>
                      <w:color w:val="auto"/>
                    </w:rPr>
                    <w:t>表</w:t>
                  </w:r>
                  <w:r>
                    <w:rPr>
                      <w:rFonts w:hint="default" w:ascii="Times New Roman" w:hAnsi="Times New Roman" w:cs="Times New Roman"/>
                      <w:color w:val="auto"/>
                    </w:rPr>
                    <w:t>1</w:t>
                  </w:r>
                  <w:r>
                    <w:rPr>
                      <w:rFonts w:hint="eastAsia" w:ascii="Times New Roman" w:hAnsi="Times New Roman" w:cs="Times New Roman"/>
                      <w:color w:val="auto"/>
                    </w:rPr>
                    <w:t>恶臭污染物厂界标准</w:t>
                  </w:r>
                </w:p>
              </w:tc>
            </w:tr>
          </w:tbl>
          <w:p>
            <w:pPr>
              <w:pStyle w:val="4"/>
              <w:suppressLineNumbers w:val="0"/>
              <w:spacing w:before="0" w:after="0"/>
              <w:ind w:left="0" w:right="0" w:firstLine="482"/>
              <w:rPr>
                <w:rFonts w:hint="default" w:cs="Times New Roman"/>
                <w:color w:val="auto"/>
              </w:rPr>
            </w:pPr>
            <w:r>
              <w:rPr>
                <w:rFonts w:hint="eastAsia" w:cs="Times New Roman"/>
                <w:color w:val="auto"/>
              </w:rPr>
              <w:t>运营期大气环境影响结论</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光伏发电是将太阳能转换为电能，在转换过程中没有废气排放；饮食油烟由油烟净化装置处理，饮食油烟的排放情况满足《饮食业油烟排放标准（试行）》（GB18483-2001）中相应要求；污水处理站采取地埋式，各池体加盖，并定期投放除臭剂，污水处理站恶臭气体经处理后满足《恶臭污染物排放标准》(GB14554-93)表1恶臭污染物厂界标准。</w:t>
            </w:r>
          </w:p>
          <w:p>
            <w:pPr>
              <w:pStyle w:val="3"/>
              <w:keepLines w:val="0"/>
              <w:suppressLineNumbers w:val="0"/>
              <w:spacing w:before="120" w:beforeAutospacing="0" w:after="0" w:afterAutospacing="0"/>
              <w:ind w:right="0" w:firstLine="482"/>
              <w:rPr>
                <w:rFonts w:hint="default" w:ascii="Times New Roman" w:hAnsi="Times New Roman" w:cs="Times New Roman"/>
                <w:color w:val="auto"/>
              </w:rPr>
            </w:pPr>
            <w:r>
              <w:rPr>
                <w:rFonts w:hint="eastAsia" w:ascii="Times New Roman" w:hAnsi="Times New Roman" w:cs="Times New Roman"/>
                <w:color w:val="auto"/>
              </w:rPr>
              <w:t>运营期声环境保护措施</w:t>
            </w:r>
          </w:p>
          <w:p>
            <w:pPr>
              <w:pStyle w:val="4"/>
              <w:suppressLineNumbers w:val="0"/>
              <w:spacing w:before="0" w:after="0"/>
              <w:ind w:left="0" w:right="0" w:firstLine="482"/>
              <w:rPr>
                <w:rFonts w:hint="default" w:cs="Times New Roman"/>
                <w:color w:val="auto"/>
              </w:rPr>
            </w:pPr>
            <w:r>
              <w:rPr>
                <w:rFonts w:hint="default" w:cs="Times New Roman"/>
                <w:color w:val="auto"/>
              </w:rPr>
              <w:t>声环境保护措施</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本项目光伏场</w:t>
            </w:r>
            <w:r>
              <w:rPr>
                <w:rFonts w:hint="eastAsia" w:ascii="Times New Roman" w:hAnsi="Times New Roman" w:cs="Times New Roman"/>
                <w:color w:val="auto"/>
              </w:rPr>
              <w:t>、升压站</w:t>
            </w:r>
            <w:r>
              <w:rPr>
                <w:rFonts w:hint="default" w:ascii="Times New Roman" w:hAnsi="Times New Roman" w:cs="Times New Roman"/>
                <w:color w:val="auto"/>
              </w:rPr>
              <w:t>产噪声设备主要为变压器，通过选用低噪声设备，合理布置，经衰减后，保证其场界能够满足《工业企业厂界环境噪声排放标准》（GB12348-2008）的</w:t>
            </w:r>
            <w:r>
              <w:rPr>
                <w:rFonts w:hint="eastAsia" w:cs="Times New Roman"/>
                <w:color w:val="auto"/>
                <w:lang w:val="en-US" w:eastAsia="zh-CN"/>
              </w:rPr>
              <w:t>2</w:t>
            </w:r>
            <w:r>
              <w:rPr>
                <w:rFonts w:hint="default" w:ascii="Times New Roman" w:hAnsi="Times New Roman" w:cs="Times New Roman"/>
                <w:color w:val="auto"/>
              </w:rPr>
              <w:t>类功能区环境噪声排放限值。</w:t>
            </w:r>
          </w:p>
          <w:p>
            <w:pPr>
              <w:pStyle w:val="4"/>
              <w:suppressLineNumbers w:val="0"/>
              <w:spacing w:before="0" w:after="0"/>
              <w:ind w:left="0" w:right="0" w:firstLine="482"/>
              <w:rPr>
                <w:rFonts w:hint="default" w:cs="Times New Roman"/>
                <w:color w:val="auto"/>
              </w:rPr>
            </w:pPr>
            <w:r>
              <w:rPr>
                <w:rFonts w:hint="eastAsia" w:cs="Times New Roman"/>
                <w:color w:val="auto"/>
              </w:rPr>
              <w:t>噪声</w:t>
            </w:r>
            <w:r>
              <w:rPr>
                <w:rFonts w:hint="default" w:cs="Times New Roman"/>
                <w:color w:val="auto"/>
              </w:rPr>
              <w:t>监测计划</w:t>
            </w:r>
          </w:p>
          <w:p>
            <w:pPr>
              <w:pStyle w:val="5"/>
              <w:suppressLineNumbers w:val="0"/>
              <w:spacing w:before="0" w:after="0"/>
              <w:ind w:left="0" w:right="0" w:firstLine="482"/>
              <w:rPr>
                <w:rFonts w:hint="default" w:ascii="Times New Roman" w:hAnsi="Times New Roman" w:cs="Times New Roman"/>
                <w:color w:val="auto"/>
              </w:rPr>
            </w:pPr>
            <w:r>
              <w:rPr>
                <w:rFonts w:hint="default" w:ascii="Times New Roman" w:hAnsi="Times New Roman" w:cs="Times New Roman"/>
                <w:color w:val="auto"/>
              </w:rPr>
              <w:t>监测要求</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监测工作中涉及监测点位布设、监测时段、采样方法、化验室分析、质量控制、数据统计等按照《建设项目环境保护设施竣工验收监测技术要求（试行）》、《环境影响评价技术导则》、《环境监测技术规范》和相应的环境标准要求进行。</w:t>
            </w:r>
          </w:p>
          <w:p>
            <w:pPr>
              <w:pStyle w:val="5"/>
              <w:suppressLineNumbers w:val="0"/>
              <w:spacing w:before="0" w:after="0"/>
              <w:ind w:left="0" w:right="0" w:firstLine="482"/>
              <w:rPr>
                <w:rFonts w:hint="default" w:ascii="Times New Roman" w:hAnsi="Times New Roman" w:cs="Times New Roman"/>
                <w:color w:val="auto"/>
              </w:rPr>
            </w:pPr>
            <w:r>
              <w:rPr>
                <w:rFonts w:hint="default" w:ascii="Times New Roman" w:hAnsi="Times New Roman" w:cs="Times New Roman"/>
                <w:color w:val="auto"/>
              </w:rPr>
              <w:t>监测因子及频率</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噪声监测项目及监测频次见下表</w:t>
            </w:r>
          </w:p>
          <w:p>
            <w:pPr>
              <w:pStyle w:val="38"/>
              <w:keepNext w:val="0"/>
              <w:keepLines w:val="0"/>
              <w:suppressLineNumbers w:val="0"/>
              <w:spacing w:before="0" w:beforeAutospacing="0" w:after="0" w:afterAutospacing="0"/>
              <w:ind w:right="0" w:firstLine="422"/>
              <w:rPr>
                <w:rFonts w:hint="default" w:ascii="Times New Roman" w:hAnsi="Times New Roman" w:cs="Times New Roman"/>
                <w:color w:val="auto"/>
              </w:rPr>
            </w:pPr>
            <w:r>
              <w:rPr>
                <w:rFonts w:hint="default" w:ascii="Times New Roman" w:hAnsi="Times New Roman" w:cs="Times New Roman"/>
                <w:color w:val="auto"/>
              </w:rPr>
              <w:t>噪声污染源监测计划</w:t>
            </w:r>
          </w:p>
          <w:tbl>
            <w:tblPr>
              <w:tblStyle w:val="2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9"/>
              <w:gridCol w:w="4175"/>
              <w:gridCol w:w="1289"/>
              <w:gridCol w:w="14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环境要素</w:t>
                  </w:r>
                </w:p>
              </w:tc>
              <w:tc>
                <w:tcPr>
                  <w:tcW w:w="2536"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监测对象</w:t>
                  </w:r>
                </w:p>
              </w:tc>
              <w:tc>
                <w:tcPr>
                  <w:tcW w:w="783"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监测项目</w:t>
                  </w:r>
                </w:p>
              </w:tc>
              <w:tc>
                <w:tcPr>
                  <w:tcW w:w="878"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声环境</w:t>
                  </w:r>
                </w:p>
              </w:tc>
              <w:tc>
                <w:tcPr>
                  <w:tcW w:w="2536"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eastAsia="宋体" w:cs="Times New Roman"/>
                      <w:color w:val="auto"/>
                      <w:lang w:val="en-US" w:eastAsia="zh-CN"/>
                    </w:rPr>
                  </w:pPr>
                  <w:r>
                    <w:rPr>
                      <w:rFonts w:hint="default" w:ascii="Times New Roman" w:hAnsi="Times New Roman" w:cs="Times New Roman"/>
                      <w:color w:val="auto"/>
                    </w:rPr>
                    <w:t>升压站四厂界外1m</w:t>
                  </w:r>
                  <w:r>
                    <w:rPr>
                      <w:rFonts w:hint="eastAsia" w:cs="Times New Roman"/>
                      <w:color w:val="auto"/>
                      <w:lang w:eastAsia="zh-CN"/>
                    </w:rPr>
                    <w:t>，</w:t>
                  </w:r>
                  <w:r>
                    <w:rPr>
                      <w:rFonts w:hint="eastAsia" w:cs="Times New Roman"/>
                      <w:color w:val="auto"/>
                      <w:lang w:val="en-US" w:eastAsia="zh-CN"/>
                    </w:rPr>
                    <w:t>箱式变压器距离光伏电站厂界最近的地块厂界外1m</w:t>
                  </w:r>
                </w:p>
              </w:tc>
              <w:tc>
                <w:tcPr>
                  <w:tcW w:w="783"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噪声</w:t>
                  </w:r>
                </w:p>
              </w:tc>
              <w:tc>
                <w:tcPr>
                  <w:tcW w:w="878"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每季度1次</w:t>
                  </w:r>
                </w:p>
              </w:tc>
            </w:tr>
          </w:tbl>
          <w:p>
            <w:pPr>
              <w:pStyle w:val="4"/>
              <w:suppressLineNumbers w:val="0"/>
              <w:spacing w:before="0" w:after="0"/>
              <w:ind w:left="0" w:right="0" w:firstLine="482"/>
              <w:rPr>
                <w:rFonts w:hint="default" w:cs="Times New Roman"/>
                <w:color w:val="auto"/>
              </w:rPr>
            </w:pPr>
            <w:r>
              <w:rPr>
                <w:rFonts w:hint="eastAsia" w:cs="Times New Roman"/>
                <w:color w:val="auto"/>
              </w:rPr>
              <w:t>声环境影响结论</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本项目升压站运行期产生噪声，通过选用低噪声设备等措施，其厂界能够满足《工业企业厂界环境噪声排放标准》（GB12348-2008）的</w:t>
            </w:r>
            <w:r>
              <w:rPr>
                <w:rFonts w:hint="eastAsia" w:cs="Times New Roman"/>
                <w:color w:val="auto"/>
                <w:lang w:val="en-US" w:eastAsia="zh-CN"/>
              </w:rPr>
              <w:t>2</w:t>
            </w:r>
            <w:r>
              <w:rPr>
                <w:rFonts w:hint="default" w:ascii="Times New Roman" w:hAnsi="Times New Roman" w:cs="Times New Roman"/>
                <w:color w:val="auto"/>
              </w:rPr>
              <w:t>类功能区环境噪声排放限值，能够做到达标排放。</w:t>
            </w:r>
          </w:p>
          <w:p>
            <w:pPr>
              <w:pStyle w:val="3"/>
              <w:keepLines w:val="0"/>
              <w:suppressLineNumbers w:val="0"/>
              <w:spacing w:before="120" w:beforeAutospacing="0" w:after="0" w:afterAutospacing="0"/>
              <w:ind w:right="0" w:firstLine="482"/>
              <w:rPr>
                <w:rFonts w:hint="default" w:ascii="Times New Roman" w:hAnsi="Times New Roman" w:cs="Times New Roman"/>
                <w:color w:val="auto"/>
              </w:rPr>
            </w:pPr>
            <w:r>
              <w:rPr>
                <w:rFonts w:hint="default" w:ascii="Times New Roman" w:hAnsi="Times New Roman" w:cs="Times New Roman"/>
                <w:color w:val="auto"/>
              </w:rPr>
              <w:t>运营期地表水环境保护措施</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本项目运营期废水主要为生活污水及食堂废水、太阳能光伏组件清洗废水。</w:t>
            </w:r>
          </w:p>
          <w:p>
            <w:pPr>
              <w:pStyle w:val="4"/>
              <w:suppressLineNumbers w:val="0"/>
              <w:spacing w:before="0" w:after="0"/>
              <w:ind w:left="0" w:right="0" w:firstLine="482"/>
              <w:rPr>
                <w:rFonts w:hint="default" w:cs="Times New Roman"/>
                <w:color w:val="auto"/>
              </w:rPr>
            </w:pPr>
            <w:r>
              <w:rPr>
                <w:rFonts w:hint="default" w:cs="Times New Roman"/>
                <w:color w:val="auto"/>
              </w:rPr>
              <w:t>运营期废水防治措施</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fldChar w:fldCharType="begin"/>
            </w:r>
            <w:r>
              <w:rPr>
                <w:rFonts w:hint="eastAsia" w:ascii="Times New Roman" w:hAnsi="Times New Roman" w:cs="Times New Roman"/>
                <w:color w:val="auto"/>
              </w:rPr>
              <w:instrText xml:space="preserve"> = 1 \* GB3 \* MERGEFORMAT </w:instrText>
            </w:r>
            <w:r>
              <w:rPr>
                <w:rFonts w:hint="eastAsia" w:ascii="Times New Roman" w:hAnsi="Times New Roman" w:cs="Times New Roman"/>
                <w:color w:val="auto"/>
              </w:rPr>
              <w:fldChar w:fldCharType="separate"/>
            </w:r>
            <w:r>
              <w:rPr>
                <w:rFonts w:hint="default" w:ascii="Times New Roman" w:hAnsi="Times New Roman" w:cs="Times New Roman"/>
                <w:color w:val="auto"/>
              </w:rPr>
              <w:t>①</w:t>
            </w:r>
            <w:r>
              <w:rPr>
                <w:rFonts w:hint="eastAsia" w:ascii="Times New Roman" w:hAnsi="Times New Roman" w:cs="Times New Roman"/>
                <w:color w:val="auto"/>
              </w:rPr>
              <w:fldChar w:fldCharType="end"/>
            </w:r>
            <w:r>
              <w:rPr>
                <w:rFonts w:hint="eastAsia" w:ascii="Times New Roman" w:hAnsi="Times New Roman" w:cs="Times New Roman"/>
                <w:color w:val="auto"/>
              </w:rPr>
              <w:t>升压站内生活污水经化粪池处理后排入污水调节池，后经地埋式一体化污水处理设备处理达到《城市污水再生利用 城市杂用水水质》（GB/T18920-2020）中水质标准后，作为厂区地面抑尘、绿化使用，不外排。</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fldChar w:fldCharType="begin"/>
            </w:r>
            <w:r>
              <w:rPr>
                <w:rFonts w:hint="eastAsia" w:ascii="Times New Roman" w:hAnsi="Times New Roman" w:cs="Times New Roman"/>
                <w:color w:val="auto"/>
              </w:rPr>
              <w:instrText xml:space="preserve"> = 2 \* GB3 \* MERGEFORMAT </w:instrText>
            </w:r>
            <w:r>
              <w:rPr>
                <w:rFonts w:hint="eastAsia" w:ascii="Times New Roman" w:hAnsi="Times New Roman" w:cs="Times New Roman"/>
                <w:color w:val="auto"/>
              </w:rPr>
              <w:fldChar w:fldCharType="separate"/>
            </w:r>
            <w:r>
              <w:rPr>
                <w:rFonts w:hint="default" w:ascii="Times New Roman" w:hAnsi="Times New Roman" w:cs="Times New Roman"/>
                <w:color w:val="auto"/>
              </w:rPr>
              <w:t>②</w:t>
            </w:r>
            <w:r>
              <w:rPr>
                <w:rFonts w:hint="eastAsia" w:ascii="Times New Roman" w:hAnsi="Times New Roman" w:cs="Times New Roman"/>
                <w:color w:val="auto"/>
              </w:rPr>
              <w:fldChar w:fldCharType="end"/>
            </w:r>
            <w:r>
              <w:rPr>
                <w:rFonts w:hint="eastAsia" w:ascii="Times New Roman" w:hAnsi="Times New Roman" w:cs="Times New Roman"/>
                <w:color w:val="auto"/>
              </w:rPr>
              <w:t>升压站内食堂污水经隔油池处理后排入污水调节池，后经地埋式一体化污水处理设备处理达到《城市污水再生利用 城市杂用水水质》（GB/T18920-2020）中水质标准后，作为厂区地面抑尘、绿化使用，不外排。</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fldChar w:fldCharType="begin"/>
            </w:r>
            <w:r>
              <w:rPr>
                <w:rFonts w:hint="eastAsia" w:ascii="Times New Roman" w:hAnsi="Times New Roman" w:cs="Times New Roman"/>
                <w:color w:val="auto"/>
              </w:rPr>
              <w:instrText xml:space="preserve"> = 3 \* GB3 \* MERGEFORMAT </w:instrText>
            </w:r>
            <w:r>
              <w:rPr>
                <w:rFonts w:hint="eastAsia" w:ascii="Times New Roman" w:hAnsi="Times New Roman" w:cs="Times New Roman"/>
                <w:color w:val="auto"/>
              </w:rPr>
              <w:fldChar w:fldCharType="separate"/>
            </w:r>
            <w:r>
              <w:rPr>
                <w:rFonts w:hint="default" w:ascii="Times New Roman" w:hAnsi="Times New Roman" w:cs="Times New Roman"/>
                <w:color w:val="auto"/>
              </w:rPr>
              <w:t>③</w:t>
            </w:r>
            <w:r>
              <w:rPr>
                <w:rFonts w:hint="eastAsia" w:ascii="Times New Roman" w:hAnsi="Times New Roman" w:cs="Times New Roman"/>
                <w:color w:val="auto"/>
              </w:rPr>
              <w:fldChar w:fldCharType="end"/>
            </w:r>
            <w:r>
              <w:rPr>
                <w:rFonts w:hint="eastAsia" w:ascii="Times New Roman" w:hAnsi="Times New Roman" w:cs="Times New Roman"/>
                <w:color w:val="auto"/>
              </w:rPr>
              <w:t>太阳能光伏组件清洗废水水质较为清洁，用于光伏场地绿化使用，不外排。</w:t>
            </w:r>
          </w:p>
          <w:p>
            <w:pPr>
              <w:pStyle w:val="4"/>
              <w:suppressLineNumbers w:val="0"/>
              <w:spacing w:before="0" w:after="0"/>
              <w:ind w:left="0" w:right="0" w:firstLine="482"/>
              <w:rPr>
                <w:rFonts w:hint="default" w:cs="Times New Roman"/>
                <w:color w:val="auto"/>
              </w:rPr>
            </w:pPr>
            <w:r>
              <w:rPr>
                <w:rFonts w:hint="eastAsia" w:cs="Times New Roman"/>
                <w:color w:val="auto"/>
              </w:rPr>
              <w:t>运营期地表水影响结论</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项目运营期所产生的废水均不外排，不会对地表水环境造成影响。</w:t>
            </w:r>
          </w:p>
          <w:p>
            <w:pPr>
              <w:pStyle w:val="3"/>
              <w:keepLines w:val="0"/>
              <w:suppressLineNumbers w:val="0"/>
              <w:spacing w:before="120" w:beforeAutospacing="0" w:after="0" w:afterAutospacing="0"/>
              <w:ind w:right="0" w:firstLine="482"/>
              <w:rPr>
                <w:rFonts w:hint="default" w:ascii="Times New Roman" w:hAnsi="Times New Roman" w:cs="Times New Roman"/>
                <w:color w:val="auto"/>
              </w:rPr>
            </w:pPr>
            <w:r>
              <w:rPr>
                <w:rFonts w:hint="default" w:ascii="Times New Roman" w:hAnsi="Times New Roman" w:cs="Times New Roman"/>
                <w:color w:val="auto"/>
              </w:rPr>
              <w:t>运营期环境风险防范措施</w:t>
            </w:r>
          </w:p>
          <w:p>
            <w:pPr>
              <w:pStyle w:val="4"/>
              <w:suppressLineNumbers w:val="0"/>
              <w:spacing w:before="0" w:after="0"/>
              <w:ind w:left="0" w:right="0" w:firstLine="482"/>
              <w:rPr>
                <w:rFonts w:hint="default" w:cs="Times New Roman"/>
                <w:color w:val="auto"/>
              </w:rPr>
            </w:pPr>
            <w:r>
              <w:rPr>
                <w:rFonts w:hint="default" w:cs="Times New Roman"/>
                <w:color w:val="auto"/>
              </w:rPr>
              <w:t>风险源调查</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本项目</w:t>
            </w:r>
            <w:r>
              <w:rPr>
                <w:rFonts w:hint="eastAsia" w:ascii="Times New Roman" w:hAnsi="Times New Roman" w:cs="Times New Roman"/>
                <w:color w:val="auto"/>
              </w:rPr>
              <w:t>运营</w:t>
            </w:r>
            <w:r>
              <w:rPr>
                <w:rFonts w:hint="default" w:ascii="Times New Roman" w:hAnsi="Times New Roman" w:cs="Times New Roman"/>
                <w:color w:val="auto"/>
              </w:rPr>
              <w:t>期环境风险主要来源于升压站变压器油</w:t>
            </w:r>
            <w:r>
              <w:rPr>
                <w:rFonts w:hint="eastAsia" w:ascii="Times New Roman" w:hAnsi="Times New Roman" w:cs="Times New Roman"/>
                <w:color w:val="auto"/>
              </w:rPr>
              <w:t>、废变压器油</w:t>
            </w:r>
            <w:r>
              <w:rPr>
                <w:rFonts w:hint="default" w:ascii="Times New Roman" w:hAnsi="Times New Roman" w:cs="Times New Roman"/>
                <w:color w:val="auto"/>
              </w:rPr>
              <w:t>泄漏后造成地表水、地下水、土壤以及生态环境破坏以及泄漏后火灾次生污染物造成大气环境破坏。</w:t>
            </w:r>
          </w:p>
          <w:p>
            <w:pPr>
              <w:pStyle w:val="4"/>
              <w:suppressLineNumbers w:val="0"/>
              <w:spacing w:before="0" w:after="0"/>
              <w:ind w:left="0" w:right="0" w:firstLine="482"/>
              <w:rPr>
                <w:rFonts w:hint="default" w:cs="Times New Roman"/>
                <w:color w:val="auto"/>
              </w:rPr>
            </w:pPr>
            <w:r>
              <w:rPr>
                <w:rFonts w:hint="default" w:cs="Times New Roman"/>
                <w:color w:val="auto"/>
              </w:rPr>
              <w:t>环境风险防范措施与应急要求</w:t>
            </w:r>
          </w:p>
          <w:p>
            <w:pPr>
              <w:pStyle w:val="5"/>
              <w:suppressLineNumbers w:val="0"/>
              <w:spacing w:before="0" w:after="0"/>
              <w:ind w:left="0" w:right="0" w:firstLine="482"/>
              <w:rPr>
                <w:rFonts w:hint="default" w:ascii="Times New Roman" w:hAnsi="Times New Roman" w:cs="Times New Roman"/>
                <w:color w:val="auto"/>
              </w:rPr>
            </w:pPr>
            <w:r>
              <w:rPr>
                <w:rFonts w:hint="default" w:ascii="Times New Roman" w:hAnsi="Times New Roman" w:cs="Times New Roman"/>
                <w:color w:val="auto"/>
              </w:rPr>
              <w:t>风险管理措施</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为使环境风险减小到最低限度，必须加强劳动安全管理，制定完备、有效的安全防范措施，尽可能降低项目环境风险事故发生的概率。</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①严禁野外生火、乱丢烟头等可能引发火灾的不良行为；在秋收季节火灾高风险时期严禁一切野外用火；对进入光伏区的人员进行必要的监管，对进入区的人员及车辆进行细致的检查工作，防止各类火种入场。</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②加强对各种仪器设备的管理并定期检修，及时发现和消除火灾隐患。</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③建立严格的环境管理制度，加强对工作人员和运行管理人员的防火意识和宣传教育，成立防火工作领导小组，进行定期和随机监督检查，发现隐患及时解决，并采取一定的奖惩制度机制，对引起火灾的责任者追究行政和法律责任。</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④升压站内拟设置1座容积为</w:t>
            </w:r>
            <w:r>
              <w:rPr>
                <w:rFonts w:hint="eastAsia" w:ascii="Times New Roman" w:hAnsi="Times New Roman" w:cs="Times New Roman"/>
                <w:color w:val="auto"/>
              </w:rPr>
              <w:t>30</w:t>
            </w:r>
            <w:r>
              <w:rPr>
                <w:rFonts w:hint="default" w:ascii="Times New Roman" w:hAnsi="Times New Roman" w:cs="Times New Roman"/>
                <w:color w:val="auto"/>
              </w:rPr>
              <w:t>m</w:t>
            </w:r>
            <w:r>
              <w:rPr>
                <w:rFonts w:hint="default" w:ascii="Times New Roman" w:hAnsi="Times New Roman" w:cs="Times New Roman"/>
                <w:color w:val="auto"/>
                <w:vertAlign w:val="superscript"/>
              </w:rPr>
              <w:t>3</w:t>
            </w:r>
            <w:r>
              <w:rPr>
                <w:rFonts w:hint="default" w:ascii="Times New Roman" w:hAnsi="Times New Roman" w:cs="Times New Roman"/>
                <w:color w:val="auto"/>
              </w:rPr>
              <w:t>的事故油池，</w:t>
            </w:r>
            <w:r>
              <w:rPr>
                <w:rFonts w:hint="eastAsia" w:ascii="Times New Roman" w:hAnsi="Times New Roman" w:cs="Times New Roman"/>
                <w:color w:val="auto"/>
              </w:rPr>
              <w:t>单台箱变下方设置容积为3m</w:t>
            </w:r>
            <w:r>
              <w:rPr>
                <w:rFonts w:hint="eastAsia" w:ascii="Times New Roman" w:hAnsi="Times New Roman" w:cs="Times New Roman"/>
                <w:color w:val="auto"/>
                <w:vertAlign w:val="superscript"/>
              </w:rPr>
              <w:t>3</w:t>
            </w:r>
            <w:r>
              <w:rPr>
                <w:rFonts w:hint="eastAsia" w:ascii="Times New Roman" w:hAnsi="Times New Roman" w:cs="Times New Roman"/>
                <w:color w:val="auto"/>
              </w:rPr>
              <w:t>的事故油池，</w:t>
            </w:r>
            <w:r>
              <w:rPr>
                <w:rFonts w:hint="default" w:ascii="Times New Roman" w:hAnsi="Times New Roman" w:cs="Times New Roman"/>
                <w:color w:val="auto"/>
              </w:rPr>
              <w:t>能满足</w:t>
            </w:r>
            <w:r>
              <w:rPr>
                <w:rFonts w:hint="eastAsia" w:ascii="Times New Roman" w:hAnsi="Times New Roman" w:cs="Times New Roman"/>
                <w:color w:val="auto"/>
              </w:rPr>
              <w:t>箱变</w:t>
            </w:r>
            <w:r>
              <w:rPr>
                <w:rFonts w:hint="default" w:ascii="Times New Roman" w:hAnsi="Times New Roman" w:cs="Times New Roman"/>
                <w:color w:val="auto"/>
              </w:rPr>
              <w:t>的排油需要。对事故油池采取全面防腐、防渗处理，确保防渗层渗透系数小于1×10</w:t>
            </w:r>
            <w:r>
              <w:rPr>
                <w:rFonts w:hint="default" w:ascii="Times New Roman" w:hAnsi="Times New Roman" w:cs="Times New Roman"/>
                <w:color w:val="auto"/>
                <w:vertAlign w:val="superscript"/>
              </w:rPr>
              <w:t>-</w:t>
            </w:r>
            <w:r>
              <w:rPr>
                <w:rFonts w:hint="eastAsia" w:ascii="Times New Roman" w:hAnsi="Times New Roman" w:cs="Times New Roman"/>
                <w:color w:val="auto"/>
                <w:vertAlign w:val="superscript"/>
              </w:rPr>
              <w:t>10</w:t>
            </w:r>
            <w:r>
              <w:rPr>
                <w:rFonts w:hint="default" w:ascii="Times New Roman" w:hAnsi="Times New Roman" w:cs="Times New Roman"/>
                <w:color w:val="auto"/>
              </w:rPr>
              <w:t>cm/s。</w:t>
            </w:r>
            <w:r>
              <w:rPr>
                <w:rFonts w:hint="eastAsia" w:ascii="Times New Roman" w:hAnsi="Times New Roman" w:cs="Times New Roman"/>
                <w:color w:val="auto"/>
              </w:rPr>
              <w:t>废矿物油暂存于危废间内，定期交由有资质的单位进行处理，危废间采取全面防腐、防渗处理，防渗层为2mm厚高密度聚乙烯，或2mm厚的其它人工材料（防渗层渗透系数小于1×10</w:t>
            </w:r>
            <w:r>
              <w:rPr>
                <w:rFonts w:hint="eastAsia" w:ascii="Times New Roman" w:hAnsi="Times New Roman" w:cs="Times New Roman"/>
                <w:color w:val="auto"/>
                <w:vertAlign w:val="superscript"/>
              </w:rPr>
              <w:t>-10</w:t>
            </w:r>
            <w:r>
              <w:rPr>
                <w:rFonts w:hint="eastAsia" w:ascii="Times New Roman" w:hAnsi="Times New Roman" w:cs="Times New Roman"/>
                <w:color w:val="auto"/>
              </w:rPr>
              <w:t>cm/s）。</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⑤制定突发环境事件应急预案。</w:t>
            </w:r>
          </w:p>
          <w:p>
            <w:pPr>
              <w:pStyle w:val="5"/>
              <w:suppressLineNumbers w:val="0"/>
              <w:spacing w:before="0" w:after="0"/>
              <w:ind w:left="0" w:right="0" w:firstLine="482"/>
              <w:rPr>
                <w:rFonts w:hint="default" w:ascii="Times New Roman" w:hAnsi="Times New Roman" w:cs="Times New Roman"/>
                <w:color w:val="auto"/>
              </w:rPr>
            </w:pPr>
            <w:r>
              <w:rPr>
                <w:rFonts w:hint="default" w:ascii="Times New Roman" w:hAnsi="Times New Roman" w:cs="Times New Roman"/>
                <w:color w:val="auto"/>
              </w:rPr>
              <w:t>风险事故的应急措施</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根据本项目所储存物料的特性，对发生泄漏事故的应急措施如下：</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①一旦发生物料泄漏事故，应迅速撤离污染区人员至安全区，并进行隔离，周围设警告标志，严格限制出入。</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②建立有效的厂区内外环保应急隔离系统。</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③项目应成立相应的负责人，运营过程中加强现场巡视，及时发现光伏场区运行的是否正常。</w:t>
            </w:r>
          </w:p>
          <w:p>
            <w:pPr>
              <w:pStyle w:val="4"/>
              <w:suppressLineNumbers w:val="0"/>
              <w:spacing w:before="0" w:after="0"/>
              <w:ind w:left="0" w:right="0" w:firstLine="482"/>
              <w:rPr>
                <w:rFonts w:hint="default" w:cs="Times New Roman"/>
                <w:color w:val="auto"/>
              </w:rPr>
            </w:pPr>
            <w:r>
              <w:rPr>
                <w:rFonts w:hint="default" w:cs="Times New Roman"/>
                <w:color w:val="auto"/>
              </w:rPr>
              <w:t>环境风险分析结论</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本项目的风险主要是火灾风险、升压变电站事故漏油、危废间废变压器油泄漏。本项目企业在认真落实本报告提出的各项环境风险应急对策措施后，本项目的风险处于可防控的水平，风险管理措施有效可行，因而从风险角度分析本项目的环境风险是可以防控的。</w:t>
            </w:r>
          </w:p>
          <w:p>
            <w:pPr>
              <w:pStyle w:val="3"/>
              <w:keepLines w:val="0"/>
              <w:suppressLineNumbers w:val="0"/>
              <w:spacing w:before="120" w:beforeAutospacing="0" w:after="0" w:afterAutospacing="0"/>
              <w:ind w:right="0" w:firstLine="482"/>
              <w:rPr>
                <w:rFonts w:hint="default" w:ascii="Times New Roman" w:hAnsi="Times New Roman" w:cs="Times New Roman"/>
                <w:color w:val="auto"/>
              </w:rPr>
            </w:pPr>
            <w:r>
              <w:rPr>
                <w:rFonts w:hint="default" w:ascii="Times New Roman" w:hAnsi="Times New Roman" w:cs="Times New Roman"/>
                <w:color w:val="auto"/>
              </w:rPr>
              <w:t>运营期固体废物影响与保护措施</w:t>
            </w:r>
          </w:p>
          <w:p>
            <w:pPr>
              <w:pStyle w:val="4"/>
              <w:suppressLineNumbers w:val="0"/>
              <w:spacing w:before="0" w:after="0"/>
              <w:ind w:left="0" w:right="0" w:firstLine="482"/>
              <w:rPr>
                <w:rFonts w:hint="default" w:cs="Times New Roman"/>
                <w:color w:val="auto"/>
              </w:rPr>
            </w:pPr>
            <w:r>
              <w:rPr>
                <w:rFonts w:hint="eastAsia" w:cs="Times New Roman"/>
                <w:color w:val="auto"/>
              </w:rPr>
              <w:t>固体废物处置措施</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本项目固体废物主要为</w:t>
            </w:r>
            <w:r>
              <w:rPr>
                <w:rFonts w:hint="eastAsia" w:ascii="Times New Roman" w:hAnsi="Times New Roman" w:cs="Times New Roman"/>
                <w:color w:val="auto"/>
              </w:rPr>
              <w:t>职工办公生活垃圾、污水处理站污泥、废光伏组件</w:t>
            </w:r>
            <w:r>
              <w:rPr>
                <w:rFonts w:hint="eastAsia" w:cs="Times New Roman"/>
                <w:color w:val="auto"/>
                <w:lang w:eastAsia="zh-CN"/>
              </w:rPr>
              <w:t>、</w:t>
            </w:r>
            <w:r>
              <w:rPr>
                <w:rFonts w:hint="eastAsia" w:cs="Times New Roman"/>
                <w:color w:val="auto"/>
                <w:lang w:val="en-US" w:eastAsia="zh-CN"/>
              </w:rPr>
              <w:t>废锂电池</w:t>
            </w:r>
            <w:r>
              <w:rPr>
                <w:rFonts w:hint="eastAsia" w:ascii="Times New Roman" w:hAnsi="Times New Roman" w:cs="Times New Roman"/>
                <w:color w:val="auto"/>
              </w:rPr>
              <w:t>、升压站运行过程中产生废旧蓄电池，</w:t>
            </w:r>
            <w:r>
              <w:rPr>
                <w:rFonts w:hint="default" w:ascii="Times New Roman" w:hAnsi="Times New Roman" w:cs="Times New Roman"/>
                <w:color w:val="auto"/>
              </w:rPr>
              <w:t>变压器检修、更换以及发生事故产生的废变压器油</w:t>
            </w:r>
            <w:r>
              <w:rPr>
                <w:rFonts w:hint="eastAsia" w:ascii="Times New Roman" w:hAnsi="Times New Roman" w:cs="Times New Roman"/>
                <w:color w:val="auto"/>
              </w:rPr>
              <w:t>、含油抹布、劳保用品</w:t>
            </w:r>
            <w:r>
              <w:rPr>
                <w:rFonts w:hint="default" w:ascii="Times New Roman" w:hAnsi="Times New Roman" w:cs="Times New Roman"/>
                <w:color w:val="auto"/>
              </w:rPr>
              <w:t>及</w:t>
            </w:r>
            <w:r>
              <w:rPr>
                <w:rFonts w:hint="eastAsia" w:ascii="Times New Roman" w:hAnsi="Times New Roman" w:cs="Times New Roman"/>
                <w:color w:val="auto"/>
              </w:rPr>
              <w:t>废油桶</w:t>
            </w:r>
            <w:r>
              <w:rPr>
                <w:rFonts w:hint="default" w:ascii="Times New Roman" w:hAnsi="Times New Roman" w:cs="Times New Roman"/>
                <w:color w:val="auto"/>
              </w:rPr>
              <w:t>。其中，</w:t>
            </w:r>
            <w:r>
              <w:rPr>
                <w:rFonts w:hint="eastAsia" w:ascii="Times New Roman" w:hAnsi="Times New Roman" w:cs="Times New Roman"/>
                <w:color w:val="auto"/>
              </w:rPr>
              <w:t>废旧蓄电池、</w:t>
            </w:r>
            <w:r>
              <w:rPr>
                <w:rFonts w:hint="default" w:ascii="Times New Roman" w:hAnsi="Times New Roman" w:cs="Times New Roman"/>
                <w:color w:val="auto"/>
              </w:rPr>
              <w:t>废变压器油</w:t>
            </w:r>
            <w:r>
              <w:rPr>
                <w:rFonts w:hint="eastAsia" w:ascii="Times New Roman" w:hAnsi="Times New Roman" w:cs="Times New Roman"/>
                <w:color w:val="auto"/>
              </w:rPr>
              <w:t>、废油桶、含油抹布及劳保用品</w:t>
            </w:r>
            <w:r>
              <w:rPr>
                <w:rFonts w:hint="default" w:ascii="Times New Roman" w:hAnsi="Times New Roman" w:cs="Times New Roman"/>
                <w:color w:val="auto"/>
              </w:rPr>
              <w:t>集中收集在危险废物贮存间内后，委托有资质的单位定期转运及处置，危险废物贮存间位于升压站内，占地</w:t>
            </w:r>
            <w:r>
              <w:rPr>
                <w:rFonts w:hint="eastAsia" w:ascii="Times New Roman" w:hAnsi="Times New Roman" w:cs="Times New Roman"/>
                <w:color w:val="auto"/>
              </w:rPr>
              <w:t>29</w:t>
            </w:r>
            <w:r>
              <w:rPr>
                <w:rFonts w:hint="default" w:ascii="Times New Roman" w:hAnsi="Times New Roman" w:cs="Times New Roman"/>
                <w:color w:val="auto"/>
              </w:rPr>
              <w:t>m</w:t>
            </w:r>
            <w:r>
              <w:rPr>
                <w:rFonts w:hint="default" w:ascii="Times New Roman" w:hAnsi="Times New Roman" w:cs="Times New Roman"/>
                <w:color w:val="auto"/>
                <w:vertAlign w:val="superscript"/>
              </w:rPr>
              <w:t>2</w:t>
            </w:r>
            <w:r>
              <w:rPr>
                <w:rFonts w:hint="default" w:ascii="Times New Roman" w:hAnsi="Times New Roman" w:cs="Times New Roman"/>
                <w:color w:val="auto"/>
              </w:rPr>
              <w:t>，并设置防风、防雨、防晒、防渗（渗透系数≤10-10cm/s）；</w:t>
            </w:r>
            <w:r>
              <w:rPr>
                <w:rFonts w:hint="eastAsia" w:ascii="Times New Roman" w:hAnsi="Times New Roman" w:cs="Times New Roman"/>
                <w:color w:val="auto"/>
              </w:rPr>
              <w:t>废旧的光伏组件收集后</w:t>
            </w:r>
            <w:r>
              <w:rPr>
                <w:rFonts w:hint="default" w:ascii="Times New Roman" w:hAnsi="Times New Roman" w:cs="Times New Roman"/>
                <w:color w:val="auto"/>
              </w:rPr>
              <w:t>由生产厂家回收处理</w:t>
            </w:r>
            <w:r>
              <w:rPr>
                <w:rFonts w:hint="eastAsia" w:ascii="Times New Roman" w:hAnsi="Times New Roman" w:cs="Times New Roman"/>
                <w:color w:val="auto"/>
              </w:rPr>
              <w:t>；</w:t>
            </w:r>
            <w:r>
              <w:rPr>
                <w:rFonts w:hint="eastAsia" w:ascii="Times New Roman" w:hAnsi="Times New Roman" w:cs="Times New Roman"/>
                <w:color w:val="auto"/>
                <w:lang w:val="en-US" w:eastAsia="zh-CN"/>
              </w:rPr>
              <w:t>废旧锂电池由专业电池回收单位回收处置；</w:t>
            </w:r>
            <w:r>
              <w:rPr>
                <w:rFonts w:hint="default" w:ascii="Times New Roman" w:hAnsi="Times New Roman" w:cs="Times New Roman"/>
                <w:color w:val="auto"/>
              </w:rPr>
              <w:t>办公人员的生活垃圾集中收集后统一由环卫部门处理</w:t>
            </w:r>
            <w:r>
              <w:rPr>
                <w:rFonts w:hint="eastAsia" w:ascii="Times New Roman" w:hAnsi="Times New Roman" w:cs="Times New Roman"/>
                <w:color w:val="auto"/>
              </w:rPr>
              <w:t>；污水处理站污泥定期清掏用作农肥</w:t>
            </w:r>
            <w:r>
              <w:rPr>
                <w:rFonts w:hint="default" w:ascii="Times New Roman" w:hAnsi="Times New Roman" w:cs="Times New Roman"/>
                <w:color w:val="auto"/>
              </w:rPr>
              <w:t>。</w:t>
            </w:r>
          </w:p>
          <w:p>
            <w:pPr>
              <w:pStyle w:val="4"/>
              <w:suppressLineNumbers w:val="0"/>
              <w:spacing w:before="0" w:after="0"/>
              <w:ind w:left="0" w:right="0" w:firstLine="482"/>
              <w:rPr>
                <w:rFonts w:hint="eastAsia" w:cs="Times New Roman"/>
                <w:color w:val="auto"/>
              </w:rPr>
            </w:pPr>
            <w:r>
              <w:rPr>
                <w:rFonts w:hint="eastAsia" w:cs="Times New Roman"/>
                <w:color w:val="auto"/>
              </w:rPr>
              <w:t>固体废物影响评价结论</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本项目的固体废物得到妥善处置，同时对周围环境的影响可接受。</w:t>
            </w:r>
          </w:p>
          <w:p>
            <w:pPr>
              <w:pStyle w:val="3"/>
              <w:keepLines w:val="0"/>
              <w:suppressLineNumbers w:val="0"/>
              <w:spacing w:before="120" w:beforeAutospacing="0" w:after="0" w:afterAutospacing="0"/>
              <w:ind w:right="0" w:firstLine="482"/>
              <w:rPr>
                <w:rFonts w:hint="eastAsia" w:ascii="Times New Roman" w:hAnsi="Times New Roman" w:cs="Times New Roman"/>
                <w:color w:val="auto"/>
              </w:rPr>
            </w:pPr>
            <w:r>
              <w:rPr>
                <w:rFonts w:hint="eastAsia" w:ascii="Times New Roman" w:hAnsi="Times New Roman" w:cs="Times New Roman"/>
                <w:color w:val="auto"/>
              </w:rPr>
              <w:t>土壤、地下水环境保护措施及结论</w:t>
            </w:r>
          </w:p>
          <w:p>
            <w:pPr>
              <w:pStyle w:val="4"/>
              <w:suppressLineNumbers w:val="0"/>
              <w:spacing w:before="0" w:after="0"/>
              <w:ind w:left="0" w:right="0" w:firstLine="482"/>
              <w:rPr>
                <w:rFonts w:hint="eastAsia" w:cs="Times New Roman"/>
                <w:color w:val="auto"/>
              </w:rPr>
            </w:pPr>
            <w:r>
              <w:rPr>
                <w:rFonts w:hint="eastAsia" w:cs="Times New Roman"/>
                <w:color w:val="auto"/>
              </w:rPr>
              <w:t>土壤、地下水环境保护措施</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为防止化粪池</w:t>
            </w:r>
            <w:r>
              <w:rPr>
                <w:rFonts w:hint="eastAsia" w:ascii="Times New Roman" w:hAnsi="Times New Roman" w:cs="Times New Roman"/>
                <w:color w:val="auto"/>
              </w:rPr>
              <w:t>和隔油池</w:t>
            </w:r>
            <w:r>
              <w:rPr>
                <w:rFonts w:hint="default" w:ascii="Times New Roman" w:hAnsi="Times New Roman" w:cs="Times New Roman"/>
                <w:color w:val="auto"/>
              </w:rPr>
              <w:t>防渗层的破损，引起废水的下渗，对周边土壤、地下水产生的不利影响</w:t>
            </w:r>
            <w:r>
              <w:rPr>
                <w:rFonts w:hint="eastAsia" w:ascii="Times New Roman" w:hAnsi="Times New Roman" w:cs="Times New Roman"/>
                <w:color w:val="auto"/>
              </w:rPr>
              <w:t>，污水处理区所在地面采取一般防渗，保证渗透系数≤1×10</w:t>
            </w:r>
            <w:r>
              <w:rPr>
                <w:rFonts w:hint="eastAsia" w:ascii="Times New Roman" w:hAnsi="Times New Roman" w:cs="Times New Roman"/>
                <w:color w:val="auto"/>
                <w:vertAlign w:val="superscript"/>
              </w:rPr>
              <w:t>-7</w:t>
            </w:r>
            <w:r>
              <w:rPr>
                <w:rFonts w:hint="eastAsia" w:ascii="Times New Roman" w:hAnsi="Times New Roman" w:cs="Times New Roman"/>
                <w:color w:val="auto"/>
              </w:rPr>
              <w:t>cm/s；为防止事故油池、废变压器油泄漏对土壤、地下水影响，建设单位拟对事故油池、危险废物贮存间采取防渗措施，渗透系数≤10</w:t>
            </w:r>
            <w:r>
              <w:rPr>
                <w:rFonts w:hint="eastAsia" w:ascii="Times New Roman" w:hAnsi="Times New Roman" w:cs="Times New Roman"/>
                <w:color w:val="auto"/>
                <w:vertAlign w:val="superscript"/>
              </w:rPr>
              <w:t>-10</w:t>
            </w:r>
            <w:r>
              <w:rPr>
                <w:rFonts w:hint="eastAsia" w:ascii="Times New Roman" w:hAnsi="Times New Roman" w:cs="Times New Roman"/>
                <w:color w:val="auto"/>
              </w:rPr>
              <w:t>cm/s。其他区域采取一般防渗。</w:t>
            </w:r>
          </w:p>
          <w:p>
            <w:pPr>
              <w:pStyle w:val="4"/>
              <w:suppressLineNumbers w:val="0"/>
              <w:spacing w:before="0" w:after="0"/>
              <w:ind w:left="0" w:right="0" w:firstLine="482"/>
              <w:rPr>
                <w:rFonts w:hint="eastAsia" w:cs="Times New Roman"/>
                <w:color w:val="auto"/>
              </w:rPr>
            </w:pPr>
            <w:r>
              <w:rPr>
                <w:rFonts w:hint="eastAsia" w:cs="Times New Roman"/>
                <w:color w:val="auto"/>
              </w:rPr>
              <w:t>评价结论</w:t>
            </w:r>
          </w:p>
          <w:p>
            <w:pPr>
              <w:keepNext w:val="0"/>
              <w:keepLines w:val="0"/>
              <w:suppressLineNumbers w:val="0"/>
              <w:spacing w:before="0" w:beforeAutospacing="0" w:after="0" w:afterAutospacing="0"/>
              <w:ind w:left="0" w:right="0" w:firstLine="480"/>
              <w:rPr>
                <w:rFonts w:hint="eastAsia" w:ascii="Times New Roman" w:hAnsi="Times New Roman" w:cs="Times New Roman"/>
                <w:color w:val="auto"/>
              </w:rPr>
            </w:pPr>
            <w:r>
              <w:rPr>
                <w:rFonts w:hint="eastAsia" w:ascii="Times New Roman" w:hAnsi="Times New Roman" w:cs="Times New Roman"/>
                <w:color w:val="auto"/>
              </w:rPr>
              <w:t>本项目正常情况下不会造成区域土壤、地下水的污染。</w:t>
            </w:r>
          </w:p>
          <w:p>
            <w:pPr>
              <w:pStyle w:val="3"/>
              <w:keepLines w:val="0"/>
              <w:suppressLineNumbers w:val="0"/>
              <w:spacing w:before="120" w:beforeAutospacing="0" w:after="0" w:afterAutospacing="0"/>
              <w:ind w:right="0" w:firstLine="482"/>
              <w:rPr>
                <w:rFonts w:hint="default" w:ascii="Times New Roman" w:hAnsi="Times New Roman" w:cs="Times New Roman"/>
                <w:color w:val="auto"/>
              </w:rPr>
            </w:pPr>
            <w:r>
              <w:rPr>
                <w:rFonts w:hint="default" w:ascii="Times New Roman" w:hAnsi="Times New Roman" w:cs="Times New Roman"/>
                <w:color w:val="auto"/>
              </w:rPr>
              <w:t>运营期生态环境影响与保护措施</w:t>
            </w:r>
          </w:p>
          <w:p>
            <w:pPr>
              <w:pStyle w:val="4"/>
              <w:suppressLineNumbers w:val="0"/>
              <w:spacing w:before="0" w:after="0"/>
              <w:ind w:left="0" w:right="0" w:firstLine="482"/>
              <w:rPr>
                <w:rFonts w:hint="default" w:cs="Times New Roman"/>
                <w:color w:val="auto"/>
              </w:rPr>
            </w:pPr>
            <w:r>
              <w:rPr>
                <w:rFonts w:hint="default" w:cs="Times New Roman"/>
                <w:color w:val="auto"/>
              </w:rPr>
              <w:t>运营期生态环境影响</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本项目为</w:t>
            </w:r>
            <w:r>
              <w:rPr>
                <w:rFonts w:hint="eastAsia" w:ascii="Times New Roman" w:hAnsi="Times New Roman" w:cs="Times New Roman"/>
                <w:color w:val="auto"/>
              </w:rPr>
              <w:t>“牧光互补”复合项目</w:t>
            </w:r>
            <w:r>
              <w:rPr>
                <w:rFonts w:hint="default" w:ascii="Times New Roman" w:hAnsi="Times New Roman" w:cs="Times New Roman"/>
                <w:color w:val="auto"/>
              </w:rPr>
              <w:t>，项目运行后，土地综合利用开发方式为“牧光互补”形式，即按照光伏复合项目相关建设标准和要求把光伏组件架高，在光伏组件下种植</w:t>
            </w:r>
            <w:r>
              <w:rPr>
                <w:rFonts w:hint="eastAsia" w:ascii="Times New Roman" w:hAnsi="Times New Roman" w:cs="Times New Roman"/>
                <w:color w:val="auto"/>
              </w:rPr>
              <w:t>牧草</w:t>
            </w:r>
            <w:r>
              <w:rPr>
                <w:rFonts w:hint="default" w:ascii="Times New Roman" w:hAnsi="Times New Roman" w:cs="Times New Roman"/>
                <w:color w:val="auto"/>
              </w:rPr>
              <w:t>，本项目的建设可以增加占地范围内的植被覆盖面积，增</w:t>
            </w:r>
            <w:r>
              <w:rPr>
                <w:rFonts w:hint="eastAsia" w:ascii="Times New Roman" w:hAnsi="Times New Roman" w:cs="Times New Roman"/>
                <w:color w:val="auto"/>
              </w:rPr>
              <w:t>加</w:t>
            </w:r>
            <w:r>
              <w:rPr>
                <w:rFonts w:hint="default" w:ascii="Times New Roman" w:hAnsi="Times New Roman" w:cs="Times New Roman"/>
                <w:color w:val="auto"/>
              </w:rPr>
              <w:t>植被覆盖率，增加区域生物量，因此，本项目通过补偿的方式改善生态环境，不会对区域</w:t>
            </w:r>
            <w:r>
              <w:rPr>
                <w:rFonts w:hint="eastAsia" w:ascii="Times New Roman" w:hAnsi="Times New Roman" w:cs="Times New Roman"/>
                <w:color w:val="auto"/>
              </w:rPr>
              <w:t>生态环境</w:t>
            </w:r>
            <w:r>
              <w:rPr>
                <w:rFonts w:hint="default" w:ascii="Times New Roman" w:hAnsi="Times New Roman" w:cs="Times New Roman"/>
                <w:color w:val="auto"/>
              </w:rPr>
              <w:t>造成严重影响。</w:t>
            </w:r>
          </w:p>
          <w:p>
            <w:pPr>
              <w:pStyle w:val="4"/>
              <w:suppressLineNumbers w:val="0"/>
              <w:spacing w:before="0" w:after="0"/>
              <w:ind w:left="0" w:right="0" w:firstLine="482"/>
              <w:rPr>
                <w:rFonts w:hint="default" w:cs="Times New Roman"/>
                <w:color w:val="auto"/>
              </w:rPr>
            </w:pPr>
            <w:r>
              <w:rPr>
                <w:rFonts w:hint="default" w:cs="Times New Roman"/>
                <w:color w:val="auto"/>
              </w:rPr>
              <w:t>运营期生态环境保护措施</w:t>
            </w:r>
          </w:p>
          <w:p>
            <w:pPr>
              <w:keepNext w:val="0"/>
              <w:keepLines w:val="0"/>
              <w:suppressLineNumbers w:val="0"/>
              <w:spacing w:before="0" w:beforeAutospacing="0" w:after="0" w:afterAutospacing="0"/>
              <w:ind w:left="0" w:right="0" w:firstLine="480"/>
              <w:rPr>
                <w:rFonts w:hint="default" w:eastAsia="宋体"/>
                <w:color w:val="auto"/>
                <w:lang w:val="en-US" w:eastAsia="zh-CN"/>
              </w:rPr>
            </w:pPr>
            <w:r>
              <w:rPr>
                <w:rFonts w:hint="default" w:ascii="Times New Roman" w:hAnsi="Times New Roman" w:cs="Times New Roman"/>
                <w:color w:val="auto"/>
              </w:rPr>
              <w:t>为保护项目生态环境，对项目光伏场地周边进行撒籽绿化。</w:t>
            </w:r>
            <w:r>
              <w:rPr>
                <w:rFonts w:hint="eastAsia" w:cs="Times New Roman"/>
                <w:color w:val="auto"/>
                <w:lang w:val="en-US" w:eastAsia="zh-CN"/>
              </w:rPr>
              <w:t>对改建为光伏电站检修道路的施工道路两侧进行绿化。</w:t>
            </w:r>
            <w:r>
              <w:rPr>
                <w:rFonts w:hint="default" w:ascii="Times New Roman" w:hAnsi="Times New Roman" w:cs="Times New Roman"/>
                <w:color w:val="auto"/>
              </w:rPr>
              <w:t>绿化是减轻环境污染，提高环境质量的重要手段之一，具有净化空气、消声减噪的功能。因此，项目在建设过程中应充分考虑到绿化，在光伏阵列区绿化，植物绿化不仅美化了环境，同时也可起到减轻污染、防噪降噪的效果。</w:t>
            </w:r>
          </w:p>
          <w:p>
            <w:pPr>
              <w:pStyle w:val="4"/>
              <w:suppressLineNumbers w:val="0"/>
              <w:spacing w:before="0" w:after="0"/>
              <w:ind w:left="0" w:right="0" w:firstLine="482"/>
              <w:rPr>
                <w:rFonts w:hint="default" w:cs="Times New Roman"/>
                <w:color w:val="auto"/>
              </w:rPr>
            </w:pPr>
            <w:r>
              <w:rPr>
                <w:rFonts w:hint="eastAsia" w:cs="Times New Roman"/>
                <w:color w:val="auto"/>
              </w:rPr>
              <w:t>运营期生态环境影响结论</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在采取上述保护措施后，项目运营对项目评价范围的生态环境不会造成明显不利影响。</w:t>
            </w:r>
          </w:p>
          <w:p>
            <w:pPr>
              <w:pStyle w:val="3"/>
              <w:keepLines w:val="0"/>
              <w:suppressLineNumbers w:val="0"/>
              <w:spacing w:before="120" w:beforeAutospacing="0" w:after="0" w:afterAutospacing="0"/>
              <w:ind w:right="0" w:firstLine="482"/>
              <w:rPr>
                <w:rFonts w:hint="default" w:ascii="Times New Roman" w:hAnsi="Times New Roman" w:cs="Times New Roman"/>
                <w:color w:val="auto"/>
              </w:rPr>
            </w:pPr>
            <w:r>
              <w:rPr>
                <w:rFonts w:hint="default" w:ascii="Times New Roman" w:hAnsi="Times New Roman" w:cs="Times New Roman"/>
                <w:color w:val="auto"/>
              </w:rPr>
              <w:t>光污染影响分析</w:t>
            </w:r>
            <w:r>
              <w:rPr>
                <w:rFonts w:hint="eastAsia" w:ascii="Times New Roman" w:hAnsi="Times New Roman" w:cs="Times New Roman"/>
                <w:color w:val="auto"/>
              </w:rPr>
              <w:t>及保护措施</w:t>
            </w:r>
          </w:p>
          <w:p>
            <w:pPr>
              <w:pStyle w:val="4"/>
              <w:suppressLineNumbers w:val="0"/>
              <w:spacing w:before="0" w:after="0"/>
              <w:ind w:left="0" w:right="0" w:firstLine="482"/>
              <w:rPr>
                <w:rFonts w:hint="default" w:cs="Times New Roman"/>
                <w:color w:val="auto"/>
              </w:rPr>
            </w:pPr>
            <w:r>
              <w:rPr>
                <w:rFonts w:hint="eastAsia" w:cs="Times New Roman"/>
                <w:color w:val="auto"/>
              </w:rPr>
              <w:t>光污染影响</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单晶硅电池组件的外层涂覆有防反射涂层，其透光率极高，达95%以上。光伏阵列的反射光极少，不会使附近公路上正在行驶的车辆的驾驶员产生眩晕感，不会影响交通安全。本项目光伏发电面板距离附近村庄较近，但其布置位置较高，且不会正对着村庄，因此，本项目产生的光污染对周边居民和道路系统基本无影响。</w:t>
            </w:r>
          </w:p>
          <w:p>
            <w:pPr>
              <w:pStyle w:val="4"/>
              <w:suppressLineNumbers w:val="0"/>
              <w:spacing w:before="0" w:after="0"/>
              <w:ind w:left="0" w:right="0" w:firstLine="482"/>
              <w:rPr>
                <w:rFonts w:hint="default" w:cs="Times New Roman"/>
                <w:color w:val="auto"/>
              </w:rPr>
            </w:pPr>
            <w:r>
              <w:rPr>
                <w:rFonts w:hint="eastAsia" w:cs="Times New Roman"/>
                <w:color w:val="auto"/>
              </w:rPr>
              <w:t>保护措施</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（1）本项目采取太阳能电池组件支架为固定支架，倾角为36°的安装方式，能够最大程度地减少对太阳光的反射，减少光反射对周边居民的影响；</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（2）本工程采用单晶硅太阳能电池，该电池组件最外层为特种钢化玻璃。这种钢化玻璃的透光率极高，达95%以上，能够减少光反射的产生，以减少光反射对周边居民的影响。</w:t>
            </w:r>
          </w:p>
          <w:p>
            <w:pPr>
              <w:pStyle w:val="4"/>
              <w:suppressLineNumbers w:val="0"/>
              <w:spacing w:before="0" w:after="0"/>
              <w:ind w:left="0" w:right="0" w:firstLine="482"/>
              <w:rPr>
                <w:rFonts w:hint="default" w:cs="Times New Roman"/>
                <w:color w:val="auto"/>
              </w:rPr>
            </w:pPr>
            <w:r>
              <w:rPr>
                <w:rFonts w:hint="eastAsia" w:cs="Times New Roman"/>
                <w:color w:val="auto"/>
              </w:rPr>
              <w:t>光污染影响结论</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本项目电池组件拟选用表面涂覆有防反射涂层单晶硅组件，透光率高、反射率很低，</w:t>
            </w:r>
            <w:r>
              <w:rPr>
                <w:rFonts w:hint="eastAsia" w:ascii="Times New Roman" w:hAnsi="Times New Roman" w:cs="Times New Roman"/>
                <w:color w:val="auto"/>
              </w:rPr>
              <w:t>安装角度合理，</w:t>
            </w:r>
            <w:r>
              <w:rPr>
                <w:rFonts w:hint="default" w:ascii="Times New Roman" w:hAnsi="Times New Roman" w:cs="Times New Roman"/>
                <w:color w:val="auto"/>
              </w:rPr>
              <w:t>不会造成明显</w:t>
            </w:r>
            <w:r>
              <w:rPr>
                <w:rFonts w:hint="eastAsia" w:ascii="Times New Roman" w:hAnsi="Times New Roman" w:cs="Times New Roman"/>
                <w:color w:val="auto"/>
              </w:rPr>
              <w:t>的</w:t>
            </w:r>
            <w:r>
              <w:rPr>
                <w:rFonts w:hint="default" w:ascii="Times New Roman" w:hAnsi="Times New Roman" w:cs="Times New Roman"/>
                <w:color w:val="auto"/>
              </w:rPr>
              <w:t>光污染。</w:t>
            </w:r>
          </w:p>
          <w:p>
            <w:pPr>
              <w:pStyle w:val="3"/>
              <w:keepLines w:val="0"/>
              <w:suppressLineNumbers w:val="0"/>
              <w:spacing w:before="120" w:beforeAutospacing="0" w:after="0" w:afterAutospacing="0"/>
              <w:ind w:right="0" w:firstLine="482"/>
              <w:rPr>
                <w:rFonts w:hint="default" w:ascii="Times New Roman" w:hAnsi="Times New Roman" w:cs="Times New Roman"/>
                <w:color w:val="auto"/>
              </w:rPr>
            </w:pPr>
            <w:r>
              <w:rPr>
                <w:rFonts w:hint="eastAsia" w:ascii="Times New Roman" w:hAnsi="Times New Roman" w:cs="Times New Roman"/>
                <w:color w:val="auto"/>
              </w:rPr>
              <w:t>服务期满后生态恢复措施</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 xml:space="preserve">本项目光伏发电站服务期满后构筑物、设备拆除的场区应进行生态恢复： </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①掘除硬化地面基础，对场地进行恢复，在场区内播撒耐旱草籽，草种优先选用原著种；加大绿化面积；拆除过程中应尽量减少对土地的扰动，对于项目场区原绿化土地应保留。</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②掘除光伏方阵区混凝土的基础，对场地进行恢复，覆土厚度不低于</w:t>
            </w:r>
            <w:r>
              <w:rPr>
                <w:rFonts w:hint="default" w:ascii="Times New Roman" w:hAnsi="Times New Roman" w:cs="Times New Roman"/>
                <w:color w:val="auto"/>
              </w:rPr>
              <w:t>30cm</w:t>
            </w:r>
            <w:r>
              <w:rPr>
                <w:rFonts w:hint="eastAsia" w:ascii="Times New Roman" w:hAnsi="Times New Roman" w:cs="Times New Roman"/>
                <w:color w:val="auto"/>
              </w:rPr>
              <w:t>，并将光伏阵区侵蚀沟和低洼区域填土、平整，恢复后的场地则进行洒水和压实，以固结地表，防止产生扬尘和对土壤的风蚀，播种荆条、酸枣等灌木进行植被恢复，对于少量不能进行植被恢复的区域，进行平整压实，以减轻水土流失。</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光伏电站在服务期满后，要严格采取固废处置及生态恢复的环保措施，确保无遗留环保问题。</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③新建道路砂石路面破坏后，恢复后的场地进行洒水和压实，播种草籽进行植被恢复。</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eastAsia" w:ascii="Times New Roman" w:hAnsi="Times New Roman" w:cs="Times New Roman"/>
                <w:color w:val="auto"/>
              </w:rPr>
              <w:t>综上所述，本项目服务期满后，企业必须严格采取上述生态环境保护和恢复措施，确保无遗留环保问题。</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02" w:hRule="atLeast"/>
          <w:jc w:val="center"/>
        </w:trPr>
        <w:tc>
          <w:tcPr>
            <w:tcW w:w="753"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其他</w:t>
            </w:r>
          </w:p>
        </w:tc>
        <w:tc>
          <w:tcPr>
            <w:tcW w:w="8457" w:type="dxa"/>
            <w:noWrap w:val="0"/>
            <w:vAlign w:val="center"/>
          </w:tcPr>
          <w:p>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cs="Times New Roman"/>
                <w:color w:val="auto"/>
              </w:rPr>
            </w:pPr>
            <w:r>
              <w:rPr>
                <w:rFonts w:hint="eastAsia" w:ascii="Times New Roman" w:hAnsi="Times New Roman" w:cs="Times New Roman"/>
                <w:color w:val="auto"/>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1" w:hRule="atLeast"/>
          <w:jc w:val="center"/>
        </w:trPr>
        <w:tc>
          <w:tcPr>
            <w:tcW w:w="753"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环保投资</w:t>
            </w:r>
          </w:p>
        </w:tc>
        <w:tc>
          <w:tcPr>
            <w:tcW w:w="8457" w:type="dxa"/>
            <w:noWrap w:val="0"/>
            <w:vAlign w:val="top"/>
          </w:tcPr>
          <w:p>
            <w:pPr>
              <w:pStyle w:val="38"/>
              <w:keepNext w:val="0"/>
              <w:keepLines w:val="0"/>
              <w:suppressLineNumbers w:val="0"/>
              <w:spacing w:before="0" w:beforeAutospacing="0" w:after="0" w:afterAutospacing="0"/>
              <w:ind w:right="0" w:firstLine="422"/>
              <w:rPr>
                <w:rFonts w:hint="default" w:ascii="Times New Roman" w:hAnsi="Times New Roman" w:cs="Times New Roman"/>
                <w:color w:val="auto"/>
              </w:rPr>
            </w:pPr>
            <w:r>
              <w:rPr>
                <w:rFonts w:ascii="Times New Roman" w:hAnsi="Times New Roman" w:cs="Times New Roman"/>
                <w:color w:val="auto"/>
              </w:rPr>
              <w:t>项目环保投资一览表</w:t>
            </w:r>
          </w:p>
          <w:tbl>
            <w:tblPr>
              <w:tblStyle w:val="20"/>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Layout w:type="fixed"/>
              <w:tblCellMar>
                <w:top w:w="0" w:type="dxa"/>
                <w:left w:w="108" w:type="dxa"/>
                <w:bottom w:w="0" w:type="dxa"/>
                <w:right w:w="108" w:type="dxa"/>
              </w:tblCellMar>
            </w:tblPr>
            <w:tblGrid>
              <w:gridCol w:w="435"/>
              <w:gridCol w:w="498"/>
              <w:gridCol w:w="4475"/>
              <w:gridCol w:w="949"/>
              <w:gridCol w:w="931"/>
              <w:gridCol w:w="9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CellMar>
                  <w:top w:w="0" w:type="dxa"/>
                  <w:left w:w="108" w:type="dxa"/>
                  <w:bottom w:w="0" w:type="dxa"/>
                  <w:right w:w="108" w:type="dxa"/>
                </w:tblCellMar>
              </w:tblPrEx>
              <w:trPr>
                <w:trHeight w:val="397" w:hRule="atLeast"/>
              </w:trPr>
              <w:tc>
                <w:tcPr>
                  <w:tcW w:w="567" w:type="pct"/>
                  <w:gridSpan w:val="2"/>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项目</w:t>
                  </w:r>
                </w:p>
              </w:tc>
              <w:tc>
                <w:tcPr>
                  <w:tcW w:w="2719" w:type="pc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b/>
                      <w:bCs/>
                      <w:color w:val="auto"/>
                    </w:rPr>
                  </w:pPr>
                  <w:r>
                    <w:rPr>
                      <w:rFonts w:hint="default" w:ascii="Times New Roman" w:hAnsi="Times New Roman" w:cs="Times New Roman"/>
                      <w:b/>
                      <w:bCs/>
                      <w:color w:val="auto"/>
                    </w:rPr>
                    <w:t>污染防治</w:t>
                  </w:r>
                  <w:r>
                    <w:rPr>
                      <w:rFonts w:hint="eastAsia" w:ascii="Times New Roman" w:hAnsi="Times New Roman" w:cs="Times New Roman"/>
                      <w:b/>
                      <w:bCs/>
                      <w:color w:val="auto"/>
                    </w:rPr>
                    <w:t>措施</w:t>
                  </w:r>
                </w:p>
              </w:tc>
              <w:tc>
                <w:tcPr>
                  <w:tcW w:w="577"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数量</w:t>
                  </w:r>
                </w:p>
              </w:tc>
              <w:tc>
                <w:tcPr>
                  <w:tcW w:w="566"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功能</w:t>
                  </w:r>
                </w:p>
              </w:tc>
              <w:tc>
                <w:tcPr>
                  <w:tcW w:w="570"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投资</w:t>
                  </w:r>
                </w:p>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估算</w:t>
                  </w:r>
                </w:p>
                <w:p>
                  <w:pPr>
                    <w:pStyle w:val="30"/>
                    <w:keepNext w:val="0"/>
                    <w:keepLines w:val="0"/>
                    <w:suppressLineNumbers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CellMar>
                  <w:top w:w="0" w:type="dxa"/>
                  <w:left w:w="108" w:type="dxa"/>
                  <w:bottom w:w="0" w:type="dxa"/>
                  <w:right w:w="108" w:type="dxa"/>
                </w:tblCellMar>
              </w:tblPrEx>
              <w:trPr>
                <w:trHeight w:val="2173" w:hRule="atLeast"/>
              </w:trPr>
              <w:tc>
                <w:tcPr>
                  <w:tcW w:w="264" w:type="pct"/>
                  <w:vMerge w:val="restar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大</w:t>
                  </w:r>
                </w:p>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气</w:t>
                  </w:r>
                </w:p>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环</w:t>
                  </w:r>
                </w:p>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境</w:t>
                  </w:r>
                </w:p>
              </w:tc>
              <w:tc>
                <w:tcPr>
                  <w:tcW w:w="30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施工期</w:t>
                  </w:r>
                </w:p>
              </w:tc>
              <w:tc>
                <w:tcPr>
                  <w:tcW w:w="2719"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①在施工现场出入口明显位置设置公示牌，公示施工现场负责人、环保监督员、防尘措施、扬尘监督管理部门、举报投诉电话等信息</w:t>
                  </w:r>
                  <w:r>
                    <w:rPr>
                      <w:rFonts w:hint="eastAsia" w:ascii="Times New Roman" w:hAnsi="Times New Roman" w:cs="Times New Roman"/>
                      <w:color w:val="auto"/>
                    </w:rPr>
                    <w:t>；</w:t>
                  </w:r>
                </w:p>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②在施工现场周边设置硬质封闭围挡或者围墙，高度不低于2.5m，位于一般路段的，高度不低于1.8m，并在围挡底端设置不低于0.2m的防溢座；</w:t>
                  </w:r>
                </w:p>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③对施工现场出入口、场内施工道路、材料加工堆放区进行硬化处理，并保持地面整洁；</w:t>
                  </w:r>
                </w:p>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④在施工现场出口处设置车辆清洗设施并配套设置排水、泥浆沉淀设施，车辆冲洗干净后方可驶出；</w:t>
                  </w:r>
                </w:p>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⑤建筑垃圾应当及时清运，运输车辆应减速慢行，运输建筑垃圾及土方时应采用蓬布遮盖，以避免沿途洒落，减少运输扬尘；建筑垃圾在场地内堆存的，应当集中堆放并采取密闭或者遮盖等防尘措施；</w:t>
                  </w:r>
                </w:p>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⑥</w:t>
                  </w:r>
                  <w:r>
                    <w:rPr>
                      <w:rFonts w:hint="default" w:ascii="Times New Roman" w:hAnsi="Times New Roman" w:cs="Times New Roman"/>
                      <w:color w:val="auto"/>
                    </w:rPr>
                    <w:t>建施工单位加强监管，对现场作业人员进行环境保护方面的培训教育</w:t>
                  </w:r>
                  <w:r>
                    <w:rPr>
                      <w:rFonts w:hint="eastAsia" w:ascii="Times New Roman" w:hAnsi="Times New Roman" w:cs="Times New Roman"/>
                      <w:color w:val="auto"/>
                    </w:rPr>
                    <w:t>。</w:t>
                  </w:r>
                </w:p>
              </w:tc>
              <w:tc>
                <w:tcPr>
                  <w:tcW w:w="577" w:type="pct"/>
                  <w:vMerge w:val="restar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w:t>
                  </w:r>
                </w:p>
              </w:tc>
              <w:tc>
                <w:tcPr>
                  <w:tcW w:w="566"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减少</w:t>
                  </w:r>
                  <w:r>
                    <w:rPr>
                      <w:rFonts w:hint="eastAsia" w:ascii="Times New Roman" w:hAnsi="Times New Roman" w:cs="Times New Roman"/>
                      <w:color w:val="auto"/>
                    </w:rPr>
                    <w:t>施工</w:t>
                  </w:r>
                  <w:r>
                    <w:rPr>
                      <w:rFonts w:hint="default" w:ascii="Times New Roman" w:hAnsi="Times New Roman" w:cs="Times New Roman"/>
                      <w:color w:val="auto"/>
                    </w:rPr>
                    <w:t>扬尘影响</w:t>
                  </w:r>
                </w:p>
              </w:tc>
              <w:tc>
                <w:tcPr>
                  <w:tcW w:w="570"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CellMar>
                  <w:top w:w="0" w:type="dxa"/>
                  <w:left w:w="108" w:type="dxa"/>
                  <w:bottom w:w="0" w:type="dxa"/>
                  <w:right w:w="108" w:type="dxa"/>
                </w:tblCellMar>
              </w:tblPrEx>
              <w:trPr>
                <w:trHeight w:val="2173" w:hRule="atLeast"/>
              </w:trPr>
              <w:tc>
                <w:tcPr>
                  <w:tcW w:w="264"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30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运营期</w:t>
                  </w:r>
                </w:p>
              </w:tc>
              <w:tc>
                <w:tcPr>
                  <w:tcW w:w="2719"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①食堂安装</w:t>
                  </w:r>
                  <w:r>
                    <w:rPr>
                      <w:rFonts w:hint="default" w:ascii="Times New Roman" w:hAnsi="Times New Roman" w:cs="Times New Roman"/>
                      <w:color w:val="auto"/>
                    </w:rPr>
                    <w:t>油烟净化器</w:t>
                  </w:r>
                </w:p>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②污水处理站池体加盖，并定期投放除臭剂</w:t>
                  </w:r>
                </w:p>
              </w:tc>
              <w:tc>
                <w:tcPr>
                  <w:tcW w:w="577"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566"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减少</w:t>
                  </w:r>
                  <w:r>
                    <w:rPr>
                      <w:rFonts w:hint="eastAsia" w:ascii="Times New Roman" w:hAnsi="Times New Roman" w:cs="Times New Roman"/>
                      <w:color w:val="auto"/>
                    </w:rPr>
                    <w:t>食堂油烟、污水处理站氨气、硫化氢和臭气浓度的排放</w:t>
                  </w:r>
                </w:p>
              </w:tc>
              <w:tc>
                <w:tcPr>
                  <w:tcW w:w="570"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CellMar>
                  <w:top w:w="0" w:type="dxa"/>
                  <w:left w:w="108" w:type="dxa"/>
                  <w:bottom w:w="0" w:type="dxa"/>
                  <w:right w:w="108" w:type="dxa"/>
                </w:tblCellMar>
              </w:tblPrEx>
              <w:trPr>
                <w:trHeight w:val="403" w:hRule="atLeast"/>
              </w:trPr>
              <w:tc>
                <w:tcPr>
                  <w:tcW w:w="264" w:type="pct"/>
                  <w:vMerge w:val="restar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水</w:t>
                  </w:r>
                </w:p>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环</w:t>
                  </w:r>
                </w:p>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境</w:t>
                  </w:r>
                </w:p>
              </w:tc>
              <w:tc>
                <w:tcPr>
                  <w:tcW w:w="30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施工期</w:t>
                  </w:r>
                </w:p>
              </w:tc>
              <w:tc>
                <w:tcPr>
                  <w:tcW w:w="2719"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①含有害物质的建材和其它固体废物不得随意倾倒或堆放，施工建材应设篷盖，必要时设围栏，防止被雨水冲刷进入水体，各种固体废物应及时清运或依有关规定处理。</w:t>
                  </w:r>
                </w:p>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②施工人员生活污水洒水降尘。</w:t>
                  </w:r>
                </w:p>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③加强施工人员环境保护工作宣传教育工作，施工废料及生活垃圾严禁随意乱丢乱扔，不得随意倾倒、排放各种废水和固体废物。</w:t>
                  </w:r>
                </w:p>
              </w:tc>
              <w:tc>
                <w:tcPr>
                  <w:tcW w:w="577" w:type="pct"/>
                  <w:vMerge w:val="restar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w:t>
                  </w:r>
                </w:p>
              </w:tc>
              <w:tc>
                <w:tcPr>
                  <w:tcW w:w="566"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防治施工期施工废水和施工人员生活污水的影响</w:t>
                  </w:r>
                </w:p>
              </w:tc>
              <w:tc>
                <w:tcPr>
                  <w:tcW w:w="570"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CellMar>
                  <w:top w:w="0" w:type="dxa"/>
                  <w:left w:w="108" w:type="dxa"/>
                  <w:bottom w:w="0" w:type="dxa"/>
                  <w:right w:w="108" w:type="dxa"/>
                </w:tblCellMar>
              </w:tblPrEx>
              <w:trPr>
                <w:trHeight w:val="403" w:hRule="atLeast"/>
              </w:trPr>
              <w:tc>
                <w:tcPr>
                  <w:tcW w:w="264"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30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运营期</w:t>
                  </w:r>
                </w:p>
              </w:tc>
              <w:tc>
                <w:tcPr>
                  <w:tcW w:w="2719"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管理区生活污水经化粪池处理（食堂废水经隔油池处理）后排入污水调节池，后经地埋式一体化污水处理设备处理达标后作为厂区地面抑尘、绿化使用，不外排</w:t>
                  </w:r>
                </w:p>
              </w:tc>
              <w:tc>
                <w:tcPr>
                  <w:tcW w:w="577"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566"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防治生活污水、食堂废水污染环节</w:t>
                  </w:r>
                </w:p>
              </w:tc>
              <w:tc>
                <w:tcPr>
                  <w:tcW w:w="570" w:type="pc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CellMar>
                  <w:top w:w="0" w:type="dxa"/>
                  <w:left w:w="108" w:type="dxa"/>
                  <w:bottom w:w="0" w:type="dxa"/>
                  <w:right w:w="108" w:type="dxa"/>
                </w:tblCellMar>
              </w:tblPrEx>
              <w:trPr>
                <w:trHeight w:val="510" w:hRule="atLeast"/>
              </w:trPr>
              <w:tc>
                <w:tcPr>
                  <w:tcW w:w="264" w:type="pct"/>
                  <w:vMerge w:val="restar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噪</w:t>
                  </w:r>
                </w:p>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声</w:t>
                  </w:r>
                </w:p>
              </w:tc>
              <w:tc>
                <w:tcPr>
                  <w:tcW w:w="30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施工期</w:t>
                  </w:r>
                </w:p>
              </w:tc>
              <w:tc>
                <w:tcPr>
                  <w:tcW w:w="2719"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尽量采取低噪声设备，并对设备定期维修、养护，减少机械设备因故障而增加其工作过程中的噪声级，对因故障而使其噪声级成倍增加的设备立即关闭；按规定操作机械设备，在支架拆卸等过程中减少碰撞产生的刺耳噪声，做到文明施工。</w:t>
                  </w:r>
                </w:p>
              </w:tc>
              <w:tc>
                <w:tcPr>
                  <w:tcW w:w="577" w:type="pct"/>
                  <w:vMerge w:val="restar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w:t>
                  </w:r>
                </w:p>
              </w:tc>
              <w:tc>
                <w:tcPr>
                  <w:tcW w:w="566" w:type="pct"/>
                  <w:vMerge w:val="restar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降噪</w:t>
                  </w:r>
                </w:p>
              </w:tc>
              <w:tc>
                <w:tcPr>
                  <w:tcW w:w="570"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CellMar>
                  <w:top w:w="0" w:type="dxa"/>
                  <w:left w:w="108" w:type="dxa"/>
                  <w:bottom w:w="0" w:type="dxa"/>
                  <w:right w:w="108" w:type="dxa"/>
                </w:tblCellMar>
              </w:tblPrEx>
              <w:trPr>
                <w:trHeight w:val="510" w:hRule="atLeast"/>
              </w:trPr>
              <w:tc>
                <w:tcPr>
                  <w:tcW w:w="264"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30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运营期</w:t>
                  </w:r>
                </w:p>
              </w:tc>
              <w:tc>
                <w:tcPr>
                  <w:tcW w:w="2719"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选用低噪声设备，经距离衰减等措施</w:t>
                  </w:r>
                </w:p>
              </w:tc>
              <w:tc>
                <w:tcPr>
                  <w:tcW w:w="577"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566"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570" w:type="pc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CellMar>
                  <w:top w:w="0" w:type="dxa"/>
                  <w:left w:w="108" w:type="dxa"/>
                  <w:bottom w:w="0" w:type="dxa"/>
                  <w:right w:w="108" w:type="dxa"/>
                </w:tblCellMar>
              </w:tblPrEx>
              <w:trPr>
                <w:trHeight w:val="812" w:hRule="atLeast"/>
              </w:trPr>
              <w:tc>
                <w:tcPr>
                  <w:tcW w:w="264" w:type="pct"/>
                  <w:vMerge w:val="restar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固</w:t>
                  </w:r>
                </w:p>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体</w:t>
                  </w:r>
                </w:p>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废</w:t>
                  </w:r>
                </w:p>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物</w:t>
                  </w:r>
                </w:p>
              </w:tc>
              <w:tc>
                <w:tcPr>
                  <w:tcW w:w="30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施工期</w:t>
                  </w:r>
                </w:p>
              </w:tc>
              <w:tc>
                <w:tcPr>
                  <w:tcW w:w="2719"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生活垃圾临时存放于垃圾箱内，委托环卫部门处理</w:t>
                  </w:r>
                </w:p>
              </w:tc>
              <w:tc>
                <w:tcPr>
                  <w:tcW w:w="577" w:type="pct"/>
                  <w:vMerge w:val="restar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w:t>
                  </w:r>
                </w:p>
              </w:tc>
              <w:tc>
                <w:tcPr>
                  <w:tcW w:w="566" w:type="pct"/>
                  <w:vMerge w:val="restar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控制固体废物堆积</w:t>
                  </w:r>
                </w:p>
              </w:tc>
              <w:tc>
                <w:tcPr>
                  <w:tcW w:w="570"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CellMar>
                  <w:top w:w="0" w:type="dxa"/>
                  <w:left w:w="108" w:type="dxa"/>
                  <w:bottom w:w="0" w:type="dxa"/>
                  <w:right w:w="108" w:type="dxa"/>
                </w:tblCellMar>
              </w:tblPrEx>
              <w:trPr>
                <w:trHeight w:val="812" w:hRule="atLeast"/>
              </w:trPr>
              <w:tc>
                <w:tcPr>
                  <w:tcW w:w="264"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30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运营期</w:t>
                  </w:r>
                </w:p>
              </w:tc>
              <w:tc>
                <w:tcPr>
                  <w:tcW w:w="2719" w:type="pct"/>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①设置垃圾箱，生活垃圾集中收集后定期委托当地环卫部门清运，污泥定期清掏用作农肥</w:t>
                  </w:r>
                </w:p>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②废旧光伏组件收集后暂存于库房，由生产厂家回收处理</w:t>
                  </w:r>
                </w:p>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lang w:val="en-US" w:eastAsia="zh-CN"/>
                    </w:rPr>
                    <w:t>③废旧锂电池由专业电池回收单位回收处置</w:t>
                  </w:r>
                </w:p>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④废旧蓄电池、废变压器油、废油桶、含油抹布及劳保用品集中收集在危险废物贮存间内后，委托有资质的单位定期转运及处置，危险废物贮存间做到防风、防雨、防晒、防渗（渗透系数≤10</w:t>
                  </w:r>
                  <w:r>
                    <w:rPr>
                      <w:rFonts w:hint="eastAsia" w:ascii="Times New Roman" w:hAnsi="Times New Roman" w:cs="Times New Roman"/>
                      <w:color w:val="auto"/>
                      <w:vertAlign w:val="superscript"/>
                    </w:rPr>
                    <w:t>-10</w:t>
                  </w:r>
                  <w:r>
                    <w:rPr>
                      <w:rFonts w:hint="eastAsia" w:ascii="Times New Roman" w:hAnsi="Times New Roman" w:cs="Times New Roman"/>
                      <w:color w:val="auto"/>
                    </w:rPr>
                    <w:t>cm/s）</w:t>
                  </w:r>
                </w:p>
              </w:tc>
              <w:tc>
                <w:tcPr>
                  <w:tcW w:w="577"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566"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570"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CellMar>
                  <w:top w:w="0" w:type="dxa"/>
                  <w:left w:w="108" w:type="dxa"/>
                  <w:bottom w:w="0" w:type="dxa"/>
                  <w:right w:w="108" w:type="dxa"/>
                </w:tblCellMar>
              </w:tblPrEx>
              <w:trPr>
                <w:trHeight w:val="1220" w:hRule="atLeast"/>
              </w:trPr>
              <w:tc>
                <w:tcPr>
                  <w:tcW w:w="264" w:type="pct"/>
                  <w:vMerge w:val="restar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生态环境</w:t>
                  </w:r>
                </w:p>
              </w:tc>
              <w:tc>
                <w:tcPr>
                  <w:tcW w:w="30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施工期</w:t>
                  </w:r>
                </w:p>
              </w:tc>
              <w:tc>
                <w:tcPr>
                  <w:tcW w:w="2719"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施工过程中加强施工管理，严格工序控制，雨季施工采取切实的雨季施工措施，及时对土料、粉尘进行清理，避免对雨水受纳水体造成污染。</w:t>
                  </w:r>
                </w:p>
              </w:tc>
              <w:tc>
                <w:tcPr>
                  <w:tcW w:w="577" w:type="pct"/>
                  <w:vMerge w:val="restar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w:t>
                  </w:r>
                </w:p>
              </w:tc>
              <w:tc>
                <w:tcPr>
                  <w:tcW w:w="566" w:type="pct"/>
                  <w:vMerge w:val="restar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保护生态环境，维护生物系统多样性</w:t>
                  </w:r>
                </w:p>
              </w:tc>
              <w:tc>
                <w:tcPr>
                  <w:tcW w:w="570"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CellMar>
                  <w:top w:w="0" w:type="dxa"/>
                  <w:left w:w="108" w:type="dxa"/>
                  <w:bottom w:w="0" w:type="dxa"/>
                  <w:right w:w="108" w:type="dxa"/>
                </w:tblCellMar>
              </w:tblPrEx>
              <w:trPr>
                <w:trHeight w:val="1220" w:hRule="atLeast"/>
              </w:trPr>
              <w:tc>
                <w:tcPr>
                  <w:tcW w:w="264"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302"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运营期</w:t>
                  </w:r>
                </w:p>
              </w:tc>
              <w:tc>
                <w:tcPr>
                  <w:tcW w:w="2719"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对项目光伏场地周边进行撒籽绿化</w:t>
                  </w:r>
                  <w:r>
                    <w:rPr>
                      <w:rFonts w:hint="eastAsia" w:cs="Times New Roman"/>
                      <w:color w:val="auto"/>
                      <w:lang w:eastAsia="zh-CN"/>
                    </w:rPr>
                    <w:t>，</w:t>
                  </w:r>
                  <w:r>
                    <w:rPr>
                      <w:rFonts w:hint="eastAsia" w:ascii="Times New Roman" w:hAnsi="Times New Roman" w:cs="Times New Roman"/>
                      <w:color w:val="auto"/>
                    </w:rPr>
                    <w:t>光伏场内检修道路进行植被恢复。</w:t>
                  </w:r>
                </w:p>
              </w:tc>
              <w:tc>
                <w:tcPr>
                  <w:tcW w:w="577"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566" w:type="pct"/>
                  <w:vMerge w:val="continue"/>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p>
              </w:tc>
              <w:tc>
                <w:tcPr>
                  <w:tcW w:w="570"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CellMar>
                  <w:top w:w="0" w:type="dxa"/>
                  <w:left w:w="108" w:type="dxa"/>
                  <w:bottom w:w="0" w:type="dxa"/>
                  <w:right w:w="108" w:type="dxa"/>
                </w:tblCellMar>
              </w:tblPrEx>
              <w:trPr>
                <w:trHeight w:val="1477" w:hRule="atLeast"/>
              </w:trPr>
              <w:tc>
                <w:tcPr>
                  <w:tcW w:w="567" w:type="pct"/>
                  <w:gridSpan w:val="2"/>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合计</w:t>
                  </w:r>
                </w:p>
              </w:tc>
              <w:tc>
                <w:tcPr>
                  <w:tcW w:w="2719"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w:t>
                  </w:r>
                </w:p>
              </w:tc>
              <w:tc>
                <w:tcPr>
                  <w:tcW w:w="577"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w:t>
                  </w:r>
                </w:p>
              </w:tc>
              <w:tc>
                <w:tcPr>
                  <w:tcW w:w="566"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w:t>
                  </w:r>
                </w:p>
              </w:tc>
              <w:tc>
                <w:tcPr>
                  <w:tcW w:w="570" w:type="pc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662</w:t>
                  </w:r>
                </w:p>
              </w:tc>
            </w:tr>
          </w:tbl>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p>
        </w:tc>
      </w:tr>
    </w:tbl>
    <w:p>
      <w:pPr>
        <w:ind w:firstLine="480"/>
        <w:rPr>
          <w:color w:val="auto"/>
        </w:rPr>
        <w:sectPr>
          <w:pgSz w:w="11907" w:h="16840"/>
          <w:pgMar w:top="1440" w:right="1797" w:bottom="1440" w:left="1797" w:header="851" w:footer="1077" w:gutter="0"/>
          <w:cols w:space="720" w:num="1"/>
          <w:docGrid w:linePitch="312" w:charSpace="0"/>
        </w:sectPr>
      </w:pPr>
    </w:p>
    <w:p>
      <w:pPr>
        <w:ind w:firstLine="600"/>
        <w:jc w:val="center"/>
        <w:outlineLvl w:val="0"/>
        <w:rPr>
          <w:rFonts w:ascii="黑体" w:hAnsi="黑体" w:eastAsia="黑体"/>
          <w:snapToGrid w:val="0"/>
          <w:color w:val="auto"/>
          <w:sz w:val="30"/>
          <w:szCs w:val="30"/>
        </w:rPr>
      </w:pPr>
      <w:r>
        <w:rPr>
          <w:rFonts w:hint="eastAsia" w:ascii="黑体" w:hAnsi="黑体" w:eastAsia="黑体"/>
          <w:snapToGrid w:val="0"/>
          <w:color w:val="auto"/>
          <w:sz w:val="30"/>
          <w:szCs w:val="30"/>
        </w:rPr>
        <w:t>六、生态环境保护措施监督检查清单</w:t>
      </w:r>
    </w:p>
    <w:tbl>
      <w:tblPr>
        <w:tblStyle w:val="20"/>
        <w:tblW w:w="883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17"/>
        <w:gridCol w:w="2635"/>
        <w:gridCol w:w="1226"/>
        <w:gridCol w:w="2629"/>
        <w:gridCol w:w="153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17" w:type="dxa"/>
            <w:vMerge w:val="restart"/>
            <w:tcBorders>
              <w:tl2br w:val="single" w:color="auto" w:sz="4" w:space="0"/>
            </w:tcBorders>
            <w:noWrap w:val="0"/>
            <w:vAlign w:val="top"/>
          </w:tcPr>
          <w:p>
            <w:pPr>
              <w:pStyle w:val="30"/>
              <w:keepNext w:val="0"/>
              <w:keepLines w:val="0"/>
              <w:suppressLineNumbers w:val="0"/>
              <w:spacing w:before="0" w:beforeAutospacing="0" w:after="0" w:afterAutospacing="0"/>
              <w:ind w:left="0" w:right="0"/>
              <w:jc w:val="both"/>
              <w:rPr>
                <w:rFonts w:hint="eastAsia" w:ascii="Times New Roman" w:hAnsi="Times New Roman" w:cs="Times New Roman"/>
                <w:b/>
                <w:bCs/>
                <w:color w:val="auto"/>
              </w:rPr>
            </w:pPr>
            <w:r>
              <w:rPr>
                <w:rFonts w:hint="eastAsia" w:ascii="Times New Roman" w:hAnsi="Times New Roman" w:cs="Times New Roman"/>
                <w:b/>
                <w:bCs/>
                <w:color w:val="auto"/>
              </w:rPr>
              <w:t xml:space="preserve"> 内容</w:t>
            </w:r>
          </w:p>
          <w:p>
            <w:pPr>
              <w:pStyle w:val="30"/>
              <w:keepNext w:val="0"/>
              <w:keepLines w:val="0"/>
              <w:suppressLineNumbers w:val="0"/>
              <w:spacing w:before="0" w:beforeAutospacing="0" w:after="0" w:afterAutospacing="0"/>
              <w:ind w:left="0" w:right="0"/>
              <w:rPr>
                <w:rFonts w:hint="eastAsia" w:ascii="Times New Roman" w:hAnsi="Times New Roman" w:cs="Times New Roman"/>
                <w:b/>
                <w:bCs/>
                <w:color w:val="auto"/>
              </w:rPr>
            </w:pPr>
            <w:r>
              <w:rPr>
                <w:rFonts w:hint="eastAsia" w:ascii="Times New Roman" w:hAnsi="Times New Roman" w:cs="Times New Roman"/>
                <w:b/>
                <w:bCs/>
                <w:color w:val="auto"/>
              </w:rPr>
              <w:t xml:space="preserve">  </w:t>
            </w:r>
          </w:p>
          <w:p>
            <w:pPr>
              <w:pStyle w:val="30"/>
              <w:keepNext w:val="0"/>
              <w:keepLines w:val="0"/>
              <w:suppressLineNumbers w:val="0"/>
              <w:spacing w:before="0" w:beforeAutospacing="0" w:after="0" w:afterAutospacing="0"/>
              <w:ind w:left="0" w:right="0"/>
              <w:rPr>
                <w:rFonts w:hint="eastAsia" w:ascii="Times New Roman" w:hAnsi="Times New Roman" w:cs="Times New Roman"/>
                <w:b/>
                <w:bCs/>
                <w:color w:val="auto"/>
              </w:rPr>
            </w:pPr>
          </w:p>
          <w:p>
            <w:pPr>
              <w:pStyle w:val="30"/>
              <w:keepNext w:val="0"/>
              <w:keepLines w:val="0"/>
              <w:suppressLineNumbers w:val="0"/>
              <w:spacing w:before="0" w:beforeAutospacing="0" w:after="0" w:afterAutospacing="0"/>
              <w:ind w:left="0" w:right="0"/>
              <w:rPr>
                <w:rFonts w:hint="eastAsia" w:ascii="Times New Roman" w:hAnsi="Times New Roman" w:cs="Times New Roman"/>
                <w:b/>
                <w:bCs/>
                <w:color w:val="auto"/>
              </w:rPr>
            </w:pPr>
          </w:p>
          <w:p>
            <w:pPr>
              <w:pStyle w:val="30"/>
              <w:keepNext w:val="0"/>
              <w:keepLines w:val="0"/>
              <w:suppressLineNumbers w:val="0"/>
              <w:spacing w:before="0" w:beforeAutospacing="0" w:after="0" w:afterAutospacing="0"/>
              <w:ind w:left="0" w:right="0"/>
              <w:rPr>
                <w:rFonts w:hint="eastAsia" w:ascii="Times New Roman" w:hAnsi="Times New Roman" w:cs="Times New Roman"/>
                <w:b/>
                <w:bCs/>
                <w:color w:val="auto"/>
              </w:rPr>
            </w:pPr>
            <w:r>
              <w:rPr>
                <w:rFonts w:hint="eastAsia" w:ascii="Times New Roman" w:hAnsi="Times New Roman" w:cs="Times New Roman"/>
                <w:b/>
                <w:bCs/>
                <w:color w:val="auto"/>
              </w:rPr>
              <w:t>要素</w:t>
            </w:r>
          </w:p>
        </w:tc>
        <w:tc>
          <w:tcPr>
            <w:tcW w:w="3861" w:type="dxa"/>
            <w:gridSpan w:val="2"/>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b/>
                <w:bCs/>
                <w:color w:val="auto"/>
              </w:rPr>
            </w:pPr>
            <w:r>
              <w:rPr>
                <w:rFonts w:hint="eastAsia" w:ascii="Times New Roman" w:hAnsi="Times New Roman" w:cs="Times New Roman"/>
                <w:b/>
                <w:bCs/>
                <w:color w:val="auto"/>
              </w:rPr>
              <w:t>施工期</w:t>
            </w:r>
          </w:p>
        </w:tc>
        <w:tc>
          <w:tcPr>
            <w:tcW w:w="4159" w:type="dxa"/>
            <w:gridSpan w:val="2"/>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b/>
                <w:bCs/>
                <w:color w:val="auto"/>
              </w:rPr>
            </w:pPr>
            <w:r>
              <w:rPr>
                <w:rFonts w:hint="eastAsia" w:ascii="Times New Roman" w:hAnsi="Times New Roman" w:cs="Times New Roman"/>
                <w:b/>
                <w:bCs/>
                <w:color w:val="auto"/>
              </w:rPr>
              <w:t>运营期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17" w:type="dxa"/>
            <w:vMerge w:val="continue"/>
            <w:noWrap w:val="0"/>
            <w:vAlign w:val="top"/>
          </w:tcPr>
          <w:p>
            <w:pPr>
              <w:pStyle w:val="30"/>
              <w:keepNext w:val="0"/>
              <w:keepLines w:val="0"/>
              <w:suppressLineNumbers w:val="0"/>
              <w:spacing w:before="0" w:beforeAutospacing="0" w:after="0" w:afterAutospacing="0"/>
              <w:ind w:left="0" w:right="0"/>
              <w:rPr>
                <w:rFonts w:hint="eastAsia" w:ascii="Times New Roman" w:hAnsi="Times New Roman" w:cs="Times New Roman"/>
                <w:b/>
                <w:bCs/>
                <w:color w:val="auto"/>
              </w:rPr>
            </w:pPr>
          </w:p>
        </w:tc>
        <w:tc>
          <w:tcPr>
            <w:tcW w:w="2635" w:type="dxa"/>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b/>
                <w:bCs/>
                <w:color w:val="auto"/>
              </w:rPr>
            </w:pPr>
            <w:r>
              <w:rPr>
                <w:rFonts w:hint="eastAsia" w:ascii="Times New Roman" w:hAnsi="Times New Roman" w:cs="Times New Roman"/>
                <w:b/>
                <w:bCs/>
                <w:color w:val="auto"/>
              </w:rPr>
              <w:t>环境保护措施</w:t>
            </w:r>
          </w:p>
        </w:tc>
        <w:tc>
          <w:tcPr>
            <w:tcW w:w="1226" w:type="dxa"/>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b/>
                <w:bCs/>
                <w:color w:val="auto"/>
              </w:rPr>
            </w:pPr>
            <w:r>
              <w:rPr>
                <w:rFonts w:hint="eastAsia" w:ascii="Times New Roman" w:hAnsi="Times New Roman" w:cs="Times New Roman"/>
                <w:b/>
                <w:bCs/>
                <w:color w:val="auto"/>
              </w:rPr>
              <w:t>验收要求</w:t>
            </w:r>
          </w:p>
        </w:tc>
        <w:tc>
          <w:tcPr>
            <w:tcW w:w="2629" w:type="dxa"/>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b/>
                <w:bCs/>
                <w:color w:val="auto"/>
              </w:rPr>
            </w:pPr>
            <w:r>
              <w:rPr>
                <w:rFonts w:hint="eastAsia" w:ascii="Times New Roman" w:hAnsi="Times New Roman" w:cs="Times New Roman"/>
                <w:b/>
                <w:bCs/>
                <w:color w:val="auto"/>
              </w:rPr>
              <w:t>环境保护措施</w:t>
            </w:r>
          </w:p>
        </w:tc>
        <w:tc>
          <w:tcPr>
            <w:tcW w:w="1530" w:type="dxa"/>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b/>
                <w:bCs/>
                <w:color w:val="auto"/>
              </w:rPr>
            </w:pPr>
            <w:r>
              <w:rPr>
                <w:rFonts w:hint="eastAsia" w:ascii="Times New Roman" w:hAnsi="Times New Roman" w:cs="Times New Roman"/>
                <w:b/>
                <w:bCs/>
                <w:color w:val="auto"/>
              </w:rPr>
              <w:t>验收要求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17"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陆生生态</w:t>
            </w:r>
          </w:p>
        </w:tc>
        <w:tc>
          <w:tcPr>
            <w:tcW w:w="2635" w:type="dxa"/>
            <w:noWrap w:val="0"/>
            <w:vAlign w:val="top"/>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①对光伏场区、线路占地进行合理规划；②现场施工机械和人员活动范围严格限制在作业带范围内，尽量减少施工破坏面，同时避免在大风天气下进行施工作业；③项目施工材料及设备尽量分拆改用小型运输工具运输，以减轻对地表植被的碾压；④施工优先采用环保型设备；⑤施工生产生活区、光伏架设区、箱变、集电线路及施工检修道路施工期剥离的表土保存，采用密网覆盖临时堆土区域，减少水土流失和扬尘，播撒草籽恢复植被；⑥减少大型机械施工，基坑开挖后，及时回填，其表层进行碾压，缩短裸露时间，减少扬尘发生；⑦尽量减少临时占地，临时占地结束后及时覆土绿化，播撒草籽，进行生态恢复</w:t>
            </w:r>
          </w:p>
        </w:tc>
        <w:tc>
          <w:tcPr>
            <w:tcW w:w="1226"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生态逐渐恢复</w:t>
            </w:r>
          </w:p>
        </w:tc>
        <w:tc>
          <w:tcPr>
            <w:tcW w:w="2629"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①施工期结束后拆除临时施工生产区、生活区，土地平整后</w:t>
            </w:r>
            <w:r>
              <w:rPr>
                <w:rFonts w:hint="eastAsia" w:ascii="Times New Roman" w:hAnsi="Times New Roman" w:cs="Times New Roman"/>
                <w:color w:val="auto"/>
              </w:rPr>
              <w:t>进行</w:t>
            </w:r>
            <w:r>
              <w:rPr>
                <w:rFonts w:hint="default" w:ascii="Times New Roman" w:hAnsi="Times New Roman" w:cs="Times New Roman"/>
                <w:color w:val="auto"/>
              </w:rPr>
              <w:t>植被恢复；②本项目运行后，光伏场内在光伏板底和光伏板之间种植牧草；③检修道路两侧播撒草籽；④服务期满后，光伏场区服务期满后，光伏场区对太阳能电池板等进行拆除后，应对场地进行生态恢复</w:t>
            </w:r>
          </w:p>
        </w:tc>
        <w:tc>
          <w:tcPr>
            <w:tcW w:w="1530"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区域生态环境无明显退化</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17"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水生生态</w:t>
            </w:r>
          </w:p>
        </w:tc>
        <w:tc>
          <w:tcPr>
            <w:tcW w:w="2635" w:type="dxa"/>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施工期禁止向水体排放油类，禁止在水体中清洗容器和倾倒施工期生活垃圾</w:t>
            </w:r>
          </w:p>
        </w:tc>
        <w:tc>
          <w:tcPr>
            <w:tcW w:w="1226"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w:t>
            </w:r>
          </w:p>
        </w:tc>
        <w:tc>
          <w:tcPr>
            <w:tcW w:w="2629"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施工期、运营期废水不外排</w:t>
            </w:r>
          </w:p>
        </w:tc>
        <w:tc>
          <w:tcPr>
            <w:tcW w:w="1530"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17"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地表水环境</w:t>
            </w:r>
          </w:p>
        </w:tc>
        <w:tc>
          <w:tcPr>
            <w:tcW w:w="2635"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施工废水回用；施工期沉淀池远离河流；施工时应选择在非汛期，避开雨季；禁止向河倾倒建筑垃圾及其他固体废物；施工废水禁止排入河流；施工尽量选用先进的环保设备、机械，以有效减少跑、冒、滴、漏的数量及机械维修的次数</w:t>
            </w:r>
            <w:r>
              <w:rPr>
                <w:rFonts w:hint="eastAsia" w:ascii="Times New Roman" w:hAnsi="Times New Roman" w:cs="Times New Roman"/>
                <w:color w:val="auto"/>
              </w:rPr>
              <w:t>。</w:t>
            </w:r>
          </w:p>
        </w:tc>
        <w:tc>
          <w:tcPr>
            <w:tcW w:w="1226"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施工废水</w:t>
            </w:r>
            <w:r>
              <w:rPr>
                <w:rFonts w:hint="default" w:ascii="Times New Roman" w:hAnsi="Times New Roman" w:cs="Times New Roman"/>
                <w:color w:val="auto"/>
              </w:rPr>
              <w:t>不外排</w:t>
            </w:r>
          </w:p>
        </w:tc>
        <w:tc>
          <w:tcPr>
            <w:tcW w:w="2629"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生活</w:t>
            </w:r>
            <w:r>
              <w:rPr>
                <w:rFonts w:hint="default" w:ascii="Times New Roman" w:hAnsi="Times New Roman" w:cs="Times New Roman"/>
                <w:color w:val="auto"/>
              </w:rPr>
              <w:t>区生活污水经化粪池处理（食堂废水经隔油池处理）后排入污水调节池，后经一体化污水处理设备处理达标后作为厂区、地面抑尘、绿化使用，不外排；光伏板</w:t>
            </w:r>
            <w:r>
              <w:rPr>
                <w:rFonts w:hint="eastAsia" w:ascii="Times New Roman" w:hAnsi="Times New Roman" w:cs="Times New Roman"/>
                <w:color w:val="auto"/>
              </w:rPr>
              <w:t>清</w:t>
            </w:r>
            <w:r>
              <w:rPr>
                <w:rFonts w:hint="default" w:ascii="Times New Roman" w:hAnsi="Times New Roman" w:cs="Times New Roman"/>
                <w:color w:val="auto"/>
              </w:rPr>
              <w:t>洗废水量小，水质简单，可就地淋洒用于光伏场区植被绿化。</w:t>
            </w:r>
          </w:p>
        </w:tc>
        <w:tc>
          <w:tcPr>
            <w:tcW w:w="1530"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运营期废水</w:t>
            </w:r>
            <w:r>
              <w:rPr>
                <w:rFonts w:hint="default" w:ascii="Times New Roman" w:hAnsi="Times New Roman" w:cs="Times New Roman"/>
                <w:color w:val="auto"/>
              </w:rPr>
              <w:t>不外排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17"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地下水及土壤环境</w:t>
            </w:r>
          </w:p>
        </w:tc>
        <w:tc>
          <w:tcPr>
            <w:tcW w:w="2635"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w:t>
            </w:r>
          </w:p>
        </w:tc>
        <w:tc>
          <w:tcPr>
            <w:tcW w:w="1226"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w:t>
            </w:r>
          </w:p>
        </w:tc>
        <w:tc>
          <w:tcPr>
            <w:tcW w:w="2629"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cs="Times New Roman"/>
                <w:color w:val="auto"/>
                <w:lang w:val="en-US" w:eastAsia="zh-CN"/>
              </w:rPr>
              <w:t>污水处理区采取</w:t>
            </w:r>
            <w:r>
              <w:rPr>
                <w:rFonts w:hint="default" w:ascii="Times New Roman" w:hAnsi="Times New Roman" w:cs="Times New Roman"/>
                <w:color w:val="auto"/>
              </w:rPr>
              <w:t>一般防渗处理；事故油池、危废间渗透系数≤10</w:t>
            </w:r>
            <w:r>
              <w:rPr>
                <w:rFonts w:hint="default" w:ascii="Times New Roman" w:hAnsi="Times New Roman" w:cs="Times New Roman"/>
                <w:color w:val="auto"/>
                <w:vertAlign w:val="superscript"/>
              </w:rPr>
              <w:t>-</w:t>
            </w:r>
            <w:r>
              <w:rPr>
                <w:rFonts w:hint="eastAsia" w:ascii="Times New Roman" w:hAnsi="Times New Roman" w:cs="Times New Roman"/>
                <w:color w:val="auto"/>
                <w:vertAlign w:val="superscript"/>
              </w:rPr>
              <w:t>10</w:t>
            </w:r>
            <w:r>
              <w:rPr>
                <w:rFonts w:hint="default" w:ascii="Times New Roman" w:hAnsi="Times New Roman" w:cs="Times New Roman"/>
                <w:color w:val="auto"/>
              </w:rPr>
              <w:t>cm/s</w:t>
            </w:r>
          </w:p>
        </w:tc>
        <w:tc>
          <w:tcPr>
            <w:tcW w:w="1530"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污水处理区地面采取</w:t>
            </w:r>
            <w:r>
              <w:rPr>
                <w:rFonts w:hint="default" w:ascii="Times New Roman" w:hAnsi="Times New Roman" w:cs="Times New Roman"/>
                <w:color w:val="auto"/>
              </w:rPr>
              <w:t>一般防渗处理；事故油池、危废间渗透系数≤10</w:t>
            </w:r>
            <w:r>
              <w:rPr>
                <w:rFonts w:hint="default" w:ascii="Times New Roman" w:hAnsi="Times New Roman" w:cs="Times New Roman"/>
                <w:color w:val="auto"/>
                <w:vertAlign w:val="superscript"/>
              </w:rPr>
              <w:t>-</w:t>
            </w:r>
            <w:r>
              <w:rPr>
                <w:rFonts w:hint="eastAsia" w:ascii="Times New Roman" w:hAnsi="Times New Roman" w:cs="Times New Roman"/>
                <w:color w:val="auto"/>
                <w:vertAlign w:val="superscript"/>
              </w:rPr>
              <w:t>10</w:t>
            </w:r>
            <w:r>
              <w:rPr>
                <w:rFonts w:hint="default" w:ascii="Times New Roman" w:hAnsi="Times New Roman" w:cs="Times New Roman"/>
                <w:color w:val="auto"/>
              </w:rPr>
              <w:t>cm/s</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17"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声环境</w:t>
            </w:r>
          </w:p>
        </w:tc>
        <w:tc>
          <w:tcPr>
            <w:tcW w:w="2635"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选用低噪声设备，四周设置围挡，控制施工时间等措施，远离居民区设置施工场地。</w:t>
            </w:r>
          </w:p>
        </w:tc>
        <w:tc>
          <w:tcPr>
            <w:tcW w:w="1226"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《建筑施工场界环境噪声排放标准》（GB12523-2011）中的标准要求</w:t>
            </w:r>
          </w:p>
        </w:tc>
        <w:tc>
          <w:tcPr>
            <w:tcW w:w="2629"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合理布置、选用低噪声设备、距离衰减等措施。</w:t>
            </w:r>
          </w:p>
        </w:tc>
        <w:tc>
          <w:tcPr>
            <w:tcW w:w="1530"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《工业企业厂界环境噪声排放标准》(GB12348-2008)</w:t>
            </w:r>
            <w:r>
              <w:rPr>
                <w:rFonts w:hint="eastAsia" w:cs="Times New Roman"/>
                <w:color w:val="auto"/>
                <w:lang w:val="en-US" w:eastAsia="zh-CN"/>
              </w:rPr>
              <w:t>2</w:t>
            </w:r>
            <w:r>
              <w:rPr>
                <w:rFonts w:hint="default" w:ascii="Times New Roman" w:hAnsi="Times New Roman" w:cs="Times New Roman"/>
                <w:color w:val="auto"/>
              </w:rPr>
              <w:t>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17"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振动</w:t>
            </w:r>
          </w:p>
        </w:tc>
        <w:tc>
          <w:tcPr>
            <w:tcW w:w="2635" w:type="dxa"/>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w:t>
            </w:r>
          </w:p>
        </w:tc>
        <w:tc>
          <w:tcPr>
            <w:tcW w:w="1226" w:type="dxa"/>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w:t>
            </w:r>
          </w:p>
        </w:tc>
        <w:tc>
          <w:tcPr>
            <w:tcW w:w="2629" w:type="dxa"/>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w:t>
            </w:r>
          </w:p>
        </w:tc>
        <w:tc>
          <w:tcPr>
            <w:tcW w:w="1530" w:type="dxa"/>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17"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大气环境</w:t>
            </w:r>
          </w:p>
        </w:tc>
        <w:tc>
          <w:tcPr>
            <w:tcW w:w="2635"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①在施工现场出入口明显位置设置公示牌，公示施工现场负责人、环保监督员、防尘措施、扬尘监督管理部门、举报投诉电话等信息。</w:t>
            </w:r>
            <w:r>
              <w:rPr>
                <w:rFonts w:hint="default" w:ascii="Times New Roman" w:hAnsi="Times New Roman" w:cs="Times New Roman"/>
                <w:color w:val="auto"/>
              </w:rPr>
              <w:br w:type="textWrapping"/>
            </w:r>
            <w:r>
              <w:rPr>
                <w:rFonts w:hint="default" w:ascii="Times New Roman" w:hAnsi="Times New Roman" w:cs="Times New Roman"/>
                <w:color w:val="auto"/>
              </w:rPr>
              <w:t>②在施工现场周边设置硬质封闭围挡或者围墙，位于主要路段的，高度不低于2.5m，并在围挡底端设置不低于0.2m的防溢座；</w:t>
            </w:r>
            <w:r>
              <w:rPr>
                <w:rFonts w:hint="default" w:ascii="Times New Roman" w:hAnsi="Times New Roman" w:cs="Times New Roman"/>
                <w:color w:val="auto"/>
              </w:rPr>
              <w:br w:type="textWrapping"/>
            </w:r>
            <w:r>
              <w:rPr>
                <w:rFonts w:hint="default" w:ascii="Times New Roman" w:hAnsi="Times New Roman" w:cs="Times New Roman"/>
                <w:color w:val="auto"/>
              </w:rPr>
              <w:t>③对施工现场出入口、场内施工道路、材料加工堆放区进行硬化处理，并保持地面整洁；</w:t>
            </w:r>
            <w:r>
              <w:rPr>
                <w:rFonts w:hint="default" w:ascii="Times New Roman" w:hAnsi="Times New Roman" w:cs="Times New Roman"/>
                <w:color w:val="auto"/>
              </w:rPr>
              <w:br w:type="textWrapping"/>
            </w:r>
            <w:r>
              <w:rPr>
                <w:rFonts w:hint="default" w:ascii="Times New Roman" w:hAnsi="Times New Roman" w:cs="Times New Roman"/>
                <w:color w:val="auto"/>
              </w:rPr>
              <w:t>④在施工现场出口处设置车辆清洗设施并配套设置排水、泥浆沉淀设施，车辆冲洗干净后方可驶出；</w:t>
            </w:r>
            <w:r>
              <w:rPr>
                <w:rFonts w:hint="default" w:ascii="Times New Roman" w:hAnsi="Times New Roman" w:cs="Times New Roman"/>
                <w:color w:val="auto"/>
              </w:rPr>
              <w:br w:type="textWrapping"/>
            </w:r>
            <w:r>
              <w:rPr>
                <w:rFonts w:hint="default" w:ascii="Times New Roman" w:hAnsi="Times New Roman" w:cs="Times New Roman"/>
                <w:color w:val="auto"/>
              </w:rPr>
              <w:t>⑤建筑垃圾应当及时清运，运输车辆应减速慢行，运输建筑垃圾及土方时应采用蓬布遮盖，以避免沿途洒落，减少运输扬尘；建筑垃圾在场地内堆存的，应当集中堆放并采取密闭或者遮盖等防尘措施；</w:t>
            </w:r>
          </w:p>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⑥</w:t>
            </w:r>
            <w:r>
              <w:rPr>
                <w:rFonts w:hint="default" w:ascii="Times New Roman" w:hAnsi="Times New Roman" w:cs="Times New Roman"/>
                <w:color w:val="auto"/>
              </w:rPr>
              <w:t>建施工单位加强监管</w:t>
            </w:r>
          </w:p>
        </w:tc>
        <w:tc>
          <w:tcPr>
            <w:tcW w:w="1226"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《施工场地扬尘排放标准》（DB13/2934-2019）表1中扬尘排放浓度限值</w:t>
            </w:r>
          </w:p>
        </w:tc>
        <w:tc>
          <w:tcPr>
            <w:tcW w:w="2629"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食堂油烟采用高效油烟净化器处理设施；污水处理站采取地埋式，各池体加盖，并定期投放除臭剂。</w:t>
            </w:r>
          </w:p>
        </w:tc>
        <w:tc>
          <w:tcPr>
            <w:tcW w:w="1530"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《饮食业油烟排放标准（试行）》（GB18483-2001）中饮食业单位小型规模限值要求；《恶臭污染物排放标准》(GB14554-93)表1恶臭污染物厂界。</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17"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固体废物</w:t>
            </w:r>
          </w:p>
        </w:tc>
        <w:tc>
          <w:tcPr>
            <w:tcW w:w="2635"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eastAsia="宋体" w:cs="Times New Roman"/>
                <w:color w:val="auto"/>
                <w:lang w:val="en-US" w:eastAsia="zh-CN"/>
              </w:rPr>
            </w:pPr>
            <w:r>
              <w:rPr>
                <w:rFonts w:hint="default" w:ascii="Times New Roman" w:hAnsi="Times New Roman" w:cs="Times New Roman"/>
                <w:color w:val="auto"/>
              </w:rPr>
              <w:t>生活垃圾集中收集后统一由环卫部门处理；工程建设期土石方</w:t>
            </w:r>
            <w:r>
              <w:rPr>
                <w:rFonts w:hint="eastAsia" w:cs="Times New Roman"/>
                <w:color w:val="auto"/>
                <w:lang w:val="en-US" w:eastAsia="zh-CN"/>
              </w:rPr>
              <w:t>部分回填，剩余部分用于道路垫道和土地平整使用</w:t>
            </w:r>
          </w:p>
        </w:tc>
        <w:tc>
          <w:tcPr>
            <w:tcW w:w="1226"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合理处置</w:t>
            </w:r>
          </w:p>
        </w:tc>
        <w:tc>
          <w:tcPr>
            <w:tcW w:w="2629"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废旧蓄电池、</w:t>
            </w:r>
            <w:r>
              <w:rPr>
                <w:rFonts w:hint="default" w:ascii="Times New Roman" w:hAnsi="Times New Roman" w:cs="Times New Roman"/>
                <w:color w:val="auto"/>
              </w:rPr>
              <w:t>废变压器油</w:t>
            </w:r>
            <w:r>
              <w:rPr>
                <w:rFonts w:hint="eastAsia" w:ascii="Times New Roman" w:hAnsi="Times New Roman" w:cs="Times New Roman"/>
                <w:color w:val="auto"/>
              </w:rPr>
              <w:t>、废油桶、含油抹布及劳保用品</w:t>
            </w:r>
            <w:r>
              <w:rPr>
                <w:rFonts w:hint="default" w:ascii="Times New Roman" w:hAnsi="Times New Roman" w:cs="Times New Roman"/>
                <w:color w:val="auto"/>
              </w:rPr>
              <w:t>集中收集在危险废物贮存间内后，委托有资质的单位定期转运及处置；</w:t>
            </w:r>
            <w:r>
              <w:rPr>
                <w:rFonts w:hint="eastAsia" w:ascii="Times New Roman" w:hAnsi="Times New Roman" w:cs="Times New Roman"/>
                <w:color w:val="auto"/>
              </w:rPr>
              <w:t>废旧光伏组件收集后</w:t>
            </w:r>
            <w:r>
              <w:rPr>
                <w:rFonts w:hint="default" w:ascii="Times New Roman" w:hAnsi="Times New Roman" w:cs="Times New Roman"/>
                <w:color w:val="auto"/>
              </w:rPr>
              <w:t>由生产厂家回收处理</w:t>
            </w:r>
            <w:r>
              <w:rPr>
                <w:rFonts w:hint="eastAsia" w:ascii="Times New Roman" w:hAnsi="Times New Roman" w:cs="Times New Roman"/>
                <w:color w:val="auto"/>
              </w:rPr>
              <w:t>；</w:t>
            </w:r>
            <w:r>
              <w:rPr>
                <w:rFonts w:hint="eastAsia" w:ascii="Times New Roman" w:hAnsi="Times New Roman" w:cs="Times New Roman"/>
                <w:color w:val="auto"/>
                <w:lang w:val="en-US" w:eastAsia="zh-CN"/>
              </w:rPr>
              <w:t>废旧锂电池由专业电池回收单位回收处置；</w:t>
            </w:r>
            <w:r>
              <w:rPr>
                <w:rFonts w:hint="default" w:ascii="Times New Roman" w:hAnsi="Times New Roman" w:cs="Times New Roman"/>
                <w:color w:val="auto"/>
              </w:rPr>
              <w:t>办公人员的生活垃圾集中收集后统一由环卫部门处理</w:t>
            </w:r>
            <w:r>
              <w:rPr>
                <w:rFonts w:hint="eastAsia" w:ascii="Times New Roman" w:hAnsi="Times New Roman" w:cs="Times New Roman"/>
                <w:color w:val="auto"/>
              </w:rPr>
              <w:t>；污水处理站污泥定期清掏用作农肥</w:t>
            </w:r>
            <w:r>
              <w:rPr>
                <w:rFonts w:hint="default" w:ascii="Times New Roman" w:hAnsi="Times New Roman" w:cs="Times New Roman"/>
                <w:color w:val="auto"/>
              </w:rPr>
              <w:t>。</w:t>
            </w:r>
          </w:p>
        </w:tc>
        <w:tc>
          <w:tcPr>
            <w:tcW w:w="1530"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《一般工业固体废物贮存和填埋污染控制标准》（GB 18599-2020）、《危险废物贮存污染控制标准》（GB18597-2</w:t>
            </w:r>
            <w:r>
              <w:rPr>
                <w:rFonts w:hint="eastAsia" w:ascii="Times New Roman" w:hAnsi="Times New Roman" w:cs="Times New Roman"/>
                <w:color w:val="auto"/>
              </w:rPr>
              <w:t>023</w:t>
            </w:r>
            <w:r>
              <w:rPr>
                <w:rFonts w:hint="default" w:ascii="Times New Roman" w:hAnsi="Times New Roman" w:cs="Times New Roman"/>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17"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电磁环境</w:t>
            </w:r>
          </w:p>
        </w:tc>
        <w:tc>
          <w:tcPr>
            <w:tcW w:w="2635"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w:t>
            </w:r>
          </w:p>
        </w:tc>
        <w:tc>
          <w:tcPr>
            <w:tcW w:w="1226"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w:t>
            </w:r>
          </w:p>
        </w:tc>
        <w:tc>
          <w:tcPr>
            <w:tcW w:w="2629"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w:t>
            </w:r>
          </w:p>
        </w:tc>
        <w:tc>
          <w:tcPr>
            <w:tcW w:w="1530"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17"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环境风险</w:t>
            </w:r>
          </w:p>
        </w:tc>
        <w:tc>
          <w:tcPr>
            <w:tcW w:w="2635"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w:t>
            </w:r>
          </w:p>
        </w:tc>
        <w:tc>
          <w:tcPr>
            <w:tcW w:w="1226"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w:t>
            </w:r>
          </w:p>
        </w:tc>
        <w:tc>
          <w:tcPr>
            <w:tcW w:w="2629"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加强对各种仪器设备的管理并定期检修，及时发现和消除火灾隐患；建立严格的环境管理制度，加强对施工人员和运行管理人员的防火意识和宣传教育，成立防火工作领导小组，进行定期和随机监督检查，发现隐患及时解决，并采取一定的奖惩制度机制，对引起火灾的责任者追究行政和法律责任。</w:t>
            </w:r>
          </w:p>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为保证变压器检修时废变压器油不产生二次污染，本项目设置事故油池</w:t>
            </w:r>
            <w:r>
              <w:rPr>
                <w:rFonts w:hint="eastAsia" w:ascii="Times New Roman" w:hAnsi="Times New Roman" w:cs="Times New Roman"/>
                <w:color w:val="auto"/>
              </w:rPr>
              <w:t>，</w:t>
            </w:r>
            <w:r>
              <w:rPr>
                <w:rFonts w:hint="default" w:ascii="Times New Roman" w:hAnsi="Times New Roman" w:cs="Times New Roman"/>
                <w:color w:val="auto"/>
              </w:rPr>
              <w:t>废变压器油</w:t>
            </w:r>
            <w:r>
              <w:rPr>
                <w:rFonts w:hint="eastAsia" w:ascii="Times New Roman" w:hAnsi="Times New Roman" w:cs="Times New Roman"/>
                <w:color w:val="auto"/>
              </w:rPr>
              <w:t>暂存于危废间内。</w:t>
            </w:r>
          </w:p>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制定突发环境事件应急预案。</w:t>
            </w:r>
          </w:p>
        </w:tc>
        <w:tc>
          <w:tcPr>
            <w:tcW w:w="1530"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对事故油池</w:t>
            </w:r>
            <w:r>
              <w:rPr>
                <w:rFonts w:hint="eastAsia" w:ascii="Times New Roman" w:hAnsi="Times New Roman" w:cs="Times New Roman"/>
                <w:color w:val="auto"/>
              </w:rPr>
              <w:t>和危废间</w:t>
            </w:r>
            <w:r>
              <w:rPr>
                <w:rFonts w:hint="default" w:ascii="Times New Roman" w:hAnsi="Times New Roman" w:cs="Times New Roman"/>
                <w:color w:val="auto"/>
              </w:rPr>
              <w:t>采取全面防腐、防渗处理，确保防渗层渗透系数小于1×10</w:t>
            </w:r>
            <w:r>
              <w:rPr>
                <w:rFonts w:hint="default" w:ascii="Times New Roman" w:hAnsi="Times New Roman" w:cs="Times New Roman"/>
                <w:color w:val="auto"/>
                <w:vertAlign w:val="superscript"/>
              </w:rPr>
              <w:t>-10</w:t>
            </w:r>
            <w:r>
              <w:rPr>
                <w:rFonts w:hint="default" w:ascii="Times New Roman" w:hAnsi="Times New Roman" w:cs="Times New Roman"/>
                <w:color w:val="auto"/>
              </w:rPr>
              <w:t>cm/s；完成突发环境事件应急预案备案。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17" w:type="dxa"/>
            <w:vMerge w:val="restart"/>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环境监测</w:t>
            </w:r>
          </w:p>
        </w:tc>
        <w:tc>
          <w:tcPr>
            <w:tcW w:w="2635"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w:t>
            </w:r>
          </w:p>
        </w:tc>
        <w:tc>
          <w:tcPr>
            <w:tcW w:w="1226"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w:t>
            </w:r>
          </w:p>
        </w:tc>
        <w:tc>
          <w:tcPr>
            <w:tcW w:w="2629"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升压站噪声监测</w:t>
            </w:r>
          </w:p>
        </w:tc>
        <w:tc>
          <w:tcPr>
            <w:tcW w:w="1530"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《工业企业厂界环境噪声排放标准》(GB12348-2008)</w:t>
            </w:r>
            <w:r>
              <w:rPr>
                <w:rFonts w:hint="eastAsia" w:cs="Times New Roman"/>
                <w:color w:val="auto"/>
                <w:lang w:val="en-US" w:eastAsia="zh-CN"/>
              </w:rPr>
              <w:t>2</w:t>
            </w:r>
            <w:r>
              <w:rPr>
                <w:rFonts w:hint="default" w:ascii="Times New Roman" w:hAnsi="Times New Roman" w:cs="Times New Roman"/>
                <w:color w:val="auto"/>
              </w:rPr>
              <w:t>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17" w:type="dxa"/>
            <w:vMerge w:val="continue"/>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p>
        </w:tc>
        <w:tc>
          <w:tcPr>
            <w:tcW w:w="2635" w:type="dxa"/>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w:t>
            </w:r>
          </w:p>
        </w:tc>
        <w:tc>
          <w:tcPr>
            <w:tcW w:w="1226" w:type="dxa"/>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w:t>
            </w:r>
          </w:p>
        </w:tc>
        <w:tc>
          <w:tcPr>
            <w:tcW w:w="2629" w:type="dxa"/>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升压站厂界无组织恶臭废气监测</w:t>
            </w:r>
          </w:p>
        </w:tc>
        <w:tc>
          <w:tcPr>
            <w:tcW w:w="1530" w:type="dxa"/>
            <w:noWrap w:val="0"/>
            <w:vAlign w:val="center"/>
          </w:tcPr>
          <w:p>
            <w:pPr>
              <w:pStyle w:val="30"/>
              <w:keepNext w:val="0"/>
              <w:keepLines w:val="0"/>
              <w:suppressLineNumbers w:val="0"/>
              <w:spacing w:before="0" w:beforeAutospacing="0" w:after="0" w:afterAutospacing="0"/>
              <w:ind w:left="0" w:right="0"/>
              <w:rPr>
                <w:rFonts w:hint="eastAsia" w:ascii="Times New Roman" w:hAnsi="Times New Roman" w:cs="Times New Roman"/>
                <w:color w:val="auto"/>
              </w:rPr>
            </w:pPr>
            <w:r>
              <w:rPr>
                <w:rFonts w:hint="eastAsia" w:ascii="Times New Roman" w:hAnsi="Times New Roman" w:cs="Times New Roman"/>
                <w:color w:val="auto"/>
              </w:rPr>
              <w:t>《恶臭污染物排放标准》</w:t>
            </w:r>
            <w:r>
              <w:rPr>
                <w:rFonts w:hint="default" w:ascii="Times New Roman" w:hAnsi="Times New Roman" w:cs="Times New Roman"/>
                <w:color w:val="auto"/>
              </w:rPr>
              <w:t>(GB14554-93)</w:t>
            </w:r>
            <w:r>
              <w:rPr>
                <w:rFonts w:hint="eastAsia" w:ascii="Times New Roman" w:hAnsi="Times New Roman" w:cs="Times New Roman"/>
                <w:color w:val="auto"/>
              </w:rPr>
              <w:t>表</w:t>
            </w:r>
            <w:r>
              <w:rPr>
                <w:rFonts w:hint="default" w:ascii="Times New Roman" w:hAnsi="Times New Roman" w:cs="Times New Roman"/>
                <w:color w:val="auto"/>
              </w:rPr>
              <w:t>1</w:t>
            </w:r>
            <w:r>
              <w:rPr>
                <w:rFonts w:hint="eastAsia" w:ascii="Times New Roman" w:hAnsi="Times New Roman" w:cs="Times New Roman"/>
                <w:color w:val="auto"/>
              </w:rPr>
              <w:t>恶臭污染物厂界标准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17"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其他</w:t>
            </w:r>
          </w:p>
        </w:tc>
        <w:tc>
          <w:tcPr>
            <w:tcW w:w="2635"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w:t>
            </w:r>
          </w:p>
        </w:tc>
        <w:tc>
          <w:tcPr>
            <w:tcW w:w="1226"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w:t>
            </w:r>
          </w:p>
        </w:tc>
        <w:tc>
          <w:tcPr>
            <w:tcW w:w="2629"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w:t>
            </w:r>
          </w:p>
        </w:tc>
        <w:tc>
          <w:tcPr>
            <w:tcW w:w="1530" w:type="dxa"/>
            <w:noWrap w:val="0"/>
            <w:vAlign w:val="center"/>
          </w:tcPr>
          <w:p>
            <w:pPr>
              <w:pStyle w:val="30"/>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eastAsia" w:ascii="Times New Roman" w:hAnsi="Times New Roman" w:cs="Times New Roman"/>
                <w:color w:val="auto"/>
              </w:rPr>
              <w:t>/</w:t>
            </w:r>
          </w:p>
        </w:tc>
      </w:tr>
    </w:tbl>
    <w:p>
      <w:pPr>
        <w:ind w:firstLine="600"/>
        <w:jc w:val="center"/>
        <w:outlineLvl w:val="0"/>
        <w:rPr>
          <w:rFonts w:ascii="黑体" w:hAnsi="黑体" w:eastAsia="黑体"/>
          <w:snapToGrid w:val="0"/>
          <w:color w:val="auto"/>
          <w:sz w:val="30"/>
          <w:szCs w:val="30"/>
        </w:rPr>
      </w:pPr>
    </w:p>
    <w:p>
      <w:pPr>
        <w:spacing w:line="14" w:lineRule="auto"/>
        <w:ind w:firstLine="600"/>
        <w:jc w:val="center"/>
        <w:outlineLvl w:val="0"/>
        <w:rPr>
          <w:rFonts w:hint="eastAsia" w:ascii="黑体" w:hAnsi="黑体" w:eastAsia="黑体"/>
          <w:snapToGrid w:val="0"/>
          <w:color w:val="auto"/>
          <w:sz w:val="30"/>
          <w:szCs w:val="30"/>
        </w:rPr>
      </w:pPr>
      <w:r>
        <w:rPr>
          <w:rFonts w:ascii="黑体" w:hAnsi="黑体" w:eastAsia="黑体"/>
          <w:snapToGrid w:val="0"/>
          <w:color w:val="auto"/>
          <w:sz w:val="30"/>
          <w:szCs w:val="30"/>
        </w:rPr>
        <w:br w:type="page"/>
      </w:r>
    </w:p>
    <w:p>
      <w:pPr>
        <w:spacing w:before="192" w:beforeLines="80"/>
        <w:ind w:firstLine="600"/>
        <w:jc w:val="center"/>
        <w:outlineLvl w:val="0"/>
        <w:rPr>
          <w:rFonts w:ascii="黑体" w:hAnsi="黑体" w:eastAsia="黑体"/>
          <w:snapToGrid w:val="0"/>
          <w:color w:val="auto"/>
          <w:sz w:val="30"/>
          <w:szCs w:val="30"/>
        </w:rPr>
      </w:pPr>
      <w:r>
        <w:rPr>
          <w:rFonts w:hint="eastAsia" w:ascii="黑体" w:hAnsi="黑体" w:eastAsia="黑体"/>
          <w:snapToGrid w:val="0"/>
          <w:color w:val="auto"/>
          <w:sz w:val="30"/>
          <w:szCs w:val="30"/>
        </w:rPr>
        <w:t>七、结论</w:t>
      </w:r>
    </w:p>
    <w:tbl>
      <w:tblPr>
        <w:tblStyle w:val="20"/>
        <w:tblW w:w="928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28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49" w:hRule="atLeast"/>
          <w:jc w:val="center"/>
        </w:trPr>
        <w:tc>
          <w:tcPr>
            <w:tcW w:w="9289" w:type="dxa"/>
            <w:noWrap w:val="0"/>
            <w:vAlign w:val="top"/>
          </w:tcPr>
          <w:p>
            <w:pPr>
              <w:keepNext w:val="0"/>
              <w:keepLines w:val="0"/>
              <w:suppressLineNumbers w:val="0"/>
              <w:spacing w:before="0" w:beforeAutospacing="0" w:after="0" w:afterAutospacing="0"/>
              <w:ind w:left="0" w:right="0" w:firstLine="482"/>
              <w:rPr>
                <w:rFonts w:hint="default" w:ascii="Times New Roman" w:hAnsi="Times New Roman" w:cs="Times New Roman"/>
                <w:b/>
                <w:bCs/>
                <w:color w:val="auto"/>
              </w:rPr>
            </w:pPr>
            <w:r>
              <w:rPr>
                <w:rFonts w:hint="default" w:ascii="Times New Roman" w:hAnsi="Times New Roman" w:cs="Times New Roman"/>
                <w:b/>
                <w:bCs/>
                <w:color w:val="auto"/>
              </w:rPr>
              <w:t>结论：</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r>
              <w:rPr>
                <w:rFonts w:hint="default" w:ascii="Times New Roman" w:hAnsi="Times New Roman" w:cs="Times New Roman"/>
                <w:color w:val="auto"/>
              </w:rPr>
              <w:t>从环境保护的角度分析，项目具有环境可行性。</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rPr>
            </w:pPr>
          </w:p>
        </w:tc>
      </w:tr>
    </w:tbl>
    <w:p>
      <w:pPr>
        <w:spacing w:before="192" w:beforeLines="80"/>
        <w:ind w:firstLine="0" w:firstLineChars="0"/>
        <w:rPr>
          <w:rFonts w:ascii="黑体" w:hAnsi="黑体" w:eastAsia="黑体"/>
          <w:snapToGrid w:val="0"/>
          <w:color w:val="auto"/>
          <w:sz w:val="32"/>
          <w:szCs w:val="32"/>
        </w:rPr>
      </w:pPr>
      <w:r>
        <w:rPr>
          <w:rFonts w:ascii="黑体" w:hAnsi="黑体" w:eastAsia="黑体"/>
          <w:snapToGrid w:val="0"/>
          <w:color w:val="auto"/>
          <w:sz w:val="32"/>
          <w:szCs w:val="32"/>
        </w:rPr>
        <w:br w:type="page"/>
      </w:r>
      <w:r>
        <w:rPr>
          <w:color w:val="auto"/>
          <w:sz w:val="32"/>
        </w:rPr>
        <mc:AlternateContent>
          <mc:Choice Requires="wps">
            <w:drawing>
              <wp:anchor distT="0" distB="0" distL="114300" distR="114300" simplePos="0" relativeHeight="251666432" behindDoc="0" locked="0" layoutInCell="1" allowOverlap="1">
                <wp:simplePos x="0" y="0"/>
                <wp:positionH relativeFrom="column">
                  <wp:posOffset>2077720</wp:posOffset>
                </wp:positionH>
                <wp:positionV relativeFrom="paragraph">
                  <wp:posOffset>1001395</wp:posOffset>
                </wp:positionV>
                <wp:extent cx="857885" cy="314325"/>
                <wp:effectExtent l="207645" t="4445" r="13970" b="290830"/>
                <wp:wrapNone/>
                <wp:docPr id="6" name="自选图形 26"/>
                <wp:cNvGraphicFramePr/>
                <a:graphic xmlns:a="http://schemas.openxmlformats.org/drawingml/2006/main">
                  <a:graphicData uri="http://schemas.microsoft.com/office/word/2010/wordprocessingShape">
                    <wps:wsp>
                      <wps:cNvSpPr/>
                      <wps:spPr>
                        <a:xfrm>
                          <a:off x="0" y="0"/>
                          <a:ext cx="857885" cy="314325"/>
                        </a:xfrm>
                        <a:prstGeom prst="wedgeRectCallout">
                          <a:avLst>
                            <a:gd name="adj1" fmla="val -70426"/>
                            <a:gd name="adj2" fmla="val 133634"/>
                          </a:avLst>
                        </a:prstGeom>
                        <a:solidFill>
                          <a:srgbClr val="FFFFFF"/>
                        </a:solidFill>
                        <a:ln w="9525" cap="flat" cmpd="sng">
                          <a:solidFill>
                            <a:srgbClr val="000000"/>
                          </a:solidFill>
                          <a:prstDash val="solid"/>
                          <a:miter/>
                          <a:headEnd type="none" w="med" len="med"/>
                          <a:tailEnd type="none" w="med" len="med"/>
                        </a:ln>
                      </wps:spPr>
                      <wps:txbx>
                        <w:txbxContent>
                          <w:p>
                            <w:pPr>
                              <w:ind w:firstLine="0" w:firstLineChars="0"/>
                              <w:rPr>
                                <w:rFonts w:hint="eastAsia"/>
                              </w:rPr>
                            </w:pPr>
                            <w:r>
                              <w:rPr>
                                <w:rFonts w:hint="eastAsia"/>
                              </w:rPr>
                              <w:t>项目位置</w:t>
                            </w:r>
                          </w:p>
                        </w:txbxContent>
                      </wps:txbx>
                      <wps:bodyPr wrap="square" upright="1"/>
                    </wps:wsp>
                  </a:graphicData>
                </a:graphic>
              </wp:anchor>
            </w:drawing>
          </mc:Choice>
          <mc:Fallback>
            <w:pict>
              <v:shape id="自选图形 26" o:spid="_x0000_s1026" o:spt="61" type="#_x0000_t61" style="position:absolute;left:0pt;margin-left:163.6pt;margin-top:78.85pt;height:24.75pt;width:67.55pt;z-index:251666432;mso-width-relative:page;mso-height-relative:page;" fillcolor="#FFFFFF" filled="t" stroked="t" coordsize="21600,21600" o:gfxdata="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DbzaU/1wAAAAsBAAAPAAAAAAAAAAEAIAAA&#10;ACIAAABkcnMvZG93bnJldi54bWxQSwECFAAUAAAACACHTuJA93+T90YCAACcBAAADgAAAAAAAAAB&#10;ACAAAAAmAQAAZHJzL2Uyb0RvYy54bWxQSwUGAAAAAAYABgBZAQAA3gUAAAAA&#10;" adj="-4412,39665">
                <v:fill on="t" focussize="0,0"/>
                <v:stroke color="#000000" joinstyle="miter"/>
                <v:imagedata o:title=""/>
                <o:lock v:ext="edit" aspectratio="f"/>
                <v:textbox>
                  <w:txbxContent>
                    <w:p>
                      <w:pPr>
                        <w:ind w:firstLine="0" w:firstLineChars="0"/>
                        <w:rPr>
                          <w:rFonts w:hint="eastAsia"/>
                        </w:rPr>
                      </w:pPr>
                      <w:r>
                        <w:rPr>
                          <w:rFonts w:hint="eastAsia"/>
                        </w:rPr>
                        <w:t>项目位置</w:t>
                      </w:r>
                    </w:p>
                  </w:txbxContent>
                </v:textbox>
              </v:shape>
            </w:pict>
          </mc:Fallback>
        </mc:AlternateContent>
      </w:r>
      <w:r>
        <w:rPr>
          <w:color w:val="auto"/>
          <w:sz w:val="32"/>
        </w:rPr>
        <mc:AlternateContent>
          <mc:Choice Requires="wps">
            <w:drawing>
              <wp:anchor distT="0" distB="0" distL="114300" distR="114300" simplePos="0" relativeHeight="251665408" behindDoc="0" locked="0" layoutInCell="1" allowOverlap="1">
                <wp:simplePos x="0" y="0"/>
                <wp:positionH relativeFrom="column">
                  <wp:posOffset>1772920</wp:posOffset>
                </wp:positionH>
                <wp:positionV relativeFrom="paragraph">
                  <wp:posOffset>1525270</wp:posOffset>
                </wp:positionV>
                <wp:extent cx="219075" cy="180975"/>
                <wp:effectExtent l="16510" t="13335" r="18415" b="21590"/>
                <wp:wrapNone/>
                <wp:docPr id="5" name="自选图形 25"/>
                <wp:cNvGraphicFramePr/>
                <a:graphic xmlns:a="http://schemas.openxmlformats.org/drawingml/2006/main">
                  <a:graphicData uri="http://schemas.microsoft.com/office/word/2010/wordprocessingShape">
                    <wps:wsp>
                      <wps:cNvSpPr/>
                      <wps:spPr>
                        <a:xfrm>
                          <a:off x="0" y="0"/>
                          <a:ext cx="219075" cy="180975"/>
                        </a:xfrm>
                        <a:prstGeom prst="star5">
                          <a:avLst/>
                        </a:prstGeom>
                        <a:solidFill>
                          <a:srgbClr val="FFFFFF"/>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shape id="自选图形 25" o:spid="_x0000_s1026" style="position:absolute;left:0pt;margin-left:139.6pt;margin-top:120.1pt;height:14.25pt;width:17.25pt;z-index:251665408;mso-width-relative:page;mso-height-relative:page;" fillcolor="#FFFFFF" filled="t" stroked="t" coordsize="219075,180975" o:gfxdata="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srWJdoAAAALAQAADwAAAAAAAAAB&#10;ACAAAAAiAAAAZHJzL2Rvd25yZXYueG1sUEsBAhQAFAAAAAgAh07iQAT0E/cOAgAAMwQAAA4AAAAA&#10;AAAAAQAgAAAAKQEAAGRycy9lMm9Eb2MueG1sUEsFBgAAAAAGAAYAWQEAAKkFAAAAAA==&#10;" path="m0,69126l83679,69126,109537,0,135395,69126,219074,69126,151376,111848,177235,180974,109537,138251,41839,180974,67698,111848xe">
                <v:path o:connectlocs="109537,0;0,69126;41839,180974;177235,180974;219074,69126" o:connectangles="247,164,82,82,0"/>
                <v:fill on="t" focussize="0,0"/>
                <v:stroke color="#000000" joinstyle="miter"/>
                <v:imagedata o:title=""/>
                <o:lock v:ext="edit" aspectratio="f"/>
              </v:shape>
            </w:pict>
          </mc:Fallback>
        </mc:AlternateContent>
      </w:r>
      <w:r>
        <w:rPr>
          <w:rFonts w:hint="eastAsia" w:ascii="黑体" w:hAnsi="黑体" w:eastAsia="黑体"/>
          <w:snapToGrid w:val="0"/>
          <w:color w:val="auto"/>
          <w:sz w:val="32"/>
          <w:szCs w:val="32"/>
        </w:rPr>
        <w:drawing>
          <wp:inline distT="0" distB="0" distL="114300" distR="114300">
            <wp:extent cx="5264150" cy="7466330"/>
            <wp:effectExtent l="0" t="0" r="6350" b="1270"/>
            <wp:docPr id="19" name="图片 74" descr="丰宁满族自治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74" descr="丰宁满族自治县"/>
                    <pic:cNvPicPr>
                      <a:picLocks noChangeAspect="1"/>
                    </pic:cNvPicPr>
                  </pic:nvPicPr>
                  <pic:blipFill>
                    <a:blip r:embed="rId58"/>
                    <a:stretch>
                      <a:fillRect/>
                    </a:stretch>
                  </pic:blipFill>
                  <pic:spPr>
                    <a:xfrm>
                      <a:off x="0" y="0"/>
                      <a:ext cx="5264150" cy="7466330"/>
                    </a:xfrm>
                    <a:prstGeom prst="rect">
                      <a:avLst/>
                    </a:prstGeom>
                    <a:noFill/>
                    <a:ln>
                      <a:noFill/>
                    </a:ln>
                  </pic:spPr>
                </pic:pic>
              </a:graphicData>
            </a:graphic>
          </wp:inline>
        </w:drawing>
      </w:r>
    </w:p>
    <w:p>
      <w:pPr>
        <w:spacing w:before="192" w:beforeLines="80"/>
        <w:ind w:firstLine="0" w:firstLineChars="0"/>
        <w:jc w:val="center"/>
        <w:rPr>
          <w:rFonts w:ascii="黑体" w:hAnsi="黑体" w:eastAsia="黑体"/>
          <w:snapToGrid w:val="0"/>
          <w:color w:val="auto"/>
          <w:sz w:val="32"/>
          <w:szCs w:val="32"/>
        </w:rPr>
        <w:sectPr>
          <w:pgSz w:w="11906" w:h="16838"/>
          <w:pgMar w:top="1440" w:right="1800" w:bottom="1440" w:left="1800" w:header="851" w:footer="1077" w:gutter="0"/>
          <w:cols w:space="720" w:num="1"/>
          <w:docGrid w:linePitch="312" w:charSpace="0"/>
        </w:sectPr>
      </w:pPr>
      <w:r>
        <w:rPr>
          <w:rFonts w:hint="eastAsia" w:ascii="黑体" w:hAnsi="黑体" w:eastAsia="黑体"/>
          <w:snapToGrid w:val="0"/>
          <w:color w:val="auto"/>
          <w:sz w:val="32"/>
          <w:szCs w:val="32"/>
        </w:rPr>
        <w:t>附</w:t>
      </w:r>
      <w:r>
        <w:rPr>
          <w:rFonts w:ascii="黑体" w:hAnsi="黑体" w:eastAsia="黑体"/>
          <w:snapToGrid w:val="0"/>
          <w:color w:val="auto"/>
          <w:sz w:val="32"/>
          <w:szCs w:val="32"/>
        </w:rPr>
        <w:t>图1 项目地理位置图</w:t>
      </w:r>
    </w:p>
    <w:p>
      <w:pPr>
        <w:spacing w:before="192" w:beforeLines="80"/>
        <w:ind w:firstLine="640"/>
        <w:jc w:val="center"/>
        <w:rPr>
          <w:rFonts w:hint="eastAsia" w:ascii="黑体" w:hAnsi="黑体" w:eastAsia="黑体"/>
          <w:snapToGrid w:val="0"/>
          <w:color w:val="auto"/>
          <w:sz w:val="32"/>
          <w:szCs w:val="32"/>
        </w:rPr>
      </w:pPr>
      <w:r>
        <w:rPr>
          <w:rFonts w:hint="eastAsia" w:eastAsia="宋体"/>
          <w:color w:val="auto"/>
          <w:lang w:eastAsia="zh-CN"/>
        </w:rPr>
        <w:drawing>
          <wp:inline distT="0" distB="0" distL="114300" distR="114300">
            <wp:extent cx="6760210" cy="4627245"/>
            <wp:effectExtent l="0" t="0" r="2540" b="1905"/>
            <wp:docPr id="45" name="图片 45" descr="ab6fc8de0ec92179b58c0fdb644945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ab6fc8de0ec92179b58c0fdb644945ad"/>
                    <pic:cNvPicPr>
                      <a:picLocks noChangeAspect="1"/>
                    </pic:cNvPicPr>
                  </pic:nvPicPr>
                  <pic:blipFill>
                    <a:blip r:embed="rId28"/>
                    <a:stretch>
                      <a:fillRect/>
                    </a:stretch>
                  </pic:blipFill>
                  <pic:spPr>
                    <a:xfrm>
                      <a:off x="0" y="0"/>
                      <a:ext cx="6760210" cy="4627245"/>
                    </a:xfrm>
                    <a:prstGeom prst="rect">
                      <a:avLst/>
                    </a:prstGeom>
                  </pic:spPr>
                </pic:pic>
              </a:graphicData>
            </a:graphic>
          </wp:inline>
        </w:drawing>
      </w:r>
    </w:p>
    <w:p>
      <w:pPr>
        <w:spacing w:before="192" w:beforeLines="80"/>
        <w:ind w:firstLine="640"/>
        <w:jc w:val="center"/>
        <w:rPr>
          <w:rFonts w:hint="eastAsia" w:ascii="黑体" w:hAnsi="黑体" w:eastAsia="黑体"/>
          <w:snapToGrid w:val="0"/>
          <w:color w:val="auto"/>
          <w:sz w:val="32"/>
          <w:szCs w:val="32"/>
        </w:rPr>
        <w:sectPr>
          <w:pgSz w:w="16838" w:h="11906" w:orient="landscape"/>
          <w:pgMar w:top="1800" w:right="1440" w:bottom="1800" w:left="1440" w:header="851" w:footer="1077" w:gutter="0"/>
          <w:cols w:space="720" w:num="1"/>
          <w:docGrid w:linePitch="312" w:charSpace="0"/>
        </w:sectPr>
      </w:pPr>
      <w:r>
        <w:rPr>
          <w:rFonts w:hint="eastAsia" w:ascii="黑体" w:hAnsi="黑体" w:eastAsia="黑体"/>
          <w:snapToGrid w:val="0"/>
          <w:color w:val="auto"/>
          <w:sz w:val="32"/>
          <w:szCs w:val="32"/>
        </w:rPr>
        <w:t>附图2-1 项目总平面布置图</w:t>
      </w:r>
    </w:p>
    <w:p>
      <w:pPr>
        <w:keepNext w:val="0"/>
        <w:keepLines w:val="0"/>
        <w:pageBreakBefore w:val="0"/>
        <w:widowControl w:val="0"/>
        <w:kinsoku/>
        <w:wordWrap/>
        <w:overflowPunct/>
        <w:topLinePunct w:val="0"/>
        <w:autoSpaceDE/>
        <w:autoSpaceDN/>
        <w:bidi w:val="0"/>
        <w:adjustRightInd w:val="0"/>
        <w:snapToGrid w:val="0"/>
        <w:spacing w:before="192" w:beforeLines="80" w:line="240" w:lineRule="auto"/>
        <w:ind w:firstLine="640"/>
        <w:jc w:val="center"/>
        <w:textAlignment w:val="auto"/>
        <w:rPr>
          <w:rFonts w:hint="eastAsia" w:ascii="黑体" w:hAnsi="黑体" w:eastAsia="黑体"/>
          <w:snapToGrid w:val="0"/>
          <w:color w:val="auto"/>
          <w:sz w:val="32"/>
          <w:szCs w:val="32"/>
          <w:lang w:eastAsia="zh-CN"/>
        </w:rPr>
      </w:pPr>
      <w:r>
        <w:rPr>
          <w:rFonts w:hint="eastAsia" w:ascii="黑体" w:hAnsi="黑体" w:eastAsia="黑体"/>
          <w:snapToGrid w:val="0"/>
          <w:color w:val="auto"/>
          <w:sz w:val="32"/>
          <w:szCs w:val="32"/>
          <w:lang w:eastAsia="zh-CN"/>
        </w:rPr>
        <w:drawing>
          <wp:inline distT="0" distB="0" distL="114300" distR="114300">
            <wp:extent cx="6294755" cy="4761865"/>
            <wp:effectExtent l="0" t="0" r="10795" b="635"/>
            <wp:docPr id="49" name="图片 49" descr="b4495d8d17c06695f00d9335dbf63f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b4495d8d17c06695f00d9335dbf63f93"/>
                    <pic:cNvPicPr>
                      <a:picLocks noChangeAspect="1"/>
                    </pic:cNvPicPr>
                  </pic:nvPicPr>
                  <pic:blipFill>
                    <a:blip r:embed="rId29"/>
                    <a:stretch>
                      <a:fillRect/>
                    </a:stretch>
                  </pic:blipFill>
                  <pic:spPr>
                    <a:xfrm>
                      <a:off x="0" y="0"/>
                      <a:ext cx="6294755" cy="4761865"/>
                    </a:xfrm>
                    <a:prstGeom prst="rect">
                      <a:avLst/>
                    </a:prstGeom>
                  </pic:spPr>
                </pic:pic>
              </a:graphicData>
            </a:graphic>
          </wp:inline>
        </w:drawing>
      </w:r>
    </w:p>
    <w:p>
      <w:pPr>
        <w:spacing w:before="192" w:beforeLines="80"/>
        <w:ind w:firstLine="640"/>
        <w:jc w:val="center"/>
        <w:rPr>
          <w:rFonts w:hint="eastAsia" w:ascii="黑体" w:hAnsi="黑体" w:eastAsia="黑体"/>
          <w:snapToGrid w:val="0"/>
          <w:color w:val="auto"/>
          <w:sz w:val="32"/>
          <w:szCs w:val="32"/>
          <w:lang w:eastAsia="zh-CN"/>
        </w:rPr>
        <w:sectPr>
          <w:pgSz w:w="16838" w:h="11906" w:orient="landscape"/>
          <w:pgMar w:top="1800" w:right="1440" w:bottom="1800" w:left="1440" w:header="851" w:footer="1077" w:gutter="0"/>
          <w:cols w:space="720" w:num="1"/>
          <w:docGrid w:linePitch="312" w:charSpace="0"/>
        </w:sectPr>
      </w:pPr>
      <w:r>
        <w:rPr>
          <w:rFonts w:hint="eastAsia" w:ascii="黑体" w:hAnsi="黑体" w:eastAsia="黑体"/>
          <w:snapToGrid w:val="0"/>
          <w:color w:val="auto"/>
          <w:sz w:val="32"/>
          <w:szCs w:val="32"/>
        </w:rPr>
        <w:t>附</w:t>
      </w:r>
      <w:r>
        <w:rPr>
          <w:rFonts w:ascii="黑体" w:hAnsi="黑体" w:eastAsia="黑体"/>
          <w:snapToGrid w:val="0"/>
          <w:color w:val="auto"/>
          <w:sz w:val="32"/>
          <w:szCs w:val="32"/>
        </w:rPr>
        <w:t>图</w:t>
      </w:r>
      <w:r>
        <w:rPr>
          <w:rFonts w:hint="eastAsia" w:ascii="黑体" w:hAnsi="黑体" w:eastAsia="黑体"/>
          <w:snapToGrid w:val="0"/>
          <w:color w:val="auto"/>
          <w:sz w:val="32"/>
          <w:szCs w:val="32"/>
        </w:rPr>
        <w:t>2-2</w:t>
      </w:r>
      <w:r>
        <w:rPr>
          <w:rFonts w:ascii="黑体" w:hAnsi="黑体" w:eastAsia="黑体"/>
          <w:snapToGrid w:val="0"/>
          <w:color w:val="auto"/>
          <w:sz w:val="32"/>
          <w:szCs w:val="32"/>
        </w:rPr>
        <w:t xml:space="preserve"> </w:t>
      </w:r>
      <w:r>
        <w:rPr>
          <w:rFonts w:hint="eastAsia" w:ascii="黑体" w:hAnsi="黑体" w:eastAsia="黑体"/>
          <w:snapToGrid w:val="0"/>
          <w:color w:val="auto"/>
          <w:sz w:val="32"/>
          <w:szCs w:val="32"/>
        </w:rPr>
        <w:t>升压站平面</w:t>
      </w:r>
      <w:r>
        <w:rPr>
          <w:rFonts w:ascii="黑体" w:hAnsi="黑体" w:eastAsia="黑体"/>
          <w:snapToGrid w:val="0"/>
          <w:color w:val="auto"/>
          <w:sz w:val="32"/>
          <w:szCs w:val="32"/>
        </w:rPr>
        <w:t>布置图</w:t>
      </w:r>
    </w:p>
    <w:p>
      <w:pPr>
        <w:spacing w:before="192" w:beforeLines="80"/>
        <w:ind w:firstLine="0" w:firstLineChars="0"/>
        <w:jc w:val="center"/>
        <w:rPr>
          <w:rFonts w:hint="eastAsia" w:ascii="黑体" w:hAnsi="黑体" w:eastAsia="黑体"/>
          <w:snapToGrid w:val="0"/>
          <w:color w:val="auto"/>
          <w:sz w:val="32"/>
          <w:szCs w:val="32"/>
        </w:rPr>
      </w:pPr>
      <w:r>
        <w:rPr>
          <w:rFonts w:hint="eastAsia" w:ascii="Times New Roman" w:hAnsi="Times New Roman" w:eastAsia="宋体" w:cs="Times New Roman"/>
          <w:color w:val="auto"/>
          <w:lang w:eastAsia="zh-CN"/>
        </w:rPr>
        <w:drawing>
          <wp:inline distT="0" distB="0" distL="114300" distR="114300">
            <wp:extent cx="6526530" cy="4597400"/>
            <wp:effectExtent l="0" t="0" r="7620" b="12700"/>
            <wp:docPr id="46" name="图片 46" descr="4f5fc143b98b3ab42c7252a9d507fd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4f5fc143b98b3ab42c7252a9d507fd93"/>
                    <pic:cNvPicPr>
                      <a:picLocks noChangeAspect="1"/>
                    </pic:cNvPicPr>
                  </pic:nvPicPr>
                  <pic:blipFill>
                    <a:blip r:embed="rId14"/>
                    <a:stretch>
                      <a:fillRect/>
                    </a:stretch>
                  </pic:blipFill>
                  <pic:spPr>
                    <a:xfrm>
                      <a:off x="0" y="0"/>
                      <a:ext cx="6526530" cy="4597400"/>
                    </a:xfrm>
                    <a:prstGeom prst="rect">
                      <a:avLst/>
                    </a:prstGeom>
                  </pic:spPr>
                </pic:pic>
              </a:graphicData>
            </a:graphic>
          </wp:inline>
        </w:drawing>
      </w:r>
    </w:p>
    <w:p>
      <w:pPr>
        <w:spacing w:before="192" w:beforeLines="80"/>
        <w:ind w:firstLine="640"/>
        <w:jc w:val="center"/>
        <w:rPr>
          <w:rFonts w:hint="eastAsia" w:ascii="黑体" w:hAnsi="黑体" w:eastAsia="黑体"/>
          <w:snapToGrid w:val="0"/>
          <w:color w:val="auto"/>
          <w:sz w:val="32"/>
          <w:szCs w:val="32"/>
          <w:lang w:eastAsia="zh-CN"/>
        </w:rPr>
      </w:pPr>
      <w:r>
        <w:rPr>
          <w:rFonts w:hint="eastAsia" w:ascii="黑体" w:hAnsi="黑体" w:eastAsia="黑体"/>
          <w:snapToGrid w:val="0"/>
          <w:color w:val="auto"/>
          <w:sz w:val="32"/>
          <w:szCs w:val="32"/>
        </w:rPr>
        <w:t>附</w:t>
      </w:r>
      <w:r>
        <w:rPr>
          <w:rFonts w:ascii="黑体" w:hAnsi="黑体" w:eastAsia="黑体"/>
          <w:snapToGrid w:val="0"/>
          <w:color w:val="auto"/>
          <w:sz w:val="32"/>
          <w:szCs w:val="32"/>
        </w:rPr>
        <w:t>图</w:t>
      </w:r>
      <w:r>
        <w:rPr>
          <w:rFonts w:hint="eastAsia" w:ascii="黑体" w:hAnsi="黑体" w:eastAsia="黑体"/>
          <w:snapToGrid w:val="0"/>
          <w:color w:val="auto"/>
          <w:sz w:val="32"/>
          <w:szCs w:val="32"/>
        </w:rPr>
        <w:t>3</w:t>
      </w:r>
      <w:r>
        <w:rPr>
          <w:rFonts w:hint="eastAsia" w:ascii="黑体" w:hAnsi="黑体" w:eastAsia="黑体"/>
          <w:snapToGrid w:val="0"/>
          <w:color w:val="auto"/>
          <w:sz w:val="32"/>
          <w:szCs w:val="32"/>
          <w:lang w:val="en-US" w:eastAsia="zh-CN"/>
        </w:rPr>
        <w:t>-1</w:t>
      </w:r>
      <w:r>
        <w:rPr>
          <w:rFonts w:ascii="黑体" w:hAnsi="黑体" w:eastAsia="黑体"/>
          <w:snapToGrid w:val="0"/>
          <w:color w:val="auto"/>
          <w:sz w:val="32"/>
          <w:szCs w:val="32"/>
        </w:rPr>
        <w:t xml:space="preserve"> </w:t>
      </w:r>
      <w:r>
        <w:rPr>
          <w:rFonts w:hint="eastAsia" w:ascii="黑体" w:hAnsi="黑体" w:eastAsia="黑体"/>
          <w:snapToGrid w:val="0"/>
          <w:color w:val="auto"/>
          <w:sz w:val="32"/>
          <w:szCs w:val="32"/>
        </w:rPr>
        <w:t>项目与生态保护红线位置关系</w:t>
      </w:r>
      <w:r>
        <w:rPr>
          <w:rFonts w:hint="eastAsia" w:ascii="黑体" w:hAnsi="黑体" w:eastAsia="黑体"/>
          <w:snapToGrid w:val="0"/>
          <w:color w:val="auto"/>
          <w:sz w:val="32"/>
          <w:szCs w:val="32"/>
          <w:lang w:eastAsia="zh-CN"/>
        </w:rPr>
        <w:t>（</w:t>
      </w:r>
      <w:r>
        <w:rPr>
          <w:rFonts w:hint="eastAsia" w:ascii="黑体" w:hAnsi="黑体" w:eastAsia="黑体"/>
          <w:snapToGrid w:val="0"/>
          <w:color w:val="auto"/>
          <w:sz w:val="32"/>
          <w:szCs w:val="32"/>
          <w:lang w:val="en-US" w:eastAsia="zh-CN"/>
        </w:rPr>
        <w:t>整体</w:t>
      </w:r>
      <w:r>
        <w:rPr>
          <w:rFonts w:hint="eastAsia" w:ascii="黑体" w:hAnsi="黑体" w:eastAsia="黑体"/>
          <w:snapToGrid w:val="0"/>
          <w:color w:val="auto"/>
          <w:sz w:val="32"/>
          <w:szCs w:val="32"/>
          <w:lang w:eastAsia="zh-CN"/>
        </w:rPr>
        <w:t>）</w:t>
      </w:r>
    </w:p>
    <w:p>
      <w:pPr>
        <w:pStyle w:val="2"/>
        <w:ind w:left="0" w:leftChars="0" w:firstLine="0" w:firstLineChars="0"/>
        <w:rPr>
          <w:rFonts w:hint="eastAsia"/>
          <w:color w:val="auto"/>
          <w:lang w:eastAsia="zh-CN"/>
        </w:rPr>
        <w:sectPr>
          <w:pgSz w:w="16838" w:h="11906" w:orient="landscape"/>
          <w:pgMar w:top="1800" w:right="1440" w:bottom="1800" w:left="1440" w:header="851" w:footer="1077" w:gutter="0"/>
          <w:cols w:space="720" w:num="1"/>
          <w:docGrid w:linePitch="312" w:charSpace="0"/>
        </w:sectPr>
      </w:pPr>
    </w:p>
    <w:p>
      <w:pPr>
        <w:spacing w:before="192" w:beforeLines="80"/>
        <w:ind w:firstLine="640"/>
        <w:jc w:val="center"/>
        <w:rPr>
          <w:rFonts w:hint="eastAsia" w:ascii="黑体" w:hAnsi="黑体" w:eastAsia="黑体"/>
          <w:snapToGrid w:val="0"/>
          <w:color w:val="auto"/>
          <w:sz w:val="32"/>
          <w:szCs w:val="32"/>
          <w:lang w:val="en-US" w:eastAsia="zh-CN"/>
        </w:rPr>
      </w:pPr>
      <w:r>
        <w:rPr>
          <w:rFonts w:hint="default"/>
          <w:color w:val="auto"/>
          <w:sz w:val="24"/>
        </w:rPr>
        <mc:AlternateContent>
          <mc:Choice Requires="wps">
            <w:drawing>
              <wp:anchor distT="0" distB="0" distL="114300" distR="114300" simplePos="0" relativeHeight="251673600" behindDoc="0" locked="0" layoutInCell="1" allowOverlap="1">
                <wp:simplePos x="0" y="0"/>
                <wp:positionH relativeFrom="column">
                  <wp:posOffset>3281045</wp:posOffset>
                </wp:positionH>
                <wp:positionV relativeFrom="paragraph">
                  <wp:posOffset>2567940</wp:posOffset>
                </wp:positionV>
                <wp:extent cx="230505" cy="323850"/>
                <wp:effectExtent l="0" t="0" r="17145" b="0"/>
                <wp:wrapNone/>
                <wp:docPr id="50" name="直接箭头连接符 50"/>
                <wp:cNvGraphicFramePr/>
                <a:graphic xmlns:a="http://schemas.openxmlformats.org/drawingml/2006/main">
                  <a:graphicData uri="http://schemas.microsoft.com/office/word/2010/wordprocessingShape">
                    <wps:wsp>
                      <wps:cNvCnPr/>
                      <wps:spPr>
                        <a:xfrm flipH="1">
                          <a:off x="0" y="0"/>
                          <a:ext cx="230505" cy="32385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58.35pt;margin-top:202.2pt;height:25.5pt;width:18.15pt;z-index:251673600;mso-width-relative:page;mso-height-relative:page;" filled="f" stroked="t" coordsize="21600,21600" o:gfxdata="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ROXHOdsAAAALAQAADwAAAAAAAAABACAAAAAiAAAAZHJzL2Rvd25yZXYueG1sUEsBAhQA&#10;FAAAAAgAh07iQO4CE8goAgAAKQQAAA4AAAAAAAAAAQAgAAAAKgEAAGRycy9lMm9Eb2MueG1sUEsF&#10;BgAAAAAGAAYAWQEAAMQFAAAAAA==&#10;">
                <v:fill on="f" focussize="0,0"/>
                <v:stroke color="#4A7EBB [3204]" joinstyle="round" startarrow="open" endarrow="open"/>
                <v:imagedata o:title=""/>
                <o:lock v:ext="edit" aspectratio="f"/>
              </v:shape>
            </w:pict>
          </mc:Fallback>
        </mc:AlternateContent>
      </w:r>
      <w:r>
        <w:rPr>
          <w:rFonts w:hint="default"/>
          <w:color w:val="auto"/>
          <w:sz w:val="24"/>
        </w:rPr>
        <mc:AlternateContent>
          <mc:Choice Requires="wps">
            <w:drawing>
              <wp:anchor distT="0" distB="0" distL="114300" distR="114300" simplePos="0" relativeHeight="251674624" behindDoc="0" locked="0" layoutInCell="1" allowOverlap="1">
                <wp:simplePos x="0" y="0"/>
                <wp:positionH relativeFrom="column">
                  <wp:posOffset>2632710</wp:posOffset>
                </wp:positionH>
                <wp:positionV relativeFrom="paragraph">
                  <wp:posOffset>1917065</wp:posOffset>
                </wp:positionV>
                <wp:extent cx="599440" cy="285750"/>
                <wp:effectExtent l="4445" t="4445" r="196215" b="490855"/>
                <wp:wrapNone/>
                <wp:docPr id="48" name="矩形标注 48"/>
                <wp:cNvGraphicFramePr/>
                <a:graphic xmlns:a="http://schemas.openxmlformats.org/drawingml/2006/main">
                  <a:graphicData uri="http://schemas.microsoft.com/office/word/2010/wordprocessingShape">
                    <wps:wsp>
                      <wps:cNvSpPr/>
                      <wps:spPr>
                        <a:xfrm>
                          <a:off x="0" y="0"/>
                          <a:ext cx="599440" cy="285750"/>
                        </a:xfrm>
                        <a:prstGeom prst="wedgeRectCallout">
                          <a:avLst>
                            <a:gd name="adj1" fmla="val 80402"/>
                            <a:gd name="adj2" fmla="val 214222"/>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pPr>
                              <w:ind w:left="0" w:leftChars="0" w:firstLine="0" w:firstLineChars="0"/>
                              <w:jc w:val="both"/>
                              <w:rPr>
                                <w:rFonts w:hint="default" w:eastAsia="宋体"/>
                                <w:lang w:val="en-US" w:eastAsia="zh-CN"/>
                              </w:rPr>
                            </w:pPr>
                            <w:r>
                              <w:rPr>
                                <w:rFonts w:hint="eastAsia"/>
                                <w:lang w:val="en-US" w:eastAsia="zh-CN"/>
                              </w:rPr>
                              <w:t>590m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07.3pt;margin-top:150.95pt;height:22.5pt;width:47.2pt;z-index:251674624;v-text-anchor:middle;mso-width-relative:page;mso-height-relative:page;" fillcolor="#FFFFFF [3201]" filled="t" stroked="t" coordsize="21600,21600" o:gfxdata="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" adj="28167,57072">
                <v:fill on="t" focussize="0,0"/>
                <v:stroke weight="0.25pt" color="#000000 [3213]" joinstyle="round"/>
                <v:imagedata o:title=""/>
                <o:lock v:ext="edit" aspectratio="f"/>
                <v:textbox>
                  <w:txbxContent>
                    <w:p>
                      <w:pPr>
                        <w:ind w:left="0" w:leftChars="0" w:firstLine="0" w:firstLineChars="0"/>
                        <w:jc w:val="both"/>
                        <w:rPr>
                          <w:rFonts w:hint="default" w:eastAsia="宋体"/>
                          <w:lang w:val="en-US" w:eastAsia="zh-CN"/>
                        </w:rPr>
                      </w:pPr>
                      <w:r>
                        <w:rPr>
                          <w:rFonts w:hint="eastAsia"/>
                          <w:lang w:val="en-US" w:eastAsia="zh-CN"/>
                        </w:rPr>
                        <w:t>590m</w:t>
                      </w:r>
                    </w:p>
                  </w:txbxContent>
                </v:textbox>
              </v:shape>
            </w:pict>
          </mc:Fallback>
        </mc:AlternateContent>
      </w:r>
      <w:r>
        <w:rPr>
          <w:rFonts w:hint="eastAsia" w:ascii="黑体" w:hAnsi="黑体" w:eastAsia="黑体"/>
          <w:snapToGrid w:val="0"/>
          <w:color w:val="auto"/>
          <w:sz w:val="32"/>
          <w:szCs w:val="32"/>
          <w:lang w:val="en-US" w:eastAsia="zh-CN"/>
        </w:rPr>
        <w:drawing>
          <wp:inline distT="0" distB="0" distL="114300" distR="114300">
            <wp:extent cx="6574790" cy="4625340"/>
            <wp:effectExtent l="0" t="0" r="16510" b="3810"/>
            <wp:docPr id="47" name="图片 47" descr="ccd379f6b9c831e659b593f60dc2b0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ccd379f6b9c831e659b593f60dc2b0b5"/>
                    <pic:cNvPicPr>
                      <a:picLocks noChangeAspect="1"/>
                    </pic:cNvPicPr>
                  </pic:nvPicPr>
                  <pic:blipFill>
                    <a:blip r:embed="rId15"/>
                    <a:stretch>
                      <a:fillRect/>
                    </a:stretch>
                  </pic:blipFill>
                  <pic:spPr>
                    <a:xfrm>
                      <a:off x="0" y="0"/>
                      <a:ext cx="6574790" cy="4625340"/>
                    </a:xfrm>
                    <a:prstGeom prst="rect">
                      <a:avLst/>
                    </a:prstGeom>
                  </pic:spPr>
                </pic:pic>
              </a:graphicData>
            </a:graphic>
          </wp:inline>
        </w:drawing>
      </w:r>
    </w:p>
    <w:p>
      <w:pPr>
        <w:spacing w:before="192" w:beforeLines="80"/>
        <w:ind w:firstLine="640"/>
        <w:jc w:val="center"/>
        <w:rPr>
          <w:rFonts w:hint="eastAsia" w:ascii="黑体" w:hAnsi="黑体" w:eastAsia="黑体" w:cs="Times New Roman"/>
          <w:snapToGrid w:val="0"/>
          <w:color w:val="auto"/>
          <w:sz w:val="32"/>
          <w:szCs w:val="32"/>
          <w:lang w:eastAsia="zh-CN"/>
        </w:rPr>
      </w:pPr>
      <w:r>
        <w:rPr>
          <w:rFonts w:hint="eastAsia" w:ascii="黑体" w:hAnsi="黑体" w:eastAsia="黑体" w:cs="Times New Roman"/>
          <w:snapToGrid w:val="0"/>
          <w:color w:val="auto"/>
          <w:sz w:val="32"/>
          <w:szCs w:val="32"/>
        </w:rPr>
        <w:t>附图3</w:t>
      </w:r>
      <w:r>
        <w:rPr>
          <w:rFonts w:hint="eastAsia" w:ascii="黑体" w:hAnsi="黑体" w:eastAsia="黑体" w:cs="Times New Roman"/>
          <w:snapToGrid w:val="0"/>
          <w:color w:val="auto"/>
          <w:sz w:val="32"/>
          <w:szCs w:val="32"/>
          <w:lang w:val="en-US" w:eastAsia="zh-CN"/>
        </w:rPr>
        <w:t>-2</w:t>
      </w:r>
      <w:r>
        <w:rPr>
          <w:rFonts w:hint="eastAsia" w:ascii="黑体" w:hAnsi="黑体" w:eastAsia="黑体" w:cs="Times New Roman"/>
          <w:snapToGrid w:val="0"/>
          <w:color w:val="auto"/>
          <w:sz w:val="32"/>
          <w:szCs w:val="32"/>
        </w:rPr>
        <w:t xml:space="preserve"> 项目与生态保护红线位置关系</w:t>
      </w:r>
      <w:r>
        <w:rPr>
          <w:rFonts w:hint="eastAsia" w:ascii="黑体" w:hAnsi="黑体" w:eastAsia="黑体" w:cs="Times New Roman"/>
          <w:snapToGrid w:val="0"/>
          <w:color w:val="auto"/>
          <w:sz w:val="32"/>
          <w:szCs w:val="32"/>
          <w:lang w:eastAsia="zh-CN"/>
        </w:rPr>
        <w:t>（</w:t>
      </w:r>
      <w:r>
        <w:rPr>
          <w:rFonts w:hint="eastAsia" w:ascii="黑体" w:hAnsi="黑体" w:eastAsia="黑体" w:cs="Times New Roman"/>
          <w:snapToGrid w:val="0"/>
          <w:color w:val="auto"/>
          <w:sz w:val="32"/>
          <w:szCs w:val="32"/>
          <w:lang w:val="en-US" w:eastAsia="zh-CN"/>
        </w:rPr>
        <w:t>局部截取</w:t>
      </w:r>
      <w:r>
        <w:rPr>
          <w:rFonts w:hint="eastAsia" w:ascii="黑体" w:hAnsi="黑体" w:eastAsia="黑体" w:cs="Times New Roman"/>
          <w:snapToGrid w:val="0"/>
          <w:color w:val="auto"/>
          <w:sz w:val="32"/>
          <w:szCs w:val="32"/>
          <w:lang w:eastAsia="zh-CN"/>
        </w:rPr>
        <w:t>）</w:t>
      </w:r>
    </w:p>
    <w:p>
      <w:pPr>
        <w:spacing w:before="192" w:beforeLines="80"/>
        <w:ind w:firstLine="640"/>
        <w:jc w:val="center"/>
        <w:rPr>
          <w:rFonts w:hint="eastAsia" w:ascii="黑体" w:hAnsi="黑体" w:eastAsia="黑体" w:cs="Times New Roman"/>
          <w:snapToGrid w:val="0"/>
          <w:color w:val="auto"/>
          <w:sz w:val="32"/>
          <w:szCs w:val="32"/>
          <w:lang w:eastAsia="zh-CN"/>
        </w:rPr>
        <w:sectPr>
          <w:pgSz w:w="16838" w:h="11906" w:orient="landscape"/>
          <w:pgMar w:top="1800" w:right="1440" w:bottom="1800" w:left="1440" w:header="851" w:footer="1077" w:gutter="0"/>
          <w:cols w:space="720" w:num="1"/>
          <w:docGrid w:linePitch="312" w:charSpace="0"/>
        </w:sectPr>
      </w:pPr>
    </w:p>
    <w:p>
      <w:pPr>
        <w:keepNext w:val="0"/>
        <w:keepLines w:val="0"/>
        <w:pageBreakBefore w:val="0"/>
        <w:widowControl w:val="0"/>
        <w:kinsoku/>
        <w:wordWrap/>
        <w:overflowPunct/>
        <w:topLinePunct w:val="0"/>
        <w:autoSpaceDE/>
        <w:autoSpaceDN/>
        <w:bidi w:val="0"/>
        <w:adjustRightInd w:val="0"/>
        <w:snapToGrid w:val="0"/>
        <w:spacing w:before="192" w:beforeLines="80" w:line="240" w:lineRule="auto"/>
        <w:ind w:firstLine="640"/>
        <w:jc w:val="center"/>
        <w:textAlignment w:val="auto"/>
        <w:rPr>
          <w:rFonts w:hint="eastAsia" w:ascii="黑体" w:hAnsi="黑体" w:eastAsia="黑体"/>
          <w:snapToGrid w:val="0"/>
          <w:color w:val="auto"/>
          <w:sz w:val="32"/>
          <w:szCs w:val="32"/>
          <w:lang w:eastAsia="zh-CN"/>
        </w:rPr>
      </w:pPr>
      <w:r>
        <w:rPr>
          <w:rFonts w:hint="eastAsia" w:ascii="黑体" w:hAnsi="黑体" w:eastAsia="黑体"/>
          <w:snapToGrid w:val="0"/>
          <w:color w:val="auto"/>
          <w:sz w:val="32"/>
          <w:szCs w:val="32"/>
          <w:lang w:eastAsia="zh-CN"/>
        </w:rPr>
        <w:drawing>
          <wp:inline distT="0" distB="0" distL="114300" distR="114300">
            <wp:extent cx="6806565" cy="4660900"/>
            <wp:effectExtent l="0" t="0" r="13335" b="6350"/>
            <wp:docPr id="53" name="图片 53" descr="7ae5b35043f34dbae8c418ae66ec7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7ae5b35043f34dbae8c418ae66ec7774"/>
                    <pic:cNvPicPr>
                      <a:picLocks noChangeAspect="1"/>
                    </pic:cNvPicPr>
                  </pic:nvPicPr>
                  <pic:blipFill>
                    <a:blip r:embed="rId59"/>
                    <a:stretch>
                      <a:fillRect/>
                    </a:stretch>
                  </pic:blipFill>
                  <pic:spPr>
                    <a:xfrm>
                      <a:off x="0" y="0"/>
                      <a:ext cx="6806565" cy="4660900"/>
                    </a:xfrm>
                    <a:prstGeom prst="rect">
                      <a:avLst/>
                    </a:prstGeom>
                  </pic:spPr>
                </pic:pic>
              </a:graphicData>
            </a:graphic>
          </wp:inline>
        </w:drawing>
      </w:r>
    </w:p>
    <w:p>
      <w:pPr>
        <w:spacing w:before="192" w:beforeLines="80"/>
        <w:ind w:firstLine="640"/>
        <w:jc w:val="center"/>
        <w:rPr>
          <w:rFonts w:hint="eastAsia" w:ascii="黑体" w:hAnsi="黑体" w:eastAsia="黑体"/>
          <w:snapToGrid w:val="0"/>
          <w:color w:val="auto"/>
          <w:sz w:val="32"/>
          <w:szCs w:val="32"/>
          <w:lang w:eastAsia="zh-CN"/>
        </w:rPr>
        <w:sectPr>
          <w:pgSz w:w="16838" w:h="11906" w:orient="landscape"/>
          <w:pgMar w:top="1800" w:right="1440" w:bottom="1800" w:left="1440" w:header="851" w:footer="1077" w:gutter="0"/>
          <w:cols w:space="720" w:num="1"/>
          <w:docGrid w:linePitch="312" w:charSpace="0"/>
        </w:sectPr>
      </w:pPr>
      <w:r>
        <w:rPr>
          <w:rFonts w:hint="eastAsia" w:ascii="黑体" w:hAnsi="黑体" w:eastAsia="黑体"/>
          <w:snapToGrid w:val="0"/>
          <w:color w:val="auto"/>
          <w:sz w:val="32"/>
          <w:szCs w:val="32"/>
        </w:rPr>
        <w:t>附图4</w:t>
      </w:r>
      <w:r>
        <w:rPr>
          <w:rFonts w:hint="eastAsia" w:ascii="黑体" w:hAnsi="黑体" w:eastAsia="黑体"/>
          <w:snapToGrid w:val="0"/>
          <w:color w:val="auto"/>
          <w:sz w:val="32"/>
          <w:szCs w:val="32"/>
          <w:lang w:val="en-US" w:eastAsia="zh-CN"/>
        </w:rPr>
        <w:t>-1</w:t>
      </w:r>
      <w:r>
        <w:rPr>
          <w:rFonts w:hint="eastAsia" w:ascii="黑体" w:hAnsi="黑体" w:eastAsia="黑体"/>
          <w:snapToGrid w:val="0"/>
          <w:color w:val="auto"/>
          <w:sz w:val="32"/>
          <w:szCs w:val="32"/>
        </w:rPr>
        <w:t xml:space="preserve"> </w:t>
      </w:r>
      <w:r>
        <w:rPr>
          <w:rFonts w:hint="eastAsia" w:ascii="黑体" w:hAnsi="黑体" w:eastAsia="黑体"/>
          <w:snapToGrid w:val="0"/>
          <w:color w:val="auto"/>
          <w:sz w:val="32"/>
          <w:szCs w:val="32"/>
          <w:lang w:val="en-US" w:eastAsia="zh-CN"/>
        </w:rPr>
        <w:t>声</w:t>
      </w:r>
      <w:r>
        <w:rPr>
          <w:rFonts w:hint="eastAsia" w:ascii="黑体" w:hAnsi="黑体" w:eastAsia="黑体"/>
          <w:snapToGrid w:val="0"/>
          <w:color w:val="auto"/>
          <w:sz w:val="32"/>
          <w:szCs w:val="32"/>
        </w:rPr>
        <w:t>环境保护目标分布图</w:t>
      </w:r>
      <w:r>
        <w:rPr>
          <w:rFonts w:hint="eastAsia" w:ascii="黑体" w:hAnsi="黑体" w:eastAsia="黑体"/>
          <w:snapToGrid w:val="0"/>
          <w:color w:val="auto"/>
          <w:sz w:val="32"/>
          <w:szCs w:val="32"/>
          <w:lang w:eastAsia="zh-CN"/>
        </w:rPr>
        <w:t>（</w:t>
      </w:r>
      <w:r>
        <w:rPr>
          <w:rFonts w:hint="eastAsia" w:ascii="黑体" w:hAnsi="黑体" w:eastAsia="黑体"/>
          <w:snapToGrid w:val="0"/>
          <w:color w:val="auto"/>
          <w:sz w:val="32"/>
          <w:szCs w:val="32"/>
          <w:lang w:val="en-US" w:eastAsia="zh-CN"/>
        </w:rPr>
        <w:t>整体</w:t>
      </w:r>
      <w:r>
        <w:rPr>
          <w:rFonts w:hint="eastAsia" w:ascii="黑体" w:hAnsi="黑体" w:eastAsia="黑体"/>
          <w:snapToGrid w:val="0"/>
          <w:color w:val="auto"/>
          <w:sz w:val="32"/>
          <w:szCs w:val="32"/>
          <w:lang w:eastAsia="zh-CN"/>
        </w:rPr>
        <w:t>）</w:t>
      </w:r>
    </w:p>
    <w:p>
      <w:pPr>
        <w:bidi w:val="0"/>
        <w:ind w:left="0" w:leftChars="0" w:firstLine="0" w:firstLineChars="0"/>
        <w:jc w:val="center"/>
        <w:rPr>
          <w:rFonts w:hint="eastAsia"/>
          <w:color w:val="auto"/>
          <w:lang w:eastAsia="zh-CN"/>
        </w:rPr>
      </w:pPr>
      <w:r>
        <w:rPr>
          <w:rFonts w:hint="eastAsia"/>
          <w:color w:val="auto"/>
          <w:lang w:eastAsia="zh-CN"/>
        </w:rPr>
        <w:drawing>
          <wp:inline distT="0" distB="0" distL="114300" distR="114300">
            <wp:extent cx="6709410" cy="4733925"/>
            <wp:effectExtent l="0" t="0" r="15240" b="9525"/>
            <wp:docPr id="54" name="图片 54" descr="37748a6e59cd08ef65206b2ea3182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37748a6e59cd08ef65206b2ea3182044"/>
                    <pic:cNvPicPr>
                      <a:picLocks noChangeAspect="1"/>
                    </pic:cNvPicPr>
                  </pic:nvPicPr>
                  <pic:blipFill>
                    <a:blip r:embed="rId60"/>
                    <a:stretch>
                      <a:fillRect/>
                    </a:stretch>
                  </pic:blipFill>
                  <pic:spPr>
                    <a:xfrm>
                      <a:off x="0" y="0"/>
                      <a:ext cx="6709410" cy="4733925"/>
                    </a:xfrm>
                    <a:prstGeom prst="rect">
                      <a:avLst/>
                    </a:prstGeom>
                  </pic:spPr>
                </pic:pic>
              </a:graphicData>
            </a:graphic>
          </wp:inline>
        </w:drawing>
      </w:r>
    </w:p>
    <w:p>
      <w:pPr>
        <w:spacing w:before="192" w:beforeLines="80"/>
        <w:ind w:firstLine="640"/>
        <w:jc w:val="center"/>
        <w:rPr>
          <w:rFonts w:hint="eastAsia" w:ascii="黑体" w:hAnsi="黑体" w:eastAsia="黑体" w:cs="Times New Roman"/>
          <w:snapToGrid w:val="0"/>
          <w:color w:val="auto"/>
          <w:sz w:val="32"/>
          <w:szCs w:val="32"/>
          <w:lang w:eastAsia="zh-CN"/>
        </w:rPr>
        <w:sectPr>
          <w:pgSz w:w="16838" w:h="11906" w:orient="landscape"/>
          <w:pgMar w:top="1800" w:right="1440" w:bottom="1800" w:left="1440" w:header="851" w:footer="1077" w:gutter="0"/>
          <w:cols w:space="720" w:num="1"/>
          <w:docGrid w:linePitch="312" w:charSpace="0"/>
        </w:sectPr>
      </w:pPr>
      <w:r>
        <w:rPr>
          <w:rFonts w:hint="eastAsia" w:ascii="黑体" w:hAnsi="黑体" w:eastAsia="黑体" w:cs="Times New Roman"/>
          <w:snapToGrid w:val="0"/>
          <w:color w:val="auto"/>
          <w:sz w:val="32"/>
          <w:szCs w:val="32"/>
          <w:lang w:eastAsia="zh-CN"/>
        </w:rPr>
        <w:t>附图4</w:t>
      </w:r>
      <w:r>
        <w:rPr>
          <w:rFonts w:hint="eastAsia" w:ascii="黑体" w:hAnsi="黑体" w:eastAsia="黑体" w:cs="Times New Roman"/>
          <w:snapToGrid w:val="0"/>
          <w:color w:val="auto"/>
          <w:sz w:val="32"/>
          <w:szCs w:val="32"/>
          <w:lang w:val="en-US" w:eastAsia="zh-CN"/>
        </w:rPr>
        <w:t>-1</w:t>
      </w:r>
      <w:r>
        <w:rPr>
          <w:rFonts w:hint="eastAsia" w:ascii="黑体" w:hAnsi="黑体" w:eastAsia="黑体" w:cs="Times New Roman"/>
          <w:snapToGrid w:val="0"/>
          <w:color w:val="auto"/>
          <w:sz w:val="32"/>
          <w:szCs w:val="32"/>
          <w:lang w:eastAsia="zh-CN"/>
        </w:rPr>
        <w:t xml:space="preserve"> </w:t>
      </w:r>
      <w:r>
        <w:rPr>
          <w:rFonts w:hint="eastAsia" w:ascii="黑体" w:hAnsi="黑体" w:eastAsia="黑体" w:cs="Times New Roman"/>
          <w:snapToGrid w:val="0"/>
          <w:color w:val="auto"/>
          <w:sz w:val="32"/>
          <w:szCs w:val="32"/>
          <w:lang w:val="en-US" w:eastAsia="zh-CN"/>
        </w:rPr>
        <w:t>声</w:t>
      </w:r>
      <w:r>
        <w:rPr>
          <w:rFonts w:hint="eastAsia" w:ascii="黑体" w:hAnsi="黑体" w:eastAsia="黑体" w:cs="Times New Roman"/>
          <w:snapToGrid w:val="0"/>
          <w:color w:val="auto"/>
          <w:sz w:val="32"/>
          <w:szCs w:val="32"/>
          <w:lang w:eastAsia="zh-CN"/>
        </w:rPr>
        <w:t>环境保护目标分布图（</w:t>
      </w:r>
      <w:r>
        <w:rPr>
          <w:rFonts w:hint="eastAsia" w:ascii="黑体" w:hAnsi="黑体" w:eastAsia="黑体" w:cs="Times New Roman"/>
          <w:snapToGrid w:val="0"/>
          <w:color w:val="auto"/>
          <w:sz w:val="32"/>
          <w:szCs w:val="32"/>
          <w:lang w:val="en-US" w:eastAsia="zh-CN"/>
        </w:rPr>
        <w:t>局部截取</w:t>
      </w:r>
      <w:r>
        <w:rPr>
          <w:rFonts w:hint="eastAsia" w:ascii="黑体" w:hAnsi="黑体" w:eastAsia="黑体" w:cs="Times New Roman"/>
          <w:snapToGrid w:val="0"/>
          <w:color w:val="auto"/>
          <w:sz w:val="32"/>
          <w:szCs w:val="32"/>
          <w:lang w:eastAsia="zh-CN"/>
        </w:rPr>
        <w:t>）</w:t>
      </w:r>
    </w:p>
    <w:p>
      <w:pPr>
        <w:bidi w:val="0"/>
        <w:ind w:left="0" w:leftChars="0" w:firstLine="482" w:firstLineChars="160"/>
        <w:jc w:val="left"/>
        <w:rPr>
          <w:rFonts w:hint="eastAsia"/>
          <w:b/>
          <w:bCs/>
          <w:color w:val="auto"/>
          <w:sz w:val="30"/>
          <w:szCs w:val="30"/>
          <w:lang w:val="en-US" w:eastAsia="zh-CN"/>
        </w:rPr>
      </w:pPr>
      <w:r>
        <w:rPr>
          <w:rFonts w:hint="eastAsia"/>
          <w:b/>
          <w:bCs/>
          <w:color w:val="auto"/>
          <w:sz w:val="30"/>
          <w:szCs w:val="30"/>
          <w:lang w:val="en-US" w:eastAsia="zh-CN"/>
        </w:rPr>
        <w:t>附件</w:t>
      </w:r>
    </w:p>
    <w:p>
      <w:pPr>
        <w:bidi w:val="0"/>
        <w:rPr>
          <w:rFonts w:hint="eastAsia"/>
          <w:color w:val="auto"/>
          <w:lang w:val="en-US" w:eastAsia="zh-CN"/>
        </w:rPr>
      </w:pPr>
      <w:r>
        <w:rPr>
          <w:rFonts w:hint="eastAsia"/>
          <w:color w:val="auto"/>
          <w:lang w:val="en-US" w:eastAsia="zh-CN"/>
        </w:rPr>
        <w:t>附件1备案证</w:t>
      </w:r>
    </w:p>
    <w:p>
      <w:pPr>
        <w:bidi w:val="0"/>
        <w:rPr>
          <w:rFonts w:hint="eastAsia"/>
          <w:color w:val="auto"/>
          <w:lang w:val="en-US" w:eastAsia="zh-CN"/>
        </w:rPr>
      </w:pPr>
      <w:r>
        <w:rPr>
          <w:rFonts w:hint="eastAsia"/>
          <w:color w:val="auto"/>
          <w:lang w:val="en-US" w:eastAsia="zh-CN"/>
        </w:rPr>
        <w:t>附件2建设项目用地预审与选址意见书</w:t>
      </w:r>
    </w:p>
    <w:p>
      <w:pPr>
        <w:bidi w:val="0"/>
        <w:rPr>
          <w:rFonts w:hint="eastAsia"/>
          <w:color w:val="auto"/>
          <w:lang w:val="en-US" w:eastAsia="zh-CN"/>
        </w:rPr>
      </w:pPr>
      <w:r>
        <w:rPr>
          <w:rFonts w:hint="eastAsia"/>
          <w:color w:val="auto"/>
          <w:lang w:val="en-US" w:eastAsia="zh-CN"/>
        </w:rPr>
        <w:t>附件3项目地类查询情况说明（丰宁满族自治县林业和草原局）</w:t>
      </w:r>
    </w:p>
    <w:p>
      <w:pPr>
        <w:bidi w:val="0"/>
        <w:rPr>
          <w:rFonts w:hint="eastAsia"/>
          <w:color w:val="auto"/>
          <w:lang w:val="en-US" w:eastAsia="zh-CN"/>
        </w:rPr>
      </w:pPr>
      <w:r>
        <w:rPr>
          <w:rFonts w:hint="eastAsia"/>
          <w:color w:val="auto"/>
          <w:lang w:val="en-US" w:eastAsia="zh-CN"/>
        </w:rPr>
        <w:t>附件4承德市生态环境局丰宁满族自治县分局关于项目是否涉及饮用水水源保护地的复函</w:t>
      </w:r>
    </w:p>
    <w:p>
      <w:pPr>
        <w:bidi w:val="0"/>
        <w:rPr>
          <w:rFonts w:hint="eastAsia"/>
          <w:color w:val="auto"/>
          <w:lang w:val="en-US" w:eastAsia="zh-CN"/>
        </w:rPr>
      </w:pPr>
      <w:r>
        <w:rPr>
          <w:rFonts w:hint="eastAsia"/>
          <w:color w:val="auto"/>
          <w:lang w:val="en-US" w:eastAsia="zh-CN"/>
        </w:rPr>
        <w:t>附件5丰宁满族自治县自然资源和规划局关于项目地类、基本农田、生态红线查询情况说明</w:t>
      </w:r>
    </w:p>
    <w:p>
      <w:pPr>
        <w:bidi w:val="0"/>
        <w:rPr>
          <w:rFonts w:hint="eastAsia"/>
          <w:color w:val="auto"/>
          <w:lang w:val="en-US" w:eastAsia="zh-CN"/>
        </w:rPr>
      </w:pPr>
      <w:r>
        <w:rPr>
          <w:rFonts w:hint="eastAsia"/>
          <w:color w:val="auto"/>
          <w:lang w:val="en-US" w:eastAsia="zh-CN"/>
        </w:rPr>
        <w:t>附件6丰宁满族自治县文物保护管理所关于项目回复</w:t>
      </w:r>
    </w:p>
    <w:p>
      <w:pPr>
        <w:bidi w:val="0"/>
        <w:rPr>
          <w:rFonts w:hint="eastAsia"/>
          <w:color w:val="auto"/>
          <w:lang w:val="en-US" w:eastAsia="zh-CN"/>
        </w:rPr>
      </w:pPr>
      <w:r>
        <w:rPr>
          <w:rFonts w:hint="eastAsia"/>
          <w:color w:val="auto"/>
          <w:lang w:val="en-US" w:eastAsia="zh-CN"/>
        </w:rPr>
        <w:t>附件7中国人民解放军河北省丰宁满族自治县人民武装部关于项目光伏场区、升压站选址的意见</w:t>
      </w:r>
    </w:p>
    <w:p>
      <w:pPr>
        <w:bidi w:val="0"/>
        <w:rPr>
          <w:rFonts w:hint="eastAsia"/>
          <w:color w:val="auto"/>
          <w:lang w:val="en-US" w:eastAsia="zh-CN"/>
        </w:rPr>
      </w:pPr>
      <w:r>
        <w:rPr>
          <w:rFonts w:hint="eastAsia"/>
          <w:color w:val="auto"/>
          <w:lang w:val="en-US" w:eastAsia="zh-CN"/>
        </w:rPr>
        <w:t>附件8丰宁满族自治县水务局关于项目是否在河道保护范围内的函的回复函</w:t>
      </w:r>
    </w:p>
    <w:p>
      <w:pPr>
        <w:bidi w:val="0"/>
        <w:rPr>
          <w:rFonts w:hint="default"/>
          <w:color w:val="auto"/>
          <w:lang w:val="en-US" w:eastAsia="zh-CN"/>
        </w:rPr>
      </w:pPr>
      <w:r>
        <w:rPr>
          <w:rFonts w:hint="eastAsia"/>
          <w:color w:val="auto"/>
          <w:lang w:val="en-US" w:eastAsia="zh-CN"/>
        </w:rPr>
        <w:t>附件9建设单位委托书</w:t>
      </w:r>
    </w:p>
    <w:p>
      <w:pPr>
        <w:bidi w:val="0"/>
        <w:rPr>
          <w:rFonts w:hint="default"/>
          <w:color w:val="auto"/>
          <w:lang w:val="en-US" w:eastAsia="zh-CN"/>
        </w:rPr>
      </w:pPr>
      <w:r>
        <w:rPr>
          <w:rFonts w:hint="eastAsia"/>
          <w:color w:val="auto"/>
          <w:lang w:val="en-US" w:eastAsia="zh-CN"/>
        </w:rPr>
        <w:t>附件10建设单位承诺书</w:t>
      </w:r>
    </w:p>
    <w:p>
      <w:pPr>
        <w:bidi w:val="0"/>
        <w:rPr>
          <w:rFonts w:hint="default"/>
          <w:color w:val="auto"/>
          <w:lang w:val="en-US" w:eastAsia="zh-CN"/>
        </w:rPr>
      </w:pPr>
      <w:r>
        <w:rPr>
          <w:rFonts w:hint="eastAsia"/>
          <w:color w:val="auto"/>
          <w:lang w:val="en-US" w:eastAsia="zh-CN"/>
        </w:rPr>
        <w:t>附件11编制情况承诺书</w:t>
      </w:r>
    </w:p>
    <w:sectPr>
      <w:pgSz w:w="11906" w:h="16838"/>
      <w:pgMar w:top="1440" w:right="1800" w:bottom="1440" w:left="1800" w:header="851" w:footer="1077" w:gutter="0"/>
      <w:cols w:space="720" w:num="1"/>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B1"/>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方正小标宋_GBK">
    <w:altName w:val="微软雅黑"/>
    <w:panose1 w:val="02000000000000000000"/>
    <w:charset w:val="86"/>
    <w:family w:val="auto"/>
    <w:pitch w:val="default"/>
    <w:sig w:usb0="00000000" w:usb1="00000000" w:usb2="00082016" w:usb3="00000000" w:csb0="00040001" w:csb1="00000000"/>
  </w:font>
  <w:font w:name="楷体_GB2312">
    <w:altName w:val="楷体"/>
    <w:panose1 w:val="00000000000000000000"/>
    <w:charset w:val="86"/>
    <w:family w:val="auto"/>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font>
  <w:font w:name="微软雅黑">
    <w:panose1 w:val="020B0503020204020204"/>
    <w:charset w:val="86"/>
    <w:family w:val="auto"/>
    <w:pitch w:val="default"/>
    <w:sig w:usb0="80000287" w:usb1="2ACF3C50" w:usb2="00000016" w:usb3="00000000" w:csb0="0004001F"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framePr w:wrap="around" w:vAnchor="text" w:hAnchor="margin" w:xAlign="outside" w:y="1"/>
      <w:ind w:firstLine="360"/>
      <w:rPr>
        <w:rStyle w:val="23"/>
      </w:rPr>
    </w:pPr>
    <w:r>
      <w:rPr>
        <w:rStyle w:val="23"/>
      </w:rPr>
      <w:fldChar w:fldCharType="begin"/>
    </w:r>
    <w:r>
      <w:rPr>
        <w:rStyle w:val="23"/>
      </w:rPr>
      <w:instrText xml:space="preserve">PAGE  </w:instrText>
    </w:r>
    <w:r>
      <w:rPr>
        <w:rStyle w:val="23"/>
      </w:rPr>
      <w:fldChar w:fldCharType="end"/>
    </w:r>
  </w:p>
  <w:p>
    <w:pPr>
      <w:pStyle w:val="14"/>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right="360" w:firstLine="0" w:firstLineChars="0"/>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685800" cy="576580"/>
              <wp:effectExtent l="0" t="0" r="0" b="0"/>
              <wp:wrapNone/>
              <wp:docPr id="25" name="文本框 1"/>
              <wp:cNvGraphicFramePr/>
              <a:graphic xmlns:a="http://schemas.openxmlformats.org/drawingml/2006/main">
                <a:graphicData uri="http://schemas.microsoft.com/office/word/2010/wordprocessingShape">
                  <wps:wsp>
                    <wps:cNvSpPr txBox="1"/>
                    <wps:spPr>
                      <a:xfrm>
                        <a:off x="0" y="0"/>
                        <a:ext cx="685800" cy="576580"/>
                      </a:xfrm>
                      <a:prstGeom prst="rect">
                        <a:avLst/>
                      </a:prstGeom>
                      <a:noFill/>
                      <a:ln>
                        <a:noFill/>
                      </a:ln>
                    </wps:spPr>
                    <wps:txbx>
                      <w:txbxContent>
                        <w:p>
                          <w:pPr>
                            <w:pStyle w:val="14"/>
                            <w:ind w:firstLine="560"/>
                            <w:rPr>
                              <w:sz w:val="28"/>
                              <w:szCs w:val="28"/>
                            </w:rPr>
                          </w:pPr>
                          <w:r>
                            <w:rPr>
                              <w:sz w:val="28"/>
                              <w:szCs w:val="28"/>
                            </w:rPr>
                            <w:t>—</w:t>
                          </w:r>
                          <w:r>
                            <w:rPr>
                              <w:rFonts w:hint="eastAsia"/>
                              <w:sz w:val="28"/>
                              <w:szCs w:val="28"/>
                            </w:rPr>
                            <w:t xml:space="preserve"> </w:t>
                          </w:r>
                          <w:r>
                            <w:rPr>
                              <w:sz w:val="28"/>
                              <w:szCs w:val="28"/>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84</w:t>
                          </w:r>
                          <w:r>
                            <w:rPr>
                              <w:sz w:val="28"/>
                              <w:szCs w:val="28"/>
                            </w:rPr>
                            <w:fldChar w:fldCharType="end"/>
                          </w:r>
                          <w:r>
                            <w:rPr>
                              <w:sz w:val="28"/>
                              <w:szCs w:val="28"/>
                            </w:rPr>
                            <w:t xml:space="preserve"> </w:t>
                          </w:r>
                          <w:r>
                            <w:rPr>
                              <w:rFonts w:hint="eastAsia"/>
                              <w:sz w:val="28"/>
                              <w:szCs w:val="28"/>
                            </w:rPr>
                            <w:t xml:space="preserve"> </w:t>
                          </w:r>
                          <w:r>
                            <w:rPr>
                              <w:sz w:val="28"/>
                              <w:szCs w:val="28"/>
                            </w:rPr>
                            <w:t>—</w:t>
                          </w:r>
                        </w:p>
                      </w:txbxContent>
                    </wps:txbx>
                    <wps:bodyPr wrap="none" lIns="0" tIns="0" rIns="0" bIns="0" upright="0"/>
                  </wps:wsp>
                </a:graphicData>
              </a:graphic>
            </wp:anchor>
          </w:drawing>
        </mc:Choice>
        <mc:Fallback>
          <w:pict>
            <v:shape id="文本框 1" o:spid="_x0000_s1026" o:spt="202" type="#_x0000_t202" style="position:absolute;left:0pt;margin-top:0pt;height:45.4pt;width:54pt;mso-position-horizontal:center;mso-position-horizontal-relative:margin;mso-wrap-style:none;z-index:251659264;mso-width-relative:page;mso-height-relative:page;" filled="f" stroked="f" coordsize="21600,21600" o:gfxdata="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V0fHztEAAAAEAQAADwAAAAAAAAABACAAAAAiAAAAZHJzL2Rvd25yZXYueG1sUEsBAhQA&#10;FAAAAAgAh07iQLCkpQPAAQAAfgMAAA4AAAAAAAAAAQAgAAAAIAEAAGRycy9lMm9Eb2MueG1sUEsF&#10;BgAAAAAGAAYAWQEAAFIFAAAAAA==&#10;">
              <v:fill on="f" focussize="0,0"/>
              <v:stroke on="f"/>
              <v:imagedata o:title=""/>
              <o:lock v:ext="edit" aspectratio="f"/>
              <v:textbox inset="0mm,0mm,0mm,0mm">
                <w:txbxContent>
                  <w:p>
                    <w:pPr>
                      <w:pStyle w:val="14"/>
                      <w:ind w:firstLine="560"/>
                      <w:rPr>
                        <w:sz w:val="28"/>
                        <w:szCs w:val="28"/>
                      </w:rPr>
                    </w:pPr>
                    <w:r>
                      <w:rPr>
                        <w:sz w:val="28"/>
                        <w:szCs w:val="28"/>
                      </w:rPr>
                      <w:t>—</w:t>
                    </w:r>
                    <w:r>
                      <w:rPr>
                        <w:rFonts w:hint="eastAsia"/>
                        <w:sz w:val="28"/>
                        <w:szCs w:val="28"/>
                      </w:rPr>
                      <w:t xml:space="preserve"> </w:t>
                    </w:r>
                    <w:r>
                      <w:rPr>
                        <w:sz w:val="28"/>
                        <w:szCs w:val="28"/>
                      </w:rPr>
                      <w:t xml:space="preserve"> </w:t>
                    </w:r>
                    <w:r>
                      <w:rPr>
                        <w:sz w:val="28"/>
                        <w:szCs w:val="28"/>
                      </w:rPr>
                      <w:fldChar w:fldCharType="begin"/>
                    </w:r>
                    <w:r>
                      <w:rPr>
                        <w:sz w:val="28"/>
                        <w:szCs w:val="28"/>
                      </w:rPr>
                      <w:instrText xml:space="preserve"> PAGE  \* MERGEFORMAT </w:instrText>
                    </w:r>
                    <w:r>
                      <w:rPr>
                        <w:sz w:val="28"/>
                        <w:szCs w:val="28"/>
                      </w:rPr>
                      <w:fldChar w:fldCharType="separate"/>
                    </w:r>
                    <w:r>
                      <w:rPr>
                        <w:sz w:val="28"/>
                        <w:szCs w:val="28"/>
                      </w:rPr>
                      <w:t>84</w:t>
                    </w:r>
                    <w:r>
                      <w:rPr>
                        <w:sz w:val="28"/>
                        <w:szCs w:val="28"/>
                      </w:rPr>
                      <w:fldChar w:fldCharType="end"/>
                    </w:r>
                    <w:r>
                      <w:rPr>
                        <w:sz w:val="28"/>
                        <w:szCs w:val="28"/>
                      </w:rPr>
                      <w:t xml:space="preserve"> </w:t>
                    </w:r>
                    <w:r>
                      <w:rPr>
                        <w:rFonts w:hint="eastAsia"/>
                        <w:sz w:val="28"/>
                        <w:szCs w:val="28"/>
                      </w:rPr>
                      <w:t xml:space="preserve"> </w:t>
                    </w:r>
                    <w:r>
                      <w:rPr>
                        <w:sz w:val="28"/>
                        <w:szCs w:val="28"/>
                      </w:rPr>
                      <w:t>—</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Bdr>
        <w:bottom w:val="none" w:color="auto" w:sz="0" w:space="1"/>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Bdr>
        <w:bottom w:val="none" w:color="auto" w:sz="0" w:space="1"/>
      </w:pBdr>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C491220"/>
    <w:multiLevelType w:val="singleLevel"/>
    <w:tmpl w:val="9C491220"/>
    <w:lvl w:ilvl="0" w:tentative="0">
      <w:start w:val="1"/>
      <w:numFmt w:val="decimal"/>
      <w:lvlText w:val="(%1)"/>
      <w:lvlJc w:val="left"/>
      <w:pPr>
        <w:ind w:left="425" w:hanging="425"/>
      </w:pPr>
      <w:rPr>
        <w:rFonts w:hint="default"/>
      </w:rPr>
    </w:lvl>
  </w:abstractNum>
  <w:abstractNum w:abstractNumId="1">
    <w:nsid w:val="A4769CC9"/>
    <w:multiLevelType w:val="singleLevel"/>
    <w:tmpl w:val="A4769CC9"/>
    <w:lvl w:ilvl="0" w:tentative="0">
      <w:start w:val="1"/>
      <w:numFmt w:val="decimal"/>
      <w:pStyle w:val="33"/>
      <w:lvlText w:val="表2-%1."/>
      <w:lvlJc w:val="left"/>
      <w:pPr>
        <w:ind w:left="0" w:firstLine="0"/>
      </w:pPr>
      <w:rPr>
        <w:rFonts w:hint="default" w:ascii="Times New Roman" w:hAnsi="Times New Roman" w:eastAsia="宋体" w:cs="宋体"/>
        <w:sz w:val="21"/>
      </w:rPr>
    </w:lvl>
  </w:abstractNum>
  <w:abstractNum w:abstractNumId="2">
    <w:nsid w:val="BF2FC385"/>
    <w:multiLevelType w:val="multilevel"/>
    <w:tmpl w:val="BF2FC385"/>
    <w:lvl w:ilvl="0" w:tentative="0">
      <w:start w:val="1"/>
      <w:numFmt w:val="decimalEnclosedCircleChinese"/>
      <w:suff w:val="nothing"/>
      <w:lvlText w:val="%1　"/>
      <w:lvlJc w:val="left"/>
      <w:pPr>
        <w:ind w:left="0" w:firstLine="400"/>
      </w:pPr>
      <w:rPr>
        <w:rFonts w:hint="eastAsia" w:ascii="宋体" w:hAnsi="宋体" w:eastAsia="宋体" w:cs="宋体"/>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3">
    <w:nsid w:val="D151D809"/>
    <w:multiLevelType w:val="singleLevel"/>
    <w:tmpl w:val="D151D809"/>
    <w:lvl w:ilvl="0" w:tentative="0">
      <w:start w:val="1"/>
      <w:numFmt w:val="decimal"/>
      <w:pStyle w:val="36"/>
      <w:lvlText w:val="图3-%1."/>
      <w:lvlJc w:val="left"/>
      <w:pPr>
        <w:tabs>
          <w:tab w:val="left" w:pos="420"/>
        </w:tabs>
        <w:ind w:left="0" w:firstLine="0"/>
      </w:pPr>
      <w:rPr>
        <w:rFonts w:hint="default"/>
      </w:rPr>
    </w:lvl>
  </w:abstractNum>
  <w:abstractNum w:abstractNumId="4">
    <w:nsid w:val="D359BCEA"/>
    <w:multiLevelType w:val="singleLevel"/>
    <w:tmpl w:val="D359BCEA"/>
    <w:lvl w:ilvl="0" w:tentative="0">
      <w:start w:val="1"/>
      <w:numFmt w:val="decimalEnclosedCircleChinese"/>
      <w:suff w:val="nothing"/>
      <w:lvlText w:val="%1　"/>
      <w:lvlJc w:val="left"/>
      <w:pPr>
        <w:ind w:left="0" w:firstLine="400"/>
      </w:pPr>
      <w:rPr>
        <w:rFonts w:hint="eastAsia"/>
      </w:rPr>
    </w:lvl>
  </w:abstractNum>
  <w:abstractNum w:abstractNumId="5">
    <w:nsid w:val="ED89C748"/>
    <w:multiLevelType w:val="singleLevel"/>
    <w:tmpl w:val="ED89C748"/>
    <w:lvl w:ilvl="0" w:tentative="0">
      <w:start w:val="1"/>
      <w:numFmt w:val="decimal"/>
      <w:pStyle w:val="38"/>
      <w:lvlText w:val="表5-%1."/>
      <w:lvlJc w:val="left"/>
      <w:pPr>
        <w:tabs>
          <w:tab w:val="left" w:pos="420"/>
        </w:tabs>
        <w:ind w:left="0" w:firstLine="0"/>
      </w:pPr>
      <w:rPr>
        <w:rFonts w:hint="default"/>
      </w:rPr>
    </w:lvl>
  </w:abstractNum>
  <w:abstractNum w:abstractNumId="6">
    <w:nsid w:val="03054F24"/>
    <w:multiLevelType w:val="singleLevel"/>
    <w:tmpl w:val="03054F24"/>
    <w:lvl w:ilvl="0" w:tentative="0">
      <w:start w:val="1"/>
      <w:numFmt w:val="decimal"/>
      <w:pStyle w:val="37"/>
      <w:lvlText w:val="表4-%1."/>
      <w:lvlJc w:val="left"/>
      <w:pPr>
        <w:tabs>
          <w:tab w:val="left" w:pos="420"/>
        </w:tabs>
        <w:ind w:left="0" w:firstLine="0"/>
      </w:pPr>
      <w:rPr>
        <w:rFonts w:hint="default"/>
        <w:sz w:val="21"/>
      </w:rPr>
    </w:lvl>
  </w:abstractNum>
  <w:abstractNum w:abstractNumId="7">
    <w:nsid w:val="49A6B8F2"/>
    <w:multiLevelType w:val="singleLevel"/>
    <w:tmpl w:val="49A6B8F2"/>
    <w:lvl w:ilvl="0" w:tentative="0">
      <w:start w:val="1"/>
      <w:numFmt w:val="decimal"/>
      <w:pStyle w:val="31"/>
      <w:lvlText w:val="表1-%1."/>
      <w:lvlJc w:val="left"/>
      <w:pPr>
        <w:tabs>
          <w:tab w:val="left" w:pos="420"/>
        </w:tabs>
        <w:ind w:left="0" w:firstLine="0"/>
      </w:pPr>
      <w:rPr>
        <w:rFonts w:hint="default"/>
      </w:rPr>
    </w:lvl>
  </w:abstractNum>
  <w:abstractNum w:abstractNumId="8">
    <w:nsid w:val="49D338F3"/>
    <w:multiLevelType w:val="multilevel"/>
    <w:tmpl w:val="49D338F3"/>
    <w:lvl w:ilvl="0" w:tentative="0">
      <w:start w:val="1"/>
      <w:numFmt w:val="chineseCounting"/>
      <w:pStyle w:val="3"/>
      <w:suff w:val="nothing"/>
      <w:lvlText w:val="（%1）、"/>
      <w:lvlJc w:val="left"/>
      <w:pPr>
        <w:tabs>
          <w:tab w:val="left" w:pos="0"/>
        </w:tabs>
        <w:ind w:left="0" w:firstLine="0"/>
      </w:pPr>
      <w:rPr>
        <w:rFonts w:hint="eastAsia" w:ascii="宋体" w:hAnsi="宋体" w:eastAsia="黑体" w:cs="宋体"/>
      </w:rPr>
    </w:lvl>
    <w:lvl w:ilvl="1" w:tentative="0">
      <w:start w:val="1"/>
      <w:numFmt w:val="decimal"/>
      <w:pStyle w:val="4"/>
      <w:suff w:val="nothing"/>
      <w:lvlText w:val="%2."/>
      <w:lvlJc w:val="left"/>
      <w:pPr>
        <w:tabs>
          <w:tab w:val="left" w:pos="0"/>
        </w:tabs>
        <w:ind w:left="0" w:firstLine="0"/>
      </w:pPr>
      <w:rPr>
        <w:rFonts w:hint="eastAsia" w:ascii="Times New Roman" w:hAnsi="Times New Roman" w:eastAsia="宋体" w:cs="宋体"/>
      </w:rPr>
    </w:lvl>
    <w:lvl w:ilvl="2" w:tentative="0">
      <w:start w:val="1"/>
      <w:numFmt w:val="decimal"/>
      <w:pStyle w:val="5"/>
      <w:suff w:val="nothing"/>
      <w:lvlText w:val="(%3)"/>
      <w:lvlJc w:val="left"/>
      <w:pPr>
        <w:tabs>
          <w:tab w:val="left" w:pos="0"/>
        </w:tabs>
        <w:ind w:left="0" w:firstLine="0"/>
      </w:pPr>
      <w:rPr>
        <w:rFonts w:hint="eastAsia" w:ascii="宋体" w:hAnsi="宋体" w:eastAsia="宋体" w:cs="宋体"/>
      </w:rPr>
    </w:lvl>
    <w:lvl w:ilvl="3" w:tentative="0">
      <w:start w:val="1"/>
      <w:numFmt w:val="decimalEnclosedCircleChinese"/>
      <w:pStyle w:val="6"/>
      <w:suff w:val="nothing"/>
      <w:lvlText w:val="%4"/>
      <w:lvlJc w:val="left"/>
      <w:pPr>
        <w:tabs>
          <w:tab w:val="left" w:pos="0"/>
        </w:tabs>
        <w:ind w:left="0" w:firstLine="0"/>
      </w:pPr>
      <w:rPr>
        <w:rFonts w:hint="eastAsia" w:ascii="宋体" w:hAnsi="宋体" w:eastAsia="宋体" w:cs="宋体"/>
      </w:rPr>
    </w:lvl>
    <w:lvl w:ilvl="4" w:tentative="0">
      <w:start w:val="1"/>
      <w:numFmt w:val="decimalEnclosedCircleChinese"/>
      <w:pStyle w:val="7"/>
      <w:suff w:val="nothing"/>
      <w:lvlText w:val="%5"/>
      <w:lvlJc w:val="left"/>
      <w:pPr>
        <w:ind w:left="0" w:firstLine="402"/>
      </w:pPr>
      <w:rPr>
        <w:rFonts w:hint="eastAsia"/>
      </w:rPr>
    </w:lvl>
    <w:lvl w:ilvl="5" w:tentative="0">
      <w:start w:val="1"/>
      <w:numFmt w:val="decimal"/>
      <w:pStyle w:val="8"/>
      <w:suff w:val="nothing"/>
      <w:lvlText w:val="%6）"/>
      <w:lvlJc w:val="left"/>
      <w:pPr>
        <w:ind w:left="0" w:firstLine="402"/>
      </w:pPr>
      <w:rPr>
        <w:rFonts w:hint="eastAsia"/>
      </w:rPr>
    </w:lvl>
    <w:lvl w:ilvl="6" w:tentative="0">
      <w:start w:val="1"/>
      <w:numFmt w:val="lowerLetter"/>
      <w:pStyle w:val="9"/>
      <w:suff w:val="nothing"/>
      <w:lvlText w:val="%7．"/>
      <w:lvlJc w:val="left"/>
      <w:pPr>
        <w:ind w:left="0" w:firstLine="402"/>
      </w:pPr>
      <w:rPr>
        <w:rFonts w:hint="eastAsia"/>
      </w:rPr>
    </w:lvl>
    <w:lvl w:ilvl="7" w:tentative="0">
      <w:start w:val="1"/>
      <w:numFmt w:val="lowerLetter"/>
      <w:pStyle w:val="10"/>
      <w:suff w:val="nothing"/>
      <w:lvlText w:val="%8）"/>
      <w:lvlJc w:val="left"/>
      <w:pPr>
        <w:ind w:left="0" w:firstLine="402"/>
      </w:pPr>
      <w:rPr>
        <w:rFonts w:hint="eastAsia"/>
      </w:rPr>
    </w:lvl>
    <w:lvl w:ilvl="8" w:tentative="0">
      <w:start w:val="1"/>
      <w:numFmt w:val="lowerRoman"/>
      <w:pStyle w:val="11"/>
      <w:suff w:val="nothing"/>
      <w:lvlText w:val="%9 "/>
      <w:lvlJc w:val="left"/>
      <w:pPr>
        <w:ind w:left="0" w:firstLine="402"/>
      </w:pPr>
      <w:rPr>
        <w:rFonts w:hint="eastAsia"/>
      </w:rPr>
    </w:lvl>
  </w:abstractNum>
  <w:abstractNum w:abstractNumId="9">
    <w:nsid w:val="587EA438"/>
    <w:multiLevelType w:val="singleLevel"/>
    <w:tmpl w:val="587EA438"/>
    <w:lvl w:ilvl="0" w:tentative="0">
      <w:start w:val="1"/>
      <w:numFmt w:val="decimal"/>
      <w:pStyle w:val="32"/>
      <w:lvlText w:val="图1-%1."/>
      <w:lvlJc w:val="left"/>
      <w:pPr>
        <w:tabs>
          <w:tab w:val="left" w:pos="420"/>
        </w:tabs>
        <w:ind w:left="0" w:firstLine="0"/>
      </w:pPr>
      <w:rPr>
        <w:rFonts w:hint="default"/>
      </w:rPr>
    </w:lvl>
  </w:abstractNum>
  <w:abstractNum w:abstractNumId="10">
    <w:nsid w:val="6A654968"/>
    <w:multiLevelType w:val="singleLevel"/>
    <w:tmpl w:val="6A654968"/>
    <w:lvl w:ilvl="0" w:tentative="0">
      <w:start w:val="1"/>
      <w:numFmt w:val="decimal"/>
      <w:pStyle w:val="35"/>
      <w:lvlText w:val="表3-%1."/>
      <w:lvlJc w:val="left"/>
      <w:pPr>
        <w:tabs>
          <w:tab w:val="left" w:pos="420"/>
        </w:tabs>
        <w:ind w:left="0" w:firstLine="0"/>
      </w:pPr>
      <w:rPr>
        <w:rFonts w:hint="default"/>
        <w:sz w:val="21"/>
      </w:rPr>
    </w:lvl>
  </w:abstractNum>
  <w:abstractNum w:abstractNumId="11">
    <w:nsid w:val="719BD1AF"/>
    <w:multiLevelType w:val="singleLevel"/>
    <w:tmpl w:val="719BD1AF"/>
    <w:lvl w:ilvl="0" w:tentative="0">
      <w:start w:val="1"/>
      <w:numFmt w:val="decimal"/>
      <w:pStyle w:val="34"/>
      <w:lvlText w:val="图2-%1."/>
      <w:lvlJc w:val="left"/>
      <w:pPr>
        <w:tabs>
          <w:tab w:val="left" w:pos="420"/>
        </w:tabs>
        <w:ind w:left="0" w:firstLine="0"/>
      </w:pPr>
      <w:rPr>
        <w:rFonts w:hint="default"/>
        <w:sz w:val="21"/>
      </w:rPr>
    </w:lvl>
  </w:abstractNum>
  <w:num w:numId="1">
    <w:abstractNumId w:val="8"/>
  </w:num>
  <w:num w:numId="2">
    <w:abstractNumId w:val="7"/>
  </w:num>
  <w:num w:numId="3">
    <w:abstractNumId w:val="9"/>
  </w:num>
  <w:num w:numId="4">
    <w:abstractNumId w:val="1"/>
  </w:num>
  <w:num w:numId="5">
    <w:abstractNumId w:val="11"/>
  </w:num>
  <w:num w:numId="6">
    <w:abstractNumId w:val="10"/>
  </w:num>
  <w:num w:numId="7">
    <w:abstractNumId w:val="3"/>
  </w:num>
  <w:num w:numId="8">
    <w:abstractNumId w:val="6"/>
  </w:num>
  <w:num w:numId="9">
    <w:abstractNumId w:val="5"/>
  </w:num>
  <w:num w:numId="10">
    <w:abstractNumId w:val="2"/>
  </w:num>
  <w:num w:numId="11">
    <w:abstractNumId w:val="4"/>
  </w:num>
  <w:num w:numId="1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0"/>
  </w:num>
  <w:num w:numId="2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hyphenationZone w:val="360"/>
  <w:doNotHyphenateCaps/>
  <w:drawingGridHorizontalSpacing w:val="105"/>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hdrShapeDefaults>
    <o:shapelayout v:ext="edit">
      <o:idmap v:ext="edit" data="1"/>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WU3OTQ2MDIyMDEwMzQ4YTZmZGIzZGMzNzEyMGU5NzEifQ=="/>
  </w:docVars>
  <w:rsids>
    <w:rsidRoot w:val="00A14947"/>
    <w:rsid w:val="000007F3"/>
    <w:rsid w:val="00001CED"/>
    <w:rsid w:val="00001E67"/>
    <w:rsid w:val="00003CD8"/>
    <w:rsid w:val="00014965"/>
    <w:rsid w:val="0001523A"/>
    <w:rsid w:val="00016ECB"/>
    <w:rsid w:val="000269F6"/>
    <w:rsid w:val="000303C2"/>
    <w:rsid w:val="00031939"/>
    <w:rsid w:val="00032D25"/>
    <w:rsid w:val="0005219D"/>
    <w:rsid w:val="00053899"/>
    <w:rsid w:val="0005568F"/>
    <w:rsid w:val="0006153D"/>
    <w:rsid w:val="00061B1F"/>
    <w:rsid w:val="000664DB"/>
    <w:rsid w:val="0007127D"/>
    <w:rsid w:val="00071AE5"/>
    <w:rsid w:val="00073C8C"/>
    <w:rsid w:val="00074783"/>
    <w:rsid w:val="000801E0"/>
    <w:rsid w:val="00082A29"/>
    <w:rsid w:val="0008331D"/>
    <w:rsid w:val="00083C18"/>
    <w:rsid w:val="00092899"/>
    <w:rsid w:val="00093484"/>
    <w:rsid w:val="000A178E"/>
    <w:rsid w:val="000A557E"/>
    <w:rsid w:val="000B058F"/>
    <w:rsid w:val="000B693F"/>
    <w:rsid w:val="000C09AC"/>
    <w:rsid w:val="000C0A63"/>
    <w:rsid w:val="000C437E"/>
    <w:rsid w:val="000E5F16"/>
    <w:rsid w:val="000F2086"/>
    <w:rsid w:val="000F4452"/>
    <w:rsid w:val="000F6DA1"/>
    <w:rsid w:val="000F701B"/>
    <w:rsid w:val="001056A0"/>
    <w:rsid w:val="00115279"/>
    <w:rsid w:val="00117459"/>
    <w:rsid w:val="0011749A"/>
    <w:rsid w:val="00127A68"/>
    <w:rsid w:val="00132166"/>
    <w:rsid w:val="00140B13"/>
    <w:rsid w:val="00141B68"/>
    <w:rsid w:val="001466DA"/>
    <w:rsid w:val="00154DE1"/>
    <w:rsid w:val="00155239"/>
    <w:rsid w:val="00155B40"/>
    <w:rsid w:val="00157435"/>
    <w:rsid w:val="00163EEA"/>
    <w:rsid w:val="00167A07"/>
    <w:rsid w:val="0017046A"/>
    <w:rsid w:val="001704A3"/>
    <w:rsid w:val="0017504D"/>
    <w:rsid w:val="00177422"/>
    <w:rsid w:val="00184F10"/>
    <w:rsid w:val="00185546"/>
    <w:rsid w:val="001874A2"/>
    <w:rsid w:val="0019146B"/>
    <w:rsid w:val="00194398"/>
    <w:rsid w:val="00195644"/>
    <w:rsid w:val="001A7D2A"/>
    <w:rsid w:val="001B574C"/>
    <w:rsid w:val="001C0AF9"/>
    <w:rsid w:val="001C155A"/>
    <w:rsid w:val="001C48C0"/>
    <w:rsid w:val="001D6726"/>
    <w:rsid w:val="001F0332"/>
    <w:rsid w:val="001F3347"/>
    <w:rsid w:val="001F4440"/>
    <w:rsid w:val="001F69E4"/>
    <w:rsid w:val="00206A65"/>
    <w:rsid w:val="00212D31"/>
    <w:rsid w:val="002130C7"/>
    <w:rsid w:val="002133B4"/>
    <w:rsid w:val="002218A8"/>
    <w:rsid w:val="0022306D"/>
    <w:rsid w:val="00226574"/>
    <w:rsid w:val="002278EC"/>
    <w:rsid w:val="002357C7"/>
    <w:rsid w:val="002367C4"/>
    <w:rsid w:val="0025679E"/>
    <w:rsid w:val="00260C68"/>
    <w:rsid w:val="002648B0"/>
    <w:rsid w:val="00271A32"/>
    <w:rsid w:val="00275271"/>
    <w:rsid w:val="0027535E"/>
    <w:rsid w:val="00275AA6"/>
    <w:rsid w:val="002807D5"/>
    <w:rsid w:val="00282CCD"/>
    <w:rsid w:val="002A168C"/>
    <w:rsid w:val="002A2C48"/>
    <w:rsid w:val="002A3EED"/>
    <w:rsid w:val="002A4A39"/>
    <w:rsid w:val="002A5A17"/>
    <w:rsid w:val="002A6425"/>
    <w:rsid w:val="002B29BA"/>
    <w:rsid w:val="002B49E2"/>
    <w:rsid w:val="002B7B00"/>
    <w:rsid w:val="002B7C44"/>
    <w:rsid w:val="002C1388"/>
    <w:rsid w:val="002C3C6A"/>
    <w:rsid w:val="002D0883"/>
    <w:rsid w:val="002D0D0E"/>
    <w:rsid w:val="002D42DB"/>
    <w:rsid w:val="002E1F3A"/>
    <w:rsid w:val="002E298A"/>
    <w:rsid w:val="002F02A4"/>
    <w:rsid w:val="002F272B"/>
    <w:rsid w:val="002F7C6D"/>
    <w:rsid w:val="003027E4"/>
    <w:rsid w:val="0030332C"/>
    <w:rsid w:val="003109C4"/>
    <w:rsid w:val="00312296"/>
    <w:rsid w:val="0031340E"/>
    <w:rsid w:val="00313C30"/>
    <w:rsid w:val="00316464"/>
    <w:rsid w:val="0032073A"/>
    <w:rsid w:val="00321D8E"/>
    <w:rsid w:val="00334996"/>
    <w:rsid w:val="00336969"/>
    <w:rsid w:val="00336C52"/>
    <w:rsid w:val="00341B3E"/>
    <w:rsid w:val="00341B42"/>
    <w:rsid w:val="00344A6B"/>
    <w:rsid w:val="00345154"/>
    <w:rsid w:val="0034560E"/>
    <w:rsid w:val="00350523"/>
    <w:rsid w:val="00352975"/>
    <w:rsid w:val="00356868"/>
    <w:rsid w:val="0036485B"/>
    <w:rsid w:val="00373B0D"/>
    <w:rsid w:val="00376988"/>
    <w:rsid w:val="00381A72"/>
    <w:rsid w:val="003A1948"/>
    <w:rsid w:val="003B152A"/>
    <w:rsid w:val="003B545B"/>
    <w:rsid w:val="003D3EE9"/>
    <w:rsid w:val="003D44F3"/>
    <w:rsid w:val="003E7681"/>
    <w:rsid w:val="003E7E04"/>
    <w:rsid w:val="003F0809"/>
    <w:rsid w:val="003F611C"/>
    <w:rsid w:val="003F755C"/>
    <w:rsid w:val="00406F01"/>
    <w:rsid w:val="00411B36"/>
    <w:rsid w:val="004121D7"/>
    <w:rsid w:val="00412A88"/>
    <w:rsid w:val="00416D50"/>
    <w:rsid w:val="00417772"/>
    <w:rsid w:val="00420E6A"/>
    <w:rsid w:val="00433CA9"/>
    <w:rsid w:val="0043521D"/>
    <w:rsid w:val="00442024"/>
    <w:rsid w:val="0044254C"/>
    <w:rsid w:val="00443F6A"/>
    <w:rsid w:val="004502B3"/>
    <w:rsid w:val="00450A17"/>
    <w:rsid w:val="004551A5"/>
    <w:rsid w:val="00466321"/>
    <w:rsid w:val="004672AF"/>
    <w:rsid w:val="004727B0"/>
    <w:rsid w:val="00475887"/>
    <w:rsid w:val="00480247"/>
    <w:rsid w:val="0048081D"/>
    <w:rsid w:val="0048117E"/>
    <w:rsid w:val="00483574"/>
    <w:rsid w:val="004855F6"/>
    <w:rsid w:val="00486F0C"/>
    <w:rsid w:val="00494670"/>
    <w:rsid w:val="004A0EB4"/>
    <w:rsid w:val="004A3823"/>
    <w:rsid w:val="004A59BB"/>
    <w:rsid w:val="004A6C92"/>
    <w:rsid w:val="004A79A5"/>
    <w:rsid w:val="004B43A3"/>
    <w:rsid w:val="004B4C49"/>
    <w:rsid w:val="004B58A5"/>
    <w:rsid w:val="004B63D9"/>
    <w:rsid w:val="004C0882"/>
    <w:rsid w:val="004C55BE"/>
    <w:rsid w:val="004E5B30"/>
    <w:rsid w:val="004F0779"/>
    <w:rsid w:val="004F0D34"/>
    <w:rsid w:val="004F1230"/>
    <w:rsid w:val="004F173F"/>
    <w:rsid w:val="004F177C"/>
    <w:rsid w:val="004F2DCE"/>
    <w:rsid w:val="00501766"/>
    <w:rsid w:val="005039CB"/>
    <w:rsid w:val="0050558F"/>
    <w:rsid w:val="005057E0"/>
    <w:rsid w:val="00506286"/>
    <w:rsid w:val="00510813"/>
    <w:rsid w:val="00511DE0"/>
    <w:rsid w:val="00517F02"/>
    <w:rsid w:val="00520C67"/>
    <w:rsid w:val="005229E8"/>
    <w:rsid w:val="00524547"/>
    <w:rsid w:val="005258A2"/>
    <w:rsid w:val="00530F7C"/>
    <w:rsid w:val="0053421F"/>
    <w:rsid w:val="00534567"/>
    <w:rsid w:val="00534F43"/>
    <w:rsid w:val="00535A84"/>
    <w:rsid w:val="00536889"/>
    <w:rsid w:val="00537495"/>
    <w:rsid w:val="00542759"/>
    <w:rsid w:val="00542E07"/>
    <w:rsid w:val="00545ED2"/>
    <w:rsid w:val="00554A7B"/>
    <w:rsid w:val="0055572C"/>
    <w:rsid w:val="0056064F"/>
    <w:rsid w:val="00561B84"/>
    <w:rsid w:val="00571D98"/>
    <w:rsid w:val="005720AE"/>
    <w:rsid w:val="0058030D"/>
    <w:rsid w:val="005813F0"/>
    <w:rsid w:val="00582045"/>
    <w:rsid w:val="00590AE3"/>
    <w:rsid w:val="005918F1"/>
    <w:rsid w:val="00597588"/>
    <w:rsid w:val="005A06B7"/>
    <w:rsid w:val="005A1759"/>
    <w:rsid w:val="005B6EEC"/>
    <w:rsid w:val="005D0369"/>
    <w:rsid w:val="005D0501"/>
    <w:rsid w:val="005D53FE"/>
    <w:rsid w:val="005D7A0F"/>
    <w:rsid w:val="005E0438"/>
    <w:rsid w:val="005E1791"/>
    <w:rsid w:val="005E2CE6"/>
    <w:rsid w:val="005E3154"/>
    <w:rsid w:val="005E6324"/>
    <w:rsid w:val="005F228B"/>
    <w:rsid w:val="005F29CD"/>
    <w:rsid w:val="005F3CD5"/>
    <w:rsid w:val="005F4DFB"/>
    <w:rsid w:val="005F6CC0"/>
    <w:rsid w:val="00603E5B"/>
    <w:rsid w:val="00604BC8"/>
    <w:rsid w:val="00615B4C"/>
    <w:rsid w:val="00615B5D"/>
    <w:rsid w:val="00621278"/>
    <w:rsid w:val="0062146F"/>
    <w:rsid w:val="006254F2"/>
    <w:rsid w:val="006343AF"/>
    <w:rsid w:val="0063634A"/>
    <w:rsid w:val="0064250D"/>
    <w:rsid w:val="006535EB"/>
    <w:rsid w:val="0066058B"/>
    <w:rsid w:val="00663016"/>
    <w:rsid w:val="00674605"/>
    <w:rsid w:val="006748B8"/>
    <w:rsid w:val="0068535B"/>
    <w:rsid w:val="0068736E"/>
    <w:rsid w:val="0069290A"/>
    <w:rsid w:val="00697032"/>
    <w:rsid w:val="006975AC"/>
    <w:rsid w:val="006A15FB"/>
    <w:rsid w:val="006A72BF"/>
    <w:rsid w:val="006B332A"/>
    <w:rsid w:val="006B33BD"/>
    <w:rsid w:val="006C3F75"/>
    <w:rsid w:val="006D170E"/>
    <w:rsid w:val="006E06AF"/>
    <w:rsid w:val="006E431F"/>
    <w:rsid w:val="006F1789"/>
    <w:rsid w:val="00706C5D"/>
    <w:rsid w:val="007118E6"/>
    <w:rsid w:val="0071736F"/>
    <w:rsid w:val="007225C9"/>
    <w:rsid w:val="00732E16"/>
    <w:rsid w:val="00735CD7"/>
    <w:rsid w:val="00753E79"/>
    <w:rsid w:val="00754034"/>
    <w:rsid w:val="00754BF1"/>
    <w:rsid w:val="00755A30"/>
    <w:rsid w:val="00755E1C"/>
    <w:rsid w:val="00756556"/>
    <w:rsid w:val="0076132B"/>
    <w:rsid w:val="007623AE"/>
    <w:rsid w:val="00770B19"/>
    <w:rsid w:val="00774FA0"/>
    <w:rsid w:val="00776620"/>
    <w:rsid w:val="00777B6D"/>
    <w:rsid w:val="00784855"/>
    <w:rsid w:val="00784F39"/>
    <w:rsid w:val="0078545C"/>
    <w:rsid w:val="007906C4"/>
    <w:rsid w:val="007925AA"/>
    <w:rsid w:val="007940EA"/>
    <w:rsid w:val="007967E8"/>
    <w:rsid w:val="007A63F2"/>
    <w:rsid w:val="007B68DE"/>
    <w:rsid w:val="007C1857"/>
    <w:rsid w:val="007C514F"/>
    <w:rsid w:val="007D0F95"/>
    <w:rsid w:val="007D7ECB"/>
    <w:rsid w:val="007E25A1"/>
    <w:rsid w:val="007E4BD2"/>
    <w:rsid w:val="007E7145"/>
    <w:rsid w:val="007F3916"/>
    <w:rsid w:val="00801179"/>
    <w:rsid w:val="00802479"/>
    <w:rsid w:val="00805372"/>
    <w:rsid w:val="00805B7B"/>
    <w:rsid w:val="0081293E"/>
    <w:rsid w:val="00814FFB"/>
    <w:rsid w:val="00820568"/>
    <w:rsid w:val="00831A80"/>
    <w:rsid w:val="008332C8"/>
    <w:rsid w:val="00833743"/>
    <w:rsid w:val="008340A4"/>
    <w:rsid w:val="00836799"/>
    <w:rsid w:val="00837028"/>
    <w:rsid w:val="00837131"/>
    <w:rsid w:val="00845F57"/>
    <w:rsid w:val="008521E0"/>
    <w:rsid w:val="008525B0"/>
    <w:rsid w:val="00867CBC"/>
    <w:rsid w:val="00876C30"/>
    <w:rsid w:val="00877017"/>
    <w:rsid w:val="008773C0"/>
    <w:rsid w:val="00880364"/>
    <w:rsid w:val="00882592"/>
    <w:rsid w:val="00886C4C"/>
    <w:rsid w:val="0088711C"/>
    <w:rsid w:val="00892ECF"/>
    <w:rsid w:val="00892F06"/>
    <w:rsid w:val="00894285"/>
    <w:rsid w:val="00895058"/>
    <w:rsid w:val="008A31B7"/>
    <w:rsid w:val="008A40AE"/>
    <w:rsid w:val="008A4E19"/>
    <w:rsid w:val="008A67C5"/>
    <w:rsid w:val="008A77F8"/>
    <w:rsid w:val="008B22E1"/>
    <w:rsid w:val="008B3C78"/>
    <w:rsid w:val="008B4AE9"/>
    <w:rsid w:val="008C30AD"/>
    <w:rsid w:val="008D068E"/>
    <w:rsid w:val="008D0F7A"/>
    <w:rsid w:val="008D63BE"/>
    <w:rsid w:val="008E0CFF"/>
    <w:rsid w:val="008E5D6B"/>
    <w:rsid w:val="008E689B"/>
    <w:rsid w:val="008E76F0"/>
    <w:rsid w:val="008F15FE"/>
    <w:rsid w:val="008F2A94"/>
    <w:rsid w:val="008F5187"/>
    <w:rsid w:val="008F709C"/>
    <w:rsid w:val="0090312B"/>
    <w:rsid w:val="00904961"/>
    <w:rsid w:val="0091736D"/>
    <w:rsid w:val="00931001"/>
    <w:rsid w:val="00931863"/>
    <w:rsid w:val="00933524"/>
    <w:rsid w:val="0094278D"/>
    <w:rsid w:val="0095308A"/>
    <w:rsid w:val="00955AEE"/>
    <w:rsid w:val="00956F14"/>
    <w:rsid w:val="009620FD"/>
    <w:rsid w:val="0096247A"/>
    <w:rsid w:val="00965F4B"/>
    <w:rsid w:val="00970F8A"/>
    <w:rsid w:val="00971FB5"/>
    <w:rsid w:val="00972D2A"/>
    <w:rsid w:val="00975CC5"/>
    <w:rsid w:val="00976328"/>
    <w:rsid w:val="00976B4E"/>
    <w:rsid w:val="00984458"/>
    <w:rsid w:val="00985283"/>
    <w:rsid w:val="00987322"/>
    <w:rsid w:val="009A0F3B"/>
    <w:rsid w:val="009A72C7"/>
    <w:rsid w:val="009B0897"/>
    <w:rsid w:val="009C5287"/>
    <w:rsid w:val="009D0852"/>
    <w:rsid w:val="009D1FBF"/>
    <w:rsid w:val="009E399C"/>
    <w:rsid w:val="009E43C1"/>
    <w:rsid w:val="009E7E95"/>
    <w:rsid w:val="009F116F"/>
    <w:rsid w:val="009F329E"/>
    <w:rsid w:val="009F7ED3"/>
    <w:rsid w:val="00A03607"/>
    <w:rsid w:val="00A047FF"/>
    <w:rsid w:val="00A04FEF"/>
    <w:rsid w:val="00A122CD"/>
    <w:rsid w:val="00A12A32"/>
    <w:rsid w:val="00A14248"/>
    <w:rsid w:val="00A14947"/>
    <w:rsid w:val="00A23DC5"/>
    <w:rsid w:val="00A34028"/>
    <w:rsid w:val="00A35568"/>
    <w:rsid w:val="00A36C10"/>
    <w:rsid w:val="00A37056"/>
    <w:rsid w:val="00A4358F"/>
    <w:rsid w:val="00A44320"/>
    <w:rsid w:val="00A46F67"/>
    <w:rsid w:val="00A54AA1"/>
    <w:rsid w:val="00A568FF"/>
    <w:rsid w:val="00A61496"/>
    <w:rsid w:val="00A61833"/>
    <w:rsid w:val="00A624C6"/>
    <w:rsid w:val="00A63CEC"/>
    <w:rsid w:val="00A7031E"/>
    <w:rsid w:val="00A728B1"/>
    <w:rsid w:val="00A763DE"/>
    <w:rsid w:val="00A803D6"/>
    <w:rsid w:val="00A81282"/>
    <w:rsid w:val="00A8713F"/>
    <w:rsid w:val="00A91167"/>
    <w:rsid w:val="00A9171C"/>
    <w:rsid w:val="00A92FFD"/>
    <w:rsid w:val="00A95975"/>
    <w:rsid w:val="00A9708D"/>
    <w:rsid w:val="00AA2C17"/>
    <w:rsid w:val="00AA4172"/>
    <w:rsid w:val="00AB1914"/>
    <w:rsid w:val="00AB5330"/>
    <w:rsid w:val="00AB7747"/>
    <w:rsid w:val="00AC2532"/>
    <w:rsid w:val="00AD1507"/>
    <w:rsid w:val="00AD5A70"/>
    <w:rsid w:val="00AD738B"/>
    <w:rsid w:val="00AE1BF4"/>
    <w:rsid w:val="00AE5D97"/>
    <w:rsid w:val="00AE6794"/>
    <w:rsid w:val="00B005A7"/>
    <w:rsid w:val="00B01110"/>
    <w:rsid w:val="00B02262"/>
    <w:rsid w:val="00B03CEC"/>
    <w:rsid w:val="00B1209F"/>
    <w:rsid w:val="00B12AD0"/>
    <w:rsid w:val="00B24F30"/>
    <w:rsid w:val="00B31ABF"/>
    <w:rsid w:val="00B335AE"/>
    <w:rsid w:val="00B37CE1"/>
    <w:rsid w:val="00B403A8"/>
    <w:rsid w:val="00B40737"/>
    <w:rsid w:val="00B40ACF"/>
    <w:rsid w:val="00B46BAA"/>
    <w:rsid w:val="00B50B5F"/>
    <w:rsid w:val="00B54128"/>
    <w:rsid w:val="00B55826"/>
    <w:rsid w:val="00B60426"/>
    <w:rsid w:val="00B622DD"/>
    <w:rsid w:val="00B63522"/>
    <w:rsid w:val="00B76F1D"/>
    <w:rsid w:val="00B84AD7"/>
    <w:rsid w:val="00B92A19"/>
    <w:rsid w:val="00B9544C"/>
    <w:rsid w:val="00BA29E9"/>
    <w:rsid w:val="00BB3618"/>
    <w:rsid w:val="00BC0C9E"/>
    <w:rsid w:val="00BC32DC"/>
    <w:rsid w:val="00BD1B51"/>
    <w:rsid w:val="00BD35F7"/>
    <w:rsid w:val="00BD47F6"/>
    <w:rsid w:val="00BE032C"/>
    <w:rsid w:val="00BE312D"/>
    <w:rsid w:val="00BE3FCA"/>
    <w:rsid w:val="00C05719"/>
    <w:rsid w:val="00C10578"/>
    <w:rsid w:val="00C17D62"/>
    <w:rsid w:val="00C21FDC"/>
    <w:rsid w:val="00C24EE7"/>
    <w:rsid w:val="00C2596A"/>
    <w:rsid w:val="00C271BE"/>
    <w:rsid w:val="00C27425"/>
    <w:rsid w:val="00C328FE"/>
    <w:rsid w:val="00C33A05"/>
    <w:rsid w:val="00C42500"/>
    <w:rsid w:val="00C4409D"/>
    <w:rsid w:val="00C455BE"/>
    <w:rsid w:val="00C45F1D"/>
    <w:rsid w:val="00C51E5F"/>
    <w:rsid w:val="00C61E4B"/>
    <w:rsid w:val="00C62E3A"/>
    <w:rsid w:val="00C63442"/>
    <w:rsid w:val="00C64503"/>
    <w:rsid w:val="00C64A1F"/>
    <w:rsid w:val="00C64BFF"/>
    <w:rsid w:val="00C71296"/>
    <w:rsid w:val="00C76247"/>
    <w:rsid w:val="00C763C9"/>
    <w:rsid w:val="00C80057"/>
    <w:rsid w:val="00C82C79"/>
    <w:rsid w:val="00C84753"/>
    <w:rsid w:val="00C91611"/>
    <w:rsid w:val="00CA0852"/>
    <w:rsid w:val="00CA3585"/>
    <w:rsid w:val="00CA3D5A"/>
    <w:rsid w:val="00CA4C7C"/>
    <w:rsid w:val="00CB0183"/>
    <w:rsid w:val="00CB0DB7"/>
    <w:rsid w:val="00CB1EA3"/>
    <w:rsid w:val="00CB552C"/>
    <w:rsid w:val="00CB6A9E"/>
    <w:rsid w:val="00CC3B9A"/>
    <w:rsid w:val="00CC6181"/>
    <w:rsid w:val="00CC70BB"/>
    <w:rsid w:val="00CD2BCD"/>
    <w:rsid w:val="00CD3635"/>
    <w:rsid w:val="00CD36AA"/>
    <w:rsid w:val="00CD3791"/>
    <w:rsid w:val="00CD65B0"/>
    <w:rsid w:val="00CE02CD"/>
    <w:rsid w:val="00CE10E9"/>
    <w:rsid w:val="00D0072E"/>
    <w:rsid w:val="00D07E72"/>
    <w:rsid w:val="00D15727"/>
    <w:rsid w:val="00D15FDE"/>
    <w:rsid w:val="00D16332"/>
    <w:rsid w:val="00D24972"/>
    <w:rsid w:val="00D2515E"/>
    <w:rsid w:val="00D308ED"/>
    <w:rsid w:val="00D51E0C"/>
    <w:rsid w:val="00D56178"/>
    <w:rsid w:val="00D56CF0"/>
    <w:rsid w:val="00D56F5C"/>
    <w:rsid w:val="00D704B1"/>
    <w:rsid w:val="00D70B63"/>
    <w:rsid w:val="00D72B92"/>
    <w:rsid w:val="00D72ED4"/>
    <w:rsid w:val="00D73F61"/>
    <w:rsid w:val="00D74E18"/>
    <w:rsid w:val="00D754C0"/>
    <w:rsid w:val="00D776A2"/>
    <w:rsid w:val="00D801C4"/>
    <w:rsid w:val="00D90836"/>
    <w:rsid w:val="00D95896"/>
    <w:rsid w:val="00D95CC6"/>
    <w:rsid w:val="00DA2DA3"/>
    <w:rsid w:val="00DA6615"/>
    <w:rsid w:val="00DA76AE"/>
    <w:rsid w:val="00DB181E"/>
    <w:rsid w:val="00DB1C7A"/>
    <w:rsid w:val="00DB2983"/>
    <w:rsid w:val="00DB343D"/>
    <w:rsid w:val="00DB5579"/>
    <w:rsid w:val="00DB5CFE"/>
    <w:rsid w:val="00DC72A6"/>
    <w:rsid w:val="00DD2113"/>
    <w:rsid w:val="00DD265E"/>
    <w:rsid w:val="00DE17A4"/>
    <w:rsid w:val="00DE486C"/>
    <w:rsid w:val="00DF1930"/>
    <w:rsid w:val="00DF514A"/>
    <w:rsid w:val="00E0358D"/>
    <w:rsid w:val="00E06327"/>
    <w:rsid w:val="00E2064B"/>
    <w:rsid w:val="00E25239"/>
    <w:rsid w:val="00E265B1"/>
    <w:rsid w:val="00E275B0"/>
    <w:rsid w:val="00E356EE"/>
    <w:rsid w:val="00E412D0"/>
    <w:rsid w:val="00E47CDB"/>
    <w:rsid w:val="00E566BC"/>
    <w:rsid w:val="00E60982"/>
    <w:rsid w:val="00E60C8D"/>
    <w:rsid w:val="00E6162F"/>
    <w:rsid w:val="00E6311B"/>
    <w:rsid w:val="00E65D97"/>
    <w:rsid w:val="00E67EFD"/>
    <w:rsid w:val="00E702DC"/>
    <w:rsid w:val="00E71FFB"/>
    <w:rsid w:val="00E76D1D"/>
    <w:rsid w:val="00E806F8"/>
    <w:rsid w:val="00E87752"/>
    <w:rsid w:val="00E8793B"/>
    <w:rsid w:val="00E90F81"/>
    <w:rsid w:val="00E91A6D"/>
    <w:rsid w:val="00E9242D"/>
    <w:rsid w:val="00EB041C"/>
    <w:rsid w:val="00EC5874"/>
    <w:rsid w:val="00ED192D"/>
    <w:rsid w:val="00ED21AD"/>
    <w:rsid w:val="00ED30B4"/>
    <w:rsid w:val="00ED31F5"/>
    <w:rsid w:val="00EF2759"/>
    <w:rsid w:val="00EF45EB"/>
    <w:rsid w:val="00EF5099"/>
    <w:rsid w:val="00EF5E33"/>
    <w:rsid w:val="00F00075"/>
    <w:rsid w:val="00F07822"/>
    <w:rsid w:val="00F1189C"/>
    <w:rsid w:val="00F15C95"/>
    <w:rsid w:val="00F22985"/>
    <w:rsid w:val="00F241AB"/>
    <w:rsid w:val="00F3054C"/>
    <w:rsid w:val="00F31382"/>
    <w:rsid w:val="00F35829"/>
    <w:rsid w:val="00F35A1E"/>
    <w:rsid w:val="00F42868"/>
    <w:rsid w:val="00F465A7"/>
    <w:rsid w:val="00F50B7C"/>
    <w:rsid w:val="00F5202D"/>
    <w:rsid w:val="00F52CF6"/>
    <w:rsid w:val="00F54496"/>
    <w:rsid w:val="00F5514E"/>
    <w:rsid w:val="00F61097"/>
    <w:rsid w:val="00F74345"/>
    <w:rsid w:val="00F74441"/>
    <w:rsid w:val="00F77F30"/>
    <w:rsid w:val="00F82589"/>
    <w:rsid w:val="00F82B19"/>
    <w:rsid w:val="00F90AA7"/>
    <w:rsid w:val="00F9212D"/>
    <w:rsid w:val="00FA301A"/>
    <w:rsid w:val="00FA406A"/>
    <w:rsid w:val="00FA5CB6"/>
    <w:rsid w:val="00FA770F"/>
    <w:rsid w:val="00FC66AC"/>
    <w:rsid w:val="00FD18F4"/>
    <w:rsid w:val="00FD74B4"/>
    <w:rsid w:val="00FF4050"/>
    <w:rsid w:val="00FF6FCE"/>
    <w:rsid w:val="00FF7518"/>
    <w:rsid w:val="00FF7A41"/>
    <w:rsid w:val="00FF7FD8"/>
    <w:rsid w:val="01DB7ED5"/>
    <w:rsid w:val="023B0686"/>
    <w:rsid w:val="028A1765"/>
    <w:rsid w:val="032B09E8"/>
    <w:rsid w:val="034C0FC0"/>
    <w:rsid w:val="034D36A2"/>
    <w:rsid w:val="043C471D"/>
    <w:rsid w:val="04AC0867"/>
    <w:rsid w:val="05742AC8"/>
    <w:rsid w:val="05E5389B"/>
    <w:rsid w:val="06154E95"/>
    <w:rsid w:val="06352F05"/>
    <w:rsid w:val="063E7D85"/>
    <w:rsid w:val="0696086E"/>
    <w:rsid w:val="070875E0"/>
    <w:rsid w:val="071E5DD5"/>
    <w:rsid w:val="07293586"/>
    <w:rsid w:val="07295285"/>
    <w:rsid w:val="07770C56"/>
    <w:rsid w:val="07901A00"/>
    <w:rsid w:val="087B29AA"/>
    <w:rsid w:val="08950021"/>
    <w:rsid w:val="08B80F70"/>
    <w:rsid w:val="092217DD"/>
    <w:rsid w:val="092263E9"/>
    <w:rsid w:val="093A7294"/>
    <w:rsid w:val="09BC0579"/>
    <w:rsid w:val="0A54652A"/>
    <w:rsid w:val="0A911A78"/>
    <w:rsid w:val="0AEA5DB4"/>
    <w:rsid w:val="0B057D70"/>
    <w:rsid w:val="0B1D2B78"/>
    <w:rsid w:val="0B6D4979"/>
    <w:rsid w:val="0BD27BF6"/>
    <w:rsid w:val="0C3B522B"/>
    <w:rsid w:val="0C59490A"/>
    <w:rsid w:val="0CF4371C"/>
    <w:rsid w:val="0DCE6B40"/>
    <w:rsid w:val="0E110D06"/>
    <w:rsid w:val="0E785533"/>
    <w:rsid w:val="0EAC6E81"/>
    <w:rsid w:val="0EE63C63"/>
    <w:rsid w:val="0F01750C"/>
    <w:rsid w:val="0F13775A"/>
    <w:rsid w:val="0F566DED"/>
    <w:rsid w:val="0F9A112B"/>
    <w:rsid w:val="0FF24D67"/>
    <w:rsid w:val="105A2079"/>
    <w:rsid w:val="106D2F64"/>
    <w:rsid w:val="10B63710"/>
    <w:rsid w:val="10CF134A"/>
    <w:rsid w:val="10E83E4E"/>
    <w:rsid w:val="111C2F7A"/>
    <w:rsid w:val="113013DE"/>
    <w:rsid w:val="114678B8"/>
    <w:rsid w:val="12072620"/>
    <w:rsid w:val="122610AE"/>
    <w:rsid w:val="122B06C2"/>
    <w:rsid w:val="126F4854"/>
    <w:rsid w:val="13862C61"/>
    <w:rsid w:val="13951726"/>
    <w:rsid w:val="14396509"/>
    <w:rsid w:val="1447165C"/>
    <w:rsid w:val="155B6F0B"/>
    <w:rsid w:val="1653052A"/>
    <w:rsid w:val="16726C02"/>
    <w:rsid w:val="167A1613"/>
    <w:rsid w:val="167C538B"/>
    <w:rsid w:val="16A65171"/>
    <w:rsid w:val="16E178E4"/>
    <w:rsid w:val="16F711F8"/>
    <w:rsid w:val="17571954"/>
    <w:rsid w:val="17591B70"/>
    <w:rsid w:val="17735226"/>
    <w:rsid w:val="17784B61"/>
    <w:rsid w:val="17D353A9"/>
    <w:rsid w:val="1806612F"/>
    <w:rsid w:val="183103F7"/>
    <w:rsid w:val="18EF5A71"/>
    <w:rsid w:val="1A0A53A3"/>
    <w:rsid w:val="1A1C66C0"/>
    <w:rsid w:val="1A42393B"/>
    <w:rsid w:val="1A9E23CC"/>
    <w:rsid w:val="1AFC6A9A"/>
    <w:rsid w:val="1B046F80"/>
    <w:rsid w:val="1B3267B5"/>
    <w:rsid w:val="1BC25DC8"/>
    <w:rsid w:val="1BF12377"/>
    <w:rsid w:val="1C5E7925"/>
    <w:rsid w:val="1C7A65EA"/>
    <w:rsid w:val="1C887FC8"/>
    <w:rsid w:val="1C8948DF"/>
    <w:rsid w:val="1CF10155"/>
    <w:rsid w:val="1D41732E"/>
    <w:rsid w:val="1D5E1C8E"/>
    <w:rsid w:val="1D5F6196"/>
    <w:rsid w:val="1D6132A5"/>
    <w:rsid w:val="1D8E56D5"/>
    <w:rsid w:val="1E7A43DA"/>
    <w:rsid w:val="1E960FB4"/>
    <w:rsid w:val="1EA13D5D"/>
    <w:rsid w:val="1EB277FE"/>
    <w:rsid w:val="1F4153C3"/>
    <w:rsid w:val="1F5C044F"/>
    <w:rsid w:val="1F62533A"/>
    <w:rsid w:val="1FA76237"/>
    <w:rsid w:val="1FE7539E"/>
    <w:rsid w:val="203C5F6F"/>
    <w:rsid w:val="207B4905"/>
    <w:rsid w:val="20963CB8"/>
    <w:rsid w:val="20B07FB6"/>
    <w:rsid w:val="20E701EC"/>
    <w:rsid w:val="213B74B1"/>
    <w:rsid w:val="215A2310"/>
    <w:rsid w:val="21A2075F"/>
    <w:rsid w:val="21CB71C6"/>
    <w:rsid w:val="21DE318A"/>
    <w:rsid w:val="21EF5B80"/>
    <w:rsid w:val="22244B6A"/>
    <w:rsid w:val="22576990"/>
    <w:rsid w:val="229C4EAB"/>
    <w:rsid w:val="22DF3633"/>
    <w:rsid w:val="23413B6C"/>
    <w:rsid w:val="23A05265"/>
    <w:rsid w:val="23A84397"/>
    <w:rsid w:val="24A91BBB"/>
    <w:rsid w:val="24E30CCB"/>
    <w:rsid w:val="252D53FE"/>
    <w:rsid w:val="25EC2D81"/>
    <w:rsid w:val="26013AFE"/>
    <w:rsid w:val="264528BD"/>
    <w:rsid w:val="26BB4F7F"/>
    <w:rsid w:val="273B094A"/>
    <w:rsid w:val="27D15DD1"/>
    <w:rsid w:val="281C077C"/>
    <w:rsid w:val="28A76295"/>
    <w:rsid w:val="28E47E6B"/>
    <w:rsid w:val="29206EB8"/>
    <w:rsid w:val="2984482A"/>
    <w:rsid w:val="29B35110"/>
    <w:rsid w:val="29E325E0"/>
    <w:rsid w:val="2A452503"/>
    <w:rsid w:val="2AC60E73"/>
    <w:rsid w:val="2ADC7DF3"/>
    <w:rsid w:val="2AF66A43"/>
    <w:rsid w:val="2B133847"/>
    <w:rsid w:val="2B1971F4"/>
    <w:rsid w:val="2B454139"/>
    <w:rsid w:val="2B500E63"/>
    <w:rsid w:val="2B5D3585"/>
    <w:rsid w:val="2B6F32B8"/>
    <w:rsid w:val="2BA936A8"/>
    <w:rsid w:val="2C315A5A"/>
    <w:rsid w:val="2C4801FB"/>
    <w:rsid w:val="2C9F0A22"/>
    <w:rsid w:val="2D9E56F5"/>
    <w:rsid w:val="2DFD239E"/>
    <w:rsid w:val="2E374561"/>
    <w:rsid w:val="2E667F96"/>
    <w:rsid w:val="2E8226AB"/>
    <w:rsid w:val="2EF04710"/>
    <w:rsid w:val="2F4E2FA9"/>
    <w:rsid w:val="2F560A17"/>
    <w:rsid w:val="2F6E3036"/>
    <w:rsid w:val="2F832C79"/>
    <w:rsid w:val="2FDD55BD"/>
    <w:rsid w:val="2FEF2D58"/>
    <w:rsid w:val="30580BC9"/>
    <w:rsid w:val="3095556F"/>
    <w:rsid w:val="309D61D2"/>
    <w:rsid w:val="311E2ED7"/>
    <w:rsid w:val="315277B4"/>
    <w:rsid w:val="315C449C"/>
    <w:rsid w:val="318F47DD"/>
    <w:rsid w:val="31B82709"/>
    <w:rsid w:val="31ED3847"/>
    <w:rsid w:val="32400B34"/>
    <w:rsid w:val="328F5FEE"/>
    <w:rsid w:val="329E6876"/>
    <w:rsid w:val="33D934D4"/>
    <w:rsid w:val="33FE2F6A"/>
    <w:rsid w:val="344A1675"/>
    <w:rsid w:val="34AD7AA6"/>
    <w:rsid w:val="354454BD"/>
    <w:rsid w:val="35916DF0"/>
    <w:rsid w:val="35C56BDF"/>
    <w:rsid w:val="35F745D6"/>
    <w:rsid w:val="36074A7F"/>
    <w:rsid w:val="366B013C"/>
    <w:rsid w:val="36923549"/>
    <w:rsid w:val="36951AC3"/>
    <w:rsid w:val="36B75FBF"/>
    <w:rsid w:val="36E763F9"/>
    <w:rsid w:val="36FB4891"/>
    <w:rsid w:val="373B47FF"/>
    <w:rsid w:val="38042FDA"/>
    <w:rsid w:val="38F12CD3"/>
    <w:rsid w:val="38F53A9F"/>
    <w:rsid w:val="38F94775"/>
    <w:rsid w:val="39237490"/>
    <w:rsid w:val="39264A17"/>
    <w:rsid w:val="392971ED"/>
    <w:rsid w:val="394678B2"/>
    <w:rsid w:val="39D23390"/>
    <w:rsid w:val="39EE3789"/>
    <w:rsid w:val="3A377697"/>
    <w:rsid w:val="3A7206CF"/>
    <w:rsid w:val="3AF37678"/>
    <w:rsid w:val="3B225C51"/>
    <w:rsid w:val="3B3763D1"/>
    <w:rsid w:val="3CDA245A"/>
    <w:rsid w:val="3CE04016"/>
    <w:rsid w:val="3CE82D7E"/>
    <w:rsid w:val="3CEE0A37"/>
    <w:rsid w:val="3D9170BE"/>
    <w:rsid w:val="3E4B3E6B"/>
    <w:rsid w:val="3EAC1607"/>
    <w:rsid w:val="3F660E74"/>
    <w:rsid w:val="3FFC1167"/>
    <w:rsid w:val="4024447D"/>
    <w:rsid w:val="407A6407"/>
    <w:rsid w:val="409948B1"/>
    <w:rsid w:val="40CE2B32"/>
    <w:rsid w:val="41E00614"/>
    <w:rsid w:val="423A3BCC"/>
    <w:rsid w:val="42DA4762"/>
    <w:rsid w:val="42DE0BE4"/>
    <w:rsid w:val="42FA782C"/>
    <w:rsid w:val="433A6FE6"/>
    <w:rsid w:val="43402483"/>
    <w:rsid w:val="4350713C"/>
    <w:rsid w:val="436653E0"/>
    <w:rsid w:val="43A7080B"/>
    <w:rsid w:val="43D85DD8"/>
    <w:rsid w:val="44472BCC"/>
    <w:rsid w:val="44CD14E0"/>
    <w:rsid w:val="45086B29"/>
    <w:rsid w:val="455C6B0D"/>
    <w:rsid w:val="458946E9"/>
    <w:rsid w:val="45A33E32"/>
    <w:rsid w:val="46517BF8"/>
    <w:rsid w:val="46556BAA"/>
    <w:rsid w:val="465B295F"/>
    <w:rsid w:val="46D955A7"/>
    <w:rsid w:val="47133957"/>
    <w:rsid w:val="4779329E"/>
    <w:rsid w:val="47A07E0C"/>
    <w:rsid w:val="47E0311C"/>
    <w:rsid w:val="47E14CCD"/>
    <w:rsid w:val="481F7D71"/>
    <w:rsid w:val="4870272E"/>
    <w:rsid w:val="489E2CB1"/>
    <w:rsid w:val="4985306E"/>
    <w:rsid w:val="49883A6B"/>
    <w:rsid w:val="49DC7715"/>
    <w:rsid w:val="49DE18DD"/>
    <w:rsid w:val="4A023139"/>
    <w:rsid w:val="4A7B576F"/>
    <w:rsid w:val="4AAC3951"/>
    <w:rsid w:val="4B0435C5"/>
    <w:rsid w:val="4C0B1536"/>
    <w:rsid w:val="4C4A0649"/>
    <w:rsid w:val="4C4A325A"/>
    <w:rsid w:val="4C6360CA"/>
    <w:rsid w:val="4CDE5035"/>
    <w:rsid w:val="4CE470D3"/>
    <w:rsid w:val="4D231542"/>
    <w:rsid w:val="4D9D560B"/>
    <w:rsid w:val="4DA62712"/>
    <w:rsid w:val="4DB03590"/>
    <w:rsid w:val="4DBC0187"/>
    <w:rsid w:val="4DBE4E9F"/>
    <w:rsid w:val="4DEC4FB0"/>
    <w:rsid w:val="4E075D8A"/>
    <w:rsid w:val="4FC62A8C"/>
    <w:rsid w:val="4FE20F0D"/>
    <w:rsid w:val="50304B3C"/>
    <w:rsid w:val="50504C4B"/>
    <w:rsid w:val="506A211C"/>
    <w:rsid w:val="509C6E7C"/>
    <w:rsid w:val="50F809EE"/>
    <w:rsid w:val="5107796B"/>
    <w:rsid w:val="5162104E"/>
    <w:rsid w:val="518154BF"/>
    <w:rsid w:val="53840791"/>
    <w:rsid w:val="53A039CC"/>
    <w:rsid w:val="53A1505A"/>
    <w:rsid w:val="53B536AF"/>
    <w:rsid w:val="54063E08"/>
    <w:rsid w:val="543437E8"/>
    <w:rsid w:val="545729B8"/>
    <w:rsid w:val="54665795"/>
    <w:rsid w:val="54B5148C"/>
    <w:rsid w:val="54D97871"/>
    <w:rsid w:val="55016663"/>
    <w:rsid w:val="559B174B"/>
    <w:rsid w:val="55B34A86"/>
    <w:rsid w:val="55CE0CF4"/>
    <w:rsid w:val="55D122F6"/>
    <w:rsid w:val="56323178"/>
    <w:rsid w:val="56B22A9C"/>
    <w:rsid w:val="57436384"/>
    <w:rsid w:val="57B72A76"/>
    <w:rsid w:val="58BD1B3B"/>
    <w:rsid w:val="595F02A6"/>
    <w:rsid w:val="59965D30"/>
    <w:rsid w:val="59A529AD"/>
    <w:rsid w:val="59F14D15"/>
    <w:rsid w:val="5A3C747D"/>
    <w:rsid w:val="5A5B4884"/>
    <w:rsid w:val="5AB26B9A"/>
    <w:rsid w:val="5ABE2233"/>
    <w:rsid w:val="5B276D18"/>
    <w:rsid w:val="5B6D486F"/>
    <w:rsid w:val="5BDF5D95"/>
    <w:rsid w:val="5BFD51BD"/>
    <w:rsid w:val="5C1B251D"/>
    <w:rsid w:val="5C78171D"/>
    <w:rsid w:val="5C846314"/>
    <w:rsid w:val="5C855BE8"/>
    <w:rsid w:val="5CFA4828"/>
    <w:rsid w:val="5CFA6DB8"/>
    <w:rsid w:val="5D562CB2"/>
    <w:rsid w:val="5DF87A0F"/>
    <w:rsid w:val="5E873E9A"/>
    <w:rsid w:val="5EF00C63"/>
    <w:rsid w:val="5F1A2B43"/>
    <w:rsid w:val="5F2142EE"/>
    <w:rsid w:val="5F3857DB"/>
    <w:rsid w:val="5F73151B"/>
    <w:rsid w:val="5F784D70"/>
    <w:rsid w:val="5F9C262F"/>
    <w:rsid w:val="5FB837BB"/>
    <w:rsid w:val="60932FCA"/>
    <w:rsid w:val="61477910"/>
    <w:rsid w:val="62364782"/>
    <w:rsid w:val="62513687"/>
    <w:rsid w:val="627B5AC3"/>
    <w:rsid w:val="62A32F4D"/>
    <w:rsid w:val="62E23D94"/>
    <w:rsid w:val="62F820BE"/>
    <w:rsid w:val="630A47EF"/>
    <w:rsid w:val="631942AE"/>
    <w:rsid w:val="632B573B"/>
    <w:rsid w:val="6399293D"/>
    <w:rsid w:val="63B84AF5"/>
    <w:rsid w:val="63B95BFF"/>
    <w:rsid w:val="63D40BE9"/>
    <w:rsid w:val="63DD0B1A"/>
    <w:rsid w:val="63E0211F"/>
    <w:rsid w:val="63F67BC4"/>
    <w:rsid w:val="643248A8"/>
    <w:rsid w:val="646D1BEF"/>
    <w:rsid w:val="64D0795E"/>
    <w:rsid w:val="64D67330"/>
    <w:rsid w:val="650574E5"/>
    <w:rsid w:val="65373578"/>
    <w:rsid w:val="653766CD"/>
    <w:rsid w:val="65452B0E"/>
    <w:rsid w:val="664166AE"/>
    <w:rsid w:val="667111AF"/>
    <w:rsid w:val="66A27219"/>
    <w:rsid w:val="673F2C7A"/>
    <w:rsid w:val="6760172C"/>
    <w:rsid w:val="676A6106"/>
    <w:rsid w:val="67B43BAE"/>
    <w:rsid w:val="681F6961"/>
    <w:rsid w:val="68610A2F"/>
    <w:rsid w:val="68805514"/>
    <w:rsid w:val="68F760C0"/>
    <w:rsid w:val="68FE11FC"/>
    <w:rsid w:val="694E2071"/>
    <w:rsid w:val="697A3B33"/>
    <w:rsid w:val="699E2456"/>
    <w:rsid w:val="6A815C41"/>
    <w:rsid w:val="6A843983"/>
    <w:rsid w:val="6ACC7244"/>
    <w:rsid w:val="6B2A62D8"/>
    <w:rsid w:val="6B322639"/>
    <w:rsid w:val="6B6317EA"/>
    <w:rsid w:val="6C3513D9"/>
    <w:rsid w:val="6C636C38"/>
    <w:rsid w:val="6C7D4B2E"/>
    <w:rsid w:val="6CAA2F58"/>
    <w:rsid w:val="6D350F65"/>
    <w:rsid w:val="6D8D463F"/>
    <w:rsid w:val="6DB34098"/>
    <w:rsid w:val="6DB545B6"/>
    <w:rsid w:val="6E01724F"/>
    <w:rsid w:val="6E4375A0"/>
    <w:rsid w:val="6E514CED"/>
    <w:rsid w:val="6E79491A"/>
    <w:rsid w:val="6EB26D11"/>
    <w:rsid w:val="6EB563D5"/>
    <w:rsid w:val="6EDF562C"/>
    <w:rsid w:val="6EE175F6"/>
    <w:rsid w:val="6F225983"/>
    <w:rsid w:val="6FBD3BBF"/>
    <w:rsid w:val="6FDE7DEE"/>
    <w:rsid w:val="6FFC5590"/>
    <w:rsid w:val="700D7F77"/>
    <w:rsid w:val="701337DF"/>
    <w:rsid w:val="70301DA3"/>
    <w:rsid w:val="706D1DD0"/>
    <w:rsid w:val="70856B87"/>
    <w:rsid w:val="70D527EE"/>
    <w:rsid w:val="71307E65"/>
    <w:rsid w:val="7157516E"/>
    <w:rsid w:val="715B5300"/>
    <w:rsid w:val="715F4BD7"/>
    <w:rsid w:val="71D27F8A"/>
    <w:rsid w:val="71F744C6"/>
    <w:rsid w:val="71F960CF"/>
    <w:rsid w:val="72361A07"/>
    <w:rsid w:val="72811AA2"/>
    <w:rsid w:val="72F64A73"/>
    <w:rsid w:val="73124222"/>
    <w:rsid w:val="731F5D5E"/>
    <w:rsid w:val="732455A8"/>
    <w:rsid w:val="740D6797"/>
    <w:rsid w:val="741E793C"/>
    <w:rsid w:val="74602D6B"/>
    <w:rsid w:val="75045DEC"/>
    <w:rsid w:val="757E1A95"/>
    <w:rsid w:val="758D75E2"/>
    <w:rsid w:val="75E11C8A"/>
    <w:rsid w:val="77501FC8"/>
    <w:rsid w:val="77762421"/>
    <w:rsid w:val="777D3208"/>
    <w:rsid w:val="780F09F4"/>
    <w:rsid w:val="789C4F47"/>
    <w:rsid w:val="78A55B18"/>
    <w:rsid w:val="78A90480"/>
    <w:rsid w:val="79811327"/>
    <w:rsid w:val="79E461EC"/>
    <w:rsid w:val="79ED3ACF"/>
    <w:rsid w:val="7A364017"/>
    <w:rsid w:val="7A8265E1"/>
    <w:rsid w:val="7B346CFF"/>
    <w:rsid w:val="7B4B5C2E"/>
    <w:rsid w:val="7B5B420B"/>
    <w:rsid w:val="7B686D42"/>
    <w:rsid w:val="7B7C0170"/>
    <w:rsid w:val="7B841746"/>
    <w:rsid w:val="7BC40083"/>
    <w:rsid w:val="7CD7543F"/>
    <w:rsid w:val="7D0239FF"/>
    <w:rsid w:val="7D2C5EE0"/>
    <w:rsid w:val="7D5E40CD"/>
    <w:rsid w:val="7D693BED"/>
    <w:rsid w:val="7D7B6D95"/>
    <w:rsid w:val="7DA8331F"/>
    <w:rsid w:val="7E8B30DA"/>
    <w:rsid w:val="7F4A728E"/>
    <w:rsid w:val="7F8F09A8"/>
    <w:rsid w:val="7FD85B0F"/>
    <w:rsid w:val="7FDF548C"/>
    <w:rsid w:val="7FE47E50"/>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ocked="1"/>
    <w:lsdException w:qFormat="1" w:unhideWhenUsed="0" w:uiPriority="0" w:semiHidden="0" w:name="heading 3" w:locked="1"/>
    <w:lsdException w:qFormat="1" w:unhideWhenUsed="0" w:uiPriority="0" w:semiHidden="0" w:name="heading 4" w:locked="1"/>
    <w:lsdException w:qFormat="1" w:unhideWhenUsed="0" w:uiPriority="0" w:semiHidden="0" w:name="heading 5" w:locked="1"/>
    <w:lsdException w:qFormat="1" w:unhideWhenUsed="0" w:uiPriority="0" w:semiHidden="0" w:name="heading 6" w:locked="1"/>
    <w:lsdException w:qFormat="1" w:unhideWhenUsed="0" w:uiPriority="0" w:semiHidden="0" w:name="heading 7" w:locked="1"/>
    <w:lsdException w:qFormat="1" w:unhideWhenUsed="0" w:uiPriority="0" w:semiHidden="0" w:name="heading 8" w:locked="1"/>
    <w:lsdException w:qFormat="1" w:unhideWhenUsed="0" w:uiPriority="0" w:semiHidden="0" w:name="heading 9" w:locked="1"/>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ocked="1"/>
    <w:lsdException w:qFormat="1" w:unhideWhenUsed="0" w:uiPriority="39" w:semiHidden="0" w:name="toc 2"/>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10" w:semiHidden="0" w:name="Title" w:locked="1"/>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ocked="1"/>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ocked="1"/>
    <w:lsdException w:qFormat="1" w:unhideWhenUsed="0" w:uiPriority="0" w:semiHidden="0" w:name="Emphasis" w:locked="1"/>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adjustRightInd w:val="0"/>
      <w:snapToGrid w:val="0"/>
      <w:spacing w:line="360" w:lineRule="auto"/>
      <w:ind w:firstLine="720" w:firstLineChars="200"/>
      <w:jc w:val="both"/>
    </w:pPr>
    <w:rPr>
      <w:rFonts w:ascii="Times New Roman" w:hAnsi="Times New Roman" w:eastAsia="宋体" w:cs="Times New Roman"/>
      <w:kern w:val="2"/>
      <w:sz w:val="24"/>
      <w:szCs w:val="24"/>
      <w:lang w:val="en-US" w:eastAsia="zh-CN" w:bidi="ar-SA"/>
    </w:rPr>
  </w:style>
  <w:style w:type="paragraph" w:styleId="3">
    <w:name w:val="heading 1"/>
    <w:basedOn w:val="1"/>
    <w:next w:val="1"/>
    <w:qFormat/>
    <w:uiPriority w:val="0"/>
    <w:pPr>
      <w:keepNext/>
      <w:numPr>
        <w:ilvl w:val="0"/>
        <w:numId w:val="1"/>
      </w:numPr>
      <w:overflowPunct w:val="0"/>
      <w:adjustRightInd w:val="0"/>
      <w:snapToGrid w:val="0"/>
      <w:spacing w:before="50" w:beforeLines="50" w:line="360" w:lineRule="auto"/>
      <w:ind w:left="0" w:firstLine="0"/>
      <w:outlineLvl w:val="0"/>
    </w:pPr>
    <w:rPr>
      <w:rFonts w:eastAsia="黑体"/>
      <w:b/>
      <w:bCs/>
      <w:color w:val="000000"/>
      <w:kern w:val="44"/>
      <w:szCs w:val="30"/>
    </w:rPr>
  </w:style>
  <w:style w:type="paragraph" w:styleId="4">
    <w:name w:val="heading 2"/>
    <w:basedOn w:val="1"/>
    <w:next w:val="1"/>
    <w:qFormat/>
    <w:locked/>
    <w:uiPriority w:val="0"/>
    <w:pPr>
      <w:keepNext w:val="0"/>
      <w:keepLines w:val="0"/>
      <w:widowControl w:val="0"/>
      <w:numPr>
        <w:ilvl w:val="1"/>
        <w:numId w:val="1"/>
      </w:numPr>
      <w:tabs>
        <w:tab w:val="left" w:pos="420"/>
        <w:tab w:val="clear" w:pos="0"/>
      </w:tabs>
      <w:adjustRightInd w:val="0"/>
      <w:snapToGrid w:val="0"/>
      <w:spacing w:beforeLines="0" w:beforeAutospacing="0" w:afterLines="0" w:afterAutospacing="0" w:line="360" w:lineRule="auto"/>
      <w:ind w:firstLine="720" w:firstLineChars="200"/>
      <w:outlineLvl w:val="1"/>
    </w:pPr>
    <w:rPr>
      <w:rFonts w:ascii="Arial" w:hAnsi="Arial"/>
      <w:b/>
    </w:rPr>
  </w:style>
  <w:style w:type="paragraph" w:styleId="5">
    <w:name w:val="heading 3"/>
    <w:basedOn w:val="1"/>
    <w:next w:val="1"/>
    <w:qFormat/>
    <w:locked/>
    <w:uiPriority w:val="0"/>
    <w:pPr>
      <w:keepNext w:val="0"/>
      <w:keepLines w:val="0"/>
      <w:widowControl w:val="0"/>
      <w:numPr>
        <w:ilvl w:val="2"/>
        <w:numId w:val="1"/>
      </w:numPr>
      <w:tabs>
        <w:tab w:val="left" w:pos="420"/>
        <w:tab w:val="clear" w:pos="0"/>
      </w:tabs>
      <w:adjustRightInd w:val="0"/>
      <w:snapToGrid w:val="0"/>
      <w:spacing w:beforeLines="0" w:beforeAutospacing="0" w:afterLines="0" w:afterAutospacing="0" w:line="360" w:lineRule="auto"/>
      <w:ind w:firstLine="720" w:firstLineChars="200"/>
      <w:jc w:val="left"/>
      <w:outlineLvl w:val="2"/>
    </w:pPr>
    <w:rPr>
      <w:b/>
    </w:rPr>
  </w:style>
  <w:style w:type="paragraph" w:styleId="6">
    <w:name w:val="heading 4"/>
    <w:basedOn w:val="1"/>
    <w:next w:val="1"/>
    <w:qFormat/>
    <w:locked/>
    <w:uiPriority w:val="0"/>
    <w:pPr>
      <w:keepNext w:val="0"/>
      <w:keepLines w:val="0"/>
      <w:widowControl w:val="0"/>
      <w:numPr>
        <w:ilvl w:val="3"/>
        <w:numId w:val="1"/>
      </w:numPr>
      <w:adjustRightInd w:val="0"/>
      <w:snapToGrid w:val="0"/>
      <w:spacing w:beforeLines="0" w:beforeAutospacing="0" w:afterLines="0" w:afterAutospacing="0" w:line="360" w:lineRule="auto"/>
      <w:ind w:firstLine="0" w:firstLineChars="0"/>
      <w:jc w:val="left"/>
      <w:outlineLvl w:val="3"/>
    </w:pPr>
    <w:rPr>
      <w:rFonts w:ascii="Times New Roman" w:hAnsi="Times New Roman" w:eastAsia="宋体"/>
      <w:sz w:val="24"/>
    </w:rPr>
  </w:style>
  <w:style w:type="paragraph" w:styleId="7">
    <w:name w:val="heading 5"/>
    <w:basedOn w:val="1"/>
    <w:next w:val="1"/>
    <w:qFormat/>
    <w:locked/>
    <w:uiPriority w:val="0"/>
    <w:pPr>
      <w:keepNext w:val="0"/>
      <w:keepLines w:val="0"/>
      <w:widowControl w:val="0"/>
      <w:numPr>
        <w:ilvl w:val="4"/>
        <w:numId w:val="1"/>
      </w:numPr>
      <w:tabs>
        <w:tab w:val="left" w:pos="0"/>
      </w:tabs>
      <w:spacing w:beforeLines="0" w:beforeAutospacing="0" w:after="50" w:afterLines="50" w:afterAutospacing="0" w:line="240" w:lineRule="auto"/>
      <w:ind w:left="0" w:firstLine="402" w:firstLineChars="0"/>
      <w:outlineLvl w:val="4"/>
    </w:pPr>
    <w:rPr>
      <w:rFonts w:ascii="Times New Roman" w:hAnsi="Times New Roman" w:eastAsia="宋体" w:cs="宋体"/>
      <w:b/>
    </w:rPr>
  </w:style>
  <w:style w:type="paragraph" w:styleId="8">
    <w:name w:val="heading 6"/>
    <w:basedOn w:val="1"/>
    <w:next w:val="1"/>
    <w:qFormat/>
    <w:locked/>
    <w:uiPriority w:val="0"/>
    <w:pPr>
      <w:keepNext/>
      <w:keepLines/>
      <w:numPr>
        <w:ilvl w:val="5"/>
        <w:numId w:val="1"/>
      </w:numPr>
      <w:tabs>
        <w:tab w:val="left" w:pos="0"/>
      </w:tabs>
      <w:spacing w:before="240" w:beforeLines="0" w:beforeAutospacing="0" w:after="64" w:afterLines="0" w:afterAutospacing="0" w:line="317" w:lineRule="auto"/>
      <w:ind w:firstLine="402" w:firstLineChars="0"/>
      <w:outlineLvl w:val="5"/>
    </w:pPr>
    <w:rPr>
      <w:rFonts w:ascii="Arial" w:hAnsi="Arial" w:eastAsia="黑体"/>
      <w:b/>
      <w:sz w:val="24"/>
    </w:rPr>
  </w:style>
  <w:style w:type="paragraph" w:styleId="9">
    <w:name w:val="heading 7"/>
    <w:basedOn w:val="1"/>
    <w:next w:val="1"/>
    <w:qFormat/>
    <w:locked/>
    <w:uiPriority w:val="0"/>
    <w:pPr>
      <w:keepNext/>
      <w:keepLines/>
      <w:numPr>
        <w:ilvl w:val="6"/>
        <w:numId w:val="1"/>
      </w:numPr>
      <w:tabs>
        <w:tab w:val="left" w:pos="0"/>
      </w:tabs>
      <w:spacing w:before="240" w:beforeLines="0" w:beforeAutospacing="0" w:after="64" w:afterLines="0" w:afterAutospacing="0" w:line="317" w:lineRule="auto"/>
      <w:ind w:firstLine="402" w:firstLineChars="0"/>
      <w:outlineLvl w:val="6"/>
    </w:pPr>
    <w:rPr>
      <w:b/>
      <w:sz w:val="24"/>
    </w:rPr>
  </w:style>
  <w:style w:type="paragraph" w:styleId="10">
    <w:name w:val="heading 8"/>
    <w:basedOn w:val="1"/>
    <w:next w:val="1"/>
    <w:qFormat/>
    <w:locked/>
    <w:uiPriority w:val="0"/>
    <w:pPr>
      <w:keepNext/>
      <w:keepLines/>
      <w:numPr>
        <w:ilvl w:val="7"/>
        <w:numId w:val="1"/>
      </w:numPr>
      <w:tabs>
        <w:tab w:val="left" w:pos="0"/>
      </w:tabs>
      <w:spacing w:before="240" w:beforeLines="0" w:beforeAutospacing="0" w:after="64" w:afterLines="0" w:afterAutospacing="0" w:line="317" w:lineRule="auto"/>
      <w:ind w:firstLine="402" w:firstLineChars="0"/>
      <w:outlineLvl w:val="7"/>
    </w:pPr>
    <w:rPr>
      <w:rFonts w:ascii="Arial" w:hAnsi="Arial" w:eastAsia="黑体"/>
      <w:sz w:val="24"/>
    </w:rPr>
  </w:style>
  <w:style w:type="paragraph" w:styleId="11">
    <w:name w:val="heading 9"/>
    <w:basedOn w:val="1"/>
    <w:next w:val="1"/>
    <w:qFormat/>
    <w:locked/>
    <w:uiPriority w:val="0"/>
    <w:pPr>
      <w:keepNext/>
      <w:keepLines/>
      <w:numPr>
        <w:ilvl w:val="8"/>
        <w:numId w:val="1"/>
      </w:numPr>
      <w:tabs>
        <w:tab w:val="left" w:pos="0"/>
      </w:tabs>
      <w:spacing w:before="240" w:beforeLines="0" w:beforeAutospacing="0" w:after="64" w:afterLines="0" w:afterAutospacing="0" w:line="317" w:lineRule="auto"/>
      <w:ind w:firstLine="402" w:firstLineChars="0"/>
      <w:outlineLvl w:val="8"/>
    </w:pPr>
    <w:rPr>
      <w:rFonts w:ascii="Arial" w:hAnsi="Arial" w:eastAsia="黑体"/>
      <w:sz w:val="21"/>
    </w:rPr>
  </w:style>
  <w:style w:type="character" w:default="1" w:styleId="22">
    <w:name w:val="Default Paragraph Font"/>
    <w:semiHidden/>
    <w:qFormat/>
    <w:uiPriority w:val="0"/>
  </w:style>
  <w:style w:type="table" w:default="1" w:styleId="20">
    <w:name w:val="Normal Table"/>
    <w:semiHidden/>
    <w:qFormat/>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2">
    <w:name w:val="Body Text 2"/>
    <w:basedOn w:val="1"/>
    <w:qFormat/>
    <w:uiPriority w:val="0"/>
    <w:pPr>
      <w:spacing w:after="120" w:line="480" w:lineRule="auto"/>
    </w:pPr>
  </w:style>
  <w:style w:type="paragraph" w:styleId="12">
    <w:name w:val="annotation text"/>
    <w:basedOn w:val="1"/>
    <w:link w:val="25"/>
    <w:qFormat/>
    <w:uiPriority w:val="0"/>
    <w:pPr>
      <w:jc w:val="left"/>
    </w:pPr>
  </w:style>
  <w:style w:type="paragraph" w:styleId="13">
    <w:name w:val="Balloon Text"/>
    <w:basedOn w:val="1"/>
    <w:link w:val="26"/>
    <w:qFormat/>
    <w:uiPriority w:val="0"/>
    <w:pPr>
      <w:spacing w:line="240" w:lineRule="auto"/>
    </w:pPr>
    <w:rPr>
      <w:sz w:val="18"/>
      <w:szCs w:val="18"/>
    </w:rPr>
  </w:style>
  <w:style w:type="paragraph" w:styleId="14">
    <w:name w:val="footer"/>
    <w:basedOn w:val="1"/>
    <w:link w:val="27"/>
    <w:qFormat/>
    <w:uiPriority w:val="0"/>
    <w:pPr>
      <w:tabs>
        <w:tab w:val="center" w:pos="4153"/>
        <w:tab w:val="right" w:pos="8306"/>
      </w:tabs>
      <w:snapToGrid w:val="0"/>
      <w:jc w:val="left"/>
    </w:pPr>
    <w:rPr>
      <w:sz w:val="18"/>
      <w:szCs w:val="18"/>
    </w:rPr>
  </w:style>
  <w:style w:type="paragraph" w:styleId="15">
    <w:name w:val="header"/>
    <w:basedOn w:val="1"/>
    <w:link w:val="28"/>
    <w:qFormat/>
    <w:uiPriority w:val="0"/>
    <w:pPr>
      <w:pBdr>
        <w:bottom w:val="single" w:color="auto" w:sz="6" w:space="1"/>
      </w:pBdr>
      <w:tabs>
        <w:tab w:val="center" w:pos="4153"/>
        <w:tab w:val="right" w:pos="8306"/>
      </w:tabs>
      <w:snapToGrid w:val="0"/>
      <w:jc w:val="center"/>
    </w:pPr>
    <w:rPr>
      <w:sz w:val="18"/>
      <w:szCs w:val="18"/>
    </w:rPr>
  </w:style>
  <w:style w:type="paragraph" w:styleId="16">
    <w:name w:val="toc 2"/>
    <w:basedOn w:val="1"/>
    <w:next w:val="1"/>
    <w:qFormat/>
    <w:uiPriority w:val="39"/>
    <w:pPr>
      <w:ind w:left="240"/>
    </w:pPr>
    <w:rPr>
      <w:rFonts w:ascii="Calibri" w:hAnsi="Calibri"/>
      <w:smallCaps/>
      <w:sz w:val="20"/>
    </w:rPr>
  </w:style>
  <w:style w:type="paragraph" w:styleId="17">
    <w:name w:val="Normal (Web)"/>
    <w:basedOn w:val="1"/>
    <w:qFormat/>
    <w:uiPriority w:val="0"/>
    <w:rPr>
      <w:sz w:val="24"/>
    </w:rPr>
  </w:style>
  <w:style w:type="paragraph" w:styleId="18">
    <w:name w:val="Title"/>
    <w:basedOn w:val="1"/>
    <w:next w:val="1"/>
    <w:qFormat/>
    <w:locked/>
    <w:uiPriority w:val="10"/>
    <w:pPr>
      <w:autoSpaceDE w:val="0"/>
      <w:autoSpaceDN w:val="0"/>
      <w:adjustRightInd w:val="0"/>
      <w:spacing w:before="240" w:after="60"/>
      <w:jc w:val="center"/>
      <w:textAlignment w:val="baseline"/>
      <w:outlineLvl w:val="0"/>
    </w:pPr>
    <w:rPr>
      <w:rFonts w:ascii="Cambria" w:hAnsi="Cambria"/>
      <w:b/>
      <w:bCs/>
      <w:sz w:val="32"/>
      <w:szCs w:val="32"/>
    </w:rPr>
  </w:style>
  <w:style w:type="paragraph" w:styleId="19">
    <w:name w:val="annotation subject"/>
    <w:basedOn w:val="12"/>
    <w:next w:val="12"/>
    <w:link w:val="29"/>
    <w:qFormat/>
    <w:uiPriority w:val="0"/>
    <w:rPr>
      <w:b/>
      <w:bCs/>
    </w:rPr>
  </w:style>
  <w:style w:type="table" w:styleId="21">
    <w:name w:val="Table Grid"/>
    <w:basedOn w:val="20"/>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page number"/>
    <w:qFormat/>
    <w:uiPriority w:val="0"/>
  </w:style>
  <w:style w:type="character" w:styleId="24">
    <w:name w:val="annotation reference"/>
    <w:qFormat/>
    <w:uiPriority w:val="0"/>
    <w:rPr>
      <w:sz w:val="21"/>
      <w:szCs w:val="21"/>
    </w:rPr>
  </w:style>
  <w:style w:type="character" w:customStyle="1" w:styleId="25">
    <w:name w:val="批注文字 字符"/>
    <w:link w:val="12"/>
    <w:qFormat/>
    <w:uiPriority w:val="0"/>
    <w:rPr>
      <w:kern w:val="2"/>
      <w:sz w:val="24"/>
      <w:szCs w:val="24"/>
    </w:rPr>
  </w:style>
  <w:style w:type="character" w:customStyle="1" w:styleId="26">
    <w:name w:val="批注框文本 字符"/>
    <w:link w:val="13"/>
    <w:qFormat/>
    <w:uiPriority w:val="0"/>
    <w:rPr>
      <w:kern w:val="2"/>
      <w:sz w:val="18"/>
      <w:szCs w:val="18"/>
    </w:rPr>
  </w:style>
  <w:style w:type="character" w:customStyle="1" w:styleId="27">
    <w:name w:val="页脚 字符"/>
    <w:link w:val="14"/>
    <w:qFormat/>
    <w:locked/>
    <w:uiPriority w:val="0"/>
    <w:rPr>
      <w:rFonts w:cs="Times New Roman"/>
      <w:sz w:val="18"/>
      <w:szCs w:val="18"/>
    </w:rPr>
  </w:style>
  <w:style w:type="character" w:customStyle="1" w:styleId="28">
    <w:name w:val="页眉 字符"/>
    <w:link w:val="15"/>
    <w:qFormat/>
    <w:locked/>
    <w:uiPriority w:val="0"/>
    <w:rPr>
      <w:rFonts w:cs="Times New Roman"/>
      <w:sz w:val="18"/>
      <w:szCs w:val="18"/>
    </w:rPr>
  </w:style>
  <w:style w:type="character" w:customStyle="1" w:styleId="29">
    <w:name w:val="批注主题 字符"/>
    <w:link w:val="19"/>
    <w:qFormat/>
    <w:uiPriority w:val="0"/>
    <w:rPr>
      <w:b/>
      <w:bCs/>
      <w:kern w:val="2"/>
      <w:sz w:val="24"/>
      <w:szCs w:val="24"/>
    </w:rPr>
  </w:style>
  <w:style w:type="paragraph" w:customStyle="1" w:styleId="30">
    <w:name w:val="（真）表格内容"/>
    <w:basedOn w:val="1"/>
    <w:qFormat/>
    <w:uiPriority w:val="0"/>
    <w:pPr>
      <w:adjustRightInd w:val="0"/>
      <w:snapToGrid w:val="0"/>
      <w:spacing w:line="240" w:lineRule="auto"/>
      <w:ind w:firstLine="0" w:firstLineChars="0"/>
      <w:jc w:val="center"/>
    </w:pPr>
    <w:rPr>
      <w:sz w:val="21"/>
    </w:rPr>
  </w:style>
  <w:style w:type="paragraph" w:customStyle="1" w:styleId="31">
    <w:name w:val="表1"/>
    <w:basedOn w:val="1"/>
    <w:qFormat/>
    <w:uiPriority w:val="0"/>
    <w:pPr>
      <w:keepNext w:val="0"/>
      <w:keepLines w:val="0"/>
      <w:widowControl w:val="0"/>
      <w:numPr>
        <w:ilvl w:val="0"/>
        <w:numId w:val="2"/>
      </w:numPr>
      <w:suppressLineNumbers w:val="0"/>
      <w:adjustRightInd w:val="0"/>
      <w:snapToGrid w:val="0"/>
      <w:spacing w:line="360" w:lineRule="auto"/>
      <w:ind w:left="0" w:firstLine="0" w:firstLineChars="0"/>
      <w:jc w:val="center"/>
    </w:pPr>
    <w:rPr>
      <w:rFonts w:hint="eastAsia" w:cs="Times New Roman"/>
      <w:b/>
      <w:sz w:val="21"/>
      <w:szCs w:val="21"/>
      <w:lang w:bidi="ar"/>
    </w:rPr>
  </w:style>
  <w:style w:type="paragraph" w:customStyle="1" w:styleId="32">
    <w:name w:val="图1"/>
    <w:basedOn w:val="1"/>
    <w:qFormat/>
    <w:uiPriority w:val="0"/>
    <w:pPr>
      <w:keepNext w:val="0"/>
      <w:keepLines w:val="0"/>
      <w:widowControl w:val="0"/>
      <w:numPr>
        <w:ilvl w:val="0"/>
        <w:numId w:val="3"/>
      </w:numPr>
      <w:suppressLineNumbers w:val="0"/>
      <w:adjustRightInd w:val="0"/>
      <w:snapToGrid w:val="0"/>
      <w:spacing w:line="360" w:lineRule="auto"/>
      <w:ind w:left="0" w:firstLine="0" w:firstLineChars="0"/>
      <w:jc w:val="center"/>
    </w:pPr>
    <w:rPr>
      <w:rFonts w:hint="eastAsia" w:cs="Times New Roman"/>
      <w:b/>
      <w:sz w:val="21"/>
      <w:szCs w:val="21"/>
      <w:lang w:bidi="ar"/>
    </w:rPr>
  </w:style>
  <w:style w:type="paragraph" w:customStyle="1" w:styleId="33">
    <w:name w:val="表2"/>
    <w:basedOn w:val="1"/>
    <w:qFormat/>
    <w:uiPriority w:val="0"/>
    <w:pPr>
      <w:numPr>
        <w:ilvl w:val="0"/>
        <w:numId w:val="4"/>
      </w:numPr>
      <w:adjustRightInd w:val="0"/>
      <w:snapToGrid w:val="0"/>
      <w:spacing w:line="360" w:lineRule="auto"/>
      <w:ind w:left="0" w:firstLine="0" w:firstLineChars="0"/>
      <w:jc w:val="center"/>
    </w:pPr>
    <w:rPr>
      <w:rFonts w:hint="eastAsia"/>
      <w:b/>
      <w:sz w:val="21"/>
    </w:rPr>
  </w:style>
  <w:style w:type="paragraph" w:customStyle="1" w:styleId="34">
    <w:name w:val="图2"/>
    <w:basedOn w:val="1"/>
    <w:qFormat/>
    <w:uiPriority w:val="0"/>
    <w:pPr>
      <w:numPr>
        <w:ilvl w:val="0"/>
        <w:numId w:val="5"/>
      </w:numPr>
      <w:adjustRightInd w:val="0"/>
      <w:snapToGrid w:val="0"/>
      <w:spacing w:line="360" w:lineRule="auto"/>
      <w:ind w:left="0" w:firstLine="0" w:firstLineChars="0"/>
      <w:jc w:val="center"/>
    </w:pPr>
    <w:rPr>
      <w:rFonts w:hint="eastAsia"/>
      <w:b/>
      <w:sz w:val="21"/>
    </w:rPr>
  </w:style>
  <w:style w:type="paragraph" w:customStyle="1" w:styleId="35">
    <w:name w:val="表3"/>
    <w:basedOn w:val="1"/>
    <w:qFormat/>
    <w:uiPriority w:val="0"/>
    <w:pPr>
      <w:numPr>
        <w:ilvl w:val="0"/>
        <w:numId w:val="6"/>
      </w:numPr>
      <w:adjustRightInd w:val="0"/>
      <w:snapToGrid w:val="0"/>
      <w:spacing w:line="360" w:lineRule="auto"/>
      <w:ind w:left="0" w:firstLine="0" w:firstLineChars="0"/>
      <w:jc w:val="center"/>
    </w:pPr>
    <w:rPr>
      <w:b/>
      <w:sz w:val="21"/>
    </w:rPr>
  </w:style>
  <w:style w:type="paragraph" w:customStyle="1" w:styleId="36">
    <w:name w:val="图3"/>
    <w:basedOn w:val="1"/>
    <w:qFormat/>
    <w:uiPriority w:val="0"/>
    <w:pPr>
      <w:numPr>
        <w:ilvl w:val="0"/>
        <w:numId w:val="7"/>
      </w:numPr>
      <w:adjustRightInd w:val="0"/>
      <w:snapToGrid w:val="0"/>
      <w:spacing w:line="360" w:lineRule="auto"/>
      <w:ind w:left="0" w:firstLine="0" w:firstLineChars="0"/>
      <w:jc w:val="center"/>
    </w:pPr>
    <w:rPr>
      <w:rFonts w:hint="eastAsia"/>
      <w:b/>
      <w:sz w:val="21"/>
    </w:rPr>
  </w:style>
  <w:style w:type="paragraph" w:customStyle="1" w:styleId="37">
    <w:name w:val="表4"/>
    <w:basedOn w:val="1"/>
    <w:qFormat/>
    <w:uiPriority w:val="0"/>
    <w:pPr>
      <w:numPr>
        <w:ilvl w:val="0"/>
        <w:numId w:val="8"/>
      </w:numPr>
      <w:adjustRightInd w:val="0"/>
      <w:snapToGrid w:val="0"/>
      <w:spacing w:line="360" w:lineRule="auto"/>
      <w:ind w:left="0" w:firstLine="0" w:firstLineChars="0"/>
      <w:jc w:val="center"/>
    </w:pPr>
    <w:rPr>
      <w:rFonts w:hint="eastAsia"/>
      <w:b/>
      <w:sz w:val="21"/>
    </w:rPr>
  </w:style>
  <w:style w:type="paragraph" w:customStyle="1" w:styleId="38">
    <w:name w:val="表5"/>
    <w:basedOn w:val="1"/>
    <w:qFormat/>
    <w:uiPriority w:val="0"/>
    <w:pPr>
      <w:numPr>
        <w:ilvl w:val="0"/>
        <w:numId w:val="9"/>
      </w:numPr>
      <w:adjustRightInd w:val="0"/>
      <w:snapToGrid w:val="0"/>
      <w:spacing w:line="360" w:lineRule="auto"/>
      <w:ind w:left="0" w:firstLine="0"/>
      <w:jc w:val="center"/>
    </w:pPr>
    <w:rPr>
      <w:rFonts w:hint="eastAsia"/>
      <w:b/>
      <w:sz w:val="21"/>
    </w:rPr>
  </w:style>
  <w:style w:type="table" w:customStyle="1" w:styleId="39">
    <w:name w:val="Table Normal"/>
    <w:basedOn w:val="20"/>
    <w:qFormat/>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0" w:type="dxa"/>
        <w:bottom w:w="0" w:type="dxa"/>
        <w:right w:w="0" w:type="dxa"/>
      </w:tblCellMar>
    </w:tblPr>
  </w:style>
  <w:style w:type="character" w:customStyle="1" w:styleId="40">
    <w:name w:val="font61"/>
    <w:qFormat/>
    <w:uiPriority w:val="0"/>
    <w:rPr>
      <w:rFonts w:hint="eastAsia" w:ascii="宋体" w:hAnsi="宋体" w:eastAsia="宋体" w:cs="宋体"/>
      <w:color w:val="000000"/>
      <w:sz w:val="20"/>
      <w:szCs w:val="20"/>
      <w:u w:val="none"/>
    </w:rPr>
  </w:style>
  <w:style w:type="paragraph" w:customStyle="1" w:styleId="41">
    <w:name w:val="正文缩进1"/>
    <w:basedOn w:val="1"/>
    <w:qFormat/>
    <w:uiPriority w:val="0"/>
    <w:pPr>
      <w:snapToGrid w:val="0"/>
      <w:spacing w:line="360" w:lineRule="auto"/>
      <w:ind w:firstLine="420" w:firstLineChars="200"/>
    </w:pPr>
    <w:rPr>
      <w:rFonts w:ascii="Times New Roman" w:hAnsi="Times New Roman" w:eastAsia="宋体" w:cs="Times New Roman"/>
      <w:color w:val="auto"/>
      <w:sz w:val="24"/>
      <w:vertAlign w:val="baseline"/>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3" Type="http://schemas.openxmlformats.org/officeDocument/2006/relationships/fontTable" Target="fontTable.xml"/><Relationship Id="rId62" Type="http://schemas.openxmlformats.org/officeDocument/2006/relationships/numbering" Target="numbering.xml"/><Relationship Id="rId61" Type="http://schemas.openxmlformats.org/officeDocument/2006/relationships/customXml" Target="../customXml/item1.xml"/><Relationship Id="rId60" Type="http://schemas.openxmlformats.org/officeDocument/2006/relationships/image" Target="media/image41.png"/><Relationship Id="rId6" Type="http://schemas.openxmlformats.org/officeDocument/2006/relationships/header" Target="header2.xml"/><Relationship Id="rId59" Type="http://schemas.openxmlformats.org/officeDocument/2006/relationships/image" Target="media/image40.png"/><Relationship Id="rId58" Type="http://schemas.openxmlformats.org/officeDocument/2006/relationships/image" Target="media/image39.jpeg"/><Relationship Id="rId57" Type="http://schemas.openxmlformats.org/officeDocument/2006/relationships/image" Target="media/image38.jpeg"/><Relationship Id="rId56" Type="http://schemas.openxmlformats.org/officeDocument/2006/relationships/image" Target="media/image37.wmf"/><Relationship Id="rId55" Type="http://schemas.openxmlformats.org/officeDocument/2006/relationships/oleObject" Target="embeddings/oleObject6.bin"/><Relationship Id="rId54" Type="http://schemas.openxmlformats.org/officeDocument/2006/relationships/image" Target="media/image36.wmf"/><Relationship Id="rId53" Type="http://schemas.openxmlformats.org/officeDocument/2006/relationships/oleObject" Target="embeddings/oleObject5.bin"/><Relationship Id="rId52" Type="http://schemas.openxmlformats.org/officeDocument/2006/relationships/image" Target="media/image35.wmf"/><Relationship Id="rId51" Type="http://schemas.openxmlformats.org/officeDocument/2006/relationships/oleObject" Target="embeddings/oleObject4.bin"/><Relationship Id="rId50" Type="http://schemas.openxmlformats.org/officeDocument/2006/relationships/image" Target="media/image34.wmf"/><Relationship Id="rId5" Type="http://schemas.openxmlformats.org/officeDocument/2006/relationships/header" Target="header1.xml"/><Relationship Id="rId49" Type="http://schemas.openxmlformats.org/officeDocument/2006/relationships/oleObject" Target="embeddings/oleObject3.bin"/><Relationship Id="rId48" Type="http://schemas.openxmlformats.org/officeDocument/2006/relationships/image" Target="media/image33.wmf"/><Relationship Id="rId47" Type="http://schemas.openxmlformats.org/officeDocument/2006/relationships/oleObject" Target="embeddings/oleObject2.bin"/><Relationship Id="rId46" Type="http://schemas.openxmlformats.org/officeDocument/2006/relationships/image" Target="media/image32.wmf"/><Relationship Id="rId45" Type="http://schemas.openxmlformats.org/officeDocument/2006/relationships/image" Target="media/image31.wmf"/><Relationship Id="rId44" Type="http://schemas.openxmlformats.org/officeDocument/2006/relationships/oleObject" Target="embeddings/oleObject1.bin"/><Relationship Id="rId43" Type="http://schemas.openxmlformats.org/officeDocument/2006/relationships/image" Target="media/image30.png"/><Relationship Id="rId42" Type="http://schemas.openxmlformats.org/officeDocument/2006/relationships/image" Target="media/image29.png"/><Relationship Id="rId41" Type="http://schemas.openxmlformats.org/officeDocument/2006/relationships/image" Target="media/image28.jpeg"/><Relationship Id="rId40" Type="http://schemas.openxmlformats.org/officeDocument/2006/relationships/image" Target="media/image27.png"/><Relationship Id="rId4" Type="http://schemas.openxmlformats.org/officeDocument/2006/relationships/endnotes" Target="endnotes.xml"/><Relationship Id="rId39" Type="http://schemas.openxmlformats.org/officeDocument/2006/relationships/image" Target="media/image26.png"/><Relationship Id="rId38" Type="http://schemas.openxmlformats.org/officeDocument/2006/relationships/image" Target="media/image25.png"/><Relationship Id="rId37" Type="http://schemas.openxmlformats.org/officeDocument/2006/relationships/image" Target="media/image24.png"/><Relationship Id="rId36" Type="http://schemas.openxmlformats.org/officeDocument/2006/relationships/image" Target="media/image23.png"/><Relationship Id="rId35" Type="http://schemas.openxmlformats.org/officeDocument/2006/relationships/image" Target="media/image22.png"/><Relationship Id="rId34" Type="http://schemas.openxmlformats.org/officeDocument/2006/relationships/image" Target="media/image21.png"/><Relationship Id="rId33" Type="http://schemas.openxmlformats.org/officeDocument/2006/relationships/image" Target="media/image20.png"/><Relationship Id="rId32" Type="http://schemas.openxmlformats.org/officeDocument/2006/relationships/image" Target="media/image19.png"/><Relationship Id="rId31" Type="http://schemas.openxmlformats.org/officeDocument/2006/relationships/image" Target="media/image18.emf"/><Relationship Id="rId30" Type="http://schemas.openxmlformats.org/officeDocument/2006/relationships/image" Target="media/image17.png"/><Relationship Id="rId3" Type="http://schemas.openxmlformats.org/officeDocument/2006/relationships/footnotes" Target="footnotes.xml"/><Relationship Id="rId29" Type="http://schemas.openxmlformats.org/officeDocument/2006/relationships/image" Target="media/image16.png"/><Relationship Id="rId28" Type="http://schemas.openxmlformats.org/officeDocument/2006/relationships/image" Target="media/image15.png"/><Relationship Id="rId27" Type="http://schemas.openxmlformats.org/officeDocument/2006/relationships/image" Target="media/image14.png"/><Relationship Id="rId26" Type="http://schemas.openxmlformats.org/officeDocument/2006/relationships/image" Target="media/image13.jpeg"/><Relationship Id="rId25" Type="http://schemas.openxmlformats.org/officeDocument/2006/relationships/image" Target="media/image12.png"/><Relationship Id="rId24" Type="http://schemas.openxmlformats.org/officeDocument/2006/relationships/image" Target="media/image11.jpeg"/><Relationship Id="rId23" Type="http://schemas.openxmlformats.org/officeDocument/2006/relationships/image" Target="media/image10.png"/><Relationship Id="rId22" Type="http://schemas.openxmlformats.org/officeDocument/2006/relationships/image" Target="media/image9.png"/><Relationship Id="rId21" Type="http://schemas.openxmlformats.org/officeDocument/2006/relationships/image" Target="media/image8.png"/><Relationship Id="rId20" Type="http://schemas.openxmlformats.org/officeDocument/2006/relationships/image" Target="media/image7.png"/><Relationship Id="rId2" Type="http://schemas.openxmlformats.org/officeDocument/2006/relationships/settings" Target="settings.xml"/><Relationship Id="rId19" Type="http://schemas.openxmlformats.org/officeDocument/2006/relationships/image" Target="media/image6.png"/><Relationship Id="rId18" Type="http://schemas.openxmlformats.org/officeDocument/2006/relationships/image" Target="media/image5.png"/><Relationship Id="rId17" Type="http://schemas.openxmlformats.org/officeDocument/2006/relationships/image" Target="media/image4.png"/><Relationship Id="rId16" Type="http://schemas.openxmlformats.org/officeDocument/2006/relationships/image" Target="media/image3.png"/><Relationship Id="rId15" Type="http://schemas.openxmlformats.org/officeDocument/2006/relationships/image" Target="media/image2.png"/><Relationship Id="rId14" Type="http://schemas.openxmlformats.org/officeDocument/2006/relationships/image" Target="media/image1.png"/><Relationship Id="rId13" Type="http://schemas.openxmlformats.org/officeDocument/2006/relationships/theme" Target="theme/theme1.xml"/><Relationship Id="rId12" Type="http://schemas.openxmlformats.org/officeDocument/2006/relationships/footer" Target="footer4.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105</Pages>
  <Words>48555</Words>
  <Characters>53759</Characters>
  <Lines>382</Lines>
  <Paragraphs>107</Paragraphs>
  <TotalTime>22</TotalTime>
  <ScaleCrop>false</ScaleCrop>
  <LinksUpToDate>false</LinksUpToDate>
  <CharactersWithSpaces>53901</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2020-12-24T01:42:00Z</dcterms:created>
  <dc:creator>lhj</dc:creator>
  <cp:lastModifiedBy>黑白格</cp:lastModifiedBy>
  <cp:lastPrinted>2020-12-24T01:50:00Z</cp:lastPrinted>
  <dcterms:modified xsi:type="dcterms:W3CDTF">2023-09-07T09:05:20Z</dcterms:modified>
  <cp:revision>125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32CD844EAE8742AA83394C0B7743152F_13</vt:lpwstr>
  </property>
</Properties>
</file>