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1年</w:t>
      </w:r>
      <w:r w:rsidR="00E856C1">
        <w:rPr>
          <w:rFonts w:ascii="方正小标宋简体" w:eastAsia="方正小标宋简体" w:hint="eastAsia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8C5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E856C1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D55E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本月监测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的14个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国考地表水河流断面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>
        <w:rPr>
          <w:rFonts w:ascii="仿宋_GB2312" w:eastAsia="仿宋_GB2312" w:hAnsi="仿宋_GB2312" w:cs="仿宋_GB2312" w:hint="eastAsia"/>
          <w:sz w:val="32"/>
          <w:szCs w:val="32"/>
        </w:rPr>
        <w:t>14个，占监测断面总数的100.0%。承德市地表水水质状况详见下表：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A462B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承德市</w:t>
      </w:r>
      <w:r w:rsidR="00E856C1"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817"/>
        <w:gridCol w:w="4885"/>
      </w:tblGrid>
      <w:tr w:rsidR="00DA7324">
        <w:trPr>
          <w:trHeight w:val="636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E856C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r w:rsidRPr="00C85B27">
              <w:rPr>
                <w:rFonts w:hint="eastAsia"/>
                <w:sz w:val="22"/>
                <w:szCs w:val="22"/>
              </w:rPr>
              <w:t>Ⅰ</w:t>
            </w:r>
            <w:bookmarkEnd w:id="0"/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滦河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C85B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B77E5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伊逊河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李台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C85B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柳河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90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瀑河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党坝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C85B2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AA0686">
              <w:rPr>
                <w:rFonts w:hint="eastAsia"/>
                <w:sz w:val="22"/>
                <w:szCs w:val="22"/>
              </w:rPr>
              <w:t>Ⅰ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根据承德市环境监控中心监测结果，本月实际监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境跨县界生态补偿断面需要公开的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个断面水质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全部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1D55EB"/>
    <w:rsid w:val="00205179"/>
    <w:rsid w:val="002453D6"/>
    <w:rsid w:val="00297926"/>
    <w:rsid w:val="002A6065"/>
    <w:rsid w:val="002B1783"/>
    <w:rsid w:val="0035239A"/>
    <w:rsid w:val="0036413C"/>
    <w:rsid w:val="003677C0"/>
    <w:rsid w:val="00412F1A"/>
    <w:rsid w:val="004235C7"/>
    <w:rsid w:val="00466DE6"/>
    <w:rsid w:val="00496ADD"/>
    <w:rsid w:val="004A2C6D"/>
    <w:rsid w:val="00554D7E"/>
    <w:rsid w:val="005765EF"/>
    <w:rsid w:val="00587F97"/>
    <w:rsid w:val="0059297C"/>
    <w:rsid w:val="005A3DFF"/>
    <w:rsid w:val="005D724F"/>
    <w:rsid w:val="005E5319"/>
    <w:rsid w:val="006412DF"/>
    <w:rsid w:val="0066531C"/>
    <w:rsid w:val="00687D7F"/>
    <w:rsid w:val="006B4592"/>
    <w:rsid w:val="006C07F8"/>
    <w:rsid w:val="00716F1E"/>
    <w:rsid w:val="00782824"/>
    <w:rsid w:val="007A60CB"/>
    <w:rsid w:val="007B702D"/>
    <w:rsid w:val="007F3853"/>
    <w:rsid w:val="00815995"/>
    <w:rsid w:val="00857503"/>
    <w:rsid w:val="00892BD0"/>
    <w:rsid w:val="008C5DAD"/>
    <w:rsid w:val="009025A1"/>
    <w:rsid w:val="00920B1E"/>
    <w:rsid w:val="00921A3C"/>
    <w:rsid w:val="009406B4"/>
    <w:rsid w:val="009931F2"/>
    <w:rsid w:val="009A0F59"/>
    <w:rsid w:val="009E1A27"/>
    <w:rsid w:val="00A462BE"/>
    <w:rsid w:val="00A71C0C"/>
    <w:rsid w:val="00AA0686"/>
    <w:rsid w:val="00AF4688"/>
    <w:rsid w:val="00B24753"/>
    <w:rsid w:val="00B2767A"/>
    <w:rsid w:val="00B652F0"/>
    <w:rsid w:val="00B77E5A"/>
    <w:rsid w:val="00BA63F8"/>
    <w:rsid w:val="00BD4A84"/>
    <w:rsid w:val="00BF0BB9"/>
    <w:rsid w:val="00C2276D"/>
    <w:rsid w:val="00C421A1"/>
    <w:rsid w:val="00C85B27"/>
    <w:rsid w:val="00CA7A07"/>
    <w:rsid w:val="00D01125"/>
    <w:rsid w:val="00D20749"/>
    <w:rsid w:val="00D21D97"/>
    <w:rsid w:val="00DA7324"/>
    <w:rsid w:val="00DC129E"/>
    <w:rsid w:val="00E1369A"/>
    <w:rsid w:val="00E23F7A"/>
    <w:rsid w:val="00E35ECD"/>
    <w:rsid w:val="00E73DAE"/>
    <w:rsid w:val="00E856C1"/>
    <w:rsid w:val="00EA7441"/>
    <w:rsid w:val="00F12434"/>
    <w:rsid w:val="00F619C9"/>
    <w:rsid w:val="00F83524"/>
    <w:rsid w:val="00F95BBA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2FB8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A03F79-3962-45A8-813D-88DBE208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3</cp:revision>
  <dcterms:created xsi:type="dcterms:W3CDTF">2021-05-27T08:31:00Z</dcterms:created>
  <dcterms:modified xsi:type="dcterms:W3CDTF">2021-06-09T03:20:00Z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