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EB638C">
      <w:pPr>
        <w:jc w:val="center"/>
        <w:rPr>
          <w:rFonts w:eastAsia="黑体"/>
          <w:b/>
          <w:bCs/>
          <w:kern w:val="0"/>
          <w:sz w:val="44"/>
          <w:szCs w:val="30"/>
        </w:rPr>
      </w:pPr>
    </w:p>
    <w:p w14:paraId="6456CADF">
      <w:pPr>
        <w:jc w:val="center"/>
        <w:rPr>
          <w:rFonts w:eastAsia="黑体"/>
          <w:b/>
          <w:bCs/>
          <w:kern w:val="0"/>
          <w:sz w:val="44"/>
          <w:szCs w:val="30"/>
        </w:rPr>
      </w:pPr>
    </w:p>
    <w:p w14:paraId="70B1C51E">
      <w:pPr>
        <w:jc w:val="center"/>
        <w:rPr>
          <w:rFonts w:eastAsia="黑体"/>
          <w:b/>
          <w:bCs/>
          <w:kern w:val="0"/>
          <w:sz w:val="44"/>
          <w:szCs w:val="30"/>
        </w:rPr>
      </w:pPr>
    </w:p>
    <w:p w14:paraId="1065B913">
      <w:pPr>
        <w:jc w:val="center"/>
        <w:rPr>
          <w:rFonts w:eastAsia="黑体"/>
          <w:b/>
          <w:bCs/>
          <w:kern w:val="0"/>
          <w:sz w:val="44"/>
          <w:szCs w:val="44"/>
        </w:rPr>
      </w:pPr>
      <w:bookmarkStart w:id="0" w:name="OLE_LINK5"/>
      <w:r>
        <w:rPr>
          <w:rFonts w:hint="eastAsia" w:eastAsia="黑体"/>
          <w:b/>
          <w:bCs/>
          <w:kern w:val="0"/>
          <w:sz w:val="44"/>
          <w:szCs w:val="44"/>
        </w:rPr>
        <w:t>滦平县潮河干流</w:t>
      </w:r>
    </w:p>
    <w:p w14:paraId="3F449C04">
      <w:pPr>
        <w:jc w:val="center"/>
        <w:rPr>
          <w:rFonts w:eastAsia="黑体"/>
          <w:b/>
          <w:bCs/>
          <w:kern w:val="0"/>
          <w:sz w:val="44"/>
          <w:szCs w:val="44"/>
        </w:rPr>
      </w:pPr>
      <w:r>
        <w:rPr>
          <w:rFonts w:hint="eastAsia" w:eastAsia="黑体"/>
          <w:b/>
          <w:bCs/>
          <w:kern w:val="0"/>
          <w:sz w:val="44"/>
          <w:szCs w:val="44"/>
        </w:rPr>
        <w:t>河道水质改善与生态修复工程</w:t>
      </w:r>
    </w:p>
    <w:bookmarkEnd w:id="0"/>
    <w:p w14:paraId="46221F98">
      <w:pPr>
        <w:jc w:val="center"/>
        <w:rPr>
          <w:rFonts w:eastAsia="黑体"/>
          <w:b/>
          <w:kern w:val="0"/>
          <w:sz w:val="90"/>
          <w:szCs w:val="22"/>
        </w:rPr>
      </w:pPr>
      <w:r>
        <w:rPr>
          <w:rFonts w:eastAsia="黑体"/>
          <w:b/>
          <w:kern w:val="0"/>
          <w:sz w:val="90"/>
          <w:szCs w:val="22"/>
        </w:rPr>
        <w:t>环境影响报告书</w:t>
      </w:r>
    </w:p>
    <w:p w14:paraId="2622D167">
      <w:pPr>
        <w:jc w:val="center"/>
        <w:rPr>
          <w:rFonts w:asciiTheme="minorEastAsia" w:hAnsiTheme="minorEastAsia" w:eastAsiaTheme="minorEastAsia"/>
          <w:kern w:val="0"/>
          <w:sz w:val="36"/>
          <w:szCs w:val="36"/>
        </w:rPr>
      </w:pPr>
      <w:bookmarkStart w:id="169" w:name="_GoBack"/>
      <w:bookmarkEnd w:id="169"/>
    </w:p>
    <w:p w14:paraId="20C82553">
      <w:pPr>
        <w:jc w:val="center"/>
        <w:rPr>
          <w:rFonts w:eastAsia="仿宋_GB2312"/>
          <w:kern w:val="0"/>
          <w:sz w:val="32"/>
          <w:szCs w:val="32"/>
        </w:rPr>
      </w:pPr>
    </w:p>
    <w:p w14:paraId="394CB0E0">
      <w:pPr>
        <w:jc w:val="center"/>
        <w:rPr>
          <w:kern w:val="0"/>
        </w:rPr>
      </w:pPr>
    </w:p>
    <w:p w14:paraId="4E2A6567">
      <w:pPr>
        <w:jc w:val="center"/>
        <w:rPr>
          <w:kern w:val="0"/>
        </w:rPr>
      </w:pPr>
    </w:p>
    <w:p w14:paraId="4B810D10">
      <w:pPr>
        <w:jc w:val="center"/>
        <w:rPr>
          <w:kern w:val="0"/>
        </w:rPr>
      </w:pPr>
    </w:p>
    <w:p w14:paraId="30DF0730">
      <w:pPr>
        <w:jc w:val="center"/>
        <w:rPr>
          <w:kern w:val="0"/>
        </w:rPr>
      </w:pPr>
    </w:p>
    <w:p w14:paraId="7723973F">
      <w:pPr>
        <w:jc w:val="center"/>
        <w:rPr>
          <w:kern w:val="0"/>
        </w:rPr>
      </w:pPr>
    </w:p>
    <w:p w14:paraId="2B6E51C9">
      <w:pPr>
        <w:jc w:val="center"/>
        <w:rPr>
          <w:kern w:val="0"/>
        </w:rPr>
      </w:pPr>
    </w:p>
    <w:p w14:paraId="42445646">
      <w:pPr>
        <w:jc w:val="center"/>
        <w:rPr>
          <w:kern w:val="0"/>
        </w:rPr>
      </w:pPr>
    </w:p>
    <w:p w14:paraId="52AE957E">
      <w:pPr>
        <w:jc w:val="center"/>
        <w:rPr>
          <w:kern w:val="0"/>
        </w:rPr>
      </w:pPr>
    </w:p>
    <w:p w14:paraId="0EA9E95B">
      <w:pPr>
        <w:jc w:val="center"/>
        <w:rPr>
          <w:kern w:val="0"/>
        </w:rPr>
      </w:pPr>
    </w:p>
    <w:p w14:paraId="2769EEB9">
      <w:pPr>
        <w:jc w:val="center"/>
        <w:rPr>
          <w:kern w:val="0"/>
        </w:rPr>
      </w:pPr>
    </w:p>
    <w:p w14:paraId="25F7FE8F">
      <w:pPr>
        <w:jc w:val="center"/>
        <w:rPr>
          <w:kern w:val="0"/>
        </w:rPr>
      </w:pPr>
    </w:p>
    <w:p w14:paraId="35ED7523">
      <w:pPr>
        <w:jc w:val="center"/>
        <w:rPr>
          <w:kern w:val="0"/>
        </w:rPr>
      </w:pPr>
    </w:p>
    <w:p w14:paraId="71B39A9A">
      <w:pPr>
        <w:jc w:val="center"/>
        <w:rPr>
          <w:kern w:val="0"/>
        </w:rPr>
      </w:pPr>
    </w:p>
    <w:p w14:paraId="123EEC73">
      <w:pPr>
        <w:jc w:val="center"/>
        <w:rPr>
          <w:kern w:val="0"/>
        </w:rPr>
      </w:pPr>
    </w:p>
    <w:p w14:paraId="1301BDD7">
      <w:pPr>
        <w:jc w:val="center"/>
        <w:rPr>
          <w:kern w:val="0"/>
        </w:rPr>
      </w:pPr>
    </w:p>
    <w:p w14:paraId="44DC8E36">
      <w:pPr>
        <w:jc w:val="center"/>
        <w:rPr>
          <w:kern w:val="0"/>
        </w:rPr>
      </w:pPr>
    </w:p>
    <w:p w14:paraId="5C4894CB">
      <w:pPr>
        <w:jc w:val="center"/>
        <w:rPr>
          <w:kern w:val="0"/>
        </w:rPr>
      </w:pPr>
    </w:p>
    <w:p w14:paraId="67810E27">
      <w:pPr>
        <w:jc w:val="center"/>
        <w:rPr>
          <w:kern w:val="0"/>
        </w:rPr>
      </w:pPr>
    </w:p>
    <w:p w14:paraId="5D08E946">
      <w:pPr>
        <w:jc w:val="center"/>
        <w:rPr>
          <w:kern w:val="0"/>
        </w:rPr>
      </w:pPr>
    </w:p>
    <w:p w14:paraId="39EA0CFA">
      <w:pPr>
        <w:jc w:val="center"/>
        <w:rPr>
          <w:kern w:val="0"/>
        </w:rPr>
      </w:pPr>
    </w:p>
    <w:p w14:paraId="6300B7E6">
      <w:pPr>
        <w:spacing w:line="360" w:lineRule="auto"/>
        <w:ind w:firstLine="1287" w:firstLineChars="429"/>
        <w:rPr>
          <w:rFonts w:eastAsia="黑体"/>
          <w:b/>
          <w:kern w:val="0"/>
          <w:sz w:val="30"/>
          <w:szCs w:val="22"/>
        </w:rPr>
      </w:pPr>
      <w:r>
        <w:rPr>
          <w:rFonts w:hint="eastAsia" w:eastAsia="黑体"/>
          <w:kern w:val="0"/>
          <w:sz w:val="30"/>
          <w:szCs w:val="22"/>
        </w:rPr>
        <w:t>建设</w:t>
      </w:r>
      <w:r>
        <w:rPr>
          <w:rFonts w:eastAsia="黑体"/>
          <w:kern w:val="0"/>
          <w:sz w:val="30"/>
          <w:szCs w:val="22"/>
        </w:rPr>
        <w:t>单位：</w:t>
      </w:r>
      <w:r>
        <w:rPr>
          <w:rFonts w:hint="eastAsia" w:eastAsia="黑体"/>
          <w:kern w:val="0"/>
          <w:sz w:val="30"/>
          <w:szCs w:val="22"/>
        </w:rPr>
        <w:t>滦平县水务局</w:t>
      </w:r>
    </w:p>
    <w:p w14:paraId="2D9BCDAB">
      <w:pPr>
        <w:spacing w:line="360" w:lineRule="auto"/>
        <w:ind w:firstLine="1287" w:firstLineChars="429"/>
        <w:rPr>
          <w:rFonts w:eastAsia="黑体"/>
          <w:kern w:val="0"/>
          <w:sz w:val="30"/>
          <w:szCs w:val="22"/>
        </w:rPr>
      </w:pPr>
      <w:r>
        <w:rPr>
          <w:rFonts w:eastAsia="黑体"/>
          <w:kern w:val="0"/>
          <w:sz w:val="30"/>
          <w:szCs w:val="22"/>
        </w:rPr>
        <w:t>环评单位：河北澳佳环境科技有限公司</w:t>
      </w:r>
    </w:p>
    <w:p w14:paraId="4D2DEE2A">
      <w:pPr>
        <w:spacing w:line="360" w:lineRule="auto"/>
        <w:ind w:firstLine="1287" w:firstLineChars="429"/>
        <w:rPr>
          <w:rFonts w:eastAsia="黑体"/>
          <w:kern w:val="0"/>
          <w:sz w:val="30"/>
          <w:szCs w:val="22"/>
        </w:rPr>
      </w:pPr>
      <w:r>
        <w:rPr>
          <w:rFonts w:eastAsia="黑体"/>
          <w:kern w:val="0"/>
          <w:sz w:val="30"/>
          <w:szCs w:val="22"/>
        </w:rPr>
        <w:t>完成时间：2025年5月</w:t>
      </w:r>
    </w:p>
    <w:p w14:paraId="7616A150">
      <w:pPr>
        <w:ind w:firstLine="1500" w:firstLineChars="500"/>
        <w:rPr>
          <w:rFonts w:eastAsia="黑体"/>
          <w:kern w:val="0"/>
          <w:sz w:val="30"/>
        </w:rPr>
      </w:pPr>
    </w:p>
    <w:p w14:paraId="5D377505">
      <w:pPr>
        <w:ind w:firstLine="1500" w:firstLineChars="500"/>
        <w:rPr>
          <w:rFonts w:eastAsia="黑体"/>
          <w:kern w:val="0"/>
          <w:sz w:val="30"/>
        </w:rPr>
      </w:pPr>
    </w:p>
    <w:p w14:paraId="33911D81">
      <w:pPr>
        <w:ind w:firstLine="1500" w:firstLineChars="500"/>
        <w:rPr>
          <w:rFonts w:eastAsia="黑体"/>
          <w:kern w:val="0"/>
          <w:sz w:val="30"/>
        </w:rPr>
      </w:pPr>
    </w:p>
    <w:p w14:paraId="1E5B861D">
      <w:pPr>
        <w:rPr>
          <w:rFonts w:eastAsia="黑体"/>
          <w:b/>
          <w:kern w:val="0"/>
          <w:sz w:val="30"/>
          <w:szCs w:val="28"/>
        </w:rPr>
        <w:sectPr>
          <w:footerReference r:id="rId4" w:type="default"/>
          <w:headerReference r:id="rId3" w:type="even"/>
          <w:pgSz w:w="11906" w:h="16838"/>
          <w:pgMar w:top="2007" w:right="1797" w:bottom="1724" w:left="1797" w:header="1418" w:footer="1162" w:gutter="0"/>
          <w:cols w:space="720" w:num="1"/>
          <w:docGrid w:linePitch="312" w:charSpace="0"/>
        </w:sectPr>
      </w:pPr>
    </w:p>
    <w:p w14:paraId="7D3C3A9F">
      <w:pPr>
        <w:rPr>
          <w:rFonts w:eastAsia="黑体"/>
          <w:b/>
          <w:kern w:val="0"/>
          <w:sz w:val="30"/>
          <w:szCs w:val="28"/>
        </w:rPr>
      </w:pPr>
    </w:p>
    <w:p w14:paraId="0AA1E897">
      <w:pPr>
        <w:rPr>
          <w:rFonts w:eastAsia="黑体"/>
          <w:kern w:val="0"/>
          <w:sz w:val="30"/>
          <w:szCs w:val="28"/>
        </w:rPr>
      </w:pPr>
    </w:p>
    <w:p w14:paraId="0064A208">
      <w:pPr>
        <w:rPr>
          <w:rFonts w:eastAsia="黑体"/>
          <w:kern w:val="0"/>
          <w:sz w:val="30"/>
          <w:szCs w:val="28"/>
        </w:rPr>
      </w:pPr>
    </w:p>
    <w:p w14:paraId="2FA8B0B9">
      <w:pPr>
        <w:rPr>
          <w:rFonts w:eastAsia="黑体"/>
          <w:kern w:val="0"/>
          <w:sz w:val="30"/>
          <w:szCs w:val="28"/>
        </w:rPr>
      </w:pPr>
    </w:p>
    <w:p w14:paraId="75907C4D">
      <w:pPr>
        <w:rPr>
          <w:rFonts w:eastAsia="黑体"/>
          <w:kern w:val="0"/>
          <w:sz w:val="30"/>
          <w:szCs w:val="28"/>
        </w:rPr>
      </w:pPr>
    </w:p>
    <w:p w14:paraId="42FD8F0F">
      <w:pPr>
        <w:rPr>
          <w:rFonts w:eastAsia="黑体"/>
          <w:kern w:val="0"/>
          <w:sz w:val="30"/>
          <w:szCs w:val="28"/>
        </w:rPr>
      </w:pPr>
    </w:p>
    <w:p w14:paraId="1465FA4F">
      <w:pPr>
        <w:rPr>
          <w:rFonts w:eastAsia="黑体"/>
          <w:kern w:val="0"/>
          <w:sz w:val="30"/>
          <w:szCs w:val="28"/>
        </w:rPr>
      </w:pPr>
    </w:p>
    <w:p w14:paraId="27406398">
      <w:pPr>
        <w:rPr>
          <w:rFonts w:eastAsia="黑体"/>
          <w:kern w:val="0"/>
          <w:sz w:val="30"/>
          <w:szCs w:val="28"/>
        </w:rPr>
      </w:pPr>
    </w:p>
    <w:p w14:paraId="6C398F37">
      <w:pPr>
        <w:rPr>
          <w:rFonts w:eastAsia="黑体"/>
          <w:kern w:val="0"/>
          <w:sz w:val="30"/>
          <w:szCs w:val="28"/>
        </w:rPr>
      </w:pPr>
    </w:p>
    <w:p w14:paraId="77381861">
      <w:pPr>
        <w:rPr>
          <w:rFonts w:eastAsia="黑体"/>
          <w:kern w:val="0"/>
          <w:sz w:val="30"/>
          <w:szCs w:val="28"/>
        </w:rPr>
      </w:pPr>
    </w:p>
    <w:p w14:paraId="3E0C348E">
      <w:pPr>
        <w:rPr>
          <w:rFonts w:eastAsia="黑体"/>
          <w:kern w:val="0"/>
          <w:sz w:val="30"/>
          <w:szCs w:val="28"/>
        </w:rPr>
      </w:pPr>
    </w:p>
    <w:p w14:paraId="7548F40A">
      <w:pPr>
        <w:rPr>
          <w:rFonts w:eastAsia="黑体"/>
          <w:kern w:val="0"/>
          <w:sz w:val="30"/>
          <w:szCs w:val="28"/>
        </w:rPr>
      </w:pPr>
    </w:p>
    <w:p w14:paraId="0AC71647">
      <w:pPr>
        <w:rPr>
          <w:rFonts w:eastAsia="黑体"/>
          <w:kern w:val="0"/>
          <w:sz w:val="30"/>
          <w:szCs w:val="28"/>
        </w:rPr>
      </w:pPr>
    </w:p>
    <w:p w14:paraId="12AE51FA">
      <w:pPr>
        <w:rPr>
          <w:rFonts w:eastAsia="黑体"/>
          <w:kern w:val="0"/>
          <w:sz w:val="30"/>
          <w:szCs w:val="28"/>
        </w:rPr>
      </w:pPr>
    </w:p>
    <w:p w14:paraId="448B8F6E">
      <w:pPr>
        <w:rPr>
          <w:rFonts w:eastAsia="黑体"/>
          <w:kern w:val="0"/>
          <w:sz w:val="30"/>
          <w:szCs w:val="28"/>
        </w:rPr>
      </w:pPr>
    </w:p>
    <w:p w14:paraId="390A3DDC">
      <w:pPr>
        <w:rPr>
          <w:rFonts w:eastAsia="黑体"/>
          <w:kern w:val="0"/>
          <w:sz w:val="30"/>
          <w:szCs w:val="28"/>
        </w:rPr>
      </w:pPr>
    </w:p>
    <w:p w14:paraId="58F40506">
      <w:pPr>
        <w:rPr>
          <w:rFonts w:eastAsia="黑体"/>
          <w:kern w:val="0"/>
          <w:sz w:val="30"/>
          <w:szCs w:val="28"/>
        </w:rPr>
      </w:pPr>
    </w:p>
    <w:p w14:paraId="2471AACC">
      <w:pPr>
        <w:rPr>
          <w:rFonts w:eastAsia="黑体"/>
          <w:kern w:val="0"/>
          <w:sz w:val="30"/>
          <w:szCs w:val="28"/>
        </w:rPr>
      </w:pPr>
    </w:p>
    <w:p w14:paraId="37B21200">
      <w:pPr>
        <w:rPr>
          <w:rFonts w:eastAsia="黑体"/>
          <w:kern w:val="0"/>
          <w:sz w:val="30"/>
          <w:szCs w:val="28"/>
        </w:rPr>
      </w:pPr>
    </w:p>
    <w:p w14:paraId="45696530">
      <w:pPr>
        <w:rPr>
          <w:rFonts w:eastAsia="黑体"/>
          <w:kern w:val="0"/>
          <w:sz w:val="30"/>
          <w:szCs w:val="28"/>
        </w:rPr>
      </w:pPr>
    </w:p>
    <w:p w14:paraId="775BBE72">
      <w:pPr>
        <w:rPr>
          <w:rFonts w:eastAsia="黑体"/>
          <w:kern w:val="0"/>
          <w:sz w:val="30"/>
          <w:szCs w:val="28"/>
        </w:rPr>
      </w:pPr>
    </w:p>
    <w:p w14:paraId="15A61DB8">
      <w:pPr>
        <w:rPr>
          <w:rFonts w:eastAsia="黑体"/>
          <w:kern w:val="0"/>
          <w:sz w:val="30"/>
          <w:szCs w:val="28"/>
        </w:rPr>
      </w:pPr>
    </w:p>
    <w:p w14:paraId="47B82CD7">
      <w:pPr>
        <w:rPr>
          <w:rFonts w:eastAsia="黑体"/>
          <w:kern w:val="0"/>
          <w:sz w:val="30"/>
          <w:szCs w:val="28"/>
        </w:rPr>
        <w:sectPr>
          <w:headerReference r:id="rId5" w:type="even"/>
          <w:pgSz w:w="11906" w:h="16838"/>
          <w:pgMar w:top="2007" w:right="1797" w:bottom="1724" w:left="1797" w:header="1418" w:footer="1162" w:gutter="0"/>
          <w:cols w:space="720" w:num="1"/>
          <w:docGrid w:linePitch="312" w:charSpace="0"/>
        </w:sectPr>
      </w:pPr>
    </w:p>
    <w:p w14:paraId="383C56BD">
      <w:pPr>
        <w:pStyle w:val="43"/>
        <w:tabs>
          <w:tab w:val="right" w:leader="dot" w:pos="8302"/>
        </w:tabs>
        <w:spacing w:line="500" w:lineRule="exact"/>
        <w:jc w:val="center"/>
        <w:rPr>
          <w:rFonts w:eastAsia="黑体"/>
          <w:kern w:val="0"/>
          <w:sz w:val="24"/>
        </w:rPr>
      </w:pPr>
      <w:r>
        <w:rPr>
          <w:rFonts w:hint="eastAsia" w:eastAsia="黑体"/>
          <w:kern w:val="0"/>
          <w:sz w:val="24"/>
        </w:rPr>
        <w:t>目  录</w:t>
      </w:r>
    </w:p>
    <w:p w14:paraId="69C3ACAA">
      <w:pPr>
        <w:pStyle w:val="43"/>
        <w:tabs>
          <w:tab w:val="right" w:leader="dot" w:pos="8302"/>
        </w:tabs>
        <w:rPr>
          <w:rFonts w:asciiTheme="minorHAnsi" w:hAnsiTheme="minorHAnsi" w:eastAsiaTheme="minorEastAsia" w:cstheme="minorBidi"/>
          <w:szCs w:val="22"/>
        </w:rPr>
      </w:pPr>
      <w:r>
        <w:rPr>
          <w:rFonts w:eastAsia="黑体"/>
          <w:kern w:val="0"/>
          <w:sz w:val="24"/>
        </w:rPr>
        <w:fldChar w:fldCharType="begin"/>
      </w:r>
      <w:r>
        <w:rPr>
          <w:rFonts w:eastAsia="黑体"/>
          <w:kern w:val="0"/>
          <w:sz w:val="24"/>
        </w:rPr>
        <w:instrText xml:space="preserve"> TOC \o "1-2" \h \z \u </w:instrText>
      </w:r>
      <w:r>
        <w:rPr>
          <w:rFonts w:eastAsia="黑体"/>
          <w:kern w:val="0"/>
          <w:sz w:val="24"/>
        </w:rPr>
        <w:fldChar w:fldCharType="separate"/>
      </w:r>
      <w:r>
        <w:fldChar w:fldCharType="begin"/>
      </w:r>
      <w:r>
        <w:instrText xml:space="preserve"> HYPERLINK \l "_Toc198733140" </w:instrText>
      </w:r>
      <w:r>
        <w:fldChar w:fldCharType="separate"/>
      </w:r>
      <w:r>
        <w:rPr>
          <w:rStyle w:val="68"/>
          <w:b/>
          <w:kern w:val="0"/>
        </w:rPr>
        <w:t>概述</w:t>
      </w:r>
      <w:r>
        <w:tab/>
      </w:r>
      <w:r>
        <w:fldChar w:fldCharType="begin"/>
      </w:r>
      <w:r>
        <w:instrText xml:space="preserve"> PAGEREF _Toc198733140 \h </w:instrText>
      </w:r>
      <w:r>
        <w:fldChar w:fldCharType="separate"/>
      </w:r>
      <w:r>
        <w:t>- 1 -</w:t>
      </w:r>
      <w:r>
        <w:fldChar w:fldCharType="end"/>
      </w:r>
      <w:r>
        <w:fldChar w:fldCharType="end"/>
      </w:r>
    </w:p>
    <w:p w14:paraId="12C3F524">
      <w:pPr>
        <w:pStyle w:val="43"/>
        <w:tabs>
          <w:tab w:val="right" w:leader="dot" w:pos="8302"/>
        </w:tabs>
        <w:rPr>
          <w:rFonts w:asciiTheme="minorHAnsi" w:hAnsiTheme="minorHAnsi" w:eastAsiaTheme="minorEastAsia" w:cstheme="minorBidi"/>
          <w:szCs w:val="22"/>
        </w:rPr>
      </w:pPr>
      <w:r>
        <w:fldChar w:fldCharType="begin"/>
      </w:r>
      <w:r>
        <w:instrText xml:space="preserve"> HYPERLINK \l "_Toc198733141" </w:instrText>
      </w:r>
      <w:r>
        <w:fldChar w:fldCharType="separate"/>
      </w:r>
      <w:r>
        <w:rPr>
          <w:rStyle w:val="68"/>
          <w:kern w:val="0"/>
        </w:rPr>
        <w:t>1 总则</w:t>
      </w:r>
      <w:r>
        <w:tab/>
      </w:r>
      <w:r>
        <w:fldChar w:fldCharType="begin"/>
      </w:r>
      <w:r>
        <w:instrText xml:space="preserve"> PAGEREF _Toc198733141 \h </w:instrText>
      </w:r>
      <w:r>
        <w:fldChar w:fldCharType="separate"/>
      </w:r>
      <w:r>
        <w:t>- 6 -</w:t>
      </w:r>
      <w:r>
        <w:fldChar w:fldCharType="end"/>
      </w:r>
      <w:r>
        <w:fldChar w:fldCharType="end"/>
      </w:r>
    </w:p>
    <w:p w14:paraId="02A01177">
      <w:pPr>
        <w:pStyle w:val="53"/>
        <w:rPr>
          <w:rFonts w:asciiTheme="minorHAnsi" w:hAnsiTheme="minorHAnsi" w:eastAsiaTheme="minorEastAsia" w:cstheme="minorBidi"/>
          <w:szCs w:val="22"/>
        </w:rPr>
      </w:pPr>
      <w:r>
        <w:fldChar w:fldCharType="begin"/>
      </w:r>
      <w:r>
        <w:instrText xml:space="preserve"> HYPERLINK \l "_Toc198733142" </w:instrText>
      </w:r>
      <w:r>
        <w:fldChar w:fldCharType="separate"/>
      </w:r>
      <w:r>
        <w:rPr>
          <w:rStyle w:val="68"/>
          <w:kern w:val="0"/>
        </w:rPr>
        <w:t>1.1 编制依据</w:t>
      </w:r>
      <w:r>
        <w:tab/>
      </w:r>
      <w:r>
        <w:fldChar w:fldCharType="begin"/>
      </w:r>
      <w:r>
        <w:instrText xml:space="preserve"> PAGEREF _Toc198733142 \h </w:instrText>
      </w:r>
      <w:r>
        <w:fldChar w:fldCharType="separate"/>
      </w:r>
      <w:r>
        <w:t>- 6 -</w:t>
      </w:r>
      <w:r>
        <w:fldChar w:fldCharType="end"/>
      </w:r>
      <w:r>
        <w:fldChar w:fldCharType="end"/>
      </w:r>
    </w:p>
    <w:p w14:paraId="51CABC39">
      <w:pPr>
        <w:pStyle w:val="53"/>
        <w:rPr>
          <w:rFonts w:asciiTheme="minorHAnsi" w:hAnsiTheme="minorHAnsi" w:eastAsiaTheme="minorEastAsia" w:cstheme="minorBidi"/>
          <w:szCs w:val="22"/>
        </w:rPr>
      </w:pPr>
      <w:r>
        <w:fldChar w:fldCharType="begin"/>
      </w:r>
      <w:r>
        <w:instrText xml:space="preserve"> HYPERLINK \l "_Toc198733143" </w:instrText>
      </w:r>
      <w:r>
        <w:fldChar w:fldCharType="separate"/>
      </w:r>
      <w:r>
        <w:rPr>
          <w:rStyle w:val="68"/>
          <w:kern w:val="0"/>
        </w:rPr>
        <w:t>1.2 评价目的</w:t>
      </w:r>
      <w:r>
        <w:tab/>
      </w:r>
      <w:r>
        <w:fldChar w:fldCharType="begin"/>
      </w:r>
      <w:r>
        <w:instrText xml:space="preserve"> PAGEREF _Toc198733143 \h </w:instrText>
      </w:r>
      <w:r>
        <w:fldChar w:fldCharType="separate"/>
      </w:r>
      <w:r>
        <w:t>- 13 -</w:t>
      </w:r>
      <w:r>
        <w:fldChar w:fldCharType="end"/>
      </w:r>
      <w:r>
        <w:fldChar w:fldCharType="end"/>
      </w:r>
    </w:p>
    <w:p w14:paraId="69A3C72D">
      <w:pPr>
        <w:pStyle w:val="53"/>
        <w:rPr>
          <w:rFonts w:asciiTheme="minorHAnsi" w:hAnsiTheme="minorHAnsi" w:eastAsiaTheme="minorEastAsia" w:cstheme="minorBidi"/>
          <w:szCs w:val="22"/>
        </w:rPr>
      </w:pPr>
      <w:r>
        <w:fldChar w:fldCharType="begin"/>
      </w:r>
      <w:r>
        <w:instrText xml:space="preserve"> HYPERLINK \l "_Toc198733144" </w:instrText>
      </w:r>
      <w:r>
        <w:fldChar w:fldCharType="separate"/>
      </w:r>
      <w:r>
        <w:rPr>
          <w:rStyle w:val="68"/>
          <w:kern w:val="0"/>
        </w:rPr>
        <w:t>1.3 评价原则</w:t>
      </w:r>
      <w:r>
        <w:tab/>
      </w:r>
      <w:r>
        <w:fldChar w:fldCharType="begin"/>
      </w:r>
      <w:r>
        <w:instrText xml:space="preserve"> PAGEREF _Toc198733144 \h </w:instrText>
      </w:r>
      <w:r>
        <w:fldChar w:fldCharType="separate"/>
      </w:r>
      <w:r>
        <w:t>- 14 -</w:t>
      </w:r>
      <w:r>
        <w:fldChar w:fldCharType="end"/>
      </w:r>
      <w:r>
        <w:fldChar w:fldCharType="end"/>
      </w:r>
    </w:p>
    <w:p w14:paraId="4B1CEC7A">
      <w:pPr>
        <w:pStyle w:val="53"/>
        <w:rPr>
          <w:rFonts w:asciiTheme="minorHAnsi" w:hAnsiTheme="minorHAnsi" w:eastAsiaTheme="minorEastAsia" w:cstheme="minorBidi"/>
          <w:szCs w:val="22"/>
        </w:rPr>
      </w:pPr>
      <w:r>
        <w:fldChar w:fldCharType="begin"/>
      </w:r>
      <w:r>
        <w:instrText xml:space="preserve"> HYPERLINK \l "_Toc198733145" </w:instrText>
      </w:r>
      <w:r>
        <w:fldChar w:fldCharType="separate"/>
      </w:r>
      <w:r>
        <w:rPr>
          <w:rStyle w:val="68"/>
          <w:kern w:val="0"/>
        </w:rPr>
        <w:t>1.4 环境影响因素识别与评价因子筛选</w:t>
      </w:r>
      <w:r>
        <w:tab/>
      </w:r>
      <w:r>
        <w:fldChar w:fldCharType="begin"/>
      </w:r>
      <w:r>
        <w:instrText xml:space="preserve"> PAGEREF _Toc198733145 \h </w:instrText>
      </w:r>
      <w:r>
        <w:fldChar w:fldCharType="separate"/>
      </w:r>
      <w:r>
        <w:t>- 14 -</w:t>
      </w:r>
      <w:r>
        <w:fldChar w:fldCharType="end"/>
      </w:r>
      <w:r>
        <w:fldChar w:fldCharType="end"/>
      </w:r>
    </w:p>
    <w:p w14:paraId="2FA8EA13">
      <w:pPr>
        <w:pStyle w:val="53"/>
        <w:rPr>
          <w:rFonts w:asciiTheme="minorHAnsi" w:hAnsiTheme="minorHAnsi" w:eastAsiaTheme="minorEastAsia" w:cstheme="minorBidi"/>
          <w:szCs w:val="22"/>
        </w:rPr>
      </w:pPr>
      <w:r>
        <w:fldChar w:fldCharType="begin"/>
      </w:r>
      <w:r>
        <w:instrText xml:space="preserve"> HYPERLINK \l "_Toc198733146" </w:instrText>
      </w:r>
      <w:r>
        <w:fldChar w:fldCharType="separate"/>
      </w:r>
      <w:r>
        <w:rPr>
          <w:rStyle w:val="68"/>
          <w:kern w:val="0"/>
        </w:rPr>
        <w:t>1.5 评价等级及评价范围</w:t>
      </w:r>
      <w:r>
        <w:tab/>
      </w:r>
      <w:r>
        <w:fldChar w:fldCharType="begin"/>
      </w:r>
      <w:r>
        <w:instrText xml:space="preserve"> PAGEREF _Toc198733146 \h </w:instrText>
      </w:r>
      <w:r>
        <w:fldChar w:fldCharType="separate"/>
      </w:r>
      <w:r>
        <w:t>- 17 -</w:t>
      </w:r>
      <w:r>
        <w:fldChar w:fldCharType="end"/>
      </w:r>
      <w:r>
        <w:fldChar w:fldCharType="end"/>
      </w:r>
    </w:p>
    <w:p w14:paraId="7E28A800">
      <w:pPr>
        <w:pStyle w:val="53"/>
        <w:rPr>
          <w:rFonts w:asciiTheme="minorHAnsi" w:hAnsiTheme="minorHAnsi" w:eastAsiaTheme="minorEastAsia" w:cstheme="minorBidi"/>
          <w:szCs w:val="22"/>
        </w:rPr>
      </w:pPr>
      <w:r>
        <w:fldChar w:fldCharType="begin"/>
      </w:r>
      <w:r>
        <w:instrText xml:space="preserve"> HYPERLINK \l "_Toc198733147" </w:instrText>
      </w:r>
      <w:r>
        <w:fldChar w:fldCharType="separate"/>
      </w:r>
      <w:r>
        <w:rPr>
          <w:rStyle w:val="68"/>
          <w:kern w:val="0"/>
        </w:rPr>
        <w:t>1.6 环境保护目标与保护等级</w:t>
      </w:r>
      <w:r>
        <w:tab/>
      </w:r>
      <w:r>
        <w:fldChar w:fldCharType="begin"/>
      </w:r>
      <w:r>
        <w:instrText xml:space="preserve"> PAGEREF _Toc198733147 \h </w:instrText>
      </w:r>
      <w:r>
        <w:fldChar w:fldCharType="separate"/>
      </w:r>
      <w:r>
        <w:t>- 24 -</w:t>
      </w:r>
      <w:r>
        <w:fldChar w:fldCharType="end"/>
      </w:r>
      <w:r>
        <w:fldChar w:fldCharType="end"/>
      </w:r>
    </w:p>
    <w:p w14:paraId="78C204AD">
      <w:pPr>
        <w:pStyle w:val="53"/>
        <w:rPr>
          <w:rFonts w:asciiTheme="minorHAnsi" w:hAnsiTheme="minorHAnsi" w:eastAsiaTheme="minorEastAsia" w:cstheme="minorBidi"/>
          <w:szCs w:val="22"/>
        </w:rPr>
      </w:pPr>
      <w:r>
        <w:fldChar w:fldCharType="begin"/>
      </w:r>
      <w:r>
        <w:instrText xml:space="preserve"> HYPERLINK \l "_Toc198733148" </w:instrText>
      </w:r>
      <w:r>
        <w:fldChar w:fldCharType="separate"/>
      </w:r>
      <w:r>
        <w:rPr>
          <w:rStyle w:val="68"/>
          <w:kern w:val="0"/>
        </w:rPr>
        <w:t>1.7 评价内容及评价重点</w:t>
      </w:r>
      <w:r>
        <w:tab/>
      </w:r>
      <w:r>
        <w:fldChar w:fldCharType="begin"/>
      </w:r>
      <w:r>
        <w:instrText xml:space="preserve"> PAGEREF _Toc198733148 \h </w:instrText>
      </w:r>
      <w:r>
        <w:fldChar w:fldCharType="separate"/>
      </w:r>
      <w:r>
        <w:t>- 26 -</w:t>
      </w:r>
      <w:r>
        <w:fldChar w:fldCharType="end"/>
      </w:r>
      <w:r>
        <w:fldChar w:fldCharType="end"/>
      </w:r>
    </w:p>
    <w:p w14:paraId="463A6AA4">
      <w:pPr>
        <w:pStyle w:val="53"/>
        <w:rPr>
          <w:rFonts w:asciiTheme="minorHAnsi" w:hAnsiTheme="minorHAnsi" w:eastAsiaTheme="minorEastAsia" w:cstheme="minorBidi"/>
          <w:szCs w:val="22"/>
        </w:rPr>
      </w:pPr>
      <w:r>
        <w:fldChar w:fldCharType="begin"/>
      </w:r>
      <w:r>
        <w:instrText xml:space="preserve"> HYPERLINK \l "_Toc198733149" </w:instrText>
      </w:r>
      <w:r>
        <w:fldChar w:fldCharType="separate"/>
      </w:r>
      <w:r>
        <w:rPr>
          <w:rStyle w:val="68"/>
          <w:kern w:val="0"/>
        </w:rPr>
        <w:t>1.8 环境功能区划</w:t>
      </w:r>
      <w:r>
        <w:tab/>
      </w:r>
      <w:r>
        <w:fldChar w:fldCharType="begin"/>
      </w:r>
      <w:r>
        <w:instrText xml:space="preserve"> PAGEREF _Toc198733149 \h </w:instrText>
      </w:r>
      <w:r>
        <w:fldChar w:fldCharType="separate"/>
      </w:r>
      <w:r>
        <w:t>- 27 -</w:t>
      </w:r>
      <w:r>
        <w:fldChar w:fldCharType="end"/>
      </w:r>
      <w:r>
        <w:fldChar w:fldCharType="end"/>
      </w:r>
    </w:p>
    <w:p w14:paraId="4A19F0EA">
      <w:pPr>
        <w:pStyle w:val="53"/>
        <w:rPr>
          <w:rFonts w:asciiTheme="minorHAnsi" w:hAnsiTheme="minorHAnsi" w:eastAsiaTheme="minorEastAsia" w:cstheme="minorBidi"/>
          <w:szCs w:val="22"/>
        </w:rPr>
      </w:pPr>
      <w:r>
        <w:fldChar w:fldCharType="begin"/>
      </w:r>
      <w:r>
        <w:instrText xml:space="preserve"> HYPERLINK \l "_Toc198733150" </w:instrText>
      </w:r>
      <w:r>
        <w:fldChar w:fldCharType="separate"/>
      </w:r>
      <w:r>
        <w:rPr>
          <w:rStyle w:val="68"/>
          <w:kern w:val="0"/>
        </w:rPr>
        <w:t>1.9 评价标准</w:t>
      </w:r>
      <w:r>
        <w:tab/>
      </w:r>
      <w:r>
        <w:fldChar w:fldCharType="begin"/>
      </w:r>
      <w:r>
        <w:instrText xml:space="preserve"> PAGEREF _Toc198733150 \h </w:instrText>
      </w:r>
      <w:r>
        <w:fldChar w:fldCharType="separate"/>
      </w:r>
      <w:r>
        <w:t>- 28 -</w:t>
      </w:r>
      <w:r>
        <w:fldChar w:fldCharType="end"/>
      </w:r>
      <w:r>
        <w:fldChar w:fldCharType="end"/>
      </w:r>
    </w:p>
    <w:p w14:paraId="603C2AF4">
      <w:pPr>
        <w:pStyle w:val="53"/>
        <w:rPr>
          <w:rFonts w:asciiTheme="minorHAnsi" w:hAnsiTheme="minorHAnsi" w:eastAsiaTheme="minorEastAsia" w:cstheme="minorBidi"/>
          <w:szCs w:val="22"/>
        </w:rPr>
      </w:pPr>
      <w:r>
        <w:fldChar w:fldCharType="begin"/>
      </w:r>
      <w:r>
        <w:instrText xml:space="preserve"> HYPERLINK \l "_Toc198733151" </w:instrText>
      </w:r>
      <w:r>
        <w:fldChar w:fldCharType="separate"/>
      </w:r>
      <w:r>
        <w:rPr>
          <w:rStyle w:val="68"/>
          <w:kern w:val="0"/>
        </w:rPr>
        <w:t>1.10 相关政策及规范符合性分析</w:t>
      </w:r>
      <w:r>
        <w:tab/>
      </w:r>
      <w:r>
        <w:fldChar w:fldCharType="begin"/>
      </w:r>
      <w:r>
        <w:instrText xml:space="preserve"> PAGEREF _Toc198733151 \h </w:instrText>
      </w:r>
      <w:r>
        <w:fldChar w:fldCharType="separate"/>
      </w:r>
      <w:r>
        <w:t>- 30 -</w:t>
      </w:r>
      <w:r>
        <w:fldChar w:fldCharType="end"/>
      </w:r>
      <w:r>
        <w:fldChar w:fldCharType="end"/>
      </w:r>
    </w:p>
    <w:p w14:paraId="7F48CCB2">
      <w:pPr>
        <w:pStyle w:val="53"/>
        <w:rPr>
          <w:rFonts w:asciiTheme="minorHAnsi" w:hAnsiTheme="minorHAnsi" w:eastAsiaTheme="minorEastAsia" w:cstheme="minorBidi"/>
          <w:szCs w:val="22"/>
        </w:rPr>
      </w:pPr>
      <w:r>
        <w:fldChar w:fldCharType="begin"/>
      </w:r>
      <w:r>
        <w:instrText xml:space="preserve"> HYPERLINK \l "_Toc198733152" </w:instrText>
      </w:r>
      <w:r>
        <w:fldChar w:fldCharType="separate"/>
      </w:r>
      <w:r>
        <w:rPr>
          <w:rStyle w:val="68"/>
          <w:kern w:val="0"/>
        </w:rPr>
        <w:t>1.11 相关规划及环境功能区划符合性分析</w:t>
      </w:r>
      <w:r>
        <w:tab/>
      </w:r>
      <w:r>
        <w:fldChar w:fldCharType="begin"/>
      </w:r>
      <w:r>
        <w:instrText xml:space="preserve"> PAGEREF _Toc198733152 \h </w:instrText>
      </w:r>
      <w:r>
        <w:fldChar w:fldCharType="separate"/>
      </w:r>
      <w:r>
        <w:t>- 35 -</w:t>
      </w:r>
      <w:r>
        <w:fldChar w:fldCharType="end"/>
      </w:r>
      <w:r>
        <w:fldChar w:fldCharType="end"/>
      </w:r>
    </w:p>
    <w:p w14:paraId="26E1C4BF">
      <w:pPr>
        <w:pStyle w:val="53"/>
        <w:rPr>
          <w:rFonts w:asciiTheme="minorHAnsi" w:hAnsiTheme="minorHAnsi" w:eastAsiaTheme="minorEastAsia" w:cstheme="minorBidi"/>
          <w:szCs w:val="22"/>
        </w:rPr>
      </w:pPr>
      <w:r>
        <w:fldChar w:fldCharType="begin"/>
      </w:r>
      <w:r>
        <w:instrText xml:space="preserve"> HYPERLINK \l "_Toc198733153" </w:instrText>
      </w:r>
      <w:r>
        <w:fldChar w:fldCharType="separate"/>
      </w:r>
      <w:r>
        <w:rPr>
          <w:rStyle w:val="68"/>
          <w:kern w:val="0"/>
        </w:rPr>
        <w:t>1.12 “三线一单”符合性分析</w:t>
      </w:r>
      <w:r>
        <w:tab/>
      </w:r>
      <w:r>
        <w:fldChar w:fldCharType="begin"/>
      </w:r>
      <w:r>
        <w:instrText xml:space="preserve"> PAGEREF _Toc198733153 \h </w:instrText>
      </w:r>
      <w:r>
        <w:fldChar w:fldCharType="separate"/>
      </w:r>
      <w:r>
        <w:t>- 40 -</w:t>
      </w:r>
      <w:r>
        <w:fldChar w:fldCharType="end"/>
      </w:r>
      <w:r>
        <w:fldChar w:fldCharType="end"/>
      </w:r>
    </w:p>
    <w:p w14:paraId="3E45A56F">
      <w:pPr>
        <w:pStyle w:val="43"/>
        <w:tabs>
          <w:tab w:val="right" w:leader="dot" w:pos="8302"/>
        </w:tabs>
        <w:rPr>
          <w:rFonts w:asciiTheme="minorHAnsi" w:hAnsiTheme="minorHAnsi" w:eastAsiaTheme="minorEastAsia" w:cstheme="minorBidi"/>
          <w:szCs w:val="22"/>
        </w:rPr>
      </w:pPr>
      <w:r>
        <w:fldChar w:fldCharType="begin"/>
      </w:r>
      <w:r>
        <w:instrText xml:space="preserve"> HYPERLINK \l "_Toc198733154" </w:instrText>
      </w:r>
      <w:r>
        <w:fldChar w:fldCharType="separate"/>
      </w:r>
      <w:r>
        <w:rPr>
          <w:rStyle w:val="68"/>
          <w:kern w:val="0"/>
        </w:rPr>
        <w:t>2 工程分析</w:t>
      </w:r>
      <w:r>
        <w:tab/>
      </w:r>
      <w:r>
        <w:fldChar w:fldCharType="begin"/>
      </w:r>
      <w:r>
        <w:instrText xml:space="preserve"> PAGEREF _Toc198733154 \h </w:instrText>
      </w:r>
      <w:r>
        <w:fldChar w:fldCharType="separate"/>
      </w:r>
      <w:r>
        <w:t>- 53 -</w:t>
      </w:r>
      <w:r>
        <w:fldChar w:fldCharType="end"/>
      </w:r>
      <w:r>
        <w:fldChar w:fldCharType="end"/>
      </w:r>
    </w:p>
    <w:p w14:paraId="10E86932">
      <w:pPr>
        <w:pStyle w:val="53"/>
        <w:rPr>
          <w:rFonts w:asciiTheme="minorHAnsi" w:hAnsiTheme="minorHAnsi" w:eastAsiaTheme="minorEastAsia" w:cstheme="minorBidi"/>
          <w:szCs w:val="22"/>
        </w:rPr>
      </w:pPr>
      <w:r>
        <w:fldChar w:fldCharType="begin"/>
      </w:r>
      <w:r>
        <w:instrText xml:space="preserve"> HYPERLINK \l "_Toc198733155" </w:instrText>
      </w:r>
      <w:r>
        <w:fldChar w:fldCharType="separate"/>
      </w:r>
      <w:r>
        <w:rPr>
          <w:rStyle w:val="68"/>
          <w:kern w:val="0"/>
        </w:rPr>
        <w:t>2.1 项目区域现状存在的主要问题</w:t>
      </w:r>
      <w:r>
        <w:tab/>
      </w:r>
      <w:r>
        <w:fldChar w:fldCharType="begin"/>
      </w:r>
      <w:r>
        <w:instrText xml:space="preserve"> PAGEREF _Toc198733155 \h </w:instrText>
      </w:r>
      <w:r>
        <w:fldChar w:fldCharType="separate"/>
      </w:r>
      <w:r>
        <w:t>- 53 -</w:t>
      </w:r>
      <w:r>
        <w:fldChar w:fldCharType="end"/>
      </w:r>
      <w:r>
        <w:fldChar w:fldCharType="end"/>
      </w:r>
    </w:p>
    <w:p w14:paraId="3F185CC9">
      <w:pPr>
        <w:pStyle w:val="53"/>
        <w:rPr>
          <w:rFonts w:asciiTheme="minorHAnsi" w:hAnsiTheme="minorHAnsi" w:eastAsiaTheme="minorEastAsia" w:cstheme="minorBidi"/>
          <w:szCs w:val="22"/>
        </w:rPr>
      </w:pPr>
      <w:r>
        <w:fldChar w:fldCharType="begin"/>
      </w:r>
      <w:r>
        <w:instrText xml:space="preserve"> HYPERLINK \l "_Toc198733156" </w:instrText>
      </w:r>
      <w:r>
        <w:fldChar w:fldCharType="separate"/>
      </w:r>
      <w:r>
        <w:rPr>
          <w:rStyle w:val="68"/>
          <w:kern w:val="0"/>
        </w:rPr>
        <w:t>2.2 拟建工程</w:t>
      </w:r>
      <w:r>
        <w:tab/>
      </w:r>
      <w:r>
        <w:fldChar w:fldCharType="begin"/>
      </w:r>
      <w:r>
        <w:instrText xml:space="preserve"> PAGEREF _Toc198733156 \h </w:instrText>
      </w:r>
      <w:r>
        <w:fldChar w:fldCharType="separate"/>
      </w:r>
      <w:r>
        <w:t>- 54 -</w:t>
      </w:r>
      <w:r>
        <w:fldChar w:fldCharType="end"/>
      </w:r>
      <w:r>
        <w:fldChar w:fldCharType="end"/>
      </w:r>
    </w:p>
    <w:p w14:paraId="24AC58A6">
      <w:pPr>
        <w:pStyle w:val="53"/>
        <w:rPr>
          <w:rFonts w:asciiTheme="minorHAnsi" w:hAnsiTheme="minorHAnsi" w:eastAsiaTheme="minorEastAsia" w:cstheme="minorBidi"/>
          <w:szCs w:val="22"/>
        </w:rPr>
      </w:pPr>
      <w:r>
        <w:fldChar w:fldCharType="begin"/>
      </w:r>
      <w:r>
        <w:instrText xml:space="preserve"> HYPERLINK \l "_Toc198733157" </w:instrText>
      </w:r>
      <w:r>
        <w:fldChar w:fldCharType="separate"/>
      </w:r>
      <w:r>
        <w:rPr>
          <w:rStyle w:val="68"/>
          <w:kern w:val="0"/>
        </w:rPr>
        <w:t>2.3 工程环境影响因素分析</w:t>
      </w:r>
      <w:r>
        <w:tab/>
      </w:r>
      <w:r>
        <w:fldChar w:fldCharType="begin"/>
      </w:r>
      <w:r>
        <w:instrText xml:space="preserve"> PAGEREF _Toc198733157 \h </w:instrText>
      </w:r>
      <w:r>
        <w:fldChar w:fldCharType="separate"/>
      </w:r>
      <w:r>
        <w:t>- 70 -</w:t>
      </w:r>
      <w:r>
        <w:fldChar w:fldCharType="end"/>
      </w:r>
      <w:r>
        <w:fldChar w:fldCharType="end"/>
      </w:r>
    </w:p>
    <w:p w14:paraId="02D192AE">
      <w:pPr>
        <w:pStyle w:val="53"/>
        <w:rPr>
          <w:rFonts w:asciiTheme="minorHAnsi" w:hAnsiTheme="minorHAnsi" w:eastAsiaTheme="minorEastAsia" w:cstheme="minorBidi"/>
          <w:szCs w:val="22"/>
        </w:rPr>
      </w:pPr>
      <w:r>
        <w:fldChar w:fldCharType="begin"/>
      </w:r>
      <w:r>
        <w:instrText xml:space="preserve"> HYPERLINK \l "_Toc198733158" </w:instrText>
      </w:r>
      <w:r>
        <w:fldChar w:fldCharType="separate"/>
      </w:r>
      <w:r>
        <w:rPr>
          <w:rStyle w:val="68"/>
          <w:kern w:val="0"/>
        </w:rPr>
        <w:t>2.4 工程污染源分析及拟采取的环保措施</w:t>
      </w:r>
      <w:r>
        <w:tab/>
      </w:r>
      <w:r>
        <w:fldChar w:fldCharType="begin"/>
      </w:r>
      <w:r>
        <w:instrText xml:space="preserve"> PAGEREF _Toc198733158 \h </w:instrText>
      </w:r>
      <w:r>
        <w:fldChar w:fldCharType="separate"/>
      </w:r>
      <w:r>
        <w:t>- 73 -</w:t>
      </w:r>
      <w:r>
        <w:fldChar w:fldCharType="end"/>
      </w:r>
      <w:r>
        <w:fldChar w:fldCharType="end"/>
      </w:r>
    </w:p>
    <w:p w14:paraId="3CF4BD6E">
      <w:pPr>
        <w:pStyle w:val="43"/>
        <w:tabs>
          <w:tab w:val="right" w:leader="dot" w:pos="8302"/>
        </w:tabs>
        <w:rPr>
          <w:rFonts w:asciiTheme="minorHAnsi" w:hAnsiTheme="minorHAnsi" w:eastAsiaTheme="minorEastAsia" w:cstheme="minorBidi"/>
          <w:szCs w:val="22"/>
        </w:rPr>
      </w:pPr>
      <w:r>
        <w:fldChar w:fldCharType="begin"/>
      </w:r>
      <w:r>
        <w:instrText xml:space="preserve"> HYPERLINK \l "_Toc198733159" </w:instrText>
      </w:r>
      <w:r>
        <w:fldChar w:fldCharType="separate"/>
      </w:r>
      <w:r>
        <w:rPr>
          <w:rStyle w:val="68"/>
          <w:kern w:val="0"/>
        </w:rPr>
        <w:t>3 区域环境概况</w:t>
      </w:r>
      <w:r>
        <w:tab/>
      </w:r>
      <w:r>
        <w:fldChar w:fldCharType="begin"/>
      </w:r>
      <w:r>
        <w:instrText xml:space="preserve"> PAGEREF _Toc198733159 \h </w:instrText>
      </w:r>
      <w:r>
        <w:fldChar w:fldCharType="separate"/>
      </w:r>
      <w:r>
        <w:t>- 77 -</w:t>
      </w:r>
      <w:r>
        <w:fldChar w:fldCharType="end"/>
      </w:r>
      <w:r>
        <w:fldChar w:fldCharType="end"/>
      </w:r>
    </w:p>
    <w:p w14:paraId="141402DA">
      <w:pPr>
        <w:pStyle w:val="53"/>
        <w:rPr>
          <w:rFonts w:asciiTheme="minorHAnsi" w:hAnsiTheme="minorHAnsi" w:eastAsiaTheme="minorEastAsia" w:cstheme="minorBidi"/>
          <w:szCs w:val="22"/>
        </w:rPr>
      </w:pPr>
      <w:r>
        <w:fldChar w:fldCharType="begin"/>
      </w:r>
      <w:r>
        <w:instrText xml:space="preserve"> HYPERLINK \l "_Toc198733160" </w:instrText>
      </w:r>
      <w:r>
        <w:fldChar w:fldCharType="separate"/>
      </w:r>
      <w:r>
        <w:rPr>
          <w:rStyle w:val="68"/>
          <w:kern w:val="0"/>
        </w:rPr>
        <w:t>3.1 自然环境概况</w:t>
      </w:r>
      <w:r>
        <w:tab/>
      </w:r>
      <w:r>
        <w:fldChar w:fldCharType="begin"/>
      </w:r>
      <w:r>
        <w:instrText xml:space="preserve"> PAGEREF _Toc198733160 \h </w:instrText>
      </w:r>
      <w:r>
        <w:fldChar w:fldCharType="separate"/>
      </w:r>
      <w:r>
        <w:t>- 77 -</w:t>
      </w:r>
      <w:r>
        <w:fldChar w:fldCharType="end"/>
      </w:r>
      <w:r>
        <w:fldChar w:fldCharType="end"/>
      </w:r>
    </w:p>
    <w:p w14:paraId="5EBE202A">
      <w:pPr>
        <w:pStyle w:val="53"/>
        <w:rPr>
          <w:rFonts w:asciiTheme="minorHAnsi" w:hAnsiTheme="minorHAnsi" w:eastAsiaTheme="minorEastAsia" w:cstheme="minorBidi"/>
          <w:szCs w:val="22"/>
        </w:rPr>
      </w:pPr>
      <w:r>
        <w:fldChar w:fldCharType="begin"/>
      </w:r>
      <w:r>
        <w:instrText xml:space="preserve"> HYPERLINK \l "_Toc198733161" </w:instrText>
      </w:r>
      <w:r>
        <w:fldChar w:fldCharType="separate"/>
      </w:r>
      <w:r>
        <w:rPr>
          <w:rStyle w:val="68"/>
          <w:kern w:val="0"/>
        </w:rPr>
        <w:t>3.2 环境质量现状监测与评价</w:t>
      </w:r>
      <w:r>
        <w:tab/>
      </w:r>
      <w:r>
        <w:fldChar w:fldCharType="begin"/>
      </w:r>
      <w:r>
        <w:instrText xml:space="preserve"> PAGEREF _Toc198733161 \h </w:instrText>
      </w:r>
      <w:r>
        <w:fldChar w:fldCharType="separate"/>
      </w:r>
      <w:r>
        <w:t>- 79 -</w:t>
      </w:r>
      <w:r>
        <w:fldChar w:fldCharType="end"/>
      </w:r>
      <w:r>
        <w:fldChar w:fldCharType="end"/>
      </w:r>
    </w:p>
    <w:p w14:paraId="3EE4C339">
      <w:pPr>
        <w:pStyle w:val="53"/>
        <w:rPr>
          <w:rFonts w:asciiTheme="minorHAnsi" w:hAnsiTheme="minorHAnsi" w:eastAsiaTheme="minorEastAsia" w:cstheme="minorBidi"/>
          <w:szCs w:val="22"/>
        </w:rPr>
      </w:pPr>
      <w:r>
        <w:fldChar w:fldCharType="begin"/>
      </w:r>
      <w:r>
        <w:instrText xml:space="preserve"> HYPERLINK \l "_Toc198733162" </w:instrText>
      </w:r>
      <w:r>
        <w:fldChar w:fldCharType="separate"/>
      </w:r>
      <w:r>
        <w:rPr>
          <w:rStyle w:val="68"/>
          <w:kern w:val="0"/>
        </w:rPr>
        <w:t>3.3 生态环境现状调查与评价</w:t>
      </w:r>
      <w:r>
        <w:tab/>
      </w:r>
      <w:r>
        <w:fldChar w:fldCharType="begin"/>
      </w:r>
      <w:r>
        <w:instrText xml:space="preserve"> PAGEREF _Toc198733162 \h </w:instrText>
      </w:r>
      <w:r>
        <w:fldChar w:fldCharType="separate"/>
      </w:r>
      <w:r>
        <w:t>- 95 -</w:t>
      </w:r>
      <w:r>
        <w:fldChar w:fldCharType="end"/>
      </w:r>
      <w:r>
        <w:fldChar w:fldCharType="end"/>
      </w:r>
    </w:p>
    <w:p w14:paraId="692244FC">
      <w:pPr>
        <w:pStyle w:val="43"/>
        <w:tabs>
          <w:tab w:val="right" w:leader="dot" w:pos="8302"/>
        </w:tabs>
        <w:rPr>
          <w:rFonts w:asciiTheme="minorHAnsi" w:hAnsiTheme="minorHAnsi" w:eastAsiaTheme="minorEastAsia" w:cstheme="minorBidi"/>
          <w:szCs w:val="22"/>
        </w:rPr>
      </w:pPr>
      <w:r>
        <w:fldChar w:fldCharType="begin"/>
      </w:r>
      <w:r>
        <w:instrText xml:space="preserve"> HYPERLINK \l "_Toc198733163" </w:instrText>
      </w:r>
      <w:r>
        <w:fldChar w:fldCharType="separate"/>
      </w:r>
      <w:r>
        <w:rPr>
          <w:rStyle w:val="68"/>
          <w:kern w:val="0"/>
        </w:rPr>
        <w:t>4 环境影响预测与评价</w:t>
      </w:r>
      <w:r>
        <w:tab/>
      </w:r>
      <w:r>
        <w:fldChar w:fldCharType="begin"/>
      </w:r>
      <w:r>
        <w:instrText xml:space="preserve"> PAGEREF _Toc198733163 \h </w:instrText>
      </w:r>
      <w:r>
        <w:fldChar w:fldCharType="separate"/>
      </w:r>
      <w:r>
        <w:t>- 145 -</w:t>
      </w:r>
      <w:r>
        <w:fldChar w:fldCharType="end"/>
      </w:r>
      <w:r>
        <w:fldChar w:fldCharType="end"/>
      </w:r>
    </w:p>
    <w:p w14:paraId="62BD6B3C">
      <w:pPr>
        <w:pStyle w:val="53"/>
        <w:rPr>
          <w:rFonts w:asciiTheme="minorHAnsi" w:hAnsiTheme="minorHAnsi" w:eastAsiaTheme="minorEastAsia" w:cstheme="minorBidi"/>
          <w:szCs w:val="22"/>
        </w:rPr>
      </w:pPr>
      <w:r>
        <w:fldChar w:fldCharType="begin"/>
      </w:r>
      <w:r>
        <w:instrText xml:space="preserve"> HYPERLINK \l "_Toc198733164" </w:instrText>
      </w:r>
      <w:r>
        <w:fldChar w:fldCharType="separate"/>
      </w:r>
      <w:r>
        <w:rPr>
          <w:rStyle w:val="68"/>
          <w:kern w:val="0"/>
        </w:rPr>
        <w:t>4.1 施工期环境影响分析</w:t>
      </w:r>
      <w:r>
        <w:tab/>
      </w:r>
      <w:r>
        <w:fldChar w:fldCharType="begin"/>
      </w:r>
      <w:r>
        <w:instrText xml:space="preserve"> PAGEREF _Toc198733164 \h </w:instrText>
      </w:r>
      <w:r>
        <w:fldChar w:fldCharType="separate"/>
      </w:r>
      <w:r>
        <w:t>- 145 -</w:t>
      </w:r>
      <w:r>
        <w:fldChar w:fldCharType="end"/>
      </w:r>
      <w:r>
        <w:fldChar w:fldCharType="end"/>
      </w:r>
    </w:p>
    <w:p w14:paraId="17C7C806">
      <w:pPr>
        <w:pStyle w:val="53"/>
        <w:rPr>
          <w:rFonts w:asciiTheme="minorHAnsi" w:hAnsiTheme="minorHAnsi" w:eastAsiaTheme="minorEastAsia" w:cstheme="minorBidi"/>
          <w:szCs w:val="22"/>
        </w:rPr>
      </w:pPr>
      <w:r>
        <w:fldChar w:fldCharType="begin"/>
      </w:r>
      <w:r>
        <w:instrText xml:space="preserve"> HYPERLINK \l "_Toc198733165" </w:instrText>
      </w:r>
      <w:r>
        <w:fldChar w:fldCharType="separate"/>
      </w:r>
      <w:r>
        <w:rPr>
          <w:rStyle w:val="68"/>
          <w:kern w:val="0"/>
        </w:rPr>
        <w:t>4.2 运营期环境影响评价</w:t>
      </w:r>
      <w:r>
        <w:tab/>
      </w:r>
      <w:r>
        <w:fldChar w:fldCharType="begin"/>
      </w:r>
      <w:r>
        <w:instrText xml:space="preserve"> PAGEREF _Toc198733165 \h </w:instrText>
      </w:r>
      <w:r>
        <w:fldChar w:fldCharType="separate"/>
      </w:r>
      <w:r>
        <w:t>- 150 -</w:t>
      </w:r>
      <w:r>
        <w:fldChar w:fldCharType="end"/>
      </w:r>
      <w:r>
        <w:fldChar w:fldCharType="end"/>
      </w:r>
    </w:p>
    <w:p w14:paraId="66513EE2">
      <w:pPr>
        <w:pStyle w:val="53"/>
        <w:rPr>
          <w:rFonts w:asciiTheme="minorHAnsi" w:hAnsiTheme="minorHAnsi" w:eastAsiaTheme="minorEastAsia" w:cstheme="minorBidi"/>
          <w:szCs w:val="22"/>
        </w:rPr>
      </w:pPr>
      <w:r>
        <w:fldChar w:fldCharType="begin"/>
      </w:r>
      <w:r>
        <w:instrText xml:space="preserve"> HYPERLINK \l "_Toc198733166" </w:instrText>
      </w:r>
      <w:r>
        <w:fldChar w:fldCharType="separate"/>
      </w:r>
      <w:r>
        <w:rPr>
          <w:rStyle w:val="68"/>
          <w:kern w:val="0"/>
        </w:rPr>
        <w:t>4.3 生态环境影响预测与评价</w:t>
      </w:r>
      <w:r>
        <w:tab/>
      </w:r>
      <w:r>
        <w:fldChar w:fldCharType="begin"/>
      </w:r>
      <w:r>
        <w:instrText xml:space="preserve"> PAGEREF _Toc198733166 \h </w:instrText>
      </w:r>
      <w:r>
        <w:fldChar w:fldCharType="separate"/>
      </w:r>
      <w:r>
        <w:t>- 152 -</w:t>
      </w:r>
      <w:r>
        <w:fldChar w:fldCharType="end"/>
      </w:r>
      <w:r>
        <w:fldChar w:fldCharType="end"/>
      </w:r>
    </w:p>
    <w:p w14:paraId="55E6407D">
      <w:pPr>
        <w:pStyle w:val="43"/>
        <w:tabs>
          <w:tab w:val="right" w:leader="dot" w:pos="8302"/>
        </w:tabs>
        <w:rPr>
          <w:rFonts w:asciiTheme="minorHAnsi" w:hAnsiTheme="minorHAnsi" w:eastAsiaTheme="minorEastAsia" w:cstheme="minorBidi"/>
          <w:szCs w:val="22"/>
        </w:rPr>
      </w:pPr>
      <w:r>
        <w:fldChar w:fldCharType="begin"/>
      </w:r>
      <w:r>
        <w:instrText xml:space="preserve"> HYPERLINK \l "_Toc198733167" </w:instrText>
      </w:r>
      <w:r>
        <w:fldChar w:fldCharType="separate"/>
      </w:r>
      <w:r>
        <w:rPr>
          <w:rStyle w:val="68"/>
          <w:kern w:val="0"/>
        </w:rPr>
        <w:t>5 环境保护措施及其可行性论证</w:t>
      </w:r>
      <w:r>
        <w:tab/>
      </w:r>
      <w:r>
        <w:fldChar w:fldCharType="begin"/>
      </w:r>
      <w:r>
        <w:instrText xml:space="preserve"> PAGEREF _Toc198733167 \h </w:instrText>
      </w:r>
      <w:r>
        <w:fldChar w:fldCharType="separate"/>
      </w:r>
      <w:r>
        <w:t>- 171 -</w:t>
      </w:r>
      <w:r>
        <w:fldChar w:fldCharType="end"/>
      </w:r>
      <w:r>
        <w:fldChar w:fldCharType="end"/>
      </w:r>
    </w:p>
    <w:p w14:paraId="7D44D3D2">
      <w:pPr>
        <w:pStyle w:val="53"/>
        <w:rPr>
          <w:rFonts w:asciiTheme="minorHAnsi" w:hAnsiTheme="minorHAnsi" w:eastAsiaTheme="minorEastAsia" w:cstheme="minorBidi"/>
          <w:szCs w:val="22"/>
        </w:rPr>
      </w:pPr>
      <w:r>
        <w:fldChar w:fldCharType="begin"/>
      </w:r>
      <w:r>
        <w:instrText xml:space="preserve"> HYPERLINK \l "_Toc198733168" </w:instrText>
      </w:r>
      <w:r>
        <w:fldChar w:fldCharType="separate"/>
      </w:r>
      <w:r>
        <w:rPr>
          <w:rStyle w:val="68"/>
          <w:kern w:val="0"/>
        </w:rPr>
        <w:t>5.1 施工期环境保护措施可行性论证</w:t>
      </w:r>
      <w:r>
        <w:tab/>
      </w:r>
      <w:r>
        <w:fldChar w:fldCharType="begin"/>
      </w:r>
      <w:r>
        <w:instrText xml:space="preserve"> PAGEREF _Toc198733168 \h </w:instrText>
      </w:r>
      <w:r>
        <w:fldChar w:fldCharType="separate"/>
      </w:r>
      <w:r>
        <w:t>- 171 -</w:t>
      </w:r>
      <w:r>
        <w:fldChar w:fldCharType="end"/>
      </w:r>
      <w:r>
        <w:fldChar w:fldCharType="end"/>
      </w:r>
    </w:p>
    <w:p w14:paraId="547F2C61">
      <w:pPr>
        <w:pStyle w:val="53"/>
        <w:rPr>
          <w:rFonts w:asciiTheme="minorHAnsi" w:hAnsiTheme="minorHAnsi" w:eastAsiaTheme="minorEastAsia" w:cstheme="minorBidi"/>
          <w:szCs w:val="22"/>
        </w:rPr>
      </w:pPr>
      <w:r>
        <w:fldChar w:fldCharType="begin"/>
      </w:r>
      <w:r>
        <w:instrText xml:space="preserve"> HYPERLINK \l "_Toc198733169" </w:instrText>
      </w:r>
      <w:r>
        <w:fldChar w:fldCharType="separate"/>
      </w:r>
      <w:r>
        <w:rPr>
          <w:rStyle w:val="68"/>
          <w:kern w:val="0"/>
        </w:rPr>
        <w:t>5.2 运营期环境保护措施可行性论证</w:t>
      </w:r>
      <w:r>
        <w:tab/>
      </w:r>
      <w:r>
        <w:fldChar w:fldCharType="begin"/>
      </w:r>
      <w:r>
        <w:instrText xml:space="preserve"> PAGEREF _Toc198733169 \h </w:instrText>
      </w:r>
      <w:r>
        <w:fldChar w:fldCharType="separate"/>
      </w:r>
      <w:r>
        <w:t>- 173 -</w:t>
      </w:r>
      <w:r>
        <w:fldChar w:fldCharType="end"/>
      </w:r>
      <w:r>
        <w:fldChar w:fldCharType="end"/>
      </w:r>
    </w:p>
    <w:p w14:paraId="2DD66047">
      <w:pPr>
        <w:pStyle w:val="53"/>
        <w:rPr>
          <w:rFonts w:asciiTheme="minorHAnsi" w:hAnsiTheme="minorHAnsi" w:eastAsiaTheme="minorEastAsia" w:cstheme="minorBidi"/>
          <w:szCs w:val="22"/>
        </w:rPr>
      </w:pPr>
      <w:r>
        <w:fldChar w:fldCharType="begin"/>
      </w:r>
      <w:r>
        <w:instrText xml:space="preserve"> HYPERLINK \l "_Toc198733170" </w:instrText>
      </w:r>
      <w:r>
        <w:fldChar w:fldCharType="separate"/>
      </w:r>
      <w:r>
        <w:rPr>
          <w:rStyle w:val="68"/>
          <w:kern w:val="0"/>
        </w:rPr>
        <w:t>5.3 生态保护措施</w:t>
      </w:r>
      <w:r>
        <w:tab/>
      </w:r>
      <w:r>
        <w:fldChar w:fldCharType="begin"/>
      </w:r>
      <w:r>
        <w:instrText xml:space="preserve"> PAGEREF _Toc198733170 \h </w:instrText>
      </w:r>
      <w:r>
        <w:fldChar w:fldCharType="separate"/>
      </w:r>
      <w:r>
        <w:t>- 174 -</w:t>
      </w:r>
      <w:r>
        <w:fldChar w:fldCharType="end"/>
      </w:r>
      <w:r>
        <w:fldChar w:fldCharType="end"/>
      </w:r>
    </w:p>
    <w:p w14:paraId="143851DF">
      <w:pPr>
        <w:pStyle w:val="43"/>
        <w:tabs>
          <w:tab w:val="right" w:leader="dot" w:pos="8302"/>
        </w:tabs>
        <w:rPr>
          <w:rFonts w:asciiTheme="minorHAnsi" w:hAnsiTheme="minorHAnsi" w:eastAsiaTheme="minorEastAsia" w:cstheme="minorBidi"/>
          <w:szCs w:val="22"/>
        </w:rPr>
      </w:pPr>
      <w:r>
        <w:fldChar w:fldCharType="begin"/>
      </w:r>
      <w:r>
        <w:instrText xml:space="preserve"> HYPERLINK \l "_Toc198733171" </w:instrText>
      </w:r>
      <w:r>
        <w:fldChar w:fldCharType="separate"/>
      </w:r>
      <w:r>
        <w:rPr>
          <w:rStyle w:val="68"/>
          <w:kern w:val="0"/>
        </w:rPr>
        <w:t>6 环境影响经济损益分析</w:t>
      </w:r>
      <w:r>
        <w:tab/>
      </w:r>
      <w:r>
        <w:fldChar w:fldCharType="begin"/>
      </w:r>
      <w:r>
        <w:instrText xml:space="preserve"> PAGEREF _Toc198733171 \h </w:instrText>
      </w:r>
      <w:r>
        <w:fldChar w:fldCharType="separate"/>
      </w:r>
      <w:r>
        <w:t>- 180 -</w:t>
      </w:r>
      <w:r>
        <w:fldChar w:fldCharType="end"/>
      </w:r>
      <w:r>
        <w:fldChar w:fldCharType="end"/>
      </w:r>
    </w:p>
    <w:p w14:paraId="4FA995D4">
      <w:pPr>
        <w:pStyle w:val="53"/>
        <w:rPr>
          <w:rFonts w:asciiTheme="minorHAnsi" w:hAnsiTheme="minorHAnsi" w:eastAsiaTheme="minorEastAsia" w:cstheme="minorBidi"/>
          <w:szCs w:val="22"/>
        </w:rPr>
      </w:pPr>
      <w:r>
        <w:fldChar w:fldCharType="begin"/>
      </w:r>
      <w:r>
        <w:instrText xml:space="preserve"> HYPERLINK \l "_Toc198733172" </w:instrText>
      </w:r>
      <w:r>
        <w:fldChar w:fldCharType="separate"/>
      </w:r>
      <w:r>
        <w:rPr>
          <w:rStyle w:val="68"/>
          <w:kern w:val="0"/>
        </w:rPr>
        <w:t>6.1 环保投资估算</w:t>
      </w:r>
      <w:r>
        <w:tab/>
      </w:r>
      <w:r>
        <w:fldChar w:fldCharType="begin"/>
      </w:r>
      <w:r>
        <w:instrText xml:space="preserve"> PAGEREF _Toc198733172 \h </w:instrText>
      </w:r>
      <w:r>
        <w:fldChar w:fldCharType="separate"/>
      </w:r>
      <w:r>
        <w:t>- 180 -</w:t>
      </w:r>
      <w:r>
        <w:fldChar w:fldCharType="end"/>
      </w:r>
      <w:r>
        <w:fldChar w:fldCharType="end"/>
      </w:r>
    </w:p>
    <w:p w14:paraId="37E5BA3C">
      <w:pPr>
        <w:pStyle w:val="53"/>
        <w:rPr>
          <w:rFonts w:asciiTheme="minorHAnsi" w:hAnsiTheme="minorHAnsi" w:eastAsiaTheme="minorEastAsia" w:cstheme="minorBidi"/>
          <w:szCs w:val="22"/>
        </w:rPr>
      </w:pPr>
      <w:r>
        <w:fldChar w:fldCharType="begin"/>
      </w:r>
      <w:r>
        <w:instrText xml:space="preserve"> HYPERLINK \l "_Toc198733173" </w:instrText>
      </w:r>
      <w:r>
        <w:fldChar w:fldCharType="separate"/>
      </w:r>
      <w:r>
        <w:rPr>
          <w:rStyle w:val="68"/>
          <w:kern w:val="0"/>
        </w:rPr>
        <w:t>6.2 环境经济损益分析</w:t>
      </w:r>
      <w:r>
        <w:tab/>
      </w:r>
      <w:r>
        <w:fldChar w:fldCharType="begin"/>
      </w:r>
      <w:r>
        <w:instrText xml:space="preserve"> PAGEREF _Toc198733173 \h </w:instrText>
      </w:r>
      <w:r>
        <w:fldChar w:fldCharType="separate"/>
      </w:r>
      <w:r>
        <w:t>- 180 -</w:t>
      </w:r>
      <w:r>
        <w:fldChar w:fldCharType="end"/>
      </w:r>
      <w:r>
        <w:fldChar w:fldCharType="end"/>
      </w:r>
    </w:p>
    <w:p w14:paraId="03266FEF">
      <w:pPr>
        <w:pStyle w:val="53"/>
        <w:rPr>
          <w:rFonts w:asciiTheme="minorHAnsi" w:hAnsiTheme="minorHAnsi" w:eastAsiaTheme="minorEastAsia" w:cstheme="minorBidi"/>
          <w:szCs w:val="22"/>
        </w:rPr>
      </w:pPr>
      <w:r>
        <w:fldChar w:fldCharType="begin"/>
      </w:r>
      <w:r>
        <w:instrText xml:space="preserve"> HYPERLINK \l "_Toc198733174" </w:instrText>
      </w:r>
      <w:r>
        <w:fldChar w:fldCharType="separate"/>
      </w:r>
      <w:r>
        <w:rPr>
          <w:rStyle w:val="68"/>
          <w:kern w:val="0"/>
        </w:rPr>
        <w:t>6.3 小结</w:t>
      </w:r>
      <w:r>
        <w:tab/>
      </w:r>
      <w:r>
        <w:fldChar w:fldCharType="begin"/>
      </w:r>
      <w:r>
        <w:instrText xml:space="preserve"> PAGEREF _Toc198733174 \h </w:instrText>
      </w:r>
      <w:r>
        <w:fldChar w:fldCharType="separate"/>
      </w:r>
      <w:r>
        <w:t>- 181 -</w:t>
      </w:r>
      <w:r>
        <w:fldChar w:fldCharType="end"/>
      </w:r>
      <w:r>
        <w:fldChar w:fldCharType="end"/>
      </w:r>
    </w:p>
    <w:p w14:paraId="74A0D905">
      <w:pPr>
        <w:pStyle w:val="43"/>
        <w:tabs>
          <w:tab w:val="right" w:leader="dot" w:pos="8302"/>
        </w:tabs>
        <w:rPr>
          <w:rFonts w:asciiTheme="minorHAnsi" w:hAnsiTheme="minorHAnsi" w:eastAsiaTheme="minorEastAsia" w:cstheme="minorBidi"/>
          <w:szCs w:val="22"/>
        </w:rPr>
      </w:pPr>
      <w:r>
        <w:fldChar w:fldCharType="begin"/>
      </w:r>
      <w:r>
        <w:instrText xml:space="preserve"> HYPERLINK \l "_Toc198733175" </w:instrText>
      </w:r>
      <w:r>
        <w:fldChar w:fldCharType="separate"/>
      </w:r>
      <w:r>
        <w:rPr>
          <w:rStyle w:val="68"/>
          <w:kern w:val="0"/>
        </w:rPr>
        <w:t>7 环境管理与监测计划</w:t>
      </w:r>
      <w:r>
        <w:tab/>
      </w:r>
      <w:r>
        <w:fldChar w:fldCharType="begin"/>
      </w:r>
      <w:r>
        <w:instrText xml:space="preserve"> PAGEREF _Toc198733175 \h </w:instrText>
      </w:r>
      <w:r>
        <w:fldChar w:fldCharType="separate"/>
      </w:r>
      <w:r>
        <w:t>- 182 -</w:t>
      </w:r>
      <w:r>
        <w:fldChar w:fldCharType="end"/>
      </w:r>
      <w:r>
        <w:fldChar w:fldCharType="end"/>
      </w:r>
    </w:p>
    <w:p w14:paraId="59B293AC">
      <w:pPr>
        <w:pStyle w:val="53"/>
        <w:rPr>
          <w:rFonts w:asciiTheme="minorHAnsi" w:hAnsiTheme="minorHAnsi" w:eastAsiaTheme="minorEastAsia" w:cstheme="minorBidi"/>
          <w:szCs w:val="22"/>
        </w:rPr>
      </w:pPr>
      <w:r>
        <w:fldChar w:fldCharType="begin"/>
      </w:r>
      <w:r>
        <w:instrText xml:space="preserve"> HYPERLINK \l "_Toc198733176" </w:instrText>
      </w:r>
      <w:r>
        <w:fldChar w:fldCharType="separate"/>
      </w:r>
      <w:r>
        <w:rPr>
          <w:rStyle w:val="68"/>
          <w:kern w:val="0"/>
        </w:rPr>
        <w:t>7.1 环境管理</w:t>
      </w:r>
      <w:r>
        <w:tab/>
      </w:r>
      <w:r>
        <w:fldChar w:fldCharType="begin"/>
      </w:r>
      <w:r>
        <w:instrText xml:space="preserve"> PAGEREF _Toc198733176 \h </w:instrText>
      </w:r>
      <w:r>
        <w:fldChar w:fldCharType="separate"/>
      </w:r>
      <w:r>
        <w:t>- 182 -</w:t>
      </w:r>
      <w:r>
        <w:fldChar w:fldCharType="end"/>
      </w:r>
      <w:r>
        <w:fldChar w:fldCharType="end"/>
      </w:r>
    </w:p>
    <w:p w14:paraId="32D80BD2">
      <w:pPr>
        <w:pStyle w:val="53"/>
        <w:rPr>
          <w:rFonts w:asciiTheme="minorHAnsi" w:hAnsiTheme="minorHAnsi" w:eastAsiaTheme="minorEastAsia" w:cstheme="minorBidi"/>
          <w:szCs w:val="22"/>
        </w:rPr>
      </w:pPr>
      <w:r>
        <w:fldChar w:fldCharType="begin"/>
      </w:r>
      <w:r>
        <w:instrText xml:space="preserve"> HYPERLINK \l "_Toc198733177" </w:instrText>
      </w:r>
      <w:r>
        <w:fldChar w:fldCharType="separate"/>
      </w:r>
      <w:r>
        <w:rPr>
          <w:rStyle w:val="68"/>
          <w:kern w:val="0"/>
        </w:rPr>
        <w:t>7.2 企业环境信息公开</w:t>
      </w:r>
      <w:r>
        <w:tab/>
      </w:r>
      <w:r>
        <w:fldChar w:fldCharType="begin"/>
      </w:r>
      <w:r>
        <w:instrText xml:space="preserve"> PAGEREF _Toc198733177 \h </w:instrText>
      </w:r>
      <w:r>
        <w:fldChar w:fldCharType="separate"/>
      </w:r>
      <w:r>
        <w:t>- 185 -</w:t>
      </w:r>
      <w:r>
        <w:fldChar w:fldCharType="end"/>
      </w:r>
      <w:r>
        <w:fldChar w:fldCharType="end"/>
      </w:r>
    </w:p>
    <w:p w14:paraId="254A4511">
      <w:pPr>
        <w:pStyle w:val="53"/>
        <w:rPr>
          <w:rFonts w:asciiTheme="minorHAnsi" w:hAnsiTheme="minorHAnsi" w:eastAsiaTheme="minorEastAsia" w:cstheme="minorBidi"/>
          <w:szCs w:val="22"/>
        </w:rPr>
      </w:pPr>
      <w:r>
        <w:fldChar w:fldCharType="begin"/>
      </w:r>
      <w:r>
        <w:instrText xml:space="preserve"> HYPERLINK \l "_Toc198733178" </w:instrText>
      </w:r>
      <w:r>
        <w:fldChar w:fldCharType="separate"/>
      </w:r>
      <w:r>
        <w:rPr>
          <w:rStyle w:val="68"/>
          <w:kern w:val="0"/>
        </w:rPr>
        <w:t>7.3 总量控制分析</w:t>
      </w:r>
      <w:r>
        <w:tab/>
      </w:r>
      <w:r>
        <w:fldChar w:fldCharType="begin"/>
      </w:r>
      <w:r>
        <w:instrText xml:space="preserve"> PAGEREF _Toc198733178 \h </w:instrText>
      </w:r>
      <w:r>
        <w:fldChar w:fldCharType="separate"/>
      </w:r>
      <w:r>
        <w:t>- 185 -</w:t>
      </w:r>
      <w:r>
        <w:fldChar w:fldCharType="end"/>
      </w:r>
      <w:r>
        <w:fldChar w:fldCharType="end"/>
      </w:r>
    </w:p>
    <w:p w14:paraId="2D48657C">
      <w:pPr>
        <w:pStyle w:val="53"/>
        <w:rPr>
          <w:rFonts w:asciiTheme="minorHAnsi" w:hAnsiTheme="minorHAnsi" w:eastAsiaTheme="minorEastAsia" w:cstheme="minorBidi"/>
          <w:szCs w:val="22"/>
        </w:rPr>
      </w:pPr>
      <w:r>
        <w:fldChar w:fldCharType="begin"/>
      </w:r>
      <w:r>
        <w:instrText xml:space="preserve"> HYPERLINK \l "_Toc198733179" </w:instrText>
      </w:r>
      <w:r>
        <w:fldChar w:fldCharType="separate"/>
      </w:r>
      <w:r>
        <w:rPr>
          <w:rStyle w:val="68"/>
          <w:kern w:val="0"/>
        </w:rPr>
        <w:t>7.4 环境监测计划</w:t>
      </w:r>
      <w:r>
        <w:tab/>
      </w:r>
      <w:r>
        <w:fldChar w:fldCharType="begin"/>
      </w:r>
      <w:r>
        <w:instrText xml:space="preserve"> PAGEREF _Toc198733179 \h </w:instrText>
      </w:r>
      <w:r>
        <w:fldChar w:fldCharType="separate"/>
      </w:r>
      <w:r>
        <w:t>- 186 -</w:t>
      </w:r>
      <w:r>
        <w:fldChar w:fldCharType="end"/>
      </w:r>
      <w:r>
        <w:fldChar w:fldCharType="end"/>
      </w:r>
    </w:p>
    <w:p w14:paraId="4D6A0463">
      <w:pPr>
        <w:pStyle w:val="53"/>
        <w:rPr>
          <w:rFonts w:asciiTheme="minorHAnsi" w:hAnsiTheme="minorHAnsi" w:eastAsiaTheme="minorEastAsia" w:cstheme="minorBidi"/>
          <w:szCs w:val="22"/>
        </w:rPr>
      </w:pPr>
      <w:r>
        <w:fldChar w:fldCharType="begin"/>
      </w:r>
      <w:r>
        <w:instrText xml:space="preserve"> HYPERLINK \l "_Toc198733180" </w:instrText>
      </w:r>
      <w:r>
        <w:fldChar w:fldCharType="separate"/>
      </w:r>
      <w:r>
        <w:rPr>
          <w:rStyle w:val="68"/>
          <w:kern w:val="0"/>
        </w:rPr>
        <w:t>7.5 环保设施“三同时”验收清单</w:t>
      </w:r>
      <w:r>
        <w:tab/>
      </w:r>
      <w:r>
        <w:fldChar w:fldCharType="begin"/>
      </w:r>
      <w:r>
        <w:instrText xml:space="preserve"> PAGEREF _Toc198733180 \h </w:instrText>
      </w:r>
      <w:r>
        <w:fldChar w:fldCharType="separate"/>
      </w:r>
      <w:r>
        <w:t>- 187 -</w:t>
      </w:r>
      <w:r>
        <w:fldChar w:fldCharType="end"/>
      </w:r>
      <w:r>
        <w:fldChar w:fldCharType="end"/>
      </w:r>
    </w:p>
    <w:p w14:paraId="77372899">
      <w:pPr>
        <w:pStyle w:val="43"/>
        <w:tabs>
          <w:tab w:val="right" w:leader="dot" w:pos="8302"/>
        </w:tabs>
        <w:rPr>
          <w:rFonts w:asciiTheme="minorHAnsi" w:hAnsiTheme="minorHAnsi" w:eastAsiaTheme="minorEastAsia" w:cstheme="minorBidi"/>
          <w:szCs w:val="22"/>
        </w:rPr>
      </w:pPr>
      <w:r>
        <w:fldChar w:fldCharType="begin"/>
      </w:r>
      <w:r>
        <w:instrText xml:space="preserve"> HYPERLINK \l "_Toc198733181" </w:instrText>
      </w:r>
      <w:r>
        <w:fldChar w:fldCharType="separate"/>
      </w:r>
      <w:r>
        <w:rPr>
          <w:rStyle w:val="68"/>
          <w:kern w:val="0"/>
        </w:rPr>
        <w:t>8 结论与建议</w:t>
      </w:r>
      <w:r>
        <w:tab/>
      </w:r>
      <w:r>
        <w:fldChar w:fldCharType="begin"/>
      </w:r>
      <w:r>
        <w:instrText xml:space="preserve"> PAGEREF _Toc198733181 \h </w:instrText>
      </w:r>
      <w:r>
        <w:fldChar w:fldCharType="separate"/>
      </w:r>
      <w:r>
        <w:t>- 189 -</w:t>
      </w:r>
      <w:r>
        <w:fldChar w:fldCharType="end"/>
      </w:r>
      <w:r>
        <w:fldChar w:fldCharType="end"/>
      </w:r>
    </w:p>
    <w:p w14:paraId="1A1D5F3C">
      <w:pPr>
        <w:pStyle w:val="53"/>
        <w:rPr>
          <w:rFonts w:asciiTheme="minorHAnsi" w:hAnsiTheme="minorHAnsi" w:eastAsiaTheme="minorEastAsia" w:cstheme="minorBidi"/>
          <w:szCs w:val="22"/>
        </w:rPr>
      </w:pPr>
      <w:r>
        <w:fldChar w:fldCharType="begin"/>
      </w:r>
      <w:r>
        <w:instrText xml:space="preserve"> HYPERLINK \l "_Toc198733182" </w:instrText>
      </w:r>
      <w:r>
        <w:fldChar w:fldCharType="separate"/>
      </w:r>
      <w:r>
        <w:rPr>
          <w:rStyle w:val="68"/>
          <w:kern w:val="0"/>
        </w:rPr>
        <w:t>8.1 建设项目概况</w:t>
      </w:r>
      <w:r>
        <w:tab/>
      </w:r>
      <w:r>
        <w:fldChar w:fldCharType="begin"/>
      </w:r>
      <w:r>
        <w:instrText xml:space="preserve"> PAGEREF _Toc198733182 \h </w:instrText>
      </w:r>
      <w:r>
        <w:fldChar w:fldCharType="separate"/>
      </w:r>
      <w:r>
        <w:t>- 189 -</w:t>
      </w:r>
      <w:r>
        <w:fldChar w:fldCharType="end"/>
      </w:r>
      <w:r>
        <w:fldChar w:fldCharType="end"/>
      </w:r>
    </w:p>
    <w:p w14:paraId="73DB38C4">
      <w:pPr>
        <w:pStyle w:val="53"/>
        <w:rPr>
          <w:rFonts w:asciiTheme="minorHAnsi" w:hAnsiTheme="minorHAnsi" w:eastAsiaTheme="minorEastAsia" w:cstheme="minorBidi"/>
          <w:szCs w:val="22"/>
        </w:rPr>
      </w:pPr>
      <w:r>
        <w:fldChar w:fldCharType="begin"/>
      </w:r>
      <w:r>
        <w:instrText xml:space="preserve"> HYPERLINK \l "_Toc198733183" </w:instrText>
      </w:r>
      <w:r>
        <w:fldChar w:fldCharType="separate"/>
      </w:r>
      <w:r>
        <w:rPr>
          <w:rStyle w:val="68"/>
          <w:kern w:val="0"/>
        </w:rPr>
        <w:t>8.2 环境质量现状调查</w:t>
      </w:r>
      <w:r>
        <w:tab/>
      </w:r>
      <w:r>
        <w:fldChar w:fldCharType="begin"/>
      </w:r>
      <w:r>
        <w:instrText xml:space="preserve"> PAGEREF _Toc198733183 \h </w:instrText>
      </w:r>
      <w:r>
        <w:fldChar w:fldCharType="separate"/>
      </w:r>
      <w:r>
        <w:t>- 189 -</w:t>
      </w:r>
      <w:r>
        <w:fldChar w:fldCharType="end"/>
      </w:r>
      <w:r>
        <w:fldChar w:fldCharType="end"/>
      </w:r>
    </w:p>
    <w:p w14:paraId="3C1DAB58">
      <w:pPr>
        <w:pStyle w:val="53"/>
        <w:rPr>
          <w:rFonts w:asciiTheme="minorHAnsi" w:hAnsiTheme="minorHAnsi" w:eastAsiaTheme="minorEastAsia" w:cstheme="minorBidi"/>
          <w:szCs w:val="22"/>
        </w:rPr>
      </w:pPr>
      <w:r>
        <w:fldChar w:fldCharType="begin"/>
      </w:r>
      <w:r>
        <w:instrText xml:space="preserve"> HYPERLINK \l "_Toc198733184" </w:instrText>
      </w:r>
      <w:r>
        <w:fldChar w:fldCharType="separate"/>
      </w:r>
      <w:r>
        <w:rPr>
          <w:rStyle w:val="68"/>
          <w:kern w:val="0"/>
        </w:rPr>
        <w:t>8.3 污染物排放情况</w:t>
      </w:r>
      <w:r>
        <w:tab/>
      </w:r>
      <w:r>
        <w:fldChar w:fldCharType="begin"/>
      </w:r>
      <w:r>
        <w:instrText xml:space="preserve"> PAGEREF _Toc198733184 \h </w:instrText>
      </w:r>
      <w:r>
        <w:fldChar w:fldCharType="separate"/>
      </w:r>
      <w:r>
        <w:t>- 190 -</w:t>
      </w:r>
      <w:r>
        <w:fldChar w:fldCharType="end"/>
      </w:r>
      <w:r>
        <w:fldChar w:fldCharType="end"/>
      </w:r>
    </w:p>
    <w:p w14:paraId="5943176C">
      <w:pPr>
        <w:pStyle w:val="53"/>
        <w:rPr>
          <w:rFonts w:asciiTheme="minorHAnsi" w:hAnsiTheme="minorHAnsi" w:eastAsiaTheme="minorEastAsia" w:cstheme="minorBidi"/>
          <w:szCs w:val="22"/>
        </w:rPr>
      </w:pPr>
      <w:r>
        <w:fldChar w:fldCharType="begin"/>
      </w:r>
      <w:r>
        <w:instrText xml:space="preserve"> HYPERLINK \l "_Toc198733185" </w:instrText>
      </w:r>
      <w:r>
        <w:fldChar w:fldCharType="separate"/>
      </w:r>
      <w:r>
        <w:rPr>
          <w:rStyle w:val="68"/>
          <w:kern w:val="0"/>
        </w:rPr>
        <w:t>8.4 环境保护措施</w:t>
      </w:r>
      <w:r>
        <w:tab/>
      </w:r>
      <w:r>
        <w:fldChar w:fldCharType="begin"/>
      </w:r>
      <w:r>
        <w:instrText xml:space="preserve"> PAGEREF _Toc198733185 \h </w:instrText>
      </w:r>
      <w:r>
        <w:fldChar w:fldCharType="separate"/>
      </w:r>
      <w:r>
        <w:t>- 190 -</w:t>
      </w:r>
      <w:r>
        <w:fldChar w:fldCharType="end"/>
      </w:r>
      <w:r>
        <w:fldChar w:fldCharType="end"/>
      </w:r>
    </w:p>
    <w:p w14:paraId="7DE67CDF">
      <w:pPr>
        <w:pStyle w:val="53"/>
        <w:rPr>
          <w:rFonts w:asciiTheme="minorHAnsi" w:hAnsiTheme="minorHAnsi" w:eastAsiaTheme="minorEastAsia" w:cstheme="minorBidi"/>
          <w:szCs w:val="22"/>
        </w:rPr>
      </w:pPr>
      <w:r>
        <w:fldChar w:fldCharType="begin"/>
      </w:r>
      <w:r>
        <w:instrText xml:space="preserve"> HYPERLINK \l "_Toc198733186" </w:instrText>
      </w:r>
      <w:r>
        <w:fldChar w:fldCharType="separate"/>
      </w:r>
      <w:r>
        <w:rPr>
          <w:rStyle w:val="68"/>
          <w:kern w:val="0"/>
        </w:rPr>
        <w:t>8.5 主要环境影响</w:t>
      </w:r>
      <w:r>
        <w:tab/>
      </w:r>
      <w:r>
        <w:fldChar w:fldCharType="begin"/>
      </w:r>
      <w:r>
        <w:instrText xml:space="preserve"> PAGEREF _Toc198733186 \h </w:instrText>
      </w:r>
      <w:r>
        <w:fldChar w:fldCharType="separate"/>
      </w:r>
      <w:r>
        <w:t>- 191 -</w:t>
      </w:r>
      <w:r>
        <w:fldChar w:fldCharType="end"/>
      </w:r>
      <w:r>
        <w:fldChar w:fldCharType="end"/>
      </w:r>
    </w:p>
    <w:p w14:paraId="0E5173C5">
      <w:pPr>
        <w:pStyle w:val="53"/>
        <w:rPr>
          <w:rFonts w:asciiTheme="minorHAnsi" w:hAnsiTheme="minorHAnsi" w:eastAsiaTheme="minorEastAsia" w:cstheme="minorBidi"/>
          <w:szCs w:val="22"/>
        </w:rPr>
      </w:pPr>
      <w:r>
        <w:fldChar w:fldCharType="begin"/>
      </w:r>
      <w:r>
        <w:instrText xml:space="preserve"> HYPERLINK \l "_Toc198733187" </w:instrText>
      </w:r>
      <w:r>
        <w:fldChar w:fldCharType="separate"/>
      </w:r>
      <w:r>
        <w:rPr>
          <w:rStyle w:val="68"/>
          <w:kern w:val="0"/>
        </w:rPr>
        <w:t>8.6 公众参与</w:t>
      </w:r>
      <w:r>
        <w:tab/>
      </w:r>
      <w:r>
        <w:fldChar w:fldCharType="begin"/>
      </w:r>
      <w:r>
        <w:instrText xml:space="preserve"> PAGEREF _Toc198733187 \h </w:instrText>
      </w:r>
      <w:r>
        <w:fldChar w:fldCharType="separate"/>
      </w:r>
      <w:r>
        <w:t>- 192 -</w:t>
      </w:r>
      <w:r>
        <w:fldChar w:fldCharType="end"/>
      </w:r>
      <w:r>
        <w:fldChar w:fldCharType="end"/>
      </w:r>
    </w:p>
    <w:p w14:paraId="65D310AD">
      <w:pPr>
        <w:pStyle w:val="53"/>
        <w:rPr>
          <w:rFonts w:asciiTheme="minorHAnsi" w:hAnsiTheme="minorHAnsi" w:eastAsiaTheme="minorEastAsia" w:cstheme="minorBidi"/>
          <w:szCs w:val="22"/>
        </w:rPr>
      </w:pPr>
      <w:r>
        <w:fldChar w:fldCharType="begin"/>
      </w:r>
      <w:r>
        <w:instrText xml:space="preserve"> HYPERLINK \l "_Toc198733188" </w:instrText>
      </w:r>
      <w:r>
        <w:fldChar w:fldCharType="separate"/>
      </w:r>
      <w:r>
        <w:rPr>
          <w:rStyle w:val="68"/>
          <w:kern w:val="0"/>
        </w:rPr>
        <w:t>8.7 环境影响经济损益分析</w:t>
      </w:r>
      <w:r>
        <w:tab/>
      </w:r>
      <w:r>
        <w:fldChar w:fldCharType="begin"/>
      </w:r>
      <w:r>
        <w:instrText xml:space="preserve"> PAGEREF _Toc198733188 \h </w:instrText>
      </w:r>
      <w:r>
        <w:fldChar w:fldCharType="separate"/>
      </w:r>
      <w:r>
        <w:t>- 192 -</w:t>
      </w:r>
      <w:r>
        <w:fldChar w:fldCharType="end"/>
      </w:r>
      <w:r>
        <w:fldChar w:fldCharType="end"/>
      </w:r>
    </w:p>
    <w:p w14:paraId="6D339AF5">
      <w:pPr>
        <w:pStyle w:val="53"/>
        <w:rPr>
          <w:rFonts w:asciiTheme="minorHAnsi" w:hAnsiTheme="minorHAnsi" w:eastAsiaTheme="minorEastAsia" w:cstheme="minorBidi"/>
          <w:szCs w:val="22"/>
        </w:rPr>
      </w:pPr>
      <w:r>
        <w:fldChar w:fldCharType="begin"/>
      </w:r>
      <w:r>
        <w:instrText xml:space="preserve"> HYPERLINK \l "_Toc198733189" </w:instrText>
      </w:r>
      <w:r>
        <w:fldChar w:fldCharType="separate"/>
      </w:r>
      <w:r>
        <w:rPr>
          <w:rStyle w:val="68"/>
          <w:kern w:val="0"/>
        </w:rPr>
        <w:t>8.8 环境管理与监测计划</w:t>
      </w:r>
      <w:r>
        <w:tab/>
      </w:r>
      <w:r>
        <w:fldChar w:fldCharType="begin"/>
      </w:r>
      <w:r>
        <w:instrText xml:space="preserve"> PAGEREF _Toc198733189 \h </w:instrText>
      </w:r>
      <w:r>
        <w:fldChar w:fldCharType="separate"/>
      </w:r>
      <w:r>
        <w:t>- 192 -</w:t>
      </w:r>
      <w:r>
        <w:fldChar w:fldCharType="end"/>
      </w:r>
      <w:r>
        <w:fldChar w:fldCharType="end"/>
      </w:r>
    </w:p>
    <w:p w14:paraId="6FCC883C">
      <w:pPr>
        <w:pStyle w:val="53"/>
        <w:rPr>
          <w:rFonts w:asciiTheme="minorHAnsi" w:hAnsiTheme="minorHAnsi" w:eastAsiaTheme="minorEastAsia" w:cstheme="minorBidi"/>
          <w:szCs w:val="22"/>
        </w:rPr>
      </w:pPr>
      <w:r>
        <w:fldChar w:fldCharType="begin"/>
      </w:r>
      <w:r>
        <w:instrText xml:space="preserve"> HYPERLINK \l "_Toc198733190" </w:instrText>
      </w:r>
      <w:r>
        <w:fldChar w:fldCharType="separate"/>
      </w:r>
      <w:r>
        <w:rPr>
          <w:rStyle w:val="68"/>
          <w:kern w:val="0"/>
        </w:rPr>
        <w:t>8.9 总量控制</w:t>
      </w:r>
      <w:r>
        <w:tab/>
      </w:r>
      <w:r>
        <w:fldChar w:fldCharType="begin"/>
      </w:r>
      <w:r>
        <w:instrText xml:space="preserve"> PAGEREF _Toc198733190 \h </w:instrText>
      </w:r>
      <w:r>
        <w:fldChar w:fldCharType="separate"/>
      </w:r>
      <w:r>
        <w:t>- 192 -</w:t>
      </w:r>
      <w:r>
        <w:fldChar w:fldCharType="end"/>
      </w:r>
      <w:r>
        <w:fldChar w:fldCharType="end"/>
      </w:r>
    </w:p>
    <w:p w14:paraId="149360E8">
      <w:pPr>
        <w:pStyle w:val="53"/>
        <w:rPr>
          <w:rFonts w:asciiTheme="minorHAnsi" w:hAnsiTheme="minorHAnsi" w:eastAsiaTheme="minorEastAsia" w:cstheme="minorBidi"/>
          <w:szCs w:val="22"/>
        </w:rPr>
      </w:pPr>
      <w:r>
        <w:fldChar w:fldCharType="begin"/>
      </w:r>
      <w:r>
        <w:instrText xml:space="preserve"> HYPERLINK \l "_Toc198733191" </w:instrText>
      </w:r>
      <w:r>
        <w:fldChar w:fldCharType="separate"/>
      </w:r>
      <w:r>
        <w:rPr>
          <w:rStyle w:val="68"/>
          <w:kern w:val="0"/>
        </w:rPr>
        <w:t>8.10 工程可行性结论</w:t>
      </w:r>
      <w:r>
        <w:tab/>
      </w:r>
      <w:r>
        <w:fldChar w:fldCharType="begin"/>
      </w:r>
      <w:r>
        <w:instrText xml:space="preserve"> PAGEREF _Toc198733191 \h </w:instrText>
      </w:r>
      <w:r>
        <w:fldChar w:fldCharType="separate"/>
      </w:r>
      <w:r>
        <w:t>- 192 -</w:t>
      </w:r>
      <w:r>
        <w:fldChar w:fldCharType="end"/>
      </w:r>
      <w:r>
        <w:fldChar w:fldCharType="end"/>
      </w:r>
    </w:p>
    <w:p w14:paraId="74F9688A">
      <w:pPr>
        <w:pStyle w:val="53"/>
        <w:rPr>
          <w:rFonts w:asciiTheme="minorHAnsi" w:hAnsiTheme="minorHAnsi" w:eastAsiaTheme="minorEastAsia" w:cstheme="minorBidi"/>
          <w:szCs w:val="22"/>
        </w:rPr>
      </w:pPr>
      <w:r>
        <w:fldChar w:fldCharType="begin"/>
      </w:r>
      <w:r>
        <w:instrText xml:space="preserve"> HYPERLINK \l "_Toc198733192" </w:instrText>
      </w:r>
      <w:r>
        <w:fldChar w:fldCharType="separate"/>
      </w:r>
      <w:r>
        <w:rPr>
          <w:rStyle w:val="68"/>
          <w:kern w:val="0"/>
        </w:rPr>
        <w:t>8.11 建议</w:t>
      </w:r>
      <w:r>
        <w:tab/>
      </w:r>
      <w:r>
        <w:fldChar w:fldCharType="begin"/>
      </w:r>
      <w:r>
        <w:instrText xml:space="preserve"> PAGEREF _Toc198733192 \h </w:instrText>
      </w:r>
      <w:r>
        <w:fldChar w:fldCharType="separate"/>
      </w:r>
      <w:r>
        <w:t>- 193 -</w:t>
      </w:r>
      <w:r>
        <w:fldChar w:fldCharType="end"/>
      </w:r>
      <w:r>
        <w:fldChar w:fldCharType="end"/>
      </w:r>
    </w:p>
    <w:p w14:paraId="727D695C">
      <w:pPr>
        <w:pStyle w:val="53"/>
        <w:spacing w:line="420" w:lineRule="exact"/>
        <w:rPr>
          <w:rFonts w:eastAsia="黑体"/>
          <w:kern w:val="0"/>
          <w:sz w:val="30"/>
          <w:szCs w:val="28"/>
        </w:rPr>
      </w:pPr>
      <w:r>
        <w:rPr>
          <w:kern w:val="0"/>
        </w:rPr>
        <w:fldChar w:fldCharType="end"/>
      </w:r>
    </w:p>
    <w:p w14:paraId="51EE63D6">
      <w:pPr>
        <w:rPr>
          <w:rFonts w:eastAsia="黑体"/>
          <w:kern w:val="0"/>
          <w:sz w:val="30"/>
          <w:szCs w:val="28"/>
        </w:rPr>
        <w:sectPr>
          <w:headerReference r:id="rId6" w:type="default"/>
          <w:footerReference r:id="rId7" w:type="default"/>
          <w:pgSz w:w="11906" w:h="16838"/>
          <w:pgMar w:top="2007" w:right="1797" w:bottom="1724" w:left="1797" w:header="1418" w:footer="1162" w:gutter="0"/>
          <w:pgNumType w:start="1"/>
          <w:cols w:space="720" w:num="1"/>
          <w:docGrid w:linePitch="312" w:charSpace="0"/>
        </w:sectPr>
      </w:pPr>
    </w:p>
    <w:p w14:paraId="3F39874E">
      <w:pPr>
        <w:pStyle w:val="85"/>
        <w:ind w:firstLine="0" w:firstLineChars="0"/>
        <w:outlineLvl w:val="0"/>
        <w:rPr>
          <w:b/>
          <w:kern w:val="0"/>
          <w:sz w:val="36"/>
          <w:szCs w:val="36"/>
        </w:rPr>
      </w:pPr>
      <w:bookmarkStart w:id="1" w:name="_Toc198733140"/>
      <w:bookmarkStart w:id="2" w:name="_Toc485131257"/>
      <w:bookmarkStart w:id="3" w:name="_Toc37517579"/>
      <w:bookmarkStart w:id="4" w:name="_Toc287343527"/>
      <w:bookmarkStart w:id="5" w:name="_Toc37477329"/>
      <w:bookmarkStart w:id="6" w:name="_Toc45682608"/>
      <w:bookmarkStart w:id="7" w:name="_Toc313444479"/>
      <w:bookmarkStart w:id="8" w:name="_Toc42252881"/>
      <w:bookmarkStart w:id="9" w:name="_Toc69119535"/>
      <w:bookmarkStart w:id="10" w:name="_Toc228965326"/>
      <w:bookmarkStart w:id="11" w:name="_Toc411029162"/>
      <w:r>
        <w:rPr>
          <w:rFonts w:hint="eastAsia"/>
          <w:b/>
          <w:kern w:val="0"/>
          <w:sz w:val="36"/>
          <w:szCs w:val="36"/>
        </w:rPr>
        <w:t>概述</w:t>
      </w:r>
      <w:bookmarkEnd w:id="1"/>
      <w:bookmarkEnd w:id="2"/>
    </w:p>
    <w:p w14:paraId="1D0888F7">
      <w:pPr>
        <w:pStyle w:val="85"/>
        <w:ind w:firstLine="0" w:firstLineChars="0"/>
        <w:rPr>
          <w:rFonts w:eastAsia="黑体"/>
          <w:kern w:val="0"/>
          <w:sz w:val="28"/>
          <w:szCs w:val="28"/>
        </w:rPr>
      </w:pPr>
      <w:r>
        <w:rPr>
          <w:rFonts w:eastAsia="黑体"/>
          <w:kern w:val="0"/>
          <w:sz w:val="28"/>
          <w:szCs w:val="28"/>
        </w:rPr>
        <w:t>1</w:t>
      </w:r>
      <w:r>
        <w:rPr>
          <w:rFonts w:hint="eastAsia" w:eastAsia="黑体"/>
          <w:kern w:val="0"/>
          <w:sz w:val="28"/>
          <w:szCs w:val="28"/>
        </w:rPr>
        <w:t>建设项目简介</w:t>
      </w:r>
    </w:p>
    <w:p w14:paraId="7706AB29">
      <w:pPr>
        <w:pStyle w:val="85"/>
        <w:ind w:firstLine="480"/>
        <w:rPr>
          <w:rFonts w:eastAsiaTheme="minorEastAsia"/>
          <w:kern w:val="0"/>
          <w:lang w:bidi="zh-CN"/>
        </w:rPr>
      </w:pPr>
      <w:r>
        <w:rPr>
          <w:rFonts w:hint="eastAsia" w:eastAsiaTheme="minorEastAsia"/>
          <w:kern w:val="0"/>
          <w:lang w:bidi="zh-CN"/>
        </w:rPr>
        <w:t>密云水库作为北京城市供水的主要水源，是首都城市供水“生命线”。潮白河流域位于密云水库上游，是密云水库重要的补给水源和水源涵养区，保护潮白河流域生态环境、确保首都水源安全是北京市和河北省共同的责任，是发挥首都水源涵养功能的重点区域，具有极其重要的生态价值。加强潮河流域生态环境保护，打造更加优美的生态环境，是京冀两地最基本的民生需求</w:t>
      </w:r>
      <w:r>
        <w:rPr>
          <w:rFonts w:eastAsiaTheme="minorEastAsia"/>
          <w:kern w:val="0"/>
          <w:lang w:bidi="zh-CN"/>
        </w:rPr>
        <w:t>。</w:t>
      </w:r>
    </w:p>
    <w:p w14:paraId="0DDF7782">
      <w:pPr>
        <w:pStyle w:val="85"/>
        <w:ind w:firstLine="480"/>
        <w:rPr>
          <w:rFonts w:eastAsiaTheme="minorEastAsia"/>
          <w:kern w:val="0"/>
          <w:lang w:bidi="zh-CN"/>
        </w:rPr>
      </w:pPr>
      <w:r>
        <w:rPr>
          <w:rFonts w:hint="eastAsia" w:eastAsiaTheme="minorEastAsia"/>
          <w:kern w:val="0"/>
          <w:lang w:bidi="zh-CN"/>
        </w:rPr>
        <w:t>为深入贯彻落实习近平生态文明思想，共同推进流域生态环境治理与保护，2018年11月，北京市与河北省建立了全国首个以水量、水质、行为管控为主导的《密云水库上游潮白河流域水源涵养区横向生态保护补偿协议（2018-2020年）》（以下简称“一期协议”），签署了为期3年的首期补偿协议。经过两省市共同努力，特别是张、承两市五县加大水环境治理、水生态修复、水资源保护力度，促进了上游流域水生态整体改善。三年来，潮白河流域密云水库上游入北京境内水量9.46亿m³，水质在稳定中持续改善，双边效益显著。</w:t>
      </w:r>
    </w:p>
    <w:p w14:paraId="13F45A7B">
      <w:pPr>
        <w:pStyle w:val="85"/>
        <w:ind w:firstLine="480"/>
        <w:rPr>
          <w:rFonts w:eastAsiaTheme="minorEastAsia"/>
          <w:kern w:val="0"/>
          <w:lang w:bidi="zh-CN"/>
        </w:rPr>
      </w:pPr>
      <w:r>
        <w:rPr>
          <w:rFonts w:hint="eastAsia" w:eastAsiaTheme="minorEastAsia"/>
          <w:kern w:val="0"/>
          <w:lang w:bidi="zh-CN"/>
        </w:rPr>
        <w:t>2022年8月，北京市人民政府与河北省人民政府继续加大力度，共同签署了新一轮的</w:t>
      </w:r>
      <w:bookmarkStart w:id="12" w:name="OLE_LINK7"/>
      <w:r>
        <w:rPr>
          <w:rFonts w:hint="eastAsia" w:eastAsiaTheme="minorEastAsia"/>
          <w:kern w:val="0"/>
          <w:lang w:bidi="zh-CN"/>
        </w:rPr>
        <w:t>《密云水库上游潮白河流域水源涵养区横向生态保护补偿协议（2021-2025年）》</w:t>
      </w:r>
      <w:bookmarkEnd w:id="12"/>
      <w:r>
        <w:rPr>
          <w:rFonts w:hint="eastAsia" w:eastAsiaTheme="minorEastAsia"/>
          <w:kern w:val="0"/>
          <w:lang w:bidi="zh-CN"/>
        </w:rPr>
        <w:t>（以下简称“第二轮补偿协议”）。</w:t>
      </w:r>
      <w:r>
        <w:rPr>
          <w:rFonts w:eastAsiaTheme="minorEastAsia"/>
          <w:kern w:val="0"/>
          <w:lang w:bidi="zh-CN"/>
        </w:rPr>
        <w:t>在总结2018年至2020年工作基础上，完善协作机制，针对总氮防控等突出问题，通过溯源解析、制定实施科学防控方案，共同促进流域水资源保护与水生态环境改善。河北省着力加强水资源保护、水污染防治、水生态修复、水土流失防治、节约用水管理等工作。</w:t>
      </w:r>
    </w:p>
    <w:p w14:paraId="0C1E7192">
      <w:pPr>
        <w:pStyle w:val="85"/>
        <w:ind w:firstLine="480"/>
        <w:rPr>
          <w:rFonts w:eastAsiaTheme="minorEastAsia"/>
          <w:kern w:val="0"/>
          <w:lang w:bidi="zh-CN"/>
        </w:rPr>
      </w:pPr>
      <w:r>
        <w:rPr>
          <w:rFonts w:eastAsiaTheme="minorEastAsia"/>
          <w:kern w:val="0"/>
          <w:lang w:bidi="zh-CN"/>
        </w:rPr>
        <w:t>目前潮河滦平段通过实施综合治理，区域生态环境质量得到一定程度改善。古北口断面高锰酸盐指数、氨氮、总磷等主要指标基本达到《地表水质量标准》II类标准，但个别月份（枯水期）仍未稳定达到“第二轮补偿协议”中确定总氮目标为6.56mg/L以下。</w:t>
      </w:r>
      <w:r>
        <w:rPr>
          <w:rFonts w:hint="eastAsia" w:eastAsiaTheme="minorEastAsia"/>
          <w:kern w:val="0"/>
          <w:lang w:bidi="zh-CN"/>
        </w:rPr>
        <w:t>为了持续改善滦河水质和水生生态环境，滦平县水务局决定实施滦平县潮河干流河道水质改善与生态修复工程。</w:t>
      </w:r>
    </w:p>
    <w:p w14:paraId="0417D21C">
      <w:pPr>
        <w:pStyle w:val="85"/>
        <w:ind w:firstLine="0" w:firstLineChars="0"/>
        <w:rPr>
          <w:rFonts w:eastAsia="黑体"/>
          <w:kern w:val="0"/>
          <w:sz w:val="28"/>
          <w:szCs w:val="28"/>
        </w:rPr>
      </w:pPr>
      <w:r>
        <w:rPr>
          <w:rFonts w:eastAsia="黑体"/>
          <w:kern w:val="0"/>
          <w:sz w:val="28"/>
          <w:szCs w:val="28"/>
        </w:rPr>
        <w:t>2</w:t>
      </w:r>
      <w:r>
        <w:rPr>
          <w:rFonts w:hint="eastAsia" w:eastAsia="黑体"/>
          <w:kern w:val="0"/>
          <w:sz w:val="28"/>
          <w:szCs w:val="28"/>
        </w:rPr>
        <w:t>建设项目</w:t>
      </w:r>
      <w:r>
        <w:rPr>
          <w:rFonts w:eastAsia="黑体"/>
          <w:kern w:val="0"/>
          <w:sz w:val="28"/>
          <w:szCs w:val="28"/>
        </w:rPr>
        <w:t>特点</w:t>
      </w:r>
    </w:p>
    <w:p w14:paraId="4119C5F5">
      <w:pPr>
        <w:pStyle w:val="85"/>
        <w:ind w:firstLine="480"/>
        <w:rPr>
          <w:kern w:val="0"/>
        </w:rPr>
      </w:pPr>
      <w:r>
        <w:rPr>
          <w:rFonts w:hint="eastAsia"/>
          <w:kern w:val="0"/>
        </w:rPr>
        <w:t>（</w:t>
      </w:r>
      <w:r>
        <w:rPr>
          <w:kern w:val="0"/>
        </w:rPr>
        <w:t>1</w:t>
      </w:r>
      <w:r>
        <w:rPr>
          <w:rFonts w:hint="eastAsia"/>
          <w:kern w:val="0"/>
        </w:rPr>
        <w:t>）本</w:t>
      </w:r>
      <w:r>
        <w:rPr>
          <w:kern w:val="0"/>
        </w:rPr>
        <w:t>工程建设内容为</w:t>
      </w:r>
      <w:r>
        <w:rPr>
          <w:rFonts w:hint="eastAsia"/>
          <w:kern w:val="0"/>
        </w:rPr>
        <w:t>：</w:t>
      </w:r>
    </w:p>
    <w:p w14:paraId="286312DE">
      <w:pPr>
        <w:pStyle w:val="85"/>
        <w:spacing w:line="526" w:lineRule="exact"/>
        <w:ind w:firstLine="480"/>
        <w:rPr>
          <w:kern w:val="0"/>
        </w:rPr>
      </w:pPr>
      <w:bookmarkStart w:id="13" w:name="_Hlk195534907"/>
      <w:bookmarkStart w:id="14" w:name="OLE_LINK1"/>
      <w:r>
        <w:rPr>
          <w:kern w:val="0"/>
        </w:rPr>
        <w:t>河道基底修复及微地形梳理</w:t>
      </w:r>
      <w:bookmarkEnd w:id="13"/>
      <w:r>
        <w:rPr>
          <w:kern w:val="0"/>
        </w:rPr>
        <w:t>、构建恢复生态缓冲带、水生态构建及水生植物恢复等</w:t>
      </w:r>
      <w:bookmarkEnd w:id="14"/>
      <w:r>
        <w:rPr>
          <w:kern w:val="0"/>
        </w:rPr>
        <w:t>。治理潮河干流长度10.81km，基底修复及微地形梳理10.81km；构建修复生态缓冲带13.83km，陆域植被恢复16.31公顷、水生态构建及水生植物恢复16.49公顷。</w:t>
      </w:r>
    </w:p>
    <w:p w14:paraId="5B1B6145">
      <w:pPr>
        <w:pStyle w:val="85"/>
        <w:spacing w:line="526" w:lineRule="exact"/>
        <w:ind w:firstLine="480"/>
        <w:rPr>
          <w:kern w:val="0"/>
        </w:rPr>
      </w:pPr>
      <w:r>
        <w:rPr>
          <w:rFonts w:hint="eastAsia"/>
          <w:kern w:val="0"/>
        </w:rPr>
        <w:t>（</w:t>
      </w:r>
      <w:r>
        <w:rPr>
          <w:kern w:val="0"/>
        </w:rPr>
        <w:t>2</w:t>
      </w:r>
      <w:r>
        <w:rPr>
          <w:rFonts w:hint="eastAsia"/>
          <w:kern w:val="0"/>
        </w:rPr>
        <w:t>）本项目有28.72hm</w:t>
      </w:r>
      <w:r>
        <w:rPr>
          <w:kern w:val="0"/>
          <w:vertAlign w:val="superscript"/>
        </w:rPr>
        <w:t>2</w:t>
      </w:r>
      <w:r>
        <w:rPr>
          <w:rFonts w:hint="eastAsia"/>
          <w:kern w:val="0"/>
        </w:rPr>
        <w:t>的区域位于生态保护红线范围内；同时有24.36hm</w:t>
      </w:r>
      <w:r>
        <w:rPr>
          <w:kern w:val="0"/>
          <w:vertAlign w:val="superscript"/>
        </w:rPr>
        <w:t>2</w:t>
      </w:r>
      <w:r>
        <w:rPr>
          <w:rFonts w:hint="eastAsia"/>
          <w:kern w:val="0"/>
        </w:rPr>
        <w:t>的区域位于河北滦平潮河国家湿地公园范围内。</w:t>
      </w:r>
    </w:p>
    <w:p w14:paraId="6DE7DAC2">
      <w:pPr>
        <w:pStyle w:val="85"/>
        <w:spacing w:line="526" w:lineRule="exact"/>
        <w:ind w:firstLine="480"/>
        <w:rPr>
          <w:kern w:val="0"/>
        </w:rPr>
      </w:pPr>
      <w:r>
        <w:rPr>
          <w:rFonts w:hint="eastAsia"/>
          <w:kern w:val="0"/>
        </w:rPr>
        <w:t>（</w:t>
      </w:r>
      <w:r>
        <w:rPr>
          <w:kern w:val="0"/>
        </w:rPr>
        <w:t>3</w:t>
      </w:r>
      <w:r>
        <w:rPr>
          <w:rFonts w:hint="eastAsia"/>
          <w:kern w:val="0"/>
        </w:rPr>
        <w:t>）本工程为非污染类生态保护</w:t>
      </w:r>
      <w:r>
        <w:rPr>
          <w:kern w:val="0"/>
        </w:rPr>
        <w:t>修复工程</w:t>
      </w:r>
      <w:r>
        <w:rPr>
          <w:rFonts w:hint="eastAsia"/>
          <w:kern w:val="0"/>
        </w:rPr>
        <w:t>项目，</w:t>
      </w:r>
      <w:r>
        <w:rPr>
          <w:kern w:val="0"/>
        </w:rPr>
        <w:t>工程内容</w:t>
      </w:r>
      <w:r>
        <w:rPr>
          <w:rFonts w:hint="eastAsia"/>
          <w:kern w:val="0"/>
        </w:rPr>
        <w:t>位于潮河干流河道管理范围内，不涉及新增建设用地，不改变土地用途；关注的重点问题为施工期对项目所在地的生态环境、大气环境、水环境、声环境等产生的影响。</w:t>
      </w:r>
    </w:p>
    <w:p w14:paraId="75BE4F23">
      <w:pPr>
        <w:pStyle w:val="85"/>
        <w:spacing w:line="526" w:lineRule="exact"/>
        <w:ind w:firstLine="480"/>
        <w:rPr>
          <w:kern w:val="0"/>
        </w:rPr>
      </w:pPr>
      <w:r>
        <w:rPr>
          <w:rFonts w:hint="eastAsia"/>
          <w:kern w:val="0"/>
        </w:rPr>
        <w:t>（</w:t>
      </w:r>
      <w:r>
        <w:rPr>
          <w:kern w:val="0"/>
        </w:rPr>
        <w:t>4</w:t>
      </w:r>
      <w:r>
        <w:rPr>
          <w:rFonts w:hint="eastAsia"/>
          <w:kern w:val="0"/>
        </w:rPr>
        <w:t>）工程</w:t>
      </w:r>
      <w:r>
        <w:rPr>
          <w:kern w:val="0"/>
        </w:rPr>
        <w:t>距离</w:t>
      </w:r>
      <w:r>
        <w:rPr>
          <w:rFonts w:hint="eastAsia"/>
          <w:kern w:val="0"/>
        </w:rPr>
        <w:t>最近敏感点</w:t>
      </w:r>
      <w:bookmarkStart w:id="15" w:name="OLE_LINK6"/>
      <w:r>
        <w:rPr>
          <w:rFonts w:hint="eastAsia"/>
          <w:kern w:val="0"/>
        </w:rPr>
        <w:t>大河北小学</w:t>
      </w:r>
      <w:bookmarkEnd w:id="15"/>
      <w:r>
        <w:rPr>
          <w:rFonts w:hint="eastAsia"/>
          <w:kern w:val="0"/>
        </w:rPr>
        <w:t>1</w:t>
      </w:r>
      <w:r>
        <w:rPr>
          <w:kern w:val="0"/>
        </w:rPr>
        <w:t>3</w:t>
      </w:r>
      <w:r>
        <w:rPr>
          <w:rFonts w:hint="eastAsia"/>
          <w:kern w:val="0"/>
        </w:rPr>
        <w:t>0</w:t>
      </w:r>
      <w:r>
        <w:rPr>
          <w:kern w:val="0"/>
        </w:rPr>
        <w:t>m。</w:t>
      </w:r>
    </w:p>
    <w:p w14:paraId="16D92E95">
      <w:pPr>
        <w:pStyle w:val="85"/>
        <w:spacing w:line="526" w:lineRule="exact"/>
        <w:ind w:firstLine="480"/>
        <w:rPr>
          <w:kern w:val="0"/>
        </w:rPr>
      </w:pPr>
      <w:r>
        <w:rPr>
          <w:rFonts w:hint="eastAsia"/>
          <w:kern w:val="0"/>
        </w:rPr>
        <w:t>（</w:t>
      </w:r>
      <w:r>
        <w:rPr>
          <w:kern w:val="0"/>
        </w:rPr>
        <w:t>5</w:t>
      </w:r>
      <w:r>
        <w:rPr>
          <w:rFonts w:hint="eastAsia"/>
          <w:kern w:val="0"/>
        </w:rPr>
        <w:t>）项目实施后，仅在</w:t>
      </w:r>
      <w:r>
        <w:rPr>
          <w:kern w:val="0"/>
        </w:rPr>
        <w:t>施工期产生污染行为。主要为</w:t>
      </w:r>
      <w:bookmarkStart w:id="16" w:name="OLE_LINK4"/>
      <w:r>
        <w:rPr>
          <w:rFonts w:hint="eastAsia"/>
          <w:kern w:val="0"/>
        </w:rPr>
        <w:t>河道基底修复及微地形梳理</w:t>
      </w:r>
      <w:bookmarkEnd w:id="16"/>
      <w:r>
        <w:rPr>
          <w:rFonts w:hint="eastAsia"/>
          <w:kern w:val="0"/>
        </w:rPr>
        <w:t>等</w:t>
      </w:r>
      <w:r>
        <w:rPr>
          <w:kern w:val="0"/>
        </w:rPr>
        <w:t>施工工程引起的扰动对水环境</w:t>
      </w:r>
      <w:r>
        <w:rPr>
          <w:rFonts w:hint="eastAsia"/>
          <w:kern w:val="0"/>
        </w:rPr>
        <w:t>、</w:t>
      </w:r>
      <w:r>
        <w:rPr>
          <w:kern w:val="0"/>
        </w:rPr>
        <w:t>大气环境的影响以及施工期施工机械、交通运输噪声的影响。</w:t>
      </w:r>
    </w:p>
    <w:p w14:paraId="16BA6C47">
      <w:pPr>
        <w:pStyle w:val="85"/>
        <w:spacing w:line="526" w:lineRule="exact"/>
        <w:ind w:firstLine="480"/>
        <w:rPr>
          <w:kern w:val="0"/>
        </w:rPr>
      </w:pPr>
      <w:r>
        <w:rPr>
          <w:rFonts w:hint="eastAsia"/>
          <w:kern w:val="0"/>
        </w:rPr>
        <w:t>（</w:t>
      </w:r>
      <w:r>
        <w:rPr>
          <w:kern w:val="0"/>
        </w:rPr>
        <w:t>6</w:t>
      </w:r>
      <w:r>
        <w:rPr>
          <w:rFonts w:hint="eastAsia"/>
          <w:kern w:val="0"/>
        </w:rPr>
        <w:t>）</w:t>
      </w:r>
      <w:r>
        <w:rPr>
          <w:kern w:val="0"/>
        </w:rPr>
        <w:t>本项目通过开展</w:t>
      </w:r>
      <w:r>
        <w:rPr>
          <w:rFonts w:hint="eastAsia"/>
          <w:kern w:val="0"/>
        </w:rPr>
        <w:t>河道基底修复及微地形梳理、构建恢复生态缓冲带、水生态构建及水生植物恢复等</w:t>
      </w:r>
      <w:r>
        <w:rPr>
          <w:kern w:val="0"/>
        </w:rPr>
        <w:t>，对</w:t>
      </w:r>
      <w:r>
        <w:rPr>
          <w:rFonts w:hint="eastAsia"/>
          <w:kern w:val="0"/>
        </w:rPr>
        <w:t>滦河干流</w:t>
      </w:r>
      <w:r>
        <w:rPr>
          <w:kern w:val="0"/>
        </w:rPr>
        <w:t>实施生态保护修复。本项目的建设，</w:t>
      </w:r>
      <w:r>
        <w:rPr>
          <w:rFonts w:hint="eastAsia"/>
          <w:kern w:val="0"/>
        </w:rPr>
        <w:t>有利于改善河水环境质量，恢复河流生态廊道功能，降低入潮河污染物；对周边的气温会起到一定的调节作用，周围干燥的气候条件也将会得到一定程度的改善</w:t>
      </w:r>
      <w:r>
        <w:rPr>
          <w:kern w:val="0"/>
        </w:rPr>
        <w:t>。</w:t>
      </w:r>
    </w:p>
    <w:p w14:paraId="0D7EFD28">
      <w:pPr>
        <w:pStyle w:val="85"/>
        <w:ind w:firstLine="0" w:firstLineChars="0"/>
        <w:rPr>
          <w:rFonts w:eastAsia="黑体"/>
          <w:kern w:val="0"/>
          <w:sz w:val="28"/>
          <w:szCs w:val="28"/>
        </w:rPr>
      </w:pPr>
      <w:r>
        <w:rPr>
          <w:rFonts w:eastAsia="黑体"/>
          <w:kern w:val="0"/>
          <w:sz w:val="28"/>
          <w:szCs w:val="28"/>
        </w:rPr>
        <w:t>3</w:t>
      </w:r>
      <w:r>
        <w:rPr>
          <w:rFonts w:hint="eastAsia" w:eastAsia="黑体"/>
          <w:kern w:val="0"/>
          <w:sz w:val="28"/>
          <w:szCs w:val="28"/>
        </w:rPr>
        <w:t>环境影响</w:t>
      </w:r>
      <w:r>
        <w:rPr>
          <w:rFonts w:eastAsia="黑体"/>
          <w:kern w:val="0"/>
          <w:sz w:val="28"/>
          <w:szCs w:val="28"/>
        </w:rPr>
        <w:t>评价工作过程</w:t>
      </w:r>
    </w:p>
    <w:p w14:paraId="5BC28D38">
      <w:pPr>
        <w:pStyle w:val="85"/>
        <w:ind w:firstLine="480"/>
        <w:rPr>
          <w:rFonts w:eastAsiaTheme="minorEastAsia"/>
          <w:kern w:val="0"/>
        </w:rPr>
      </w:pPr>
      <w:r>
        <w:rPr>
          <w:kern w:val="0"/>
        </w:rPr>
        <w:t>根据《中华人民共和国环境影响评价法》和国务院第682号令《建设项目环境保护管理条例》（2017.7.16修订）的有关规定，本项目的建设需进行环境影响评价工作。经查阅《建设项目环境影响评价分类管理名录》（2021年版），项目属</w:t>
      </w:r>
      <w:r>
        <w:rPr>
          <w:rFonts w:asciiTheme="minorEastAsia" w:hAnsiTheme="minorEastAsia" w:eastAsiaTheme="minorEastAsia"/>
          <w:kern w:val="0"/>
        </w:rPr>
        <w:t>于：“</w:t>
      </w:r>
      <w:r>
        <w:rPr>
          <w:rFonts w:asciiTheme="minorEastAsia" w:hAnsiTheme="minorEastAsia" w:eastAsiaTheme="minorEastAsia"/>
          <w:bCs/>
          <w:kern w:val="0"/>
        </w:rPr>
        <w:t>五十</w:t>
      </w:r>
      <w:r>
        <w:rPr>
          <w:rFonts w:eastAsiaTheme="minorEastAsia"/>
          <w:bCs/>
          <w:kern w:val="0"/>
        </w:rPr>
        <w:t>一、水利128——河湖整治（不含农村塘堰、水渠）——</w:t>
      </w:r>
      <w:r>
        <w:rPr>
          <w:kern w:val="0"/>
          <w:szCs w:val="21"/>
        </w:rPr>
        <w:t>涉及环境敏感</w:t>
      </w:r>
      <w:r>
        <w:rPr>
          <w:rFonts w:asciiTheme="minorEastAsia" w:hAnsiTheme="minorEastAsia" w:eastAsiaTheme="minorEastAsia"/>
          <w:kern w:val="0"/>
          <w:szCs w:val="21"/>
        </w:rPr>
        <w:t>区的</w:t>
      </w:r>
      <w:r>
        <w:rPr>
          <w:rFonts w:asciiTheme="minorEastAsia" w:hAnsiTheme="minorEastAsia" w:eastAsiaTheme="minorEastAsia"/>
          <w:kern w:val="0"/>
        </w:rPr>
        <w:t>”，</w:t>
      </w:r>
      <w:r>
        <w:rPr>
          <w:rFonts w:eastAsiaTheme="minorEastAsia"/>
          <w:kern w:val="0"/>
        </w:rPr>
        <w:t>应编制环境影响报告书。2025年3月27日建设单位委托河北澳佳环境科技有限公司承担本项目的环评工作。</w:t>
      </w:r>
    </w:p>
    <w:p w14:paraId="7331DBF2">
      <w:pPr>
        <w:pStyle w:val="85"/>
        <w:ind w:firstLine="480"/>
        <w:rPr>
          <w:kern w:val="0"/>
        </w:rPr>
      </w:pPr>
      <w:bookmarkStart w:id="17" w:name="_Hlk140227833"/>
      <w:r>
        <w:rPr>
          <w:rFonts w:eastAsiaTheme="minorEastAsia"/>
          <w:kern w:val="0"/>
        </w:rPr>
        <w:t>接受委托后，评价单位组织有关专业技术人员对项目范围及周边环境现状进行了详细踏勘，收集了有关资料，并开展环境影响报告书的编制工作。在环评报告编制期间，建设单位于2025年4月1日开展了第一次环境影响评价信息公示，并委托</w:t>
      </w:r>
      <w:r>
        <w:rPr>
          <w:rFonts w:hint="eastAsia" w:eastAsiaTheme="minorEastAsia"/>
          <w:kern w:val="0"/>
        </w:rPr>
        <w:t>河北俊采环境检测技术有限公司和河北工院云环境检测技术有限公司</w:t>
      </w:r>
      <w:r>
        <w:rPr>
          <w:rFonts w:eastAsiaTheme="minorEastAsia"/>
          <w:kern w:val="0"/>
        </w:rPr>
        <w:t>开展环境质量现状监测工作。在得到环评初步结论后，建设单位于2025年4月30日至5月16日对项目周边环境敏感点张贴公告开展</w:t>
      </w:r>
      <w:r>
        <w:rPr>
          <w:rFonts w:hint="eastAsia" w:eastAsiaTheme="minorEastAsia"/>
          <w:kern w:val="0"/>
        </w:rPr>
        <w:t>环评</w:t>
      </w:r>
      <w:r>
        <w:rPr>
          <w:rFonts w:eastAsiaTheme="minorEastAsia"/>
          <w:kern w:val="0"/>
        </w:rPr>
        <w:t>征求意见稿公示，同时于2025年4月30日至5月16日通过网络及《河北</w:t>
      </w:r>
      <w:r>
        <w:rPr>
          <w:rFonts w:hint="eastAsia" w:eastAsiaTheme="minorEastAsia"/>
          <w:kern w:val="0"/>
        </w:rPr>
        <w:t>青年报</w:t>
      </w:r>
      <w:r>
        <w:rPr>
          <w:rFonts w:eastAsiaTheme="minorEastAsia"/>
          <w:kern w:val="0"/>
        </w:rPr>
        <w:t>》（国内统一刊号：CN13-0026，2025年5月7日及2025年5月12日两次公示）进行了环评信息公示。在以上工作的基础上，评价单位按照“环境影响评价技术导则”有关要求，编制完成了《滦平县潮河干流河道水质改善与生态修复工程环境影响报告书》</w:t>
      </w:r>
      <w:r>
        <w:rPr>
          <w:rFonts w:hint="eastAsia" w:eastAsiaTheme="minorEastAsia"/>
          <w:kern w:val="0"/>
        </w:rPr>
        <w:t>。</w:t>
      </w:r>
    </w:p>
    <w:bookmarkEnd w:id="17"/>
    <w:p w14:paraId="5ACFC7E0">
      <w:pPr>
        <w:pStyle w:val="85"/>
        <w:ind w:firstLine="0" w:firstLineChars="0"/>
        <w:rPr>
          <w:rFonts w:eastAsia="黑体"/>
          <w:kern w:val="0"/>
          <w:sz w:val="28"/>
          <w:szCs w:val="28"/>
        </w:rPr>
      </w:pPr>
      <w:r>
        <w:rPr>
          <w:rFonts w:eastAsia="黑体"/>
          <w:kern w:val="0"/>
          <w:sz w:val="28"/>
          <w:szCs w:val="28"/>
        </w:rPr>
        <w:t>4</w:t>
      </w:r>
      <w:r>
        <w:rPr>
          <w:rFonts w:hint="eastAsia" w:eastAsia="黑体"/>
          <w:kern w:val="0"/>
          <w:sz w:val="28"/>
          <w:szCs w:val="28"/>
        </w:rPr>
        <w:t>分析判定</w:t>
      </w:r>
      <w:r>
        <w:rPr>
          <w:rFonts w:eastAsia="黑体"/>
          <w:kern w:val="0"/>
          <w:sz w:val="28"/>
          <w:szCs w:val="28"/>
        </w:rPr>
        <w:t>相关</w:t>
      </w:r>
      <w:r>
        <w:rPr>
          <w:rFonts w:hint="eastAsia" w:eastAsia="黑体"/>
          <w:kern w:val="0"/>
          <w:sz w:val="28"/>
          <w:szCs w:val="28"/>
        </w:rPr>
        <w:t>情况</w:t>
      </w:r>
    </w:p>
    <w:p w14:paraId="7033CB0B">
      <w:pPr>
        <w:pStyle w:val="85"/>
        <w:ind w:firstLine="480"/>
        <w:rPr>
          <w:kern w:val="0"/>
        </w:rPr>
      </w:pPr>
      <w:r>
        <w:rPr>
          <w:rFonts w:hint="eastAsia"/>
          <w:kern w:val="0"/>
        </w:rPr>
        <w:t>本项目建设内容及工艺属于《产业结构调整指导目录</w:t>
      </w:r>
      <w:r>
        <w:rPr>
          <w:kern w:val="0"/>
        </w:rPr>
        <w:t>(2024</w:t>
      </w:r>
      <w:r>
        <w:rPr>
          <w:rFonts w:hint="eastAsia"/>
          <w:kern w:val="0"/>
        </w:rPr>
        <w:t>年本</w:t>
      </w:r>
      <w:r>
        <w:rPr>
          <w:kern w:val="0"/>
        </w:rPr>
        <w:t>)</w:t>
      </w:r>
      <w:r>
        <w:rPr>
          <w:rFonts w:hint="eastAsia"/>
          <w:kern w:val="0"/>
        </w:rPr>
        <w:t>》鼓励类</w:t>
      </w:r>
      <w:r>
        <w:rPr>
          <w:kern w:val="0"/>
        </w:rPr>
        <w:t>：</w:t>
      </w:r>
      <w:r>
        <w:rPr>
          <w:rFonts w:asciiTheme="minorEastAsia" w:hAnsiTheme="minorEastAsia" w:eastAsiaTheme="minorEastAsia"/>
          <w:kern w:val="0"/>
        </w:rPr>
        <w:t>“</w:t>
      </w:r>
      <w:r>
        <w:rPr>
          <w:rFonts w:hint="eastAsia"/>
          <w:kern w:val="0"/>
        </w:rPr>
        <w:t>二</w:t>
      </w:r>
      <w:r>
        <w:rPr>
          <w:kern w:val="0"/>
        </w:rPr>
        <w:t>、</w:t>
      </w:r>
      <w:r>
        <w:rPr>
          <w:rFonts w:hint="eastAsia"/>
          <w:kern w:val="0"/>
        </w:rPr>
        <w:t>水利</w:t>
      </w:r>
      <w:r>
        <w:rPr>
          <w:kern w:val="0"/>
        </w:rPr>
        <w:t>——3</w:t>
      </w:r>
      <w:r>
        <w:rPr>
          <w:rFonts w:hint="eastAsia"/>
          <w:kern w:val="0"/>
        </w:rPr>
        <w:t>、</w:t>
      </w:r>
      <w:r>
        <w:rPr>
          <w:kern w:val="0"/>
        </w:rPr>
        <w:t>……</w:t>
      </w:r>
      <w:r>
        <w:rPr>
          <w:rFonts w:hint="eastAsia"/>
          <w:kern w:val="0"/>
        </w:rPr>
        <w:t>江河湖库清淤疏浚工程</w:t>
      </w:r>
      <w:r>
        <w:rPr>
          <w:kern w:val="0"/>
        </w:rPr>
        <w:t>……</w:t>
      </w:r>
      <w:r>
        <w:rPr>
          <w:rFonts w:hint="eastAsia"/>
          <w:kern w:val="0"/>
        </w:rPr>
        <w:t>、</w:t>
      </w:r>
      <w:r>
        <w:rPr>
          <w:kern w:val="0"/>
        </w:rPr>
        <w:t>4</w:t>
      </w:r>
      <w:r>
        <w:rPr>
          <w:rFonts w:hint="eastAsia"/>
          <w:kern w:val="0"/>
        </w:rPr>
        <w:t>、水生态保护修复：水生态系统及地下水保护与修复工程</w:t>
      </w:r>
      <w:r>
        <w:rPr>
          <w:kern w:val="0"/>
        </w:rPr>
        <w:t>……</w:t>
      </w:r>
      <w:r>
        <w:rPr>
          <w:rFonts w:asciiTheme="minorEastAsia" w:hAnsiTheme="minorEastAsia" w:eastAsiaTheme="minorEastAsia"/>
          <w:kern w:val="0"/>
        </w:rPr>
        <w:t>”</w:t>
      </w:r>
      <w:r>
        <w:rPr>
          <w:rFonts w:hint="eastAsia"/>
          <w:kern w:val="0"/>
        </w:rPr>
        <w:t>；不属于《市场准入负面清单（202</w:t>
      </w:r>
      <w:r>
        <w:rPr>
          <w:kern w:val="0"/>
        </w:rPr>
        <w:t>5</w:t>
      </w:r>
      <w:r>
        <w:rPr>
          <w:rFonts w:hint="eastAsia"/>
          <w:kern w:val="0"/>
        </w:rPr>
        <w:t>年版）》禁止准入类建设项目。项目符合主体功能区划、《河北省生态环境保护“十四五”规划》、《河北省建设京津冀生态环境支撑区“十四五”规划》、《承德市生态环境保护“十四五”规划》及《承德市潮河流域生态环境保护规划（2018-2025年）》等相关规划要求。</w:t>
      </w:r>
    </w:p>
    <w:p w14:paraId="0E0149B4">
      <w:pPr>
        <w:pStyle w:val="85"/>
        <w:ind w:firstLine="480"/>
        <w:rPr>
          <w:kern w:val="0"/>
        </w:rPr>
      </w:pPr>
      <w:r>
        <w:rPr>
          <w:rFonts w:hint="eastAsia"/>
          <w:kern w:val="0"/>
        </w:rPr>
        <w:t>本项目实施范围位于潮河干流河道管理范围内，同时部分</w:t>
      </w:r>
      <w:r>
        <w:rPr>
          <w:kern w:val="0"/>
        </w:rPr>
        <w:t>位于</w:t>
      </w:r>
      <w:r>
        <w:rPr>
          <w:rFonts w:hint="eastAsia"/>
          <w:kern w:val="0"/>
        </w:rPr>
        <w:t>生态保护红线内，部分位于河北滦平潮河国家湿地公园范围内。</w:t>
      </w:r>
    </w:p>
    <w:p w14:paraId="627536A9">
      <w:pPr>
        <w:pStyle w:val="85"/>
        <w:ind w:firstLine="480"/>
        <w:rPr>
          <w:kern w:val="0"/>
        </w:rPr>
      </w:pPr>
      <w:r>
        <w:rPr>
          <w:rFonts w:hint="eastAsia"/>
          <w:kern w:val="0"/>
        </w:rPr>
        <w:t>本次评价大气环境影响评价工作等级为三级、地表水环境影响评价工作等级为三级、</w:t>
      </w:r>
      <w:r>
        <w:rPr>
          <w:kern w:val="0"/>
        </w:rPr>
        <w:t>地下水</w:t>
      </w:r>
      <w:r>
        <w:rPr>
          <w:rFonts w:hint="eastAsia"/>
          <w:kern w:val="0"/>
        </w:rPr>
        <w:t>环境</w:t>
      </w:r>
      <w:r>
        <w:rPr>
          <w:kern w:val="0"/>
        </w:rPr>
        <w:t>评价等级为三级</w:t>
      </w:r>
      <w:r>
        <w:rPr>
          <w:rFonts w:hint="eastAsia"/>
          <w:kern w:val="0"/>
        </w:rPr>
        <w:t>、声环境影响评价等级为二级、生态环境影响评价等级为二级。</w:t>
      </w:r>
    </w:p>
    <w:p w14:paraId="45BEDB0B">
      <w:pPr>
        <w:pStyle w:val="85"/>
        <w:ind w:firstLine="0" w:firstLineChars="0"/>
        <w:rPr>
          <w:rFonts w:eastAsia="黑体"/>
          <w:kern w:val="0"/>
          <w:sz w:val="28"/>
          <w:szCs w:val="28"/>
        </w:rPr>
      </w:pPr>
      <w:r>
        <w:rPr>
          <w:rFonts w:eastAsia="黑体"/>
          <w:kern w:val="0"/>
          <w:sz w:val="28"/>
          <w:szCs w:val="28"/>
        </w:rPr>
        <w:t>5</w:t>
      </w:r>
      <w:r>
        <w:rPr>
          <w:rFonts w:hint="eastAsia" w:eastAsia="黑体"/>
          <w:kern w:val="0"/>
          <w:sz w:val="28"/>
          <w:szCs w:val="28"/>
        </w:rPr>
        <w:t>关注的</w:t>
      </w:r>
      <w:r>
        <w:rPr>
          <w:rFonts w:eastAsia="黑体"/>
          <w:kern w:val="0"/>
          <w:sz w:val="28"/>
          <w:szCs w:val="28"/>
        </w:rPr>
        <w:t>主要环境问题</w:t>
      </w:r>
    </w:p>
    <w:p w14:paraId="6ED17D6B">
      <w:pPr>
        <w:pStyle w:val="85"/>
        <w:ind w:firstLine="480"/>
        <w:rPr>
          <w:kern w:val="0"/>
        </w:rPr>
      </w:pPr>
      <w:r>
        <w:rPr>
          <w:kern w:val="0"/>
        </w:rPr>
        <w:t>本工程环境影响评价工作，结合项目地区环境特点、工程特点，重点关注以下几个方面的问题：</w:t>
      </w:r>
    </w:p>
    <w:p w14:paraId="479DF78A">
      <w:pPr>
        <w:pStyle w:val="85"/>
        <w:ind w:firstLine="480"/>
        <w:rPr>
          <w:kern w:val="0"/>
        </w:rPr>
      </w:pPr>
      <w:r>
        <w:rPr>
          <w:kern w:val="0"/>
        </w:rPr>
        <w:t>（1）废气</w:t>
      </w:r>
    </w:p>
    <w:p w14:paraId="7F1122FF">
      <w:pPr>
        <w:pStyle w:val="85"/>
        <w:ind w:firstLine="480"/>
        <w:rPr>
          <w:kern w:val="0"/>
        </w:rPr>
      </w:pPr>
      <w:r>
        <w:rPr>
          <w:kern w:val="0"/>
        </w:rPr>
        <w:t>主要关注项目施工作业扬尘、</w:t>
      </w:r>
      <w:r>
        <w:rPr>
          <w:rFonts w:hint="eastAsia"/>
          <w:kern w:val="0"/>
        </w:rPr>
        <w:t>运输</w:t>
      </w:r>
      <w:r>
        <w:rPr>
          <w:kern w:val="0"/>
        </w:rPr>
        <w:t>扬尘、</w:t>
      </w:r>
      <w:r>
        <w:rPr>
          <w:rFonts w:hint="eastAsia"/>
          <w:kern w:val="0"/>
        </w:rPr>
        <w:t>施工机械</w:t>
      </w:r>
      <w:r>
        <w:rPr>
          <w:kern w:val="0"/>
        </w:rPr>
        <w:t>及车辆尾气以及大气环境防治措施的可行性。</w:t>
      </w:r>
    </w:p>
    <w:p w14:paraId="40853755">
      <w:pPr>
        <w:pStyle w:val="85"/>
        <w:ind w:firstLine="480"/>
        <w:rPr>
          <w:kern w:val="0"/>
        </w:rPr>
      </w:pPr>
      <w:r>
        <w:rPr>
          <w:kern w:val="0"/>
        </w:rPr>
        <w:t>（2）废水</w:t>
      </w:r>
    </w:p>
    <w:p w14:paraId="5119A99D">
      <w:pPr>
        <w:pStyle w:val="85"/>
        <w:ind w:firstLine="480"/>
        <w:rPr>
          <w:kern w:val="0"/>
        </w:rPr>
      </w:pPr>
      <w:r>
        <w:rPr>
          <w:kern w:val="0"/>
        </w:rPr>
        <w:t>主要关注项目</w:t>
      </w:r>
      <w:r>
        <w:rPr>
          <w:rFonts w:hint="eastAsia"/>
          <w:kern w:val="0"/>
        </w:rPr>
        <w:t>生活污水</w:t>
      </w:r>
      <w:r>
        <w:rPr>
          <w:kern w:val="0"/>
        </w:rPr>
        <w:t>、</w:t>
      </w:r>
      <w:r>
        <w:rPr>
          <w:rFonts w:hint="eastAsia"/>
          <w:kern w:val="0"/>
        </w:rPr>
        <w:t>河道基底修复及微地形梳理等工程</w:t>
      </w:r>
      <w:r>
        <w:rPr>
          <w:kern w:val="0"/>
        </w:rPr>
        <w:t>施工扰动引起的悬浮物质影响分析，水环境防治措施</w:t>
      </w:r>
      <w:r>
        <w:rPr>
          <w:rFonts w:hint="eastAsia"/>
          <w:kern w:val="0"/>
        </w:rPr>
        <w:t>。</w:t>
      </w:r>
    </w:p>
    <w:p w14:paraId="5F612045">
      <w:pPr>
        <w:pStyle w:val="85"/>
        <w:ind w:firstLine="480"/>
        <w:rPr>
          <w:kern w:val="0"/>
        </w:rPr>
      </w:pPr>
      <w:r>
        <w:rPr>
          <w:rFonts w:hint="eastAsia"/>
          <w:kern w:val="0"/>
        </w:rPr>
        <w:t>（3）噪声</w:t>
      </w:r>
    </w:p>
    <w:p w14:paraId="2C1FD7F3">
      <w:pPr>
        <w:pStyle w:val="85"/>
        <w:ind w:firstLine="480"/>
        <w:rPr>
          <w:kern w:val="0"/>
        </w:rPr>
      </w:pPr>
      <w:r>
        <w:rPr>
          <w:rFonts w:hint="eastAsia"/>
          <w:kern w:val="0"/>
        </w:rPr>
        <w:t>关注项目周边敏感目标噪声达标可行性、噪声防护措施的可行性。</w:t>
      </w:r>
    </w:p>
    <w:p w14:paraId="5CAC59CC">
      <w:pPr>
        <w:pStyle w:val="85"/>
        <w:ind w:firstLine="480"/>
        <w:rPr>
          <w:kern w:val="0"/>
        </w:rPr>
      </w:pPr>
      <w:r>
        <w:rPr>
          <w:rFonts w:hint="eastAsia"/>
          <w:kern w:val="0"/>
        </w:rPr>
        <w:t>（4）固废</w:t>
      </w:r>
    </w:p>
    <w:p w14:paraId="174F50D0">
      <w:pPr>
        <w:pStyle w:val="85"/>
        <w:ind w:firstLine="480"/>
        <w:rPr>
          <w:kern w:val="0"/>
        </w:rPr>
      </w:pPr>
      <w:r>
        <w:rPr>
          <w:rFonts w:hint="eastAsia"/>
          <w:kern w:val="0"/>
        </w:rPr>
        <w:t>关注施工期固废的处置措施。</w:t>
      </w:r>
    </w:p>
    <w:p w14:paraId="58DC01C5">
      <w:pPr>
        <w:pStyle w:val="85"/>
        <w:ind w:firstLine="0" w:firstLineChars="0"/>
        <w:rPr>
          <w:rFonts w:eastAsia="黑体"/>
          <w:kern w:val="0"/>
          <w:sz w:val="28"/>
          <w:szCs w:val="28"/>
        </w:rPr>
      </w:pPr>
      <w:r>
        <w:rPr>
          <w:rFonts w:eastAsia="黑体"/>
          <w:kern w:val="0"/>
          <w:sz w:val="28"/>
          <w:szCs w:val="28"/>
        </w:rPr>
        <w:t>6环境影响报告书主要结论</w:t>
      </w:r>
    </w:p>
    <w:p w14:paraId="0B3CC3FA">
      <w:pPr>
        <w:pStyle w:val="85"/>
        <w:ind w:firstLine="480"/>
        <w:rPr>
          <w:kern w:val="0"/>
        </w:rPr>
      </w:pPr>
      <w:r>
        <w:rPr>
          <w:rFonts w:hint="eastAsia"/>
          <w:kern w:val="0"/>
        </w:rPr>
        <w:t>项目采取了完善的污染治理措施并制定了完善的环境管理与监测计划，可确保废气、废水、噪声各类污染物达标排放，固体废物全部综合利用或妥善处置。根据建设单位开展的公众参与结论，被调查公众无反馈意见。满足全国及河北省主体功能区规划，《河北省生态环境保护“十四五”规划》、《河北省建设京津冀生态环境支撑区“十四五”规划》、《承德市生态环境保护“十四五”规划》及《承德市潮河流域生态环境保护规划（2018-2025年）》等相关规划要求。因此，本评价从环保角度认为，该项目的建设是可行的。</w:t>
      </w:r>
    </w:p>
    <w:p w14:paraId="724C1535">
      <w:pPr>
        <w:pStyle w:val="85"/>
        <w:ind w:firstLine="480"/>
        <w:rPr>
          <w:kern w:val="0"/>
        </w:rPr>
        <w:sectPr>
          <w:headerReference r:id="rId8" w:type="default"/>
          <w:footerReference r:id="rId10" w:type="default"/>
          <w:headerReference r:id="rId9" w:type="even"/>
          <w:footerReference r:id="rId11" w:type="even"/>
          <w:pgSz w:w="11907" w:h="16839"/>
          <w:pgMar w:top="2007" w:right="1797" w:bottom="1724" w:left="1797" w:header="1418" w:footer="1162" w:gutter="0"/>
          <w:pgNumType w:fmt="numberInDash" w:start="1"/>
          <w:cols w:space="425" w:num="1"/>
          <w:docGrid w:type="lines" w:linePitch="326" w:charSpace="0"/>
        </w:sectPr>
      </w:pPr>
      <w:r>
        <w:rPr>
          <w:rFonts w:hint="eastAsia"/>
          <w:kern w:val="0"/>
        </w:rPr>
        <w:t>报告编制过程中得到了承德市生态环境局、承德市数据和政务服务局、承德市生态环境局滦平县分局、滦平县水务局等单位和人员的大力支持和帮助，在此一并感谢！</w:t>
      </w:r>
    </w:p>
    <w:p w14:paraId="1AFD097D">
      <w:pPr>
        <w:spacing w:line="500" w:lineRule="exact"/>
        <w:ind w:firstLine="420" w:firstLineChars="200"/>
        <w:rPr>
          <w:kern w:val="0"/>
          <w:sz w:val="24"/>
        </w:rPr>
      </w:pPr>
      <w:r>
        <w:rPr>
          <w:kern w:val="0"/>
        </w:rPr>
        <mc:AlternateContent>
          <mc:Choice Requires="wpg">
            <w:drawing>
              <wp:anchor distT="0" distB="0" distL="114300" distR="114300" simplePos="0" relativeHeight="251661312" behindDoc="0" locked="0" layoutInCell="1" allowOverlap="1">
                <wp:simplePos x="0" y="0"/>
                <wp:positionH relativeFrom="column">
                  <wp:posOffset>49530</wp:posOffset>
                </wp:positionH>
                <wp:positionV relativeFrom="paragraph">
                  <wp:posOffset>147955</wp:posOffset>
                </wp:positionV>
                <wp:extent cx="5311775" cy="6116320"/>
                <wp:effectExtent l="0" t="0" r="22225" b="17780"/>
                <wp:wrapNone/>
                <wp:docPr id="178" name="组合 178"/>
                <wp:cNvGraphicFramePr/>
                <a:graphic xmlns:a="http://schemas.openxmlformats.org/drawingml/2006/main">
                  <a:graphicData uri="http://schemas.microsoft.com/office/word/2010/wordprocessingGroup">
                    <wpg:wgp>
                      <wpg:cNvGrpSpPr/>
                      <wpg:grpSpPr>
                        <a:xfrm>
                          <a:off x="0" y="0"/>
                          <a:ext cx="5311775" cy="6116320"/>
                          <a:chOff x="0" y="0"/>
                          <a:chExt cx="8849" cy="9542"/>
                        </a:xfrm>
                      </wpg:grpSpPr>
                      <wps:wsp>
                        <wps:cNvPr id="179" name="Rectangle 1182"/>
                        <wps:cNvSpPr>
                          <a:spLocks noChangeArrowheads="1"/>
                        </wps:cNvSpPr>
                        <wps:spPr bwMode="auto">
                          <a:xfrm>
                            <a:off x="0" y="0"/>
                            <a:ext cx="8828" cy="9542"/>
                          </a:xfrm>
                          <a:prstGeom prst="rect">
                            <a:avLst/>
                          </a:prstGeom>
                          <a:noFill/>
                          <a:ln w="12700">
                            <a:solidFill>
                              <a:srgbClr val="000000"/>
                            </a:solidFill>
                            <a:prstDash val="lgDash"/>
                            <a:miter lim="800000"/>
                          </a:ln>
                        </wps:spPr>
                        <wps:bodyPr rot="0" vert="horz" wrap="square" lIns="91440" tIns="45720" rIns="91440" bIns="45720" anchor="t" anchorCtr="0" upright="1">
                          <a:noAutofit/>
                        </wps:bodyPr>
                      </wps:wsp>
                      <wps:wsp>
                        <wps:cNvPr id="180" name="Text Box 1184"/>
                        <wps:cNvSpPr txBox="1">
                          <a:spLocks noChangeArrowheads="1"/>
                        </wps:cNvSpPr>
                        <wps:spPr bwMode="auto">
                          <a:xfrm>
                            <a:off x="2091" y="215"/>
                            <a:ext cx="4447" cy="454"/>
                          </a:xfrm>
                          <a:prstGeom prst="rect">
                            <a:avLst/>
                          </a:prstGeom>
                          <a:gradFill rotWithShape="0">
                            <a:gsLst>
                              <a:gs pos="0">
                                <a:srgbClr val="FFFFFF">
                                  <a:alpha val="0"/>
                                </a:srgbClr>
                              </a:gs>
                              <a:gs pos="100000">
                                <a:srgbClr val="FFFFFF">
                                  <a:gamma/>
                                  <a:shade val="46275"/>
                                  <a:invGamma/>
                                  <a:alpha val="0"/>
                                </a:srgbClr>
                              </a:gs>
                            </a:gsLst>
                            <a:lin ang="5400000" scaled="1"/>
                          </a:gradFill>
                          <a:ln w="9525">
                            <a:solidFill>
                              <a:srgbClr val="000000"/>
                            </a:solidFill>
                            <a:miter lim="800000"/>
                          </a:ln>
                        </wps:spPr>
                        <wps:txbx>
                          <w:txbxContent>
                            <w:p w14:paraId="175853EB">
                              <w:pPr>
                                <w:jc w:val="center"/>
                                <w:rPr>
                                  <w:szCs w:val="21"/>
                                </w:rPr>
                              </w:pPr>
                              <w:r>
                                <w:rPr>
                                  <w:rFonts w:hint="eastAsia"/>
                                  <w:szCs w:val="21"/>
                                </w:rPr>
                                <w:t>依据相关规定确定环境影响评价文件类型</w:t>
                              </w:r>
                            </w:p>
                          </w:txbxContent>
                        </wps:txbx>
                        <wps:bodyPr rot="0" vert="horz" wrap="square" lIns="91440" tIns="45720" rIns="91440" bIns="45720" anchor="t" anchorCtr="0" upright="1">
                          <a:noAutofit/>
                        </wps:bodyPr>
                      </wps:wsp>
                      <wps:wsp>
                        <wps:cNvPr id="181" name="AutoShape 1187"/>
                        <wps:cNvCnPr>
                          <a:cxnSpLocks noChangeShapeType="1"/>
                        </wps:cNvCnPr>
                        <wps:spPr bwMode="auto">
                          <a:xfrm>
                            <a:off x="4381" y="669"/>
                            <a:ext cx="0" cy="340"/>
                          </a:xfrm>
                          <a:prstGeom prst="straightConnector1">
                            <a:avLst/>
                          </a:prstGeom>
                          <a:noFill/>
                          <a:ln w="9525">
                            <a:solidFill>
                              <a:srgbClr val="000000"/>
                            </a:solidFill>
                            <a:round/>
                            <a:tailEnd type="triangle" w="med" len="med"/>
                          </a:ln>
                        </wps:spPr>
                        <wps:bodyPr/>
                      </wps:wsp>
                      <wps:wsp>
                        <wps:cNvPr id="182" name="Text Box 1188"/>
                        <wps:cNvSpPr txBox="1">
                          <a:spLocks noChangeArrowheads="1"/>
                        </wps:cNvSpPr>
                        <wps:spPr bwMode="auto">
                          <a:xfrm>
                            <a:off x="1943" y="1034"/>
                            <a:ext cx="4819" cy="1120"/>
                          </a:xfrm>
                          <a:prstGeom prst="rect">
                            <a:avLst/>
                          </a:prstGeom>
                          <a:gradFill rotWithShape="0">
                            <a:gsLst>
                              <a:gs pos="0">
                                <a:srgbClr val="FFFFFF">
                                  <a:alpha val="0"/>
                                </a:srgbClr>
                              </a:gs>
                              <a:gs pos="100000">
                                <a:srgbClr val="FFFFFF">
                                  <a:gamma/>
                                  <a:shade val="46275"/>
                                  <a:invGamma/>
                                  <a:alpha val="0"/>
                                </a:srgbClr>
                              </a:gs>
                            </a:gsLst>
                            <a:lin ang="5400000" scaled="1"/>
                          </a:gradFill>
                          <a:ln w="9525">
                            <a:solidFill>
                              <a:srgbClr val="000000"/>
                            </a:solidFill>
                            <a:miter lim="800000"/>
                          </a:ln>
                        </wps:spPr>
                        <wps:txbx>
                          <w:txbxContent>
                            <w:p w14:paraId="11D16266">
                              <w:pPr>
                                <w:jc w:val="left"/>
                                <w:rPr>
                                  <w:szCs w:val="21"/>
                                </w:rPr>
                              </w:pPr>
                              <w:r>
                                <w:rPr>
                                  <w:szCs w:val="21"/>
                                </w:rPr>
                                <w:t>1研究相关技术文件和其他有关文件</w:t>
                              </w:r>
                            </w:p>
                            <w:p w14:paraId="28B8A944">
                              <w:pPr>
                                <w:jc w:val="left"/>
                                <w:rPr>
                                  <w:szCs w:val="21"/>
                                </w:rPr>
                              </w:pPr>
                              <w:r>
                                <w:rPr>
                                  <w:szCs w:val="21"/>
                                </w:rPr>
                                <w:t>2进行初步工程分析</w:t>
                              </w:r>
                            </w:p>
                            <w:p w14:paraId="4F4250BF">
                              <w:pPr>
                                <w:jc w:val="left"/>
                                <w:rPr>
                                  <w:szCs w:val="21"/>
                                </w:rPr>
                              </w:pPr>
                              <w:r>
                                <w:rPr>
                                  <w:szCs w:val="21"/>
                                </w:rPr>
                                <w:t>3开展初步的环境现状调查</w:t>
                              </w:r>
                            </w:p>
                          </w:txbxContent>
                        </wps:txbx>
                        <wps:bodyPr rot="0" vert="horz" wrap="square" lIns="91440" tIns="45720" rIns="91440" bIns="45720" anchor="t" anchorCtr="0" upright="1">
                          <a:noAutofit/>
                        </wps:bodyPr>
                      </wps:wsp>
                      <wps:wsp>
                        <wps:cNvPr id="183" name="AutoShape 1189"/>
                        <wps:cNvCnPr>
                          <a:cxnSpLocks noChangeShapeType="1"/>
                        </wps:cNvCnPr>
                        <wps:spPr bwMode="auto">
                          <a:xfrm>
                            <a:off x="4401" y="2154"/>
                            <a:ext cx="0" cy="340"/>
                          </a:xfrm>
                          <a:prstGeom prst="straightConnector1">
                            <a:avLst/>
                          </a:prstGeom>
                          <a:noFill/>
                          <a:ln w="9525">
                            <a:solidFill>
                              <a:srgbClr val="000000"/>
                            </a:solidFill>
                            <a:round/>
                            <a:tailEnd type="triangle" w="med" len="med"/>
                          </a:ln>
                        </wps:spPr>
                        <wps:bodyPr/>
                      </wps:wsp>
                      <wps:wsp>
                        <wps:cNvPr id="184" name="AutoShape 1191"/>
                        <wps:cNvCnPr>
                          <a:cxnSpLocks noChangeShapeType="1"/>
                        </wps:cNvCnPr>
                        <wps:spPr bwMode="auto">
                          <a:xfrm>
                            <a:off x="4406" y="3614"/>
                            <a:ext cx="0" cy="340"/>
                          </a:xfrm>
                          <a:prstGeom prst="straightConnector1">
                            <a:avLst/>
                          </a:prstGeom>
                          <a:noFill/>
                          <a:ln w="9525">
                            <a:solidFill>
                              <a:srgbClr val="000000"/>
                            </a:solidFill>
                            <a:round/>
                            <a:tailEnd type="triangle" w="med" len="med"/>
                          </a:ln>
                        </wps:spPr>
                        <wps:bodyPr/>
                      </wps:wsp>
                      <wps:wsp>
                        <wps:cNvPr id="185" name="Text Box 1194"/>
                        <wps:cNvSpPr txBox="1">
                          <a:spLocks noChangeArrowheads="1"/>
                        </wps:cNvSpPr>
                        <wps:spPr bwMode="auto">
                          <a:xfrm>
                            <a:off x="3143" y="3954"/>
                            <a:ext cx="2551" cy="454"/>
                          </a:xfrm>
                          <a:prstGeom prst="rect">
                            <a:avLst/>
                          </a:prstGeom>
                          <a:gradFill rotWithShape="0">
                            <a:gsLst>
                              <a:gs pos="0">
                                <a:srgbClr val="FFFFFF">
                                  <a:alpha val="0"/>
                                </a:srgbClr>
                              </a:gs>
                              <a:gs pos="100000">
                                <a:srgbClr val="FFFFFF">
                                  <a:gamma/>
                                  <a:shade val="46275"/>
                                  <a:invGamma/>
                                  <a:alpha val="0"/>
                                </a:srgbClr>
                              </a:gs>
                            </a:gsLst>
                            <a:lin ang="5400000" scaled="1"/>
                          </a:gradFill>
                          <a:ln w="9525">
                            <a:solidFill>
                              <a:srgbClr val="000000"/>
                            </a:solidFill>
                            <a:miter lim="800000"/>
                          </a:ln>
                        </wps:spPr>
                        <wps:txbx>
                          <w:txbxContent>
                            <w:p w14:paraId="0200BEF4">
                              <w:pPr>
                                <w:jc w:val="center"/>
                                <w:rPr>
                                  <w:szCs w:val="21"/>
                                </w:rPr>
                              </w:pPr>
                              <w:r>
                                <w:rPr>
                                  <w:rFonts w:hint="eastAsia"/>
                                  <w:szCs w:val="21"/>
                                </w:rPr>
                                <w:t>制定工作方案</w:t>
                              </w:r>
                            </w:p>
                          </w:txbxContent>
                        </wps:txbx>
                        <wps:bodyPr rot="0" vert="horz" wrap="square" lIns="91440" tIns="45720" rIns="91440" bIns="45720" anchor="t" anchorCtr="0" upright="1">
                          <a:noAutofit/>
                        </wps:bodyPr>
                      </wps:wsp>
                      <wps:wsp>
                        <wps:cNvPr id="186" name="AutoShape 1197"/>
                        <wps:cNvCnPr>
                          <a:cxnSpLocks noChangeShapeType="1"/>
                        </wps:cNvCnPr>
                        <wps:spPr bwMode="auto">
                          <a:xfrm>
                            <a:off x="4418" y="4408"/>
                            <a:ext cx="0" cy="340"/>
                          </a:xfrm>
                          <a:prstGeom prst="straightConnector1">
                            <a:avLst/>
                          </a:prstGeom>
                          <a:noFill/>
                          <a:ln w="9525">
                            <a:solidFill>
                              <a:srgbClr val="000000"/>
                            </a:solidFill>
                            <a:round/>
                            <a:tailEnd type="triangle" w="med" len="med"/>
                          </a:ln>
                        </wps:spPr>
                        <wps:bodyPr/>
                      </wps:wsp>
                      <wps:wsp>
                        <wps:cNvPr id="187" name="AutoShape 1198"/>
                        <wps:cNvCnPr>
                          <a:cxnSpLocks noChangeShapeType="1"/>
                        </wps:cNvCnPr>
                        <wps:spPr bwMode="auto">
                          <a:xfrm>
                            <a:off x="2626" y="4748"/>
                            <a:ext cx="3912" cy="0"/>
                          </a:xfrm>
                          <a:prstGeom prst="straightConnector1">
                            <a:avLst/>
                          </a:prstGeom>
                          <a:noFill/>
                          <a:ln w="9525">
                            <a:solidFill>
                              <a:srgbClr val="000000"/>
                            </a:solidFill>
                            <a:round/>
                          </a:ln>
                        </wps:spPr>
                        <wps:bodyPr/>
                      </wps:wsp>
                      <wps:wsp>
                        <wps:cNvPr id="188" name="AutoShape 1199"/>
                        <wps:cNvCnPr>
                          <a:cxnSpLocks noChangeShapeType="1"/>
                        </wps:cNvCnPr>
                        <wps:spPr bwMode="auto">
                          <a:xfrm>
                            <a:off x="2626" y="4748"/>
                            <a:ext cx="0" cy="283"/>
                          </a:xfrm>
                          <a:prstGeom prst="straightConnector1">
                            <a:avLst/>
                          </a:prstGeom>
                          <a:noFill/>
                          <a:ln w="9525">
                            <a:solidFill>
                              <a:srgbClr val="000000"/>
                            </a:solidFill>
                            <a:round/>
                          </a:ln>
                        </wps:spPr>
                        <wps:bodyPr/>
                      </wps:wsp>
                      <wps:wsp>
                        <wps:cNvPr id="189" name="AutoShape 1200"/>
                        <wps:cNvCnPr>
                          <a:cxnSpLocks noChangeShapeType="1"/>
                        </wps:cNvCnPr>
                        <wps:spPr bwMode="auto">
                          <a:xfrm>
                            <a:off x="6530" y="4748"/>
                            <a:ext cx="0" cy="283"/>
                          </a:xfrm>
                          <a:prstGeom prst="straightConnector1">
                            <a:avLst/>
                          </a:prstGeom>
                          <a:noFill/>
                          <a:ln w="9525">
                            <a:solidFill>
                              <a:srgbClr val="000000"/>
                            </a:solidFill>
                            <a:round/>
                          </a:ln>
                        </wps:spPr>
                        <wps:bodyPr/>
                      </wps:wsp>
                      <wps:wsp>
                        <wps:cNvPr id="190" name="Text Box 1201"/>
                        <wps:cNvSpPr txBox="1">
                          <a:spLocks noChangeArrowheads="1"/>
                        </wps:cNvSpPr>
                        <wps:spPr bwMode="auto">
                          <a:xfrm>
                            <a:off x="1766" y="5032"/>
                            <a:ext cx="1824" cy="729"/>
                          </a:xfrm>
                          <a:prstGeom prst="rect">
                            <a:avLst/>
                          </a:prstGeom>
                          <a:gradFill rotWithShape="0">
                            <a:gsLst>
                              <a:gs pos="0">
                                <a:srgbClr val="FFFFFF">
                                  <a:alpha val="0"/>
                                </a:srgbClr>
                              </a:gs>
                              <a:gs pos="100000">
                                <a:srgbClr val="FFFFFF">
                                  <a:gamma/>
                                  <a:shade val="46275"/>
                                  <a:invGamma/>
                                  <a:alpha val="0"/>
                                </a:srgbClr>
                              </a:gs>
                            </a:gsLst>
                            <a:lin ang="5400000" scaled="1"/>
                          </a:gradFill>
                          <a:ln w="9525">
                            <a:solidFill>
                              <a:srgbClr val="000000"/>
                            </a:solidFill>
                            <a:miter lim="800000"/>
                          </a:ln>
                        </wps:spPr>
                        <wps:txbx>
                          <w:txbxContent>
                            <w:p w14:paraId="2B188786">
                              <w:pPr>
                                <w:spacing w:line="280" w:lineRule="exact"/>
                                <w:jc w:val="center"/>
                                <w:rPr>
                                  <w:szCs w:val="21"/>
                                </w:rPr>
                              </w:pPr>
                              <w:r>
                                <w:rPr>
                                  <w:rFonts w:hint="eastAsia"/>
                                  <w:szCs w:val="21"/>
                                </w:rPr>
                                <w:t>环境状况调查监测与评价</w:t>
                              </w:r>
                            </w:p>
                          </w:txbxContent>
                        </wps:txbx>
                        <wps:bodyPr rot="0" vert="horz" wrap="square" lIns="91440" tIns="45720" rIns="91440" bIns="45720" anchor="t" anchorCtr="0" upright="1">
                          <a:noAutofit/>
                        </wps:bodyPr>
                      </wps:wsp>
                      <wps:wsp>
                        <wps:cNvPr id="191" name="Text Box 1202"/>
                        <wps:cNvSpPr txBox="1">
                          <a:spLocks noChangeArrowheads="1"/>
                        </wps:cNvSpPr>
                        <wps:spPr bwMode="auto">
                          <a:xfrm>
                            <a:off x="5740" y="5031"/>
                            <a:ext cx="1304" cy="729"/>
                          </a:xfrm>
                          <a:prstGeom prst="rect">
                            <a:avLst/>
                          </a:prstGeom>
                          <a:gradFill rotWithShape="0">
                            <a:gsLst>
                              <a:gs pos="0">
                                <a:srgbClr val="FFFFFF">
                                  <a:alpha val="0"/>
                                </a:srgbClr>
                              </a:gs>
                              <a:gs pos="100000">
                                <a:srgbClr val="FFFFFF">
                                  <a:gamma/>
                                  <a:shade val="46275"/>
                                  <a:invGamma/>
                                  <a:alpha val="0"/>
                                </a:srgbClr>
                              </a:gs>
                            </a:gsLst>
                            <a:lin ang="5400000" scaled="1"/>
                          </a:gradFill>
                          <a:ln w="9525">
                            <a:solidFill>
                              <a:srgbClr val="000000"/>
                            </a:solidFill>
                            <a:miter lim="800000"/>
                          </a:ln>
                        </wps:spPr>
                        <wps:txbx>
                          <w:txbxContent>
                            <w:p w14:paraId="044CB582">
                              <w:pPr>
                                <w:spacing w:line="280" w:lineRule="exact"/>
                                <w:jc w:val="center"/>
                                <w:rPr>
                                  <w:szCs w:val="21"/>
                                </w:rPr>
                              </w:pPr>
                              <w:r>
                                <w:rPr>
                                  <w:rFonts w:hint="eastAsia"/>
                                  <w:szCs w:val="21"/>
                                </w:rPr>
                                <w:t>建设项目工程分析</w:t>
                              </w:r>
                            </w:p>
                          </w:txbxContent>
                        </wps:txbx>
                        <wps:bodyPr rot="0" vert="horz" wrap="square" lIns="91440" tIns="45720" rIns="91440" bIns="45720" anchor="t" anchorCtr="0" upright="1">
                          <a:noAutofit/>
                        </wps:bodyPr>
                      </wps:wsp>
                      <wps:wsp>
                        <wps:cNvPr id="192" name="AutoShape 1207"/>
                        <wps:cNvCnPr>
                          <a:cxnSpLocks noChangeShapeType="1"/>
                        </wps:cNvCnPr>
                        <wps:spPr bwMode="auto">
                          <a:xfrm>
                            <a:off x="2626" y="5760"/>
                            <a:ext cx="0" cy="283"/>
                          </a:xfrm>
                          <a:prstGeom prst="straightConnector1">
                            <a:avLst/>
                          </a:prstGeom>
                          <a:noFill/>
                          <a:ln w="9525">
                            <a:solidFill>
                              <a:srgbClr val="000000"/>
                            </a:solidFill>
                            <a:round/>
                          </a:ln>
                        </wps:spPr>
                        <wps:bodyPr/>
                      </wps:wsp>
                      <wps:wsp>
                        <wps:cNvPr id="193" name="AutoShape 1210"/>
                        <wps:cNvCnPr>
                          <a:cxnSpLocks noChangeShapeType="1"/>
                        </wps:cNvCnPr>
                        <wps:spPr bwMode="auto">
                          <a:xfrm>
                            <a:off x="6528" y="5761"/>
                            <a:ext cx="0" cy="283"/>
                          </a:xfrm>
                          <a:prstGeom prst="straightConnector1">
                            <a:avLst/>
                          </a:prstGeom>
                          <a:noFill/>
                          <a:ln w="9525">
                            <a:solidFill>
                              <a:srgbClr val="000000"/>
                            </a:solidFill>
                            <a:round/>
                          </a:ln>
                        </wps:spPr>
                        <wps:bodyPr/>
                      </wps:wsp>
                      <wps:wsp>
                        <wps:cNvPr id="194" name="AutoShape 1211"/>
                        <wps:cNvCnPr>
                          <a:cxnSpLocks noChangeShapeType="1"/>
                        </wps:cNvCnPr>
                        <wps:spPr bwMode="auto">
                          <a:xfrm>
                            <a:off x="2616" y="6064"/>
                            <a:ext cx="3912" cy="0"/>
                          </a:xfrm>
                          <a:prstGeom prst="straightConnector1">
                            <a:avLst/>
                          </a:prstGeom>
                          <a:noFill/>
                          <a:ln w="9525">
                            <a:solidFill>
                              <a:srgbClr val="000000"/>
                            </a:solidFill>
                            <a:round/>
                          </a:ln>
                        </wps:spPr>
                        <wps:bodyPr/>
                      </wps:wsp>
                      <wps:wsp>
                        <wps:cNvPr id="195" name="AutoShape 1212"/>
                        <wps:cNvCnPr>
                          <a:cxnSpLocks noChangeShapeType="1"/>
                        </wps:cNvCnPr>
                        <wps:spPr bwMode="auto">
                          <a:xfrm>
                            <a:off x="4552" y="6064"/>
                            <a:ext cx="0" cy="340"/>
                          </a:xfrm>
                          <a:prstGeom prst="straightConnector1">
                            <a:avLst/>
                          </a:prstGeom>
                          <a:noFill/>
                          <a:ln w="9525">
                            <a:solidFill>
                              <a:srgbClr val="000000"/>
                            </a:solidFill>
                            <a:round/>
                            <a:tailEnd type="triangle" w="med" len="med"/>
                          </a:ln>
                        </wps:spPr>
                        <wps:bodyPr/>
                      </wps:wsp>
                      <wps:wsp>
                        <wps:cNvPr id="196" name="Text Box 1216"/>
                        <wps:cNvSpPr txBox="1">
                          <a:spLocks noChangeArrowheads="1"/>
                        </wps:cNvSpPr>
                        <wps:spPr bwMode="auto">
                          <a:xfrm>
                            <a:off x="587" y="6336"/>
                            <a:ext cx="7966" cy="797"/>
                          </a:xfrm>
                          <a:prstGeom prst="rect">
                            <a:avLst/>
                          </a:prstGeom>
                          <a:gradFill rotWithShape="0">
                            <a:gsLst>
                              <a:gs pos="0">
                                <a:srgbClr val="FFFFFF">
                                  <a:alpha val="0"/>
                                </a:srgbClr>
                              </a:gs>
                              <a:gs pos="100000">
                                <a:srgbClr val="FFFFFF">
                                  <a:gamma/>
                                  <a:shade val="46275"/>
                                  <a:invGamma/>
                                  <a:alpha val="0"/>
                                </a:srgbClr>
                              </a:gs>
                            </a:gsLst>
                            <a:lin ang="5400000" scaled="1"/>
                          </a:gradFill>
                          <a:ln w="9525">
                            <a:solidFill>
                              <a:srgbClr val="000000"/>
                            </a:solidFill>
                            <a:miter lim="800000"/>
                          </a:ln>
                        </wps:spPr>
                        <wps:txbx>
                          <w:txbxContent>
                            <w:p w14:paraId="4BEEC263">
                              <w:pPr>
                                <w:jc w:val="center"/>
                                <w:rPr>
                                  <w:szCs w:val="21"/>
                                </w:rPr>
                              </w:pPr>
                              <w:r>
                                <w:rPr>
                                  <w:szCs w:val="21"/>
                                </w:rPr>
                                <w:t>1</w:t>
                              </w:r>
                              <w:r>
                                <w:rPr>
                                  <w:rFonts w:hint="eastAsia"/>
                                </w:rPr>
                                <w:t>大气、地表水、声环境、生态等</w:t>
                              </w:r>
                              <w:r>
                                <w:rPr>
                                  <w:szCs w:val="21"/>
                                </w:rPr>
                                <w:t>环境要素环境影响预测与评价</w:t>
                              </w:r>
                            </w:p>
                            <w:p w14:paraId="21A429CE">
                              <w:pPr>
                                <w:jc w:val="center"/>
                                <w:rPr>
                                  <w:szCs w:val="21"/>
                                </w:rPr>
                              </w:pPr>
                              <w:r>
                                <w:rPr>
                                  <w:szCs w:val="21"/>
                                </w:rPr>
                                <w:t>2</w:t>
                              </w:r>
                              <w:r>
                                <w:rPr>
                                  <w:rFonts w:hint="eastAsia"/>
                                </w:rPr>
                                <w:t>环境风险评价、环境影响经济损益分析、固废等</w:t>
                              </w:r>
                              <w:r>
                                <w:rPr>
                                  <w:szCs w:val="21"/>
                                </w:rPr>
                                <w:t>专题环境影响分析与评价</w:t>
                              </w:r>
                            </w:p>
                          </w:txbxContent>
                        </wps:txbx>
                        <wps:bodyPr rot="0" vert="horz" wrap="square" lIns="91440" tIns="45720" rIns="91440" bIns="45720" anchor="t" anchorCtr="0" upright="1">
                          <a:noAutofit/>
                        </wps:bodyPr>
                      </wps:wsp>
                      <wps:wsp>
                        <wps:cNvPr id="197" name="AutoShape 1217"/>
                        <wps:cNvCnPr>
                          <a:cxnSpLocks noChangeShapeType="1"/>
                        </wps:cNvCnPr>
                        <wps:spPr bwMode="auto">
                          <a:xfrm>
                            <a:off x="4550" y="7133"/>
                            <a:ext cx="0" cy="340"/>
                          </a:xfrm>
                          <a:prstGeom prst="straightConnector1">
                            <a:avLst/>
                          </a:prstGeom>
                          <a:noFill/>
                          <a:ln w="9525">
                            <a:solidFill>
                              <a:srgbClr val="000000"/>
                            </a:solidFill>
                            <a:round/>
                            <a:tailEnd type="triangle" w="med" len="med"/>
                          </a:ln>
                        </wps:spPr>
                        <wps:bodyPr/>
                      </wps:wsp>
                      <wps:wsp>
                        <wps:cNvPr id="198" name="Text Box 1218"/>
                        <wps:cNvSpPr txBox="1">
                          <a:spLocks noChangeArrowheads="1"/>
                        </wps:cNvSpPr>
                        <wps:spPr bwMode="auto">
                          <a:xfrm>
                            <a:off x="2185" y="7473"/>
                            <a:ext cx="4577" cy="1117"/>
                          </a:xfrm>
                          <a:prstGeom prst="rect">
                            <a:avLst/>
                          </a:prstGeom>
                          <a:gradFill rotWithShape="0">
                            <a:gsLst>
                              <a:gs pos="0">
                                <a:srgbClr val="FFFFFF">
                                  <a:alpha val="0"/>
                                </a:srgbClr>
                              </a:gs>
                              <a:gs pos="100000">
                                <a:srgbClr val="FFFFFF">
                                  <a:gamma/>
                                  <a:shade val="46275"/>
                                  <a:invGamma/>
                                  <a:alpha val="0"/>
                                </a:srgbClr>
                              </a:gs>
                            </a:gsLst>
                            <a:lin ang="5400000" scaled="1"/>
                          </a:gradFill>
                          <a:ln w="9525">
                            <a:solidFill>
                              <a:srgbClr val="000000"/>
                            </a:solidFill>
                            <a:miter lim="800000"/>
                          </a:ln>
                        </wps:spPr>
                        <wps:txbx>
                          <w:txbxContent>
                            <w:p w14:paraId="2948759E">
                              <w:pPr>
                                <w:jc w:val="center"/>
                                <w:rPr>
                                  <w:szCs w:val="21"/>
                                </w:rPr>
                              </w:pPr>
                              <w:r>
                                <w:rPr>
                                  <w:szCs w:val="21"/>
                                </w:rPr>
                                <w:t>1提出环境保护措施，进行技术经济论证</w:t>
                              </w:r>
                            </w:p>
                            <w:p w14:paraId="5BD4FC9F">
                              <w:pPr>
                                <w:jc w:val="center"/>
                                <w:rPr>
                                  <w:szCs w:val="21"/>
                                </w:rPr>
                              </w:pPr>
                              <w:r>
                                <w:rPr>
                                  <w:szCs w:val="21"/>
                                </w:rPr>
                                <w:t>2给出污染物排放清单</w:t>
                              </w:r>
                            </w:p>
                            <w:p w14:paraId="14EC51E1">
                              <w:pPr>
                                <w:jc w:val="center"/>
                                <w:rPr>
                                  <w:szCs w:val="21"/>
                                </w:rPr>
                              </w:pPr>
                              <w:r>
                                <w:rPr>
                                  <w:szCs w:val="21"/>
                                </w:rPr>
                                <w:t>3给出建设项目环境影响评价结论</w:t>
                              </w:r>
                            </w:p>
                          </w:txbxContent>
                        </wps:txbx>
                        <wps:bodyPr rot="0" vert="horz" wrap="square" lIns="91440" tIns="45720" rIns="91440" bIns="45720" anchor="t" anchorCtr="0" upright="1">
                          <a:noAutofit/>
                        </wps:bodyPr>
                      </wps:wsp>
                      <wps:wsp>
                        <wps:cNvPr id="199" name="AutoShape 1219"/>
                        <wps:cNvCnPr>
                          <a:cxnSpLocks noChangeShapeType="1"/>
                        </wps:cNvCnPr>
                        <wps:spPr bwMode="auto">
                          <a:xfrm>
                            <a:off x="4548" y="8590"/>
                            <a:ext cx="0" cy="340"/>
                          </a:xfrm>
                          <a:prstGeom prst="straightConnector1">
                            <a:avLst/>
                          </a:prstGeom>
                          <a:noFill/>
                          <a:ln w="9525">
                            <a:solidFill>
                              <a:srgbClr val="000000"/>
                            </a:solidFill>
                            <a:round/>
                            <a:tailEnd type="triangle" w="med" len="med"/>
                          </a:ln>
                        </wps:spPr>
                        <wps:bodyPr/>
                      </wps:wsp>
                      <wps:wsp>
                        <wps:cNvPr id="200" name="Text Box 1220"/>
                        <wps:cNvSpPr txBox="1">
                          <a:spLocks noChangeArrowheads="1"/>
                        </wps:cNvSpPr>
                        <wps:spPr bwMode="auto">
                          <a:xfrm>
                            <a:off x="3206" y="8935"/>
                            <a:ext cx="2772" cy="454"/>
                          </a:xfrm>
                          <a:prstGeom prst="rect">
                            <a:avLst/>
                          </a:prstGeom>
                          <a:gradFill rotWithShape="0">
                            <a:gsLst>
                              <a:gs pos="0">
                                <a:srgbClr val="FFFFFF">
                                  <a:alpha val="0"/>
                                </a:srgbClr>
                              </a:gs>
                              <a:gs pos="100000">
                                <a:srgbClr val="FFFFFF">
                                  <a:gamma/>
                                  <a:shade val="46275"/>
                                  <a:invGamma/>
                                  <a:alpha val="0"/>
                                </a:srgbClr>
                              </a:gs>
                            </a:gsLst>
                            <a:lin ang="5400000" scaled="1"/>
                          </a:gradFill>
                          <a:ln w="9525">
                            <a:solidFill>
                              <a:srgbClr val="000000"/>
                            </a:solidFill>
                            <a:miter lim="800000"/>
                          </a:ln>
                        </wps:spPr>
                        <wps:txbx>
                          <w:txbxContent>
                            <w:p w14:paraId="36D87D5D">
                              <w:pPr>
                                <w:jc w:val="center"/>
                                <w:rPr>
                                  <w:szCs w:val="21"/>
                                </w:rPr>
                              </w:pPr>
                              <w:r>
                                <w:rPr>
                                  <w:rFonts w:hint="eastAsia"/>
                                  <w:szCs w:val="21"/>
                                </w:rPr>
                                <w:t>编制环境影响报告书</w:t>
                              </w:r>
                            </w:p>
                          </w:txbxContent>
                        </wps:txbx>
                        <wps:bodyPr rot="0" vert="horz" wrap="square" lIns="91440" tIns="45720" rIns="91440" bIns="45720" anchor="t" anchorCtr="0" upright="1">
                          <a:noAutofit/>
                        </wps:bodyPr>
                      </wps:wsp>
                      <wps:wsp>
                        <wps:cNvPr id="201" name="Text Box 1229"/>
                        <wps:cNvSpPr txBox="1">
                          <a:spLocks noChangeArrowheads="1"/>
                        </wps:cNvSpPr>
                        <wps:spPr bwMode="auto">
                          <a:xfrm>
                            <a:off x="226" y="1857"/>
                            <a:ext cx="794" cy="1435"/>
                          </a:xfrm>
                          <a:prstGeom prst="rect">
                            <a:avLst/>
                          </a:prstGeom>
                          <a:gradFill rotWithShape="0">
                            <a:gsLst>
                              <a:gs pos="0">
                                <a:srgbClr val="FFFFFF">
                                  <a:alpha val="0"/>
                                </a:srgbClr>
                              </a:gs>
                              <a:gs pos="100000">
                                <a:srgbClr val="FFFFFF">
                                  <a:gamma/>
                                  <a:shade val="46275"/>
                                  <a:invGamma/>
                                  <a:alpha val="0"/>
                                </a:srgbClr>
                              </a:gs>
                            </a:gsLst>
                            <a:lin ang="5400000" scaled="1"/>
                          </a:gradFill>
                          <a:ln>
                            <a:noFill/>
                          </a:ln>
                        </wps:spPr>
                        <wps:txbx>
                          <w:txbxContent>
                            <w:p w14:paraId="142CDEFB">
                              <w:pPr>
                                <w:jc w:val="center"/>
                                <w:rPr>
                                  <w:szCs w:val="21"/>
                                </w:rPr>
                              </w:pPr>
                              <w:r>
                                <w:rPr>
                                  <w:rFonts w:hint="eastAsia"/>
                                  <w:szCs w:val="21"/>
                                </w:rPr>
                                <w:t>第一阶段</w:t>
                              </w:r>
                            </w:p>
                          </w:txbxContent>
                        </wps:txbx>
                        <wps:bodyPr rot="0" vert="eaVert" wrap="square" lIns="91440" tIns="45720" rIns="91440" bIns="45720" anchor="t" anchorCtr="0" upright="1">
                          <a:noAutofit/>
                        </wps:bodyPr>
                      </wps:wsp>
                      <wps:wsp>
                        <wps:cNvPr id="202" name="Text Box 1234"/>
                        <wps:cNvSpPr txBox="1">
                          <a:spLocks noChangeArrowheads="1"/>
                        </wps:cNvSpPr>
                        <wps:spPr bwMode="auto">
                          <a:xfrm>
                            <a:off x="323" y="5270"/>
                            <a:ext cx="697" cy="1435"/>
                          </a:xfrm>
                          <a:prstGeom prst="rect">
                            <a:avLst/>
                          </a:prstGeom>
                          <a:gradFill rotWithShape="0">
                            <a:gsLst>
                              <a:gs pos="0">
                                <a:srgbClr val="FFFFFF">
                                  <a:alpha val="0"/>
                                </a:srgbClr>
                              </a:gs>
                              <a:gs pos="100000">
                                <a:srgbClr val="FFFFFF">
                                  <a:gamma/>
                                  <a:shade val="46275"/>
                                  <a:invGamma/>
                                  <a:alpha val="0"/>
                                </a:srgbClr>
                              </a:gs>
                            </a:gsLst>
                            <a:lin ang="5400000" scaled="1"/>
                          </a:gradFill>
                          <a:ln>
                            <a:noFill/>
                          </a:ln>
                        </wps:spPr>
                        <wps:txbx>
                          <w:txbxContent>
                            <w:p w14:paraId="10F6FA55">
                              <w:pPr>
                                <w:jc w:val="center"/>
                                <w:rPr>
                                  <w:szCs w:val="21"/>
                                </w:rPr>
                              </w:pPr>
                              <w:r>
                                <w:rPr>
                                  <w:rFonts w:hint="eastAsia"/>
                                  <w:szCs w:val="21"/>
                                </w:rPr>
                                <w:t>第二阶段</w:t>
                              </w:r>
                            </w:p>
                          </w:txbxContent>
                        </wps:txbx>
                        <wps:bodyPr rot="0" vert="eaVert" wrap="square" lIns="91440" tIns="45720" rIns="91440" bIns="45720" anchor="t" anchorCtr="0" upright="1">
                          <a:noAutofit/>
                        </wps:bodyPr>
                      </wps:wsp>
                      <wps:wsp>
                        <wps:cNvPr id="203" name="AutoShape 1241"/>
                        <wps:cNvCnPr>
                          <a:cxnSpLocks noChangeShapeType="1"/>
                        </wps:cNvCnPr>
                        <wps:spPr bwMode="auto">
                          <a:xfrm>
                            <a:off x="5" y="4556"/>
                            <a:ext cx="8844" cy="0"/>
                          </a:xfrm>
                          <a:prstGeom prst="straightConnector1">
                            <a:avLst/>
                          </a:prstGeom>
                          <a:noFill/>
                          <a:ln w="9525" cap="rnd">
                            <a:solidFill>
                              <a:srgbClr val="000000"/>
                            </a:solidFill>
                            <a:prstDash val="sysDot"/>
                            <a:round/>
                          </a:ln>
                        </wps:spPr>
                        <wps:bodyPr/>
                      </wps:wsp>
                      <wps:wsp>
                        <wps:cNvPr id="204" name="AutoShape 1242"/>
                        <wps:cNvCnPr>
                          <a:cxnSpLocks noChangeShapeType="1"/>
                        </wps:cNvCnPr>
                        <wps:spPr bwMode="auto">
                          <a:xfrm>
                            <a:off x="0" y="7279"/>
                            <a:ext cx="8743" cy="0"/>
                          </a:xfrm>
                          <a:prstGeom prst="straightConnector1">
                            <a:avLst/>
                          </a:prstGeom>
                          <a:noFill/>
                          <a:ln w="9525" cap="rnd">
                            <a:solidFill>
                              <a:srgbClr val="000000"/>
                            </a:solidFill>
                            <a:prstDash val="sysDot"/>
                            <a:round/>
                          </a:ln>
                        </wps:spPr>
                        <wps:bodyPr/>
                      </wps:wsp>
                      <wps:wsp>
                        <wps:cNvPr id="205" name="Text Box 1243"/>
                        <wps:cNvSpPr txBox="1">
                          <a:spLocks noChangeArrowheads="1"/>
                        </wps:cNvSpPr>
                        <wps:spPr bwMode="auto">
                          <a:xfrm>
                            <a:off x="226" y="7796"/>
                            <a:ext cx="794" cy="1435"/>
                          </a:xfrm>
                          <a:prstGeom prst="rect">
                            <a:avLst/>
                          </a:prstGeom>
                          <a:gradFill rotWithShape="0">
                            <a:gsLst>
                              <a:gs pos="0">
                                <a:srgbClr val="FFFFFF">
                                  <a:alpha val="0"/>
                                </a:srgbClr>
                              </a:gs>
                              <a:gs pos="100000">
                                <a:srgbClr val="FFFFFF">
                                  <a:gamma/>
                                  <a:shade val="46275"/>
                                  <a:invGamma/>
                                  <a:alpha val="0"/>
                                </a:srgbClr>
                              </a:gs>
                            </a:gsLst>
                            <a:lin ang="5400000" scaled="1"/>
                          </a:gradFill>
                          <a:ln>
                            <a:noFill/>
                          </a:ln>
                        </wps:spPr>
                        <wps:txbx>
                          <w:txbxContent>
                            <w:p w14:paraId="6951C4C5">
                              <w:pPr>
                                <w:jc w:val="center"/>
                                <w:rPr>
                                  <w:szCs w:val="21"/>
                                </w:rPr>
                              </w:pPr>
                              <w:r>
                                <w:rPr>
                                  <w:rFonts w:hint="eastAsia"/>
                                  <w:szCs w:val="21"/>
                                </w:rPr>
                                <w:t>第三阶段</w:t>
                              </w:r>
                            </w:p>
                          </w:txbxContent>
                        </wps:txbx>
                        <wps:bodyPr rot="0" vert="eaVert" wrap="square" lIns="91440" tIns="45720" rIns="91440" bIns="45720" anchor="t" anchorCtr="0" upright="1">
                          <a:noAutofit/>
                        </wps:bodyPr>
                      </wps:wsp>
                      <wps:wsp>
                        <wps:cNvPr id="206" name="Text Box 1188"/>
                        <wps:cNvSpPr txBox="1">
                          <a:spLocks noChangeArrowheads="1"/>
                        </wps:cNvSpPr>
                        <wps:spPr bwMode="auto">
                          <a:xfrm>
                            <a:off x="1943" y="2494"/>
                            <a:ext cx="4819" cy="1120"/>
                          </a:xfrm>
                          <a:prstGeom prst="rect">
                            <a:avLst/>
                          </a:prstGeom>
                          <a:gradFill rotWithShape="0">
                            <a:gsLst>
                              <a:gs pos="0">
                                <a:srgbClr val="FFFFFF">
                                  <a:alpha val="0"/>
                                </a:srgbClr>
                              </a:gs>
                              <a:gs pos="100000">
                                <a:srgbClr val="FFFFFF">
                                  <a:gamma/>
                                  <a:shade val="46275"/>
                                  <a:invGamma/>
                                  <a:alpha val="0"/>
                                </a:srgbClr>
                              </a:gs>
                            </a:gsLst>
                            <a:lin ang="5400000" scaled="1"/>
                          </a:gradFill>
                          <a:ln w="9525">
                            <a:solidFill>
                              <a:srgbClr val="000000"/>
                            </a:solidFill>
                            <a:miter lim="800000"/>
                          </a:ln>
                        </wps:spPr>
                        <wps:txbx>
                          <w:txbxContent>
                            <w:p w14:paraId="12A39EDD">
                              <w:pPr>
                                <w:jc w:val="left"/>
                                <w:rPr>
                                  <w:szCs w:val="21"/>
                                </w:rPr>
                              </w:pPr>
                              <w:r>
                                <w:rPr>
                                  <w:szCs w:val="21"/>
                                </w:rPr>
                                <w:t>1</w:t>
                              </w:r>
                              <w:r>
                                <w:rPr>
                                  <w:rFonts w:hint="eastAsia"/>
                                  <w:szCs w:val="21"/>
                                </w:rPr>
                                <w:t>环境影响识别和评价因子筛选</w:t>
                              </w:r>
                            </w:p>
                            <w:p w14:paraId="2A12494C">
                              <w:pPr>
                                <w:jc w:val="left"/>
                                <w:rPr>
                                  <w:szCs w:val="21"/>
                                </w:rPr>
                              </w:pPr>
                              <w:r>
                                <w:rPr>
                                  <w:szCs w:val="21"/>
                                </w:rPr>
                                <w:t>2</w:t>
                              </w:r>
                              <w:r>
                                <w:rPr>
                                  <w:rFonts w:hint="eastAsia"/>
                                  <w:szCs w:val="21"/>
                                </w:rPr>
                                <w:t>明确评价重点和环境保护目标</w:t>
                              </w:r>
                            </w:p>
                            <w:p w14:paraId="1A92B2C1">
                              <w:pPr>
                                <w:jc w:val="left"/>
                                <w:rPr>
                                  <w:szCs w:val="21"/>
                                </w:rPr>
                              </w:pPr>
                              <w:r>
                                <w:rPr>
                                  <w:szCs w:val="21"/>
                                </w:rPr>
                                <w:t>3</w:t>
                              </w:r>
                              <w:r>
                                <w:rPr>
                                  <w:rFonts w:hint="eastAsia"/>
                                  <w:szCs w:val="21"/>
                                </w:rPr>
                                <w:t>确定工作等级、评价范围和评价标准</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9pt;margin-top:11.65pt;height:481.6pt;width:418.25pt;z-index:251661312;mso-width-relative:page;mso-height-relative:page;" coordsize="8849,9542" o:gfxdata="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">
                <o:lock v:ext="edit" aspectratio="f"/>
                <v:rect id="Rectangle 1182" o:spid="_x0000_s1026" o:spt="1" style="position:absolute;left:0;top:0;height:9542;width:8828;" filled="f" stroked="t" coordsize="21600,21600" o:gfxdata="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GoreugAAANwA&#10;AAAPAAAAAAAAAAEAIAAAACIAAABkcnMvZG93bnJldi54bWxQSwECFAAUAAAACACHTuJAMy8FnjsA&#10;AAA5AAAAEAAAAAAAAAABACAAAAAJAQAAZHJzL3NoYXBleG1sLnhtbFBLBQYAAAAABgAGAFsBAACz&#10;AwAAAAA=&#10;">
                  <v:fill on="f" focussize="0,0"/>
                  <v:stroke weight="1pt" color="#000000" miterlimit="8" joinstyle="miter" dashstyle="longDash"/>
                  <v:imagedata o:title=""/>
                  <o:lock v:ext="edit" aspectratio="f"/>
                </v:rect>
                <v:shape id="Text Box 1184" o:spid="_x0000_s1026" o:spt="202" type="#_x0000_t202" style="position:absolute;left:2091;top:215;height:454;width:4447;" fillcolor="#FFFFFF" filled="t" stroked="t" coordsize="21600,21600" o:gfxdata="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xu8AAAA&#10;3AAAAA8AAAAAAAAAAQAgAAAAIgAAAGRycy9kb3ducmV2LnhtbFBLAQIUABQAAAAIAIdO4kAzLwWe&#10;OwAAADkAAAAQAAAAAAAAAAEAIAAAAAsBAABkcnMvc2hhcGV4bWwueG1sUEsFBgAAAAAGAAYAWwEA&#10;ALUDAAAAAA==&#10;">
                  <v:fill type="gradient" on="t" color2="#767676" opacity="0f" o:opacity2="0f" focus="100%" focussize="0,0"/>
                  <v:stroke color="#000000" miterlimit="8" joinstyle="miter"/>
                  <v:imagedata o:title=""/>
                  <o:lock v:ext="edit" aspectratio="f"/>
                  <v:textbox>
                    <w:txbxContent>
                      <w:p w14:paraId="175853EB">
                        <w:pPr>
                          <w:jc w:val="center"/>
                          <w:rPr>
                            <w:szCs w:val="21"/>
                          </w:rPr>
                        </w:pPr>
                        <w:r>
                          <w:rPr>
                            <w:rFonts w:hint="eastAsia"/>
                            <w:szCs w:val="21"/>
                          </w:rPr>
                          <w:t>依据相关规定确定环境影响评价文件类型</w:t>
                        </w:r>
                      </w:p>
                    </w:txbxContent>
                  </v:textbox>
                </v:shape>
                <v:shape id="AutoShape 1187" o:spid="_x0000_s1026" o:spt="32" type="#_x0000_t32" style="position:absolute;left:4381;top:669;height:340;width:0;" filled="f" stroked="t" coordsize="21600,21600" o:gfxdata="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jb8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Text Box 1188" o:spid="_x0000_s1026" o:spt="202" type="#_x0000_t202" style="position:absolute;left:1943;top:1034;height:1120;width:4819;" fillcolor="#FFFFFF" filled="t" stroked="t" coordsize="21600,21600" o:gfxdata="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24MT3ugAAANwA&#10;AAAPAAAAAAAAAAEAIAAAACIAAABkcnMvZG93bnJldi54bWxQSwECFAAUAAAACACHTuJAMy8FnjsA&#10;AAA5AAAAEAAAAAAAAAABACAAAAAJAQAAZHJzL3NoYXBleG1sLnhtbFBLBQYAAAAABgAGAFsBAACz&#10;AwAAAAA=&#10;">
                  <v:fill type="gradient" on="t" color2="#767676" opacity="0f" o:opacity2="0f" focus="100%" focussize="0,0"/>
                  <v:stroke color="#000000" miterlimit="8" joinstyle="miter"/>
                  <v:imagedata o:title=""/>
                  <o:lock v:ext="edit" aspectratio="f"/>
                  <v:textbox>
                    <w:txbxContent>
                      <w:p w14:paraId="11D16266">
                        <w:pPr>
                          <w:jc w:val="left"/>
                          <w:rPr>
                            <w:szCs w:val="21"/>
                          </w:rPr>
                        </w:pPr>
                        <w:r>
                          <w:rPr>
                            <w:szCs w:val="21"/>
                          </w:rPr>
                          <w:t>1研究相关技术文件和其他有关文件</w:t>
                        </w:r>
                      </w:p>
                      <w:p w14:paraId="28B8A944">
                        <w:pPr>
                          <w:jc w:val="left"/>
                          <w:rPr>
                            <w:szCs w:val="21"/>
                          </w:rPr>
                        </w:pPr>
                        <w:r>
                          <w:rPr>
                            <w:szCs w:val="21"/>
                          </w:rPr>
                          <w:t>2进行初步工程分析</w:t>
                        </w:r>
                      </w:p>
                      <w:p w14:paraId="4F4250BF">
                        <w:pPr>
                          <w:jc w:val="left"/>
                          <w:rPr>
                            <w:szCs w:val="21"/>
                          </w:rPr>
                        </w:pPr>
                        <w:r>
                          <w:rPr>
                            <w:szCs w:val="21"/>
                          </w:rPr>
                          <w:t>3开展初步的环境现状调查</w:t>
                        </w:r>
                      </w:p>
                    </w:txbxContent>
                  </v:textbox>
                </v:shape>
                <v:shape id="AutoShape 1189" o:spid="_x0000_s1026" o:spt="32" type="#_x0000_t32" style="position:absolute;left:4401;top:2154;height:340;width:0;" filled="f" stroked="t" coordsize="21600,21600" o:gfxdata="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9VC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1191" o:spid="_x0000_s1026" o:spt="32" type="#_x0000_t32" style="position:absolute;left:4406;top:3614;height:340;width:0;" filled="f" stroked="t" coordsize="21600,21600" o:gfxdata="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UzFa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Text Box 1194" o:spid="_x0000_s1026" o:spt="202" type="#_x0000_t202" style="position:absolute;left:3143;top:3954;height:454;width:2551;" fillcolor="#FFFFFF" filled="t" stroked="t" coordsize="21600,21600" o:gfxdata="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kJXIO5AAAA3AAA&#10;AA8AAAAAAAAAAQAgAAAAIgAAAGRycy9kb3ducmV2LnhtbFBLAQIUABQAAAAIAIdO4kAzLwWeOwAA&#10;ADkAAAAQAAAAAAAAAAEAIAAAAAgBAABkcnMvc2hhcGV4bWwueG1sUEsFBgAAAAAGAAYAWwEAALID&#10;AAAAAA==&#10;">
                  <v:fill type="gradient" on="t" color2="#767676" opacity="0f" o:opacity2="0f" focus="100%" focussize="0,0"/>
                  <v:stroke color="#000000" miterlimit="8" joinstyle="miter"/>
                  <v:imagedata o:title=""/>
                  <o:lock v:ext="edit" aspectratio="f"/>
                  <v:textbox>
                    <w:txbxContent>
                      <w:p w14:paraId="0200BEF4">
                        <w:pPr>
                          <w:jc w:val="center"/>
                          <w:rPr>
                            <w:szCs w:val="21"/>
                          </w:rPr>
                        </w:pPr>
                        <w:r>
                          <w:rPr>
                            <w:rFonts w:hint="eastAsia"/>
                            <w:szCs w:val="21"/>
                          </w:rPr>
                          <w:t>制定工作方案</w:t>
                        </w:r>
                      </w:p>
                    </w:txbxContent>
                  </v:textbox>
                </v:shape>
                <v:shape id="AutoShape 1197" o:spid="_x0000_s1026" o:spt="32" type="#_x0000_t32" style="position:absolute;left:4418;top:4408;height:340;width:0;" filled="f" stroked="t" coordsize="21600,21600" o:gfxdata="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K97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1198" o:spid="_x0000_s1026" o:spt="32" type="#_x0000_t32" style="position:absolute;left:2626;top:4748;height:0;width:3912;" filled="f" stroked="t" coordsize="21600,21600" o:gfxdata="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5qtO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1199" o:spid="_x0000_s1026" o:spt="32" type="#_x0000_t32" style="position:absolute;left:2626;top:4748;height:283;width:0;" filled="f" stroked="t" coordsize="21600,21600" o:gfxdata="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Y+o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AutoShape 1200" o:spid="_x0000_s1026" o:spt="32" type="#_x0000_t32" style="position:absolute;left:6530;top:4748;height:283;width:0;" filled="f" stroked="t" coordsize="21600,21600" o:gfxdata="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qps6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Text Box 1201" o:spid="_x0000_s1026" o:spt="202" type="#_x0000_t202" style="position:absolute;left:1766;top:5032;height:729;width:1824;" fillcolor="#FFFFFF" filled="t" stroked="t" coordsize="21600,21600" o:gfxdata="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naca8AAAA&#10;3AAAAA8AAAAAAAAAAQAgAAAAIgAAAGRycy9kb3ducmV2LnhtbFBLAQIUABQAAAAIAIdO4kAzLwWe&#10;OwAAADkAAAAQAAAAAAAAAAEAIAAAAAsBAABkcnMvc2hhcGV4bWwueG1sUEsFBgAAAAAGAAYAWwEA&#10;ALUDAAAAAA==&#10;">
                  <v:fill type="gradient" on="t" color2="#767676" opacity="0f" o:opacity2="0f" focus="100%" focussize="0,0"/>
                  <v:stroke color="#000000" miterlimit="8" joinstyle="miter"/>
                  <v:imagedata o:title=""/>
                  <o:lock v:ext="edit" aspectratio="f"/>
                  <v:textbox>
                    <w:txbxContent>
                      <w:p w14:paraId="2B188786">
                        <w:pPr>
                          <w:spacing w:line="280" w:lineRule="exact"/>
                          <w:jc w:val="center"/>
                          <w:rPr>
                            <w:szCs w:val="21"/>
                          </w:rPr>
                        </w:pPr>
                        <w:r>
                          <w:rPr>
                            <w:rFonts w:hint="eastAsia"/>
                            <w:szCs w:val="21"/>
                          </w:rPr>
                          <w:t>环境状况调查监测与评价</w:t>
                        </w:r>
                      </w:p>
                    </w:txbxContent>
                  </v:textbox>
                </v:shape>
                <v:shape id="Text Box 1202" o:spid="_x0000_s1026" o:spt="202" type="#_x0000_t202" style="position:absolute;left:5740;top:5031;height:729;width:1304;" fillcolor="#FFFFFF" filled="t" stroked="t" coordsize="21600,21600" o:gfxdata="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PrzF25AAAA3AAA&#10;AA8AAAAAAAAAAQAgAAAAIgAAAGRycy9kb3ducmV2LnhtbFBLAQIUABQAAAAIAIdO4kAzLwWeOwAA&#10;ADkAAAAQAAAAAAAAAAEAIAAAAAgBAABkcnMvc2hhcGV4bWwueG1sUEsFBgAAAAAGAAYAWwEAALID&#10;AAAAAA==&#10;">
                  <v:fill type="gradient" on="t" color2="#767676" opacity="0f" o:opacity2="0f" focus="100%" focussize="0,0"/>
                  <v:stroke color="#000000" miterlimit="8" joinstyle="miter"/>
                  <v:imagedata o:title=""/>
                  <o:lock v:ext="edit" aspectratio="f"/>
                  <v:textbox>
                    <w:txbxContent>
                      <w:p w14:paraId="044CB582">
                        <w:pPr>
                          <w:spacing w:line="280" w:lineRule="exact"/>
                          <w:jc w:val="center"/>
                          <w:rPr>
                            <w:szCs w:val="21"/>
                          </w:rPr>
                        </w:pPr>
                        <w:r>
                          <w:rPr>
                            <w:rFonts w:hint="eastAsia"/>
                            <w:szCs w:val="21"/>
                          </w:rPr>
                          <w:t>建设项目工程分析</w:t>
                        </w:r>
                      </w:p>
                    </w:txbxContent>
                  </v:textbox>
                </v:shape>
                <v:shape id="AutoShape 1207" o:spid="_x0000_s1026" o:spt="32" type="#_x0000_t32" style="position:absolute;left:2626;top:5760;height:283;width:0;" filled="f" stroked="t" coordsize="21600,21600" o:gfxdata="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15+W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AutoShape 1210" o:spid="_x0000_s1026" o:spt="32" type="#_x0000_t32" style="position:absolute;left:6528;top:5761;height:283;width:0;" filled="f" stroked="t" coordsize="21600,21600" o:gfxdata="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bOg2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1211" o:spid="_x0000_s1026" o:spt="32" type="#_x0000_t32" style="position:absolute;left:2616;top:6064;height:0;width:3912;" filled="f" stroked="t" coordsize="21600,21600" o:gfxdata="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yonm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1212" o:spid="_x0000_s1026" o:spt="32" type="#_x0000_t32" style="position:absolute;left:4552;top:6064;height:340;width:0;" filled="f" stroked="t" coordsize="21600,21600" o:gfxdata="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B/xC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Text Box 1216" o:spid="_x0000_s1026" o:spt="202" type="#_x0000_t202" style="position:absolute;left:587;top:6336;height:797;width:7966;" fillcolor="#FFFFFF" filled="t" stroked="t" coordsize="21600,21600" o:gfxdata="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wCVCm5AAAA3AAA&#10;AA8AAAAAAAAAAQAgAAAAIgAAAGRycy9kb3ducmV2LnhtbFBLAQIUABQAAAAIAIdO4kAzLwWeOwAA&#10;ADkAAAAQAAAAAAAAAAEAIAAAAAgBAABkcnMvc2hhcGV4bWwueG1sUEsFBgAAAAAGAAYAWwEAALID&#10;AAAAAA==&#10;">
                  <v:fill type="gradient" on="t" color2="#767676" opacity="0f" o:opacity2="0f" focus="100%" focussize="0,0"/>
                  <v:stroke color="#000000" miterlimit="8" joinstyle="miter"/>
                  <v:imagedata o:title=""/>
                  <o:lock v:ext="edit" aspectratio="f"/>
                  <v:textbox>
                    <w:txbxContent>
                      <w:p w14:paraId="4BEEC263">
                        <w:pPr>
                          <w:jc w:val="center"/>
                          <w:rPr>
                            <w:szCs w:val="21"/>
                          </w:rPr>
                        </w:pPr>
                        <w:r>
                          <w:rPr>
                            <w:szCs w:val="21"/>
                          </w:rPr>
                          <w:t>1</w:t>
                        </w:r>
                        <w:r>
                          <w:rPr>
                            <w:rFonts w:hint="eastAsia"/>
                          </w:rPr>
                          <w:t>大气、地表水、声环境、生态等</w:t>
                        </w:r>
                        <w:r>
                          <w:rPr>
                            <w:szCs w:val="21"/>
                          </w:rPr>
                          <w:t>环境要素环境影响预测与评价</w:t>
                        </w:r>
                      </w:p>
                      <w:p w14:paraId="21A429CE">
                        <w:pPr>
                          <w:jc w:val="center"/>
                          <w:rPr>
                            <w:szCs w:val="21"/>
                          </w:rPr>
                        </w:pPr>
                        <w:r>
                          <w:rPr>
                            <w:szCs w:val="21"/>
                          </w:rPr>
                          <w:t>2</w:t>
                        </w:r>
                        <w:r>
                          <w:rPr>
                            <w:rFonts w:hint="eastAsia"/>
                          </w:rPr>
                          <w:t>环境风险评价、环境影响经济损益分析、固废等</w:t>
                        </w:r>
                        <w:r>
                          <w:rPr>
                            <w:szCs w:val="21"/>
                          </w:rPr>
                          <w:t>专题环境影响分析与评价</w:t>
                        </w:r>
                      </w:p>
                    </w:txbxContent>
                  </v:textbox>
                </v:shape>
                <v:shape id="AutoShape 1217" o:spid="_x0000_s1026" o:spt="32" type="#_x0000_t32" style="position:absolute;left:4550;top:7133;height:340;width:0;" filled="f" stroked="t" coordsize="21600,21600" o:gfxdata="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fxP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Text Box 1218" o:spid="_x0000_s1026" o:spt="202" type="#_x0000_t202" style="position:absolute;left:2185;top:7473;height:1117;width:4577;" fillcolor="#FFFFFF" filled="t" stroked="t" coordsize="21600,21600" o:gfxdata="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RZcC8AAAA&#10;3AAAAA8AAAAAAAAAAQAgAAAAIgAAAGRycy9kb3ducmV2LnhtbFBLAQIUABQAAAAIAIdO4kAzLwWe&#10;OwAAADkAAAAQAAAAAAAAAAEAIAAAAAsBAABkcnMvc2hhcGV4bWwueG1sUEsFBgAAAAAGAAYAWwEA&#10;ALUDAAAAAA==&#10;">
                  <v:fill type="gradient" on="t" color2="#767676" opacity="0f" o:opacity2="0f" focus="100%" focussize="0,0"/>
                  <v:stroke color="#000000" miterlimit="8" joinstyle="miter"/>
                  <v:imagedata o:title=""/>
                  <o:lock v:ext="edit" aspectratio="f"/>
                  <v:textbox>
                    <w:txbxContent>
                      <w:p w14:paraId="2948759E">
                        <w:pPr>
                          <w:jc w:val="center"/>
                          <w:rPr>
                            <w:szCs w:val="21"/>
                          </w:rPr>
                        </w:pPr>
                        <w:r>
                          <w:rPr>
                            <w:szCs w:val="21"/>
                          </w:rPr>
                          <w:t>1提出环境保护措施，进行技术经济论证</w:t>
                        </w:r>
                      </w:p>
                      <w:p w14:paraId="5BD4FC9F">
                        <w:pPr>
                          <w:jc w:val="center"/>
                          <w:rPr>
                            <w:szCs w:val="21"/>
                          </w:rPr>
                        </w:pPr>
                        <w:r>
                          <w:rPr>
                            <w:szCs w:val="21"/>
                          </w:rPr>
                          <w:t>2给出污染物排放清单</w:t>
                        </w:r>
                      </w:p>
                      <w:p w14:paraId="14EC51E1">
                        <w:pPr>
                          <w:jc w:val="center"/>
                          <w:rPr>
                            <w:szCs w:val="21"/>
                          </w:rPr>
                        </w:pPr>
                        <w:r>
                          <w:rPr>
                            <w:szCs w:val="21"/>
                          </w:rPr>
                          <w:t>3给出建设项目环境影响评价结论</w:t>
                        </w:r>
                      </w:p>
                    </w:txbxContent>
                  </v:textbox>
                </v:shape>
                <v:shape id="AutoShape 1219" o:spid="_x0000_s1026" o:spt="32" type="#_x0000_t32" style="position:absolute;left:4548;top:8590;height:340;width:0;" filled="f" stroked="t" coordsize="21600,21600" o:gfxdata="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M9R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Text Box 1220" o:spid="_x0000_s1026" o:spt="202" type="#_x0000_t202" style="position:absolute;left:3206;top:8935;height:454;width:2772;" fillcolor="#FFFFFF" filled="t" stroked="t" coordsize="21600,21600" o:gfxdata="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4idPbsAAADc&#10;AAAADwAAAAAAAAABACAAAAAiAAAAZHJzL2Rvd25yZXYueG1sUEsBAhQAFAAAAAgAh07iQDMvBZ47&#10;AAAAOQAAABAAAAAAAAAAAQAgAAAACgEAAGRycy9zaGFwZXhtbC54bWxQSwUGAAAAAAYABgBbAQAA&#10;tAMAAAAA&#10;">
                  <v:fill type="gradient" on="t" color2="#767676" opacity="0f" o:opacity2="0f" focus="100%" focussize="0,0"/>
                  <v:stroke color="#000000" miterlimit="8" joinstyle="miter"/>
                  <v:imagedata o:title=""/>
                  <o:lock v:ext="edit" aspectratio="f"/>
                  <v:textbox>
                    <w:txbxContent>
                      <w:p w14:paraId="36D87D5D">
                        <w:pPr>
                          <w:jc w:val="center"/>
                          <w:rPr>
                            <w:szCs w:val="21"/>
                          </w:rPr>
                        </w:pPr>
                        <w:r>
                          <w:rPr>
                            <w:rFonts w:hint="eastAsia"/>
                            <w:szCs w:val="21"/>
                          </w:rPr>
                          <w:t>编制环境影响报告书</w:t>
                        </w:r>
                      </w:p>
                    </w:txbxContent>
                  </v:textbox>
                </v:shape>
                <v:shape id="Text Box 1229" o:spid="_x0000_s1026" o:spt="202" type="#_x0000_t202" style="position:absolute;left:226;top:1857;height:1435;width:794;" fillcolor="#FFFFFF" filled="t" stroked="f" coordsize="21600,21600" o:gfxdata="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y5Z1vQAA&#10;ANwAAAAPAAAAAAAAAAEAIAAAACIAAABkcnMvZG93bnJldi54bWxQSwECFAAUAAAACACHTuJAMy8F&#10;njsAAAA5AAAAEAAAAAAAAAABACAAAAAMAQAAZHJzL3NoYXBleG1sLnhtbFBLBQYAAAAABgAGAFsB&#10;AAC2AwAAAAA=&#10;">
                  <v:fill type="gradient" on="t" color2="#767676" opacity="0f" o:opacity2="0f" focus="100%" focussize="0,0"/>
                  <v:stroke on="f"/>
                  <v:imagedata o:title=""/>
                  <o:lock v:ext="edit" aspectratio="f"/>
                  <v:textbox style="layout-flow:vertical-ideographic;">
                    <w:txbxContent>
                      <w:p w14:paraId="142CDEFB">
                        <w:pPr>
                          <w:jc w:val="center"/>
                          <w:rPr>
                            <w:szCs w:val="21"/>
                          </w:rPr>
                        </w:pPr>
                        <w:r>
                          <w:rPr>
                            <w:rFonts w:hint="eastAsia"/>
                            <w:szCs w:val="21"/>
                          </w:rPr>
                          <w:t>第一阶段</w:t>
                        </w:r>
                      </w:p>
                    </w:txbxContent>
                  </v:textbox>
                </v:shape>
                <v:shape id="Text Box 1234" o:spid="_x0000_s1026" o:spt="202" type="#_x0000_t202" style="position:absolute;left:323;top:5270;height:1435;width:697;" fillcolor="#FFFFFF" filled="t" stroked="f" coordsize="21600,21600" o:gfxdata="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GQgCvQAA&#10;ANwAAAAPAAAAAAAAAAEAIAAAACIAAABkcnMvZG93bnJldi54bWxQSwECFAAUAAAACACHTuJAMy8F&#10;njsAAAA5AAAAEAAAAAAAAAABACAAAAAMAQAAZHJzL3NoYXBleG1sLnhtbFBLBQYAAAAABgAGAFsB&#10;AAC2AwAAAAA=&#10;">
                  <v:fill type="gradient" on="t" color2="#767676" opacity="0f" o:opacity2="0f" focus="100%" focussize="0,0"/>
                  <v:stroke on="f"/>
                  <v:imagedata o:title=""/>
                  <o:lock v:ext="edit" aspectratio="f"/>
                  <v:textbox style="layout-flow:vertical-ideographic;">
                    <w:txbxContent>
                      <w:p w14:paraId="10F6FA55">
                        <w:pPr>
                          <w:jc w:val="center"/>
                          <w:rPr>
                            <w:szCs w:val="21"/>
                          </w:rPr>
                        </w:pPr>
                        <w:r>
                          <w:rPr>
                            <w:rFonts w:hint="eastAsia"/>
                            <w:szCs w:val="21"/>
                          </w:rPr>
                          <w:t>第二阶段</w:t>
                        </w:r>
                      </w:p>
                    </w:txbxContent>
                  </v:textbox>
                </v:shape>
                <v:shape id="AutoShape 1241" o:spid="_x0000_s1026" o:spt="32" type="#_x0000_t32" style="position:absolute;left:5;top:4556;height:0;width:8844;" filled="f" stroked="t" coordsize="21600,21600" o:gfxdata="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fIiEvQAA&#10;ANwAAAAPAAAAAAAAAAEAIAAAACIAAABkcnMvZG93bnJldi54bWxQSwECFAAUAAAACACHTuJAMy8F&#10;njsAAAA5AAAAEAAAAAAAAAABACAAAAAMAQAAZHJzL3NoYXBleG1sLnhtbFBLBQYAAAAABgAGAFsB&#10;AAC2AwAAAAA=&#10;">
                  <v:fill on="f" focussize="0,0"/>
                  <v:stroke color="#000000" joinstyle="round" dashstyle="1 1" endcap="round"/>
                  <v:imagedata o:title=""/>
                  <o:lock v:ext="edit" aspectratio="f"/>
                </v:shape>
                <v:shape id="AutoShape 1242" o:spid="_x0000_s1026" o:spt="32" type="#_x0000_t32" style="position:absolute;left:0;top:7279;height:0;width:8743;" filled="f" stroked="t" coordsize="21600,21600" o:gfxdata="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UQ8L4A&#10;AADcAAAADwAAAAAAAAABACAAAAAiAAAAZHJzL2Rvd25yZXYueG1sUEsBAhQAFAAAAAgAh07iQDMv&#10;BZ47AAAAOQAAABAAAAAAAAAAAQAgAAAADQEAAGRycy9zaGFwZXhtbC54bWxQSwUGAAAAAAYABgBb&#10;AQAAtwMAAAAA&#10;">
                  <v:fill on="f" focussize="0,0"/>
                  <v:stroke color="#000000" joinstyle="round" dashstyle="1 1" endcap="round"/>
                  <v:imagedata o:title=""/>
                  <o:lock v:ext="edit" aspectratio="f"/>
                </v:shape>
                <v:shape id="Text Box 1243" o:spid="_x0000_s1026" o:spt="202" type="#_x0000_t202" style="position:absolute;left:226;top:7796;height:1435;width:794;" fillcolor="#FFFFFF" filled="t" stroked="f" coordsize="21600,21600" o:gfxdata="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CQdr4A&#10;AADcAAAADwAAAAAAAAABACAAAAAiAAAAZHJzL2Rvd25yZXYueG1sUEsBAhQAFAAAAAgAh07iQDMv&#10;BZ47AAAAOQAAABAAAAAAAAAAAQAgAAAADQEAAGRycy9zaGFwZXhtbC54bWxQSwUGAAAAAAYABgBb&#10;AQAAtwMAAAAA&#10;">
                  <v:fill type="gradient" on="t" color2="#767676" opacity="0f" o:opacity2="0f" focus="100%" focussize="0,0"/>
                  <v:stroke on="f"/>
                  <v:imagedata o:title=""/>
                  <o:lock v:ext="edit" aspectratio="f"/>
                  <v:textbox style="layout-flow:vertical-ideographic;">
                    <w:txbxContent>
                      <w:p w14:paraId="6951C4C5">
                        <w:pPr>
                          <w:jc w:val="center"/>
                          <w:rPr>
                            <w:szCs w:val="21"/>
                          </w:rPr>
                        </w:pPr>
                        <w:r>
                          <w:rPr>
                            <w:rFonts w:hint="eastAsia"/>
                            <w:szCs w:val="21"/>
                          </w:rPr>
                          <w:t>第三阶段</w:t>
                        </w:r>
                      </w:p>
                    </w:txbxContent>
                  </v:textbox>
                </v:shape>
                <v:shape id="Text Box 1188" o:spid="_x0000_s1026" o:spt="202" type="#_x0000_t202" style="position:absolute;left:1943;top:2494;height:1120;width:4819;" fillcolor="#FFFFFF" filled="t" stroked="t" coordsize="21600,21600" o:gfxdata="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y2g0rsAAADc&#10;AAAADwAAAAAAAAABACAAAAAiAAAAZHJzL2Rvd25yZXYueG1sUEsBAhQAFAAAAAgAh07iQDMvBZ47&#10;AAAAOQAAABAAAAAAAAAAAQAgAAAACgEAAGRycy9zaGFwZXhtbC54bWxQSwUGAAAAAAYABgBbAQAA&#10;tAMAAAAA&#10;">
                  <v:fill type="gradient" on="t" color2="#767676" opacity="0f" o:opacity2="0f" focus="100%" focussize="0,0"/>
                  <v:stroke color="#000000" miterlimit="8" joinstyle="miter"/>
                  <v:imagedata o:title=""/>
                  <o:lock v:ext="edit" aspectratio="f"/>
                  <v:textbox>
                    <w:txbxContent>
                      <w:p w14:paraId="12A39EDD">
                        <w:pPr>
                          <w:jc w:val="left"/>
                          <w:rPr>
                            <w:szCs w:val="21"/>
                          </w:rPr>
                        </w:pPr>
                        <w:r>
                          <w:rPr>
                            <w:szCs w:val="21"/>
                          </w:rPr>
                          <w:t>1</w:t>
                        </w:r>
                        <w:r>
                          <w:rPr>
                            <w:rFonts w:hint="eastAsia"/>
                            <w:szCs w:val="21"/>
                          </w:rPr>
                          <w:t>环境影响识别和评价因子筛选</w:t>
                        </w:r>
                      </w:p>
                      <w:p w14:paraId="2A12494C">
                        <w:pPr>
                          <w:jc w:val="left"/>
                          <w:rPr>
                            <w:szCs w:val="21"/>
                          </w:rPr>
                        </w:pPr>
                        <w:r>
                          <w:rPr>
                            <w:szCs w:val="21"/>
                          </w:rPr>
                          <w:t>2</w:t>
                        </w:r>
                        <w:r>
                          <w:rPr>
                            <w:rFonts w:hint="eastAsia"/>
                            <w:szCs w:val="21"/>
                          </w:rPr>
                          <w:t>明确评价重点和环境保护目标</w:t>
                        </w:r>
                      </w:p>
                      <w:p w14:paraId="1A92B2C1">
                        <w:pPr>
                          <w:jc w:val="left"/>
                          <w:rPr>
                            <w:szCs w:val="21"/>
                          </w:rPr>
                        </w:pPr>
                        <w:r>
                          <w:rPr>
                            <w:szCs w:val="21"/>
                          </w:rPr>
                          <w:t>3</w:t>
                        </w:r>
                        <w:r>
                          <w:rPr>
                            <w:rFonts w:hint="eastAsia"/>
                            <w:szCs w:val="21"/>
                          </w:rPr>
                          <w:t>确定工作等级、评价范围和评价标准</w:t>
                        </w:r>
                      </w:p>
                    </w:txbxContent>
                  </v:textbox>
                </v:shape>
              </v:group>
            </w:pict>
          </mc:Fallback>
        </mc:AlternateContent>
      </w:r>
    </w:p>
    <w:p w14:paraId="7861CE1C">
      <w:pPr>
        <w:spacing w:line="520" w:lineRule="exact"/>
        <w:ind w:firstLine="480" w:firstLineChars="200"/>
        <w:rPr>
          <w:kern w:val="0"/>
          <w:sz w:val="24"/>
        </w:rPr>
      </w:pPr>
    </w:p>
    <w:p w14:paraId="5B2CEFDF">
      <w:pPr>
        <w:spacing w:line="520" w:lineRule="exact"/>
        <w:ind w:firstLine="480" w:firstLineChars="200"/>
        <w:rPr>
          <w:kern w:val="0"/>
          <w:sz w:val="24"/>
        </w:rPr>
      </w:pPr>
    </w:p>
    <w:p w14:paraId="65FB26D6">
      <w:pPr>
        <w:spacing w:line="520" w:lineRule="exact"/>
        <w:ind w:firstLine="480" w:firstLineChars="200"/>
        <w:rPr>
          <w:kern w:val="0"/>
          <w:sz w:val="24"/>
        </w:rPr>
      </w:pPr>
    </w:p>
    <w:p w14:paraId="6F0DBE00">
      <w:pPr>
        <w:spacing w:line="520" w:lineRule="exact"/>
        <w:ind w:firstLine="480" w:firstLineChars="200"/>
        <w:rPr>
          <w:kern w:val="0"/>
          <w:sz w:val="24"/>
        </w:rPr>
      </w:pPr>
    </w:p>
    <w:p w14:paraId="7D3EF32B">
      <w:pPr>
        <w:spacing w:line="520" w:lineRule="exact"/>
        <w:ind w:firstLine="480" w:firstLineChars="200"/>
        <w:rPr>
          <w:kern w:val="0"/>
          <w:sz w:val="24"/>
        </w:rPr>
      </w:pPr>
    </w:p>
    <w:p w14:paraId="7303AB7C">
      <w:pPr>
        <w:spacing w:line="520" w:lineRule="exact"/>
        <w:ind w:firstLine="480" w:firstLineChars="200"/>
        <w:rPr>
          <w:kern w:val="0"/>
          <w:sz w:val="24"/>
        </w:rPr>
      </w:pPr>
    </w:p>
    <w:p w14:paraId="6ED69F6B">
      <w:pPr>
        <w:spacing w:line="520" w:lineRule="exact"/>
        <w:ind w:firstLine="480" w:firstLineChars="200"/>
        <w:rPr>
          <w:kern w:val="0"/>
          <w:sz w:val="24"/>
        </w:rPr>
      </w:pPr>
    </w:p>
    <w:p w14:paraId="3AAEB0F3">
      <w:pPr>
        <w:spacing w:line="520" w:lineRule="exact"/>
        <w:ind w:firstLine="480" w:firstLineChars="200"/>
        <w:rPr>
          <w:kern w:val="0"/>
          <w:sz w:val="24"/>
        </w:rPr>
      </w:pPr>
    </w:p>
    <w:p w14:paraId="5AC73577">
      <w:pPr>
        <w:spacing w:line="520" w:lineRule="exact"/>
        <w:ind w:firstLine="480" w:firstLineChars="200"/>
        <w:rPr>
          <w:kern w:val="0"/>
          <w:sz w:val="24"/>
        </w:rPr>
      </w:pPr>
    </w:p>
    <w:p w14:paraId="275AF23F">
      <w:pPr>
        <w:spacing w:line="520" w:lineRule="exact"/>
        <w:ind w:firstLine="480" w:firstLineChars="200"/>
        <w:rPr>
          <w:kern w:val="0"/>
          <w:sz w:val="24"/>
        </w:rPr>
      </w:pPr>
    </w:p>
    <w:p w14:paraId="670C1075">
      <w:pPr>
        <w:spacing w:line="520" w:lineRule="exact"/>
        <w:ind w:firstLine="480" w:firstLineChars="200"/>
        <w:rPr>
          <w:kern w:val="0"/>
          <w:sz w:val="24"/>
        </w:rPr>
      </w:pPr>
    </w:p>
    <w:p w14:paraId="54E053D6">
      <w:pPr>
        <w:spacing w:line="520" w:lineRule="exact"/>
        <w:ind w:firstLine="480" w:firstLineChars="200"/>
        <w:rPr>
          <w:kern w:val="0"/>
          <w:sz w:val="24"/>
        </w:rPr>
      </w:pPr>
    </w:p>
    <w:p w14:paraId="3CFD11D5">
      <w:pPr>
        <w:spacing w:line="520" w:lineRule="exact"/>
        <w:ind w:firstLine="480" w:firstLineChars="200"/>
        <w:rPr>
          <w:kern w:val="0"/>
          <w:sz w:val="24"/>
        </w:rPr>
      </w:pPr>
    </w:p>
    <w:p w14:paraId="53A1F118">
      <w:pPr>
        <w:spacing w:line="520" w:lineRule="exact"/>
        <w:ind w:firstLine="480" w:firstLineChars="200"/>
        <w:rPr>
          <w:kern w:val="0"/>
          <w:sz w:val="24"/>
        </w:rPr>
      </w:pPr>
    </w:p>
    <w:p w14:paraId="06AB01F6">
      <w:pPr>
        <w:spacing w:line="520" w:lineRule="exact"/>
        <w:ind w:firstLine="480" w:firstLineChars="200"/>
        <w:rPr>
          <w:kern w:val="0"/>
          <w:sz w:val="24"/>
        </w:rPr>
      </w:pPr>
    </w:p>
    <w:p w14:paraId="6976DE7B">
      <w:pPr>
        <w:spacing w:line="520" w:lineRule="exact"/>
        <w:ind w:firstLine="480" w:firstLineChars="200"/>
        <w:rPr>
          <w:kern w:val="0"/>
          <w:sz w:val="24"/>
        </w:rPr>
      </w:pPr>
    </w:p>
    <w:p w14:paraId="104203A8">
      <w:pPr>
        <w:spacing w:line="520" w:lineRule="exact"/>
        <w:ind w:firstLine="480" w:firstLineChars="200"/>
        <w:rPr>
          <w:kern w:val="0"/>
          <w:sz w:val="24"/>
        </w:rPr>
      </w:pPr>
    </w:p>
    <w:p w14:paraId="4F92F7E2">
      <w:pPr>
        <w:spacing w:line="500" w:lineRule="exact"/>
        <w:jc w:val="center"/>
        <w:rPr>
          <w:b/>
          <w:kern w:val="0"/>
          <w:sz w:val="24"/>
        </w:rPr>
      </w:pPr>
    </w:p>
    <w:p w14:paraId="543C6740">
      <w:pPr>
        <w:spacing w:line="500" w:lineRule="exact"/>
        <w:jc w:val="center"/>
        <w:rPr>
          <w:kern w:val="0"/>
        </w:rPr>
      </w:pPr>
      <w:r>
        <w:rPr>
          <w:rFonts w:eastAsia="黑体"/>
          <w:kern w:val="0"/>
          <w:sz w:val="24"/>
        </w:rPr>
        <w:t>图1  环境影响评价工作程序图</w:t>
      </w:r>
    </w:p>
    <w:p w14:paraId="6CA138D6">
      <w:pPr>
        <w:pStyle w:val="85"/>
        <w:ind w:firstLine="480"/>
        <w:rPr>
          <w:kern w:val="0"/>
        </w:rPr>
        <w:sectPr>
          <w:pgSz w:w="11907" w:h="16839"/>
          <w:pgMar w:top="2007" w:right="1797" w:bottom="1724" w:left="1797" w:header="1418" w:footer="1162" w:gutter="0"/>
          <w:pgNumType w:fmt="numberInDash"/>
          <w:cols w:space="425" w:num="1"/>
          <w:docGrid w:type="lines" w:linePitch="326" w:charSpace="0"/>
        </w:sectPr>
      </w:pPr>
    </w:p>
    <w:p w14:paraId="5E0D3227">
      <w:pPr>
        <w:pStyle w:val="2"/>
        <w:rPr>
          <w:kern w:val="0"/>
        </w:rPr>
      </w:pPr>
      <w:bookmarkStart w:id="18" w:name="_Toc198733141"/>
      <w:r>
        <w:rPr>
          <w:rFonts w:hint="eastAsia"/>
          <w:kern w:val="0"/>
        </w:rPr>
        <w:t>总则</w:t>
      </w:r>
      <w:bookmarkEnd w:id="18"/>
    </w:p>
    <w:p w14:paraId="3B49E2AD">
      <w:pPr>
        <w:pStyle w:val="3"/>
        <w:rPr>
          <w:kern w:val="0"/>
        </w:rPr>
      </w:pPr>
      <w:bookmarkStart w:id="19" w:name="_Toc198733142"/>
      <w:r>
        <w:rPr>
          <w:rFonts w:hint="eastAsia"/>
          <w:kern w:val="0"/>
        </w:rPr>
        <w:t>编制</w:t>
      </w:r>
      <w:r>
        <w:rPr>
          <w:kern w:val="0"/>
        </w:rPr>
        <w:t>依据</w:t>
      </w:r>
      <w:bookmarkEnd w:id="19"/>
    </w:p>
    <w:p w14:paraId="1C89DEE4">
      <w:pPr>
        <w:pStyle w:val="4"/>
        <w:rPr>
          <w:kern w:val="0"/>
        </w:rPr>
      </w:pPr>
      <w:r>
        <w:rPr>
          <w:rFonts w:hint="eastAsia"/>
          <w:kern w:val="0"/>
        </w:rPr>
        <w:t>环境</w:t>
      </w:r>
      <w:r>
        <w:rPr>
          <w:kern w:val="0"/>
        </w:rPr>
        <w:t>保护</w:t>
      </w:r>
      <w:r>
        <w:rPr>
          <w:rFonts w:hint="eastAsia"/>
          <w:kern w:val="0"/>
        </w:rPr>
        <w:t>法律</w:t>
      </w:r>
    </w:p>
    <w:p w14:paraId="703894B6">
      <w:pPr>
        <w:pStyle w:val="85"/>
        <w:ind w:firstLine="480"/>
        <w:rPr>
          <w:kern w:val="0"/>
        </w:rPr>
      </w:pPr>
      <w:r>
        <w:rPr>
          <w:rFonts w:hint="eastAsia"/>
          <w:kern w:val="0"/>
        </w:rPr>
        <w:t>（1）《中华人民共和国环境保护法》（2015年1月1日）；</w:t>
      </w:r>
    </w:p>
    <w:p w14:paraId="45ADF9AF">
      <w:pPr>
        <w:pStyle w:val="85"/>
        <w:ind w:firstLine="480"/>
        <w:rPr>
          <w:kern w:val="0"/>
        </w:rPr>
      </w:pPr>
      <w:r>
        <w:rPr>
          <w:rFonts w:hint="eastAsia"/>
          <w:kern w:val="0"/>
        </w:rPr>
        <w:t>（2）《中华人民共和国环境影响评价法》（20</w:t>
      </w:r>
      <w:r>
        <w:rPr>
          <w:kern w:val="0"/>
        </w:rPr>
        <w:t>18</w:t>
      </w:r>
      <w:r>
        <w:rPr>
          <w:rFonts w:hint="eastAsia"/>
          <w:kern w:val="0"/>
        </w:rPr>
        <w:t>年</w:t>
      </w:r>
      <w:r>
        <w:rPr>
          <w:kern w:val="0"/>
        </w:rPr>
        <w:t>12</w:t>
      </w:r>
      <w:r>
        <w:rPr>
          <w:rFonts w:hint="eastAsia"/>
          <w:kern w:val="0"/>
        </w:rPr>
        <w:t>月</w:t>
      </w:r>
      <w:r>
        <w:rPr>
          <w:kern w:val="0"/>
        </w:rPr>
        <w:t>29</w:t>
      </w:r>
      <w:r>
        <w:rPr>
          <w:rFonts w:hint="eastAsia"/>
          <w:kern w:val="0"/>
        </w:rPr>
        <w:t>日修订）；</w:t>
      </w:r>
    </w:p>
    <w:p w14:paraId="3E509A3F">
      <w:pPr>
        <w:pStyle w:val="85"/>
        <w:ind w:firstLine="480"/>
        <w:rPr>
          <w:kern w:val="0"/>
        </w:rPr>
      </w:pPr>
      <w:r>
        <w:rPr>
          <w:rFonts w:hint="eastAsia"/>
          <w:kern w:val="0"/>
        </w:rPr>
        <w:t>（3）《中华人民共和国噪声污染防治法》（</w:t>
      </w:r>
      <w:r>
        <w:rPr>
          <w:kern w:val="0"/>
        </w:rPr>
        <w:t>2021</w:t>
      </w:r>
      <w:r>
        <w:rPr>
          <w:rFonts w:hint="eastAsia"/>
          <w:kern w:val="0"/>
        </w:rPr>
        <w:t>年12月24日）；</w:t>
      </w:r>
    </w:p>
    <w:p w14:paraId="353A3D67">
      <w:pPr>
        <w:pStyle w:val="85"/>
        <w:ind w:firstLine="480"/>
        <w:rPr>
          <w:kern w:val="0"/>
        </w:rPr>
      </w:pPr>
      <w:r>
        <w:rPr>
          <w:rFonts w:hint="eastAsia"/>
          <w:kern w:val="0"/>
        </w:rPr>
        <w:t>（4）《中华人民共和国大气污染防治法》（201</w:t>
      </w:r>
      <w:r>
        <w:rPr>
          <w:kern w:val="0"/>
        </w:rPr>
        <w:t>8</w:t>
      </w:r>
      <w:r>
        <w:rPr>
          <w:rFonts w:hint="eastAsia"/>
          <w:kern w:val="0"/>
        </w:rPr>
        <w:t>年1</w:t>
      </w:r>
      <w:r>
        <w:rPr>
          <w:kern w:val="0"/>
        </w:rPr>
        <w:t>0</w:t>
      </w:r>
      <w:r>
        <w:rPr>
          <w:rFonts w:hint="eastAsia"/>
          <w:kern w:val="0"/>
        </w:rPr>
        <w:t>月</w:t>
      </w:r>
      <w:r>
        <w:rPr>
          <w:kern w:val="0"/>
        </w:rPr>
        <w:t>26</w:t>
      </w:r>
      <w:r>
        <w:rPr>
          <w:rFonts w:hint="eastAsia"/>
          <w:kern w:val="0"/>
        </w:rPr>
        <w:t>日修订）；</w:t>
      </w:r>
    </w:p>
    <w:p w14:paraId="16525C15">
      <w:pPr>
        <w:pStyle w:val="85"/>
        <w:ind w:firstLine="480"/>
        <w:rPr>
          <w:kern w:val="0"/>
        </w:rPr>
      </w:pPr>
      <w:r>
        <w:rPr>
          <w:rFonts w:hint="eastAsia"/>
          <w:kern w:val="0"/>
        </w:rPr>
        <w:t>（5）《中华人民共和国固体废物污染环境防治法》（2020年4月29日修订）；</w:t>
      </w:r>
    </w:p>
    <w:p w14:paraId="70A345ED">
      <w:pPr>
        <w:pStyle w:val="85"/>
        <w:ind w:firstLine="480"/>
        <w:rPr>
          <w:kern w:val="0"/>
        </w:rPr>
      </w:pPr>
      <w:r>
        <w:rPr>
          <w:rFonts w:hint="eastAsia"/>
          <w:kern w:val="0"/>
        </w:rPr>
        <w:t>（6）《中华人民共和国水污染防治法》（</w:t>
      </w:r>
      <w:r>
        <w:rPr>
          <w:kern w:val="0"/>
        </w:rPr>
        <w:t>2017</w:t>
      </w:r>
      <w:r>
        <w:rPr>
          <w:rFonts w:hint="eastAsia"/>
          <w:kern w:val="0"/>
        </w:rPr>
        <w:t>年6月27日</w:t>
      </w:r>
      <w:r>
        <w:rPr>
          <w:kern w:val="0"/>
        </w:rPr>
        <w:t>修订</w:t>
      </w:r>
      <w:r>
        <w:rPr>
          <w:rFonts w:hint="eastAsia"/>
          <w:kern w:val="0"/>
        </w:rPr>
        <w:t>）；</w:t>
      </w:r>
    </w:p>
    <w:p w14:paraId="42BE8D0F">
      <w:pPr>
        <w:pStyle w:val="85"/>
        <w:ind w:firstLine="480"/>
        <w:rPr>
          <w:kern w:val="0"/>
        </w:rPr>
      </w:pPr>
      <w:r>
        <w:rPr>
          <w:rFonts w:hint="eastAsia"/>
          <w:kern w:val="0"/>
        </w:rPr>
        <w:t>（7）《中华人民共和国水法》(2016 年修订)(2016年7月2日修订)；</w:t>
      </w:r>
    </w:p>
    <w:p w14:paraId="23364AF3">
      <w:pPr>
        <w:pStyle w:val="85"/>
        <w:ind w:firstLine="480"/>
        <w:rPr>
          <w:kern w:val="0"/>
        </w:rPr>
      </w:pPr>
      <w:r>
        <w:rPr>
          <w:rFonts w:hint="eastAsia"/>
          <w:kern w:val="0"/>
        </w:rPr>
        <w:t>（8）《中华人民共和国清洁生产促进法》(2012年2月29日修订)；</w:t>
      </w:r>
    </w:p>
    <w:p w14:paraId="74E5FF3A">
      <w:pPr>
        <w:pStyle w:val="85"/>
        <w:ind w:firstLine="480"/>
        <w:rPr>
          <w:kern w:val="0"/>
        </w:rPr>
      </w:pPr>
      <w:r>
        <w:rPr>
          <w:rFonts w:hint="eastAsia"/>
          <w:kern w:val="0"/>
        </w:rPr>
        <w:t>（9）《中华人民共和国循环经济促进法》（修订）</w:t>
      </w:r>
      <w:r>
        <w:rPr>
          <w:kern w:val="0"/>
        </w:rPr>
        <w:t>(2018</w:t>
      </w:r>
      <w:r>
        <w:rPr>
          <w:rFonts w:hint="eastAsia"/>
          <w:kern w:val="0"/>
        </w:rPr>
        <w:t>年</w:t>
      </w:r>
      <w:r>
        <w:rPr>
          <w:kern w:val="0"/>
        </w:rPr>
        <w:t>10</w:t>
      </w:r>
      <w:r>
        <w:rPr>
          <w:rFonts w:hint="eastAsia"/>
          <w:kern w:val="0"/>
        </w:rPr>
        <w:t>月</w:t>
      </w:r>
      <w:r>
        <w:rPr>
          <w:kern w:val="0"/>
        </w:rPr>
        <w:t>26</w:t>
      </w:r>
      <w:r>
        <w:rPr>
          <w:rFonts w:hint="eastAsia"/>
          <w:kern w:val="0"/>
        </w:rPr>
        <w:t>日修订</w:t>
      </w:r>
      <w:r>
        <w:rPr>
          <w:kern w:val="0"/>
        </w:rPr>
        <w:t>)</w:t>
      </w:r>
      <w:r>
        <w:rPr>
          <w:rFonts w:hint="eastAsia"/>
          <w:kern w:val="0"/>
        </w:rPr>
        <w:t>；</w:t>
      </w:r>
    </w:p>
    <w:p w14:paraId="367D41B1">
      <w:pPr>
        <w:pStyle w:val="85"/>
        <w:ind w:firstLine="480"/>
        <w:rPr>
          <w:kern w:val="0"/>
        </w:rPr>
      </w:pPr>
      <w:r>
        <w:rPr>
          <w:rFonts w:hint="eastAsia"/>
          <w:kern w:val="0"/>
        </w:rPr>
        <w:t>（10）《中华人民共和国水土保持法》</w:t>
      </w:r>
      <w:r>
        <w:rPr>
          <w:kern w:val="0"/>
        </w:rPr>
        <w:t>(2010</w:t>
      </w:r>
      <w:r>
        <w:rPr>
          <w:rFonts w:hint="eastAsia"/>
          <w:kern w:val="0"/>
        </w:rPr>
        <w:t>年</w:t>
      </w:r>
      <w:r>
        <w:rPr>
          <w:kern w:val="0"/>
        </w:rPr>
        <w:t>12</w:t>
      </w:r>
      <w:r>
        <w:rPr>
          <w:rFonts w:hint="eastAsia"/>
          <w:kern w:val="0"/>
        </w:rPr>
        <w:t>月</w:t>
      </w:r>
      <w:r>
        <w:rPr>
          <w:kern w:val="0"/>
        </w:rPr>
        <w:t>25</w:t>
      </w:r>
      <w:r>
        <w:rPr>
          <w:rFonts w:hint="eastAsia"/>
          <w:kern w:val="0"/>
        </w:rPr>
        <w:t>日修订</w:t>
      </w:r>
      <w:r>
        <w:rPr>
          <w:kern w:val="0"/>
        </w:rPr>
        <w:t>)</w:t>
      </w:r>
      <w:r>
        <w:rPr>
          <w:rFonts w:hint="eastAsia"/>
          <w:kern w:val="0"/>
        </w:rPr>
        <w:t>；</w:t>
      </w:r>
    </w:p>
    <w:p w14:paraId="0F79B0D3">
      <w:pPr>
        <w:pStyle w:val="85"/>
        <w:ind w:firstLine="480"/>
        <w:rPr>
          <w:kern w:val="0"/>
        </w:rPr>
      </w:pPr>
      <w:r>
        <w:rPr>
          <w:rFonts w:hint="eastAsia"/>
          <w:kern w:val="0"/>
        </w:rPr>
        <w:t>（1</w:t>
      </w:r>
      <w:r>
        <w:rPr>
          <w:kern w:val="0"/>
        </w:rPr>
        <w:t>1</w:t>
      </w:r>
      <w:r>
        <w:rPr>
          <w:rFonts w:hint="eastAsia"/>
          <w:kern w:val="0"/>
        </w:rPr>
        <w:t>）《中华人民共和国森林法》</w:t>
      </w:r>
      <w:r>
        <w:rPr>
          <w:kern w:val="0"/>
        </w:rPr>
        <w:t>(2009</w:t>
      </w:r>
      <w:r>
        <w:rPr>
          <w:rFonts w:hint="eastAsia"/>
          <w:kern w:val="0"/>
        </w:rPr>
        <w:t>年</w:t>
      </w:r>
      <w:r>
        <w:rPr>
          <w:kern w:val="0"/>
        </w:rPr>
        <w:t>08</w:t>
      </w:r>
      <w:r>
        <w:rPr>
          <w:rFonts w:hint="eastAsia"/>
          <w:kern w:val="0"/>
        </w:rPr>
        <w:t>月</w:t>
      </w:r>
      <w:r>
        <w:rPr>
          <w:kern w:val="0"/>
        </w:rPr>
        <w:t>27</w:t>
      </w:r>
      <w:r>
        <w:rPr>
          <w:rFonts w:hint="eastAsia"/>
          <w:kern w:val="0"/>
        </w:rPr>
        <w:t>日修订</w:t>
      </w:r>
      <w:r>
        <w:rPr>
          <w:kern w:val="0"/>
        </w:rPr>
        <w:t>)</w:t>
      </w:r>
      <w:r>
        <w:rPr>
          <w:rFonts w:hint="eastAsia"/>
          <w:kern w:val="0"/>
        </w:rPr>
        <w:t>；</w:t>
      </w:r>
    </w:p>
    <w:p w14:paraId="4A8148B9">
      <w:pPr>
        <w:pStyle w:val="85"/>
        <w:ind w:firstLine="480"/>
        <w:rPr>
          <w:kern w:val="0"/>
        </w:rPr>
      </w:pPr>
      <w:r>
        <w:rPr>
          <w:rFonts w:hint="eastAsia"/>
          <w:kern w:val="0"/>
        </w:rPr>
        <w:t>（</w:t>
      </w:r>
      <w:r>
        <w:rPr>
          <w:kern w:val="0"/>
        </w:rPr>
        <w:t>12）</w:t>
      </w:r>
      <w:r>
        <w:rPr>
          <w:rFonts w:hint="eastAsia"/>
          <w:kern w:val="0"/>
        </w:rPr>
        <w:t>《中华人民共和国野生动物保护法</w:t>
      </w:r>
      <w:r>
        <w:rPr>
          <w:kern w:val="0"/>
        </w:rPr>
        <w:t>》</w:t>
      </w:r>
      <w:r>
        <w:rPr>
          <w:rFonts w:hint="eastAsia"/>
          <w:kern w:val="0"/>
        </w:rPr>
        <w:t>（2022年12月30日修订）</w:t>
      </w:r>
      <w:r>
        <w:rPr>
          <w:kern w:val="0"/>
        </w:rPr>
        <w:t>；</w:t>
      </w:r>
    </w:p>
    <w:p w14:paraId="75CBE016">
      <w:pPr>
        <w:pStyle w:val="85"/>
        <w:ind w:firstLine="480"/>
        <w:rPr>
          <w:kern w:val="0"/>
        </w:rPr>
      </w:pPr>
      <w:r>
        <w:rPr>
          <w:rFonts w:hint="eastAsia"/>
          <w:kern w:val="0"/>
        </w:rPr>
        <w:t>（1</w:t>
      </w:r>
      <w:r>
        <w:rPr>
          <w:kern w:val="0"/>
        </w:rPr>
        <w:t>3</w:t>
      </w:r>
      <w:r>
        <w:rPr>
          <w:rFonts w:hint="eastAsia"/>
          <w:kern w:val="0"/>
        </w:rPr>
        <w:t>）《中华</w:t>
      </w:r>
      <w:r>
        <w:rPr>
          <w:kern w:val="0"/>
        </w:rPr>
        <w:t>人民共和国土地管理法</w:t>
      </w:r>
      <w:r>
        <w:rPr>
          <w:rFonts w:hint="eastAsia"/>
          <w:kern w:val="0"/>
        </w:rPr>
        <w:t>》（2020年1月1日）；</w:t>
      </w:r>
    </w:p>
    <w:p w14:paraId="01833192">
      <w:pPr>
        <w:pStyle w:val="85"/>
        <w:ind w:firstLine="480"/>
        <w:rPr>
          <w:kern w:val="0"/>
        </w:rPr>
      </w:pPr>
      <w:r>
        <w:rPr>
          <w:rFonts w:hint="eastAsia"/>
          <w:kern w:val="0"/>
        </w:rPr>
        <w:t>（</w:t>
      </w:r>
      <w:r>
        <w:rPr>
          <w:kern w:val="0"/>
        </w:rPr>
        <w:t>14</w:t>
      </w:r>
      <w:r>
        <w:rPr>
          <w:rFonts w:hint="eastAsia"/>
          <w:kern w:val="0"/>
        </w:rPr>
        <w:t>）《中华人民共和国渔业法》（2013年12月28日修订、施行）；</w:t>
      </w:r>
    </w:p>
    <w:p w14:paraId="59C8A588">
      <w:pPr>
        <w:pStyle w:val="85"/>
        <w:ind w:firstLine="480"/>
        <w:rPr>
          <w:kern w:val="0"/>
        </w:rPr>
      </w:pPr>
      <w:r>
        <w:rPr>
          <w:rFonts w:hint="eastAsia"/>
          <w:kern w:val="0"/>
        </w:rPr>
        <w:t>（1</w:t>
      </w:r>
      <w:r>
        <w:rPr>
          <w:kern w:val="0"/>
        </w:rPr>
        <w:t>5</w:t>
      </w:r>
      <w:r>
        <w:rPr>
          <w:rFonts w:hint="eastAsia"/>
          <w:kern w:val="0"/>
        </w:rPr>
        <w:t>）《中华人民共和国湿地保护法》（2022年6月1日起施行）；</w:t>
      </w:r>
    </w:p>
    <w:p w14:paraId="29609B1D">
      <w:pPr>
        <w:pStyle w:val="4"/>
        <w:rPr>
          <w:kern w:val="0"/>
        </w:rPr>
      </w:pPr>
      <w:r>
        <w:rPr>
          <w:rFonts w:hint="eastAsia"/>
          <w:kern w:val="0"/>
        </w:rPr>
        <w:t>环境</w:t>
      </w:r>
      <w:r>
        <w:rPr>
          <w:kern w:val="0"/>
        </w:rPr>
        <w:t>保护法规、规章</w:t>
      </w:r>
    </w:p>
    <w:p w14:paraId="7A2B6965">
      <w:pPr>
        <w:pStyle w:val="5"/>
        <w:rPr>
          <w:kern w:val="0"/>
        </w:rPr>
      </w:pPr>
      <w:r>
        <w:rPr>
          <w:rFonts w:hint="eastAsia"/>
          <w:kern w:val="0"/>
        </w:rPr>
        <w:t>国家环境保护法规和规章</w:t>
      </w:r>
    </w:p>
    <w:p w14:paraId="6E773AEE">
      <w:pPr>
        <w:pStyle w:val="85"/>
        <w:ind w:firstLine="480"/>
        <w:rPr>
          <w:kern w:val="0"/>
        </w:rPr>
      </w:pPr>
      <w:r>
        <w:rPr>
          <w:rFonts w:hint="eastAsia"/>
          <w:kern w:val="0"/>
        </w:rPr>
        <w:t>（</w:t>
      </w:r>
      <w:r>
        <w:rPr>
          <w:kern w:val="0"/>
        </w:rPr>
        <w:t>1</w:t>
      </w:r>
      <w:r>
        <w:rPr>
          <w:rFonts w:hint="eastAsia"/>
          <w:kern w:val="0"/>
        </w:rPr>
        <w:t>）《建设项目环境保护管理条例》（2017年10月1日）；</w:t>
      </w:r>
    </w:p>
    <w:p w14:paraId="60771A52">
      <w:pPr>
        <w:pStyle w:val="85"/>
        <w:ind w:firstLine="480"/>
        <w:rPr>
          <w:kern w:val="0"/>
        </w:rPr>
      </w:pPr>
      <w:r>
        <w:rPr>
          <w:kern w:val="0"/>
        </w:rPr>
        <w:t>（2）</w:t>
      </w:r>
      <w:r>
        <w:rPr>
          <w:rFonts w:hint="eastAsia"/>
          <w:kern w:val="0"/>
        </w:rPr>
        <w:t>《中华人民共和国自然保护区条例》（2017年10月7日修订）；</w:t>
      </w:r>
    </w:p>
    <w:p w14:paraId="4B8A7871">
      <w:pPr>
        <w:pStyle w:val="85"/>
        <w:ind w:firstLine="480"/>
        <w:rPr>
          <w:kern w:val="0"/>
        </w:rPr>
      </w:pPr>
      <w:r>
        <w:rPr>
          <w:rFonts w:hint="eastAsia"/>
          <w:kern w:val="0"/>
        </w:rPr>
        <w:t>（</w:t>
      </w:r>
      <w:r>
        <w:rPr>
          <w:kern w:val="0"/>
        </w:rPr>
        <w:t>3</w:t>
      </w:r>
      <w:r>
        <w:rPr>
          <w:rFonts w:hint="eastAsia"/>
          <w:kern w:val="0"/>
        </w:rPr>
        <w:t>）《中华人民共和国野生植物保护条例》（2017年10月7日修订、施行）；</w:t>
      </w:r>
    </w:p>
    <w:p w14:paraId="5DB13BE7">
      <w:pPr>
        <w:pStyle w:val="85"/>
        <w:ind w:firstLine="480"/>
        <w:rPr>
          <w:kern w:val="0"/>
        </w:rPr>
      </w:pPr>
      <w:r>
        <w:rPr>
          <w:rFonts w:hint="eastAsia"/>
          <w:kern w:val="0"/>
        </w:rPr>
        <w:t>（4）《中华人民共和国陆生野生动物保护实施条例》（2016年2月6日修订）；</w:t>
      </w:r>
    </w:p>
    <w:p w14:paraId="09A4656F">
      <w:pPr>
        <w:pStyle w:val="85"/>
        <w:ind w:firstLine="480"/>
        <w:rPr>
          <w:kern w:val="0"/>
        </w:rPr>
      </w:pPr>
      <w:r>
        <w:rPr>
          <w:rFonts w:hint="eastAsia"/>
          <w:kern w:val="0"/>
        </w:rPr>
        <w:t>（</w:t>
      </w:r>
      <w:r>
        <w:rPr>
          <w:kern w:val="0"/>
        </w:rPr>
        <w:t>5</w:t>
      </w:r>
      <w:r>
        <w:rPr>
          <w:rFonts w:hint="eastAsia"/>
          <w:kern w:val="0"/>
        </w:rPr>
        <w:t>）《中华人民共和国河道管理条例》（2018年3月19日修订）；</w:t>
      </w:r>
    </w:p>
    <w:p w14:paraId="38DB4168">
      <w:pPr>
        <w:pStyle w:val="85"/>
        <w:ind w:firstLine="480"/>
        <w:rPr>
          <w:kern w:val="0"/>
        </w:rPr>
      </w:pPr>
      <w:r>
        <w:rPr>
          <w:rFonts w:hint="eastAsia"/>
          <w:kern w:val="0"/>
        </w:rPr>
        <w:t>（</w:t>
      </w:r>
      <w:r>
        <w:rPr>
          <w:kern w:val="0"/>
        </w:rPr>
        <w:t>6</w:t>
      </w:r>
      <w:r>
        <w:rPr>
          <w:rFonts w:hint="eastAsia"/>
          <w:kern w:val="0"/>
        </w:rPr>
        <w:t>）</w:t>
      </w:r>
      <w:r>
        <w:rPr>
          <w:kern w:val="0"/>
        </w:rPr>
        <w:t>《国务院关于印发&lt;水污染防治行动计划&gt;的通知》(国发〔2015〕17号)</w:t>
      </w:r>
      <w:r>
        <w:rPr>
          <w:rFonts w:hint="eastAsia"/>
          <w:kern w:val="0"/>
        </w:rPr>
        <w:t>；</w:t>
      </w:r>
    </w:p>
    <w:p w14:paraId="16D9D14A">
      <w:pPr>
        <w:pStyle w:val="85"/>
        <w:ind w:firstLine="480"/>
        <w:rPr>
          <w:kern w:val="0"/>
        </w:rPr>
      </w:pPr>
      <w:r>
        <w:rPr>
          <w:rFonts w:hint="eastAsia"/>
          <w:kern w:val="0"/>
        </w:rPr>
        <w:t>（</w:t>
      </w:r>
      <w:r>
        <w:rPr>
          <w:kern w:val="0"/>
        </w:rPr>
        <w:t>7</w:t>
      </w:r>
      <w:r>
        <w:rPr>
          <w:rFonts w:hint="eastAsia"/>
          <w:kern w:val="0"/>
        </w:rPr>
        <w:t>）《国务院关于印发〈打赢蓝天保卫战三年行动计划〉的通知》（国发〔2018〕22号）；</w:t>
      </w:r>
    </w:p>
    <w:p w14:paraId="2EF382FD">
      <w:pPr>
        <w:pStyle w:val="85"/>
        <w:ind w:firstLine="480"/>
        <w:rPr>
          <w:kern w:val="0"/>
        </w:rPr>
      </w:pPr>
      <w:r>
        <w:rPr>
          <w:rFonts w:hint="eastAsia"/>
          <w:kern w:val="0"/>
        </w:rPr>
        <w:t>（</w:t>
      </w:r>
      <w:r>
        <w:rPr>
          <w:kern w:val="0"/>
        </w:rPr>
        <w:t>8</w:t>
      </w:r>
      <w:r>
        <w:rPr>
          <w:rFonts w:hint="eastAsia"/>
          <w:kern w:val="0"/>
        </w:rPr>
        <w:t>）《国务院关于全国地下水污染防治规划</w:t>
      </w:r>
      <w:r>
        <w:rPr>
          <w:kern w:val="0"/>
        </w:rPr>
        <w:t xml:space="preserve">(2011-2020 </w:t>
      </w:r>
      <w:r>
        <w:rPr>
          <w:rFonts w:hint="eastAsia"/>
          <w:kern w:val="0"/>
        </w:rPr>
        <w:t>年</w:t>
      </w:r>
      <w:r>
        <w:rPr>
          <w:kern w:val="0"/>
        </w:rPr>
        <w:t>)</w:t>
      </w:r>
      <w:r>
        <w:rPr>
          <w:rFonts w:hint="eastAsia"/>
          <w:kern w:val="0"/>
        </w:rPr>
        <w:t>的批复》（国函〔2011〕119号，</w:t>
      </w:r>
      <w:r>
        <w:rPr>
          <w:kern w:val="0"/>
        </w:rPr>
        <w:t>2011</w:t>
      </w:r>
      <w:r>
        <w:rPr>
          <w:rFonts w:hint="eastAsia"/>
          <w:kern w:val="0"/>
        </w:rPr>
        <w:t>年</w:t>
      </w:r>
      <w:r>
        <w:rPr>
          <w:kern w:val="0"/>
        </w:rPr>
        <w:t>10</w:t>
      </w:r>
      <w:r>
        <w:rPr>
          <w:rFonts w:hint="eastAsia"/>
          <w:kern w:val="0"/>
        </w:rPr>
        <w:t>月</w:t>
      </w:r>
      <w:r>
        <w:rPr>
          <w:kern w:val="0"/>
        </w:rPr>
        <w:t>10</w:t>
      </w:r>
      <w:r>
        <w:rPr>
          <w:rFonts w:hint="eastAsia"/>
          <w:kern w:val="0"/>
        </w:rPr>
        <w:t>日发布并实施）；</w:t>
      </w:r>
    </w:p>
    <w:p w14:paraId="4EF4E206">
      <w:pPr>
        <w:pStyle w:val="85"/>
        <w:ind w:firstLine="480"/>
        <w:rPr>
          <w:kern w:val="0"/>
        </w:rPr>
      </w:pPr>
      <w:r>
        <w:rPr>
          <w:rFonts w:hint="eastAsia"/>
          <w:kern w:val="0"/>
        </w:rPr>
        <w:t>（</w:t>
      </w:r>
      <w:r>
        <w:rPr>
          <w:kern w:val="0"/>
        </w:rPr>
        <w:t>9</w:t>
      </w:r>
      <w:r>
        <w:rPr>
          <w:rFonts w:hint="eastAsia"/>
          <w:kern w:val="0"/>
        </w:rPr>
        <w:t>）《关于推进大气污染联防联控工作改善区域空气环境质量的指导意见》</w:t>
      </w:r>
      <w:r>
        <w:rPr>
          <w:kern w:val="0"/>
        </w:rPr>
        <w:t>(</w:t>
      </w:r>
      <w:r>
        <w:rPr>
          <w:rFonts w:hint="eastAsia"/>
          <w:kern w:val="0"/>
        </w:rPr>
        <w:t>国办发〔201</w:t>
      </w:r>
      <w:r>
        <w:rPr>
          <w:kern w:val="0"/>
        </w:rPr>
        <w:t>0</w:t>
      </w:r>
      <w:r>
        <w:rPr>
          <w:rFonts w:hint="eastAsia"/>
          <w:kern w:val="0"/>
        </w:rPr>
        <w:t>〕</w:t>
      </w:r>
      <w:r>
        <w:rPr>
          <w:kern w:val="0"/>
        </w:rPr>
        <w:t xml:space="preserve">33 </w:t>
      </w:r>
      <w:r>
        <w:rPr>
          <w:rFonts w:hint="eastAsia"/>
          <w:kern w:val="0"/>
        </w:rPr>
        <w:t>号，</w:t>
      </w:r>
      <w:r>
        <w:rPr>
          <w:kern w:val="0"/>
        </w:rPr>
        <w:t>2010</w:t>
      </w:r>
      <w:r>
        <w:rPr>
          <w:rFonts w:hint="eastAsia"/>
          <w:kern w:val="0"/>
        </w:rPr>
        <w:t>年</w:t>
      </w:r>
      <w:r>
        <w:rPr>
          <w:kern w:val="0"/>
        </w:rPr>
        <w:t>5</w:t>
      </w:r>
      <w:r>
        <w:rPr>
          <w:rFonts w:hint="eastAsia"/>
          <w:kern w:val="0"/>
        </w:rPr>
        <w:t>月</w:t>
      </w:r>
      <w:r>
        <w:rPr>
          <w:kern w:val="0"/>
        </w:rPr>
        <w:t>11</w:t>
      </w:r>
      <w:r>
        <w:rPr>
          <w:rFonts w:hint="eastAsia"/>
          <w:kern w:val="0"/>
        </w:rPr>
        <w:t>日发布并实施</w:t>
      </w:r>
      <w:r>
        <w:rPr>
          <w:kern w:val="0"/>
        </w:rPr>
        <w:t>)</w:t>
      </w:r>
      <w:r>
        <w:rPr>
          <w:rFonts w:hint="eastAsia"/>
          <w:kern w:val="0"/>
        </w:rPr>
        <w:t>；</w:t>
      </w:r>
    </w:p>
    <w:p w14:paraId="64017D14">
      <w:pPr>
        <w:pStyle w:val="85"/>
        <w:ind w:firstLine="480"/>
        <w:rPr>
          <w:kern w:val="0"/>
        </w:rPr>
      </w:pPr>
      <w:r>
        <w:rPr>
          <w:rFonts w:hint="eastAsia"/>
          <w:kern w:val="0"/>
        </w:rPr>
        <w:t>（</w:t>
      </w:r>
      <w:r>
        <w:rPr>
          <w:kern w:val="0"/>
        </w:rPr>
        <w:t>10</w:t>
      </w:r>
      <w:r>
        <w:rPr>
          <w:rFonts w:hint="eastAsia"/>
          <w:kern w:val="0"/>
        </w:rPr>
        <w:t>）《关于促进京津冀地区经济社会与生态环境保护协调发展的指导意见》（环办环评〔201</w:t>
      </w:r>
      <w:r>
        <w:rPr>
          <w:kern w:val="0"/>
        </w:rPr>
        <w:t>8</w:t>
      </w:r>
      <w:r>
        <w:rPr>
          <w:rFonts w:hint="eastAsia"/>
          <w:kern w:val="0"/>
        </w:rPr>
        <w:t>〕</w:t>
      </w:r>
      <w:r>
        <w:rPr>
          <w:kern w:val="0"/>
        </w:rPr>
        <w:t>24</w:t>
      </w:r>
      <w:r>
        <w:rPr>
          <w:rFonts w:hint="eastAsia"/>
          <w:kern w:val="0"/>
        </w:rPr>
        <w:t>号）；</w:t>
      </w:r>
    </w:p>
    <w:p w14:paraId="2BF871EC">
      <w:pPr>
        <w:pStyle w:val="85"/>
        <w:ind w:firstLine="480"/>
        <w:rPr>
          <w:kern w:val="0"/>
        </w:rPr>
      </w:pPr>
      <w:r>
        <w:rPr>
          <w:rFonts w:hint="eastAsia"/>
          <w:kern w:val="0"/>
        </w:rPr>
        <w:t>（</w:t>
      </w:r>
      <w:r>
        <w:rPr>
          <w:kern w:val="0"/>
        </w:rPr>
        <w:t>11</w:t>
      </w:r>
      <w:r>
        <w:rPr>
          <w:rFonts w:hint="eastAsia"/>
          <w:kern w:val="0"/>
        </w:rPr>
        <w:t>）《建设项目环境影响评价分类管理名录》</w:t>
      </w:r>
      <w:r>
        <w:rPr>
          <w:kern w:val="0"/>
        </w:rPr>
        <w:t>(</w:t>
      </w:r>
      <w:r>
        <w:rPr>
          <w:rFonts w:hint="eastAsia"/>
          <w:kern w:val="0"/>
        </w:rPr>
        <w:t>生态环境部令第</w:t>
      </w:r>
      <w:r>
        <w:rPr>
          <w:kern w:val="0"/>
        </w:rPr>
        <w:t xml:space="preserve">16 </w:t>
      </w:r>
      <w:r>
        <w:rPr>
          <w:rFonts w:hint="eastAsia"/>
          <w:kern w:val="0"/>
        </w:rPr>
        <w:t>号，</w:t>
      </w:r>
      <w:r>
        <w:rPr>
          <w:kern w:val="0"/>
        </w:rPr>
        <w:t>2020</w:t>
      </w:r>
      <w:r>
        <w:rPr>
          <w:rFonts w:hint="eastAsia"/>
          <w:kern w:val="0"/>
        </w:rPr>
        <w:t>年</w:t>
      </w:r>
      <w:r>
        <w:rPr>
          <w:kern w:val="0"/>
        </w:rPr>
        <w:t>11</w:t>
      </w:r>
      <w:r>
        <w:rPr>
          <w:rFonts w:hint="eastAsia"/>
          <w:kern w:val="0"/>
        </w:rPr>
        <w:t>月</w:t>
      </w:r>
      <w:r>
        <w:rPr>
          <w:kern w:val="0"/>
        </w:rPr>
        <w:t>30</w:t>
      </w:r>
      <w:r>
        <w:rPr>
          <w:rFonts w:hint="eastAsia"/>
          <w:kern w:val="0"/>
        </w:rPr>
        <w:t>日发布，</w:t>
      </w:r>
      <w:r>
        <w:rPr>
          <w:kern w:val="0"/>
        </w:rPr>
        <w:t>2021</w:t>
      </w:r>
      <w:r>
        <w:rPr>
          <w:rFonts w:hint="eastAsia"/>
          <w:kern w:val="0"/>
        </w:rPr>
        <w:t>年</w:t>
      </w:r>
      <w:r>
        <w:rPr>
          <w:kern w:val="0"/>
        </w:rPr>
        <w:t>1</w:t>
      </w:r>
      <w:r>
        <w:rPr>
          <w:rFonts w:hint="eastAsia"/>
          <w:kern w:val="0"/>
        </w:rPr>
        <w:t>月</w:t>
      </w:r>
      <w:r>
        <w:rPr>
          <w:kern w:val="0"/>
        </w:rPr>
        <w:t>1</w:t>
      </w:r>
      <w:r>
        <w:rPr>
          <w:rFonts w:hint="eastAsia"/>
          <w:kern w:val="0"/>
        </w:rPr>
        <w:t>日实施</w:t>
      </w:r>
      <w:r>
        <w:rPr>
          <w:kern w:val="0"/>
        </w:rPr>
        <w:t>)</w:t>
      </w:r>
      <w:r>
        <w:rPr>
          <w:rFonts w:hint="eastAsia"/>
          <w:kern w:val="0"/>
        </w:rPr>
        <w:t>；</w:t>
      </w:r>
    </w:p>
    <w:p w14:paraId="75372C5E">
      <w:pPr>
        <w:pStyle w:val="85"/>
        <w:ind w:firstLine="480"/>
        <w:rPr>
          <w:kern w:val="0"/>
        </w:rPr>
      </w:pPr>
      <w:r>
        <w:rPr>
          <w:rFonts w:hint="eastAsia"/>
          <w:kern w:val="0"/>
        </w:rPr>
        <w:t>（</w:t>
      </w:r>
      <w:r>
        <w:rPr>
          <w:kern w:val="0"/>
        </w:rPr>
        <w:t>12</w:t>
      </w:r>
      <w:r>
        <w:rPr>
          <w:rFonts w:hint="eastAsia"/>
          <w:kern w:val="0"/>
        </w:rPr>
        <w:t>）《关于以改善环境质量为核心加强环境影响评价管理的通知》（环环评</w:t>
      </w:r>
      <w:r>
        <w:rPr>
          <w:kern w:val="0"/>
        </w:rPr>
        <w:t xml:space="preserve">[2016]150 </w:t>
      </w:r>
      <w:r>
        <w:rPr>
          <w:rFonts w:hint="eastAsia"/>
          <w:kern w:val="0"/>
        </w:rPr>
        <w:t>号，</w:t>
      </w:r>
      <w:r>
        <w:rPr>
          <w:kern w:val="0"/>
        </w:rPr>
        <w:t xml:space="preserve">2016 </w:t>
      </w:r>
      <w:r>
        <w:rPr>
          <w:rFonts w:hint="eastAsia"/>
          <w:kern w:val="0"/>
        </w:rPr>
        <w:t>年</w:t>
      </w:r>
      <w:r>
        <w:rPr>
          <w:kern w:val="0"/>
        </w:rPr>
        <w:t xml:space="preserve">10 </w:t>
      </w:r>
      <w:r>
        <w:rPr>
          <w:rFonts w:hint="eastAsia"/>
          <w:kern w:val="0"/>
        </w:rPr>
        <w:t>月</w:t>
      </w:r>
      <w:r>
        <w:rPr>
          <w:kern w:val="0"/>
        </w:rPr>
        <w:t xml:space="preserve">26 </w:t>
      </w:r>
      <w:r>
        <w:rPr>
          <w:rFonts w:hint="eastAsia"/>
          <w:kern w:val="0"/>
        </w:rPr>
        <w:t>日发布并实施）；</w:t>
      </w:r>
    </w:p>
    <w:p w14:paraId="0DB718DA">
      <w:pPr>
        <w:pStyle w:val="85"/>
        <w:ind w:firstLine="480"/>
        <w:rPr>
          <w:kern w:val="0"/>
        </w:rPr>
      </w:pPr>
      <w:r>
        <w:rPr>
          <w:rFonts w:hint="eastAsia"/>
          <w:kern w:val="0"/>
        </w:rPr>
        <w:t>（1</w:t>
      </w:r>
      <w:r>
        <w:rPr>
          <w:kern w:val="0"/>
        </w:rPr>
        <w:t>3</w:t>
      </w:r>
      <w:r>
        <w:rPr>
          <w:rFonts w:hint="eastAsia"/>
          <w:kern w:val="0"/>
        </w:rPr>
        <w:t>）《关于印发</w:t>
      </w:r>
      <w:r>
        <w:rPr>
          <w:kern w:val="0"/>
        </w:rPr>
        <w:t>&lt;</w:t>
      </w:r>
      <w:r>
        <w:rPr>
          <w:rFonts w:hint="eastAsia"/>
          <w:kern w:val="0"/>
        </w:rPr>
        <w:t>建设项目环境影响评价区域限批管理办法（试行）</w:t>
      </w:r>
      <w:r>
        <w:rPr>
          <w:kern w:val="0"/>
        </w:rPr>
        <w:t>&gt;</w:t>
      </w:r>
      <w:r>
        <w:rPr>
          <w:rFonts w:hint="eastAsia"/>
          <w:kern w:val="0"/>
        </w:rPr>
        <w:t>的通知》</w:t>
      </w:r>
      <w:r>
        <w:rPr>
          <w:kern w:val="0"/>
        </w:rPr>
        <w:t>(</w:t>
      </w:r>
      <w:r>
        <w:rPr>
          <w:rFonts w:hint="eastAsia"/>
          <w:kern w:val="0"/>
        </w:rPr>
        <w:t>环发〔2015〕169号，</w:t>
      </w:r>
      <w:r>
        <w:rPr>
          <w:kern w:val="0"/>
        </w:rPr>
        <w:t>2015</w:t>
      </w:r>
      <w:r>
        <w:rPr>
          <w:rFonts w:hint="eastAsia"/>
          <w:kern w:val="0"/>
        </w:rPr>
        <w:t>年</w:t>
      </w:r>
      <w:r>
        <w:rPr>
          <w:kern w:val="0"/>
        </w:rPr>
        <w:t>12</w:t>
      </w:r>
      <w:r>
        <w:rPr>
          <w:rFonts w:hint="eastAsia"/>
          <w:kern w:val="0"/>
        </w:rPr>
        <w:t>月</w:t>
      </w:r>
      <w:r>
        <w:rPr>
          <w:kern w:val="0"/>
        </w:rPr>
        <w:t>18</w:t>
      </w:r>
      <w:r>
        <w:rPr>
          <w:rFonts w:hint="eastAsia"/>
          <w:kern w:val="0"/>
        </w:rPr>
        <w:t>日发布并实施</w:t>
      </w:r>
      <w:r>
        <w:rPr>
          <w:kern w:val="0"/>
        </w:rPr>
        <w:t>)</w:t>
      </w:r>
      <w:r>
        <w:rPr>
          <w:rFonts w:hint="eastAsia"/>
          <w:kern w:val="0"/>
        </w:rPr>
        <w:t>；</w:t>
      </w:r>
    </w:p>
    <w:p w14:paraId="44411D6A">
      <w:pPr>
        <w:pStyle w:val="85"/>
        <w:ind w:firstLine="480"/>
        <w:rPr>
          <w:kern w:val="0"/>
        </w:rPr>
      </w:pPr>
      <w:r>
        <w:rPr>
          <w:rFonts w:hint="eastAsia"/>
          <w:kern w:val="0"/>
        </w:rPr>
        <w:t>（1</w:t>
      </w:r>
      <w:r>
        <w:rPr>
          <w:kern w:val="0"/>
        </w:rPr>
        <w:t>4</w:t>
      </w:r>
      <w:r>
        <w:rPr>
          <w:rFonts w:hint="eastAsia"/>
          <w:kern w:val="0"/>
        </w:rPr>
        <w:t>）《突发环境事件应急管理办法》（环境保护部令第</w:t>
      </w:r>
      <w:r>
        <w:rPr>
          <w:kern w:val="0"/>
        </w:rPr>
        <w:t xml:space="preserve">34 </w:t>
      </w:r>
      <w:r>
        <w:rPr>
          <w:rFonts w:hint="eastAsia"/>
          <w:kern w:val="0"/>
        </w:rPr>
        <w:t>号，</w:t>
      </w:r>
      <w:r>
        <w:rPr>
          <w:kern w:val="0"/>
        </w:rPr>
        <w:t xml:space="preserve">2015 </w:t>
      </w:r>
      <w:r>
        <w:rPr>
          <w:rFonts w:hint="eastAsia"/>
          <w:kern w:val="0"/>
        </w:rPr>
        <w:t>年</w:t>
      </w:r>
      <w:r>
        <w:rPr>
          <w:kern w:val="0"/>
        </w:rPr>
        <w:t>4</w:t>
      </w:r>
      <w:r>
        <w:rPr>
          <w:rFonts w:hint="eastAsia"/>
          <w:kern w:val="0"/>
        </w:rPr>
        <w:t>月</w:t>
      </w:r>
      <w:r>
        <w:rPr>
          <w:kern w:val="0"/>
        </w:rPr>
        <w:t xml:space="preserve">16 </w:t>
      </w:r>
      <w:r>
        <w:rPr>
          <w:rFonts w:hint="eastAsia"/>
          <w:kern w:val="0"/>
        </w:rPr>
        <w:t>日发布，</w:t>
      </w:r>
      <w:r>
        <w:rPr>
          <w:kern w:val="0"/>
        </w:rPr>
        <w:t>2015</w:t>
      </w:r>
      <w:r>
        <w:rPr>
          <w:rFonts w:hint="eastAsia"/>
          <w:kern w:val="0"/>
        </w:rPr>
        <w:t>年</w:t>
      </w:r>
      <w:r>
        <w:rPr>
          <w:kern w:val="0"/>
        </w:rPr>
        <w:t>6</w:t>
      </w:r>
      <w:r>
        <w:rPr>
          <w:rFonts w:hint="eastAsia"/>
          <w:kern w:val="0"/>
        </w:rPr>
        <w:t>月</w:t>
      </w:r>
      <w:r>
        <w:rPr>
          <w:kern w:val="0"/>
        </w:rPr>
        <w:t>5</w:t>
      </w:r>
      <w:r>
        <w:rPr>
          <w:rFonts w:hint="eastAsia"/>
          <w:kern w:val="0"/>
        </w:rPr>
        <w:t>日实施）；</w:t>
      </w:r>
    </w:p>
    <w:p w14:paraId="11124A85">
      <w:pPr>
        <w:pStyle w:val="85"/>
        <w:ind w:firstLine="480"/>
        <w:rPr>
          <w:kern w:val="0"/>
        </w:rPr>
      </w:pPr>
      <w:r>
        <w:rPr>
          <w:rFonts w:hint="eastAsia"/>
          <w:kern w:val="0"/>
        </w:rPr>
        <w:t>（</w:t>
      </w:r>
      <w:r>
        <w:rPr>
          <w:kern w:val="0"/>
        </w:rPr>
        <w:t>15</w:t>
      </w:r>
      <w:r>
        <w:rPr>
          <w:rFonts w:hint="eastAsia"/>
          <w:kern w:val="0"/>
        </w:rPr>
        <w:t>）《关于印发</w:t>
      </w:r>
      <w:r>
        <w:rPr>
          <w:kern w:val="0"/>
        </w:rPr>
        <w:t>&lt;</w:t>
      </w:r>
      <w:r>
        <w:rPr>
          <w:rFonts w:hint="eastAsia"/>
          <w:kern w:val="0"/>
        </w:rPr>
        <w:t>企业事业单位突发环境事件应急预案备案管理办法（试行）</w:t>
      </w:r>
      <w:r>
        <w:rPr>
          <w:kern w:val="0"/>
        </w:rPr>
        <w:t>&gt;</w:t>
      </w:r>
      <w:r>
        <w:rPr>
          <w:rFonts w:hint="eastAsia"/>
          <w:kern w:val="0"/>
        </w:rPr>
        <w:t>的通知》（环发</w:t>
      </w:r>
      <w:r>
        <w:rPr>
          <w:kern w:val="0"/>
        </w:rPr>
        <w:t>[2015]4</w:t>
      </w:r>
      <w:r>
        <w:rPr>
          <w:rFonts w:hint="eastAsia"/>
          <w:kern w:val="0"/>
        </w:rPr>
        <w:t>号，</w:t>
      </w:r>
      <w:r>
        <w:rPr>
          <w:kern w:val="0"/>
        </w:rPr>
        <w:t>2015</w:t>
      </w:r>
      <w:r>
        <w:rPr>
          <w:rFonts w:hint="eastAsia"/>
          <w:kern w:val="0"/>
        </w:rPr>
        <w:t>年</w:t>
      </w:r>
      <w:r>
        <w:rPr>
          <w:kern w:val="0"/>
        </w:rPr>
        <w:t>1</w:t>
      </w:r>
      <w:r>
        <w:rPr>
          <w:rFonts w:hint="eastAsia"/>
          <w:kern w:val="0"/>
        </w:rPr>
        <w:t>月</w:t>
      </w:r>
      <w:r>
        <w:rPr>
          <w:kern w:val="0"/>
        </w:rPr>
        <w:t>8</w:t>
      </w:r>
      <w:r>
        <w:rPr>
          <w:rFonts w:hint="eastAsia"/>
          <w:kern w:val="0"/>
        </w:rPr>
        <w:t>日发布并实施）；</w:t>
      </w:r>
    </w:p>
    <w:p w14:paraId="29A2BC55">
      <w:pPr>
        <w:pStyle w:val="85"/>
        <w:ind w:firstLine="480"/>
        <w:rPr>
          <w:kern w:val="0"/>
        </w:rPr>
      </w:pPr>
      <w:r>
        <w:rPr>
          <w:rFonts w:hint="eastAsia"/>
          <w:kern w:val="0"/>
        </w:rPr>
        <w:t>（</w:t>
      </w:r>
      <w:r>
        <w:rPr>
          <w:kern w:val="0"/>
        </w:rPr>
        <w:t>16</w:t>
      </w:r>
      <w:r>
        <w:rPr>
          <w:rFonts w:hint="eastAsia"/>
          <w:kern w:val="0"/>
        </w:rPr>
        <w:t>）《关于落实大气污染防治行动计划严格环境影响评价准入的通知》（环办</w:t>
      </w:r>
      <w:r>
        <w:rPr>
          <w:kern w:val="0"/>
        </w:rPr>
        <w:t>[2014]30</w:t>
      </w:r>
      <w:r>
        <w:rPr>
          <w:rFonts w:hint="eastAsia"/>
          <w:kern w:val="0"/>
        </w:rPr>
        <w:t>号，</w:t>
      </w:r>
      <w:r>
        <w:rPr>
          <w:kern w:val="0"/>
        </w:rPr>
        <w:t>2014</w:t>
      </w:r>
      <w:r>
        <w:rPr>
          <w:rFonts w:hint="eastAsia"/>
          <w:kern w:val="0"/>
        </w:rPr>
        <w:t>年</w:t>
      </w:r>
      <w:r>
        <w:rPr>
          <w:kern w:val="0"/>
        </w:rPr>
        <w:t>4</w:t>
      </w:r>
      <w:r>
        <w:rPr>
          <w:rFonts w:hint="eastAsia"/>
          <w:kern w:val="0"/>
        </w:rPr>
        <w:t>月</w:t>
      </w:r>
      <w:r>
        <w:rPr>
          <w:kern w:val="0"/>
        </w:rPr>
        <w:t>25</w:t>
      </w:r>
      <w:r>
        <w:rPr>
          <w:rFonts w:hint="eastAsia"/>
          <w:kern w:val="0"/>
        </w:rPr>
        <w:t>日发布并实施）；</w:t>
      </w:r>
    </w:p>
    <w:p w14:paraId="631FC7E4">
      <w:pPr>
        <w:pStyle w:val="85"/>
        <w:ind w:firstLine="480"/>
        <w:rPr>
          <w:kern w:val="0"/>
        </w:rPr>
      </w:pPr>
      <w:r>
        <w:rPr>
          <w:rFonts w:hint="eastAsia"/>
          <w:kern w:val="0"/>
        </w:rPr>
        <w:t>（</w:t>
      </w:r>
      <w:r>
        <w:rPr>
          <w:kern w:val="0"/>
        </w:rPr>
        <w:t>17</w:t>
      </w:r>
      <w:r>
        <w:rPr>
          <w:rFonts w:hint="eastAsia"/>
          <w:kern w:val="0"/>
        </w:rPr>
        <w:t>）《关于切实加强环境影响评价监督管理工作的通知》（环办</w:t>
      </w:r>
      <w:r>
        <w:rPr>
          <w:kern w:val="0"/>
        </w:rPr>
        <w:t>[2013]104</w:t>
      </w:r>
      <w:r>
        <w:rPr>
          <w:rFonts w:hint="eastAsia"/>
          <w:kern w:val="0"/>
        </w:rPr>
        <w:t>号，</w:t>
      </w:r>
      <w:r>
        <w:rPr>
          <w:kern w:val="0"/>
        </w:rPr>
        <w:t>2013</w:t>
      </w:r>
      <w:r>
        <w:rPr>
          <w:rFonts w:hint="eastAsia"/>
          <w:kern w:val="0"/>
        </w:rPr>
        <w:t>年</w:t>
      </w:r>
      <w:r>
        <w:rPr>
          <w:kern w:val="0"/>
        </w:rPr>
        <w:t>11</w:t>
      </w:r>
      <w:r>
        <w:rPr>
          <w:rFonts w:hint="eastAsia"/>
          <w:kern w:val="0"/>
        </w:rPr>
        <w:t>月</w:t>
      </w:r>
      <w:r>
        <w:rPr>
          <w:kern w:val="0"/>
        </w:rPr>
        <w:t>15</w:t>
      </w:r>
      <w:r>
        <w:rPr>
          <w:rFonts w:hint="eastAsia"/>
          <w:kern w:val="0"/>
        </w:rPr>
        <w:t>日发布并实施）；</w:t>
      </w:r>
    </w:p>
    <w:p w14:paraId="55446CD0">
      <w:pPr>
        <w:pStyle w:val="85"/>
        <w:ind w:firstLine="480"/>
        <w:rPr>
          <w:kern w:val="0"/>
        </w:rPr>
      </w:pPr>
      <w:r>
        <w:rPr>
          <w:rFonts w:hint="eastAsia"/>
          <w:kern w:val="0"/>
        </w:rPr>
        <w:t>（</w:t>
      </w:r>
      <w:r>
        <w:rPr>
          <w:kern w:val="0"/>
        </w:rPr>
        <w:t>18</w:t>
      </w:r>
      <w:r>
        <w:rPr>
          <w:rFonts w:hint="eastAsia"/>
          <w:kern w:val="0"/>
        </w:rPr>
        <w:t>）《京津冀及周边地区落实大气污染防治行动计划实施细则》（环发</w:t>
      </w:r>
      <w:r>
        <w:rPr>
          <w:kern w:val="0"/>
        </w:rPr>
        <w:t>[2013]104</w:t>
      </w:r>
      <w:r>
        <w:rPr>
          <w:rFonts w:hint="eastAsia"/>
          <w:kern w:val="0"/>
        </w:rPr>
        <w:t>号，</w:t>
      </w:r>
      <w:r>
        <w:rPr>
          <w:kern w:val="0"/>
        </w:rPr>
        <w:t>2013</w:t>
      </w:r>
      <w:r>
        <w:rPr>
          <w:rFonts w:hint="eastAsia"/>
          <w:kern w:val="0"/>
        </w:rPr>
        <w:t>年</w:t>
      </w:r>
      <w:r>
        <w:rPr>
          <w:kern w:val="0"/>
        </w:rPr>
        <w:t>9</w:t>
      </w:r>
      <w:r>
        <w:rPr>
          <w:rFonts w:hint="eastAsia"/>
          <w:kern w:val="0"/>
        </w:rPr>
        <w:t>月</w:t>
      </w:r>
      <w:r>
        <w:rPr>
          <w:kern w:val="0"/>
        </w:rPr>
        <w:t>17</w:t>
      </w:r>
      <w:r>
        <w:rPr>
          <w:rFonts w:hint="eastAsia"/>
          <w:kern w:val="0"/>
        </w:rPr>
        <w:t>日发布并实施）；</w:t>
      </w:r>
    </w:p>
    <w:p w14:paraId="3D0F527C">
      <w:pPr>
        <w:pStyle w:val="85"/>
        <w:ind w:firstLine="480"/>
        <w:rPr>
          <w:kern w:val="0"/>
        </w:rPr>
      </w:pPr>
      <w:r>
        <w:rPr>
          <w:rFonts w:hint="eastAsia"/>
          <w:kern w:val="0"/>
        </w:rPr>
        <w:t>（</w:t>
      </w:r>
      <w:r>
        <w:rPr>
          <w:kern w:val="0"/>
        </w:rPr>
        <w:t>19</w:t>
      </w:r>
      <w:r>
        <w:rPr>
          <w:rFonts w:hint="eastAsia"/>
          <w:kern w:val="0"/>
        </w:rPr>
        <w:t>）《环境空气细颗粒物污染综合防治技术政策》（环境保护部公告</w:t>
      </w:r>
      <w:r>
        <w:rPr>
          <w:kern w:val="0"/>
        </w:rPr>
        <w:t>2013</w:t>
      </w:r>
      <w:r>
        <w:rPr>
          <w:rFonts w:hint="eastAsia"/>
          <w:kern w:val="0"/>
        </w:rPr>
        <w:t>年第</w:t>
      </w:r>
      <w:r>
        <w:rPr>
          <w:kern w:val="0"/>
        </w:rPr>
        <w:t>59</w:t>
      </w:r>
      <w:r>
        <w:rPr>
          <w:rFonts w:hint="eastAsia"/>
          <w:kern w:val="0"/>
        </w:rPr>
        <w:t>号，</w:t>
      </w:r>
      <w:r>
        <w:rPr>
          <w:kern w:val="0"/>
        </w:rPr>
        <w:t>2013</w:t>
      </w:r>
      <w:r>
        <w:rPr>
          <w:rFonts w:hint="eastAsia"/>
          <w:kern w:val="0"/>
        </w:rPr>
        <w:t>年</w:t>
      </w:r>
      <w:r>
        <w:rPr>
          <w:kern w:val="0"/>
        </w:rPr>
        <w:t>9</w:t>
      </w:r>
      <w:r>
        <w:rPr>
          <w:rFonts w:hint="eastAsia"/>
          <w:kern w:val="0"/>
        </w:rPr>
        <w:t>月</w:t>
      </w:r>
      <w:r>
        <w:rPr>
          <w:kern w:val="0"/>
        </w:rPr>
        <w:t>13</w:t>
      </w:r>
      <w:r>
        <w:rPr>
          <w:rFonts w:hint="eastAsia"/>
          <w:kern w:val="0"/>
        </w:rPr>
        <w:t>日发布并实施）；</w:t>
      </w:r>
    </w:p>
    <w:p w14:paraId="0FDC409B">
      <w:pPr>
        <w:pStyle w:val="85"/>
        <w:ind w:firstLine="480"/>
        <w:rPr>
          <w:kern w:val="0"/>
        </w:rPr>
      </w:pPr>
      <w:r>
        <w:rPr>
          <w:rFonts w:hint="eastAsia"/>
          <w:kern w:val="0"/>
        </w:rPr>
        <w:t>（</w:t>
      </w:r>
      <w:r>
        <w:rPr>
          <w:kern w:val="0"/>
        </w:rPr>
        <w:t>20</w:t>
      </w:r>
      <w:r>
        <w:rPr>
          <w:rFonts w:hint="eastAsia"/>
          <w:kern w:val="0"/>
        </w:rPr>
        <w:t>）《产业结构调整指导目录</w:t>
      </w:r>
      <w:r>
        <w:rPr>
          <w:kern w:val="0"/>
        </w:rPr>
        <w:t>(2024</w:t>
      </w:r>
      <w:r>
        <w:rPr>
          <w:rFonts w:hint="eastAsia"/>
          <w:kern w:val="0"/>
        </w:rPr>
        <w:t>年本</w:t>
      </w:r>
      <w:r>
        <w:rPr>
          <w:kern w:val="0"/>
        </w:rPr>
        <w:t>)</w:t>
      </w:r>
      <w:r>
        <w:rPr>
          <w:rFonts w:hint="eastAsia"/>
          <w:kern w:val="0"/>
        </w:rPr>
        <w:t>》</w:t>
      </w:r>
      <w:r>
        <w:rPr>
          <w:kern w:val="0"/>
        </w:rPr>
        <w:t>(</w:t>
      </w:r>
      <w:r>
        <w:rPr>
          <w:rFonts w:hint="eastAsia"/>
          <w:kern w:val="0"/>
        </w:rPr>
        <w:t>国家发展改革委令第</w:t>
      </w:r>
      <w:r>
        <w:rPr>
          <w:kern w:val="0"/>
        </w:rPr>
        <w:t>7</w:t>
      </w:r>
      <w:r>
        <w:rPr>
          <w:rFonts w:hint="eastAsia"/>
          <w:kern w:val="0"/>
        </w:rPr>
        <w:t>号令，2023年12月27日发布，2024年2月1日实施</w:t>
      </w:r>
      <w:r>
        <w:rPr>
          <w:kern w:val="0"/>
        </w:rPr>
        <w:t>)</w:t>
      </w:r>
      <w:r>
        <w:rPr>
          <w:rFonts w:hint="eastAsia"/>
          <w:kern w:val="0"/>
        </w:rPr>
        <w:t>；</w:t>
      </w:r>
    </w:p>
    <w:p w14:paraId="0FA740D2">
      <w:pPr>
        <w:pStyle w:val="85"/>
        <w:ind w:firstLine="480"/>
        <w:rPr>
          <w:kern w:val="0"/>
        </w:rPr>
      </w:pPr>
      <w:r>
        <w:rPr>
          <w:rFonts w:hint="eastAsia"/>
          <w:kern w:val="0"/>
        </w:rPr>
        <w:t>（</w:t>
      </w:r>
      <w:r>
        <w:rPr>
          <w:kern w:val="0"/>
        </w:rPr>
        <w:t>21</w:t>
      </w:r>
      <w:r>
        <w:rPr>
          <w:rFonts w:hint="eastAsia"/>
          <w:kern w:val="0"/>
        </w:rPr>
        <w:t>）《关于切实加强风险防范严格环境影响评价管理的通知》（环发</w:t>
      </w:r>
      <w:r>
        <w:rPr>
          <w:kern w:val="0"/>
        </w:rPr>
        <w:t>[2012]98</w:t>
      </w:r>
      <w:r>
        <w:rPr>
          <w:rFonts w:hint="eastAsia"/>
          <w:kern w:val="0"/>
        </w:rPr>
        <w:t>号，</w:t>
      </w:r>
      <w:r>
        <w:rPr>
          <w:kern w:val="0"/>
        </w:rPr>
        <w:t>2012</w:t>
      </w:r>
      <w:r>
        <w:rPr>
          <w:rFonts w:hint="eastAsia"/>
          <w:kern w:val="0"/>
        </w:rPr>
        <w:t>年</w:t>
      </w:r>
      <w:r>
        <w:rPr>
          <w:kern w:val="0"/>
        </w:rPr>
        <w:t>8</w:t>
      </w:r>
      <w:r>
        <w:rPr>
          <w:rFonts w:hint="eastAsia"/>
          <w:kern w:val="0"/>
        </w:rPr>
        <w:t>月</w:t>
      </w:r>
      <w:r>
        <w:rPr>
          <w:kern w:val="0"/>
        </w:rPr>
        <w:t>8</w:t>
      </w:r>
      <w:r>
        <w:rPr>
          <w:rFonts w:hint="eastAsia"/>
          <w:kern w:val="0"/>
        </w:rPr>
        <w:t>日发布并实施）；</w:t>
      </w:r>
    </w:p>
    <w:p w14:paraId="1E6E68D8">
      <w:pPr>
        <w:pStyle w:val="85"/>
        <w:ind w:firstLine="480"/>
        <w:rPr>
          <w:kern w:val="0"/>
        </w:rPr>
      </w:pPr>
      <w:r>
        <w:rPr>
          <w:kern w:val="0"/>
        </w:rPr>
        <w:t>（22）</w:t>
      </w:r>
      <w:r>
        <w:rPr>
          <w:rFonts w:hint="eastAsia"/>
          <w:kern w:val="0"/>
        </w:rPr>
        <w:t>《关于进一步加强环境影响评价管理防范环境风险的通知》</w:t>
      </w:r>
      <w:r>
        <w:rPr>
          <w:kern w:val="0"/>
        </w:rPr>
        <w:t>(</w:t>
      </w:r>
      <w:r>
        <w:rPr>
          <w:rFonts w:hint="eastAsia"/>
          <w:kern w:val="0"/>
        </w:rPr>
        <w:t>环发</w:t>
      </w:r>
      <w:r>
        <w:rPr>
          <w:kern w:val="0"/>
        </w:rPr>
        <w:t>[2012]77</w:t>
      </w:r>
      <w:r>
        <w:rPr>
          <w:rFonts w:hint="eastAsia"/>
          <w:kern w:val="0"/>
        </w:rPr>
        <w:t>号，</w:t>
      </w:r>
      <w:r>
        <w:rPr>
          <w:kern w:val="0"/>
        </w:rPr>
        <w:t>2012</w:t>
      </w:r>
      <w:r>
        <w:rPr>
          <w:rFonts w:hint="eastAsia"/>
          <w:kern w:val="0"/>
        </w:rPr>
        <w:t>年</w:t>
      </w:r>
      <w:r>
        <w:rPr>
          <w:kern w:val="0"/>
        </w:rPr>
        <w:t>7</w:t>
      </w:r>
      <w:r>
        <w:rPr>
          <w:rFonts w:hint="eastAsia"/>
          <w:kern w:val="0"/>
        </w:rPr>
        <w:t>月</w:t>
      </w:r>
      <w:r>
        <w:rPr>
          <w:kern w:val="0"/>
        </w:rPr>
        <w:t>3</w:t>
      </w:r>
      <w:r>
        <w:rPr>
          <w:rFonts w:hint="eastAsia"/>
          <w:kern w:val="0"/>
        </w:rPr>
        <w:t>日发布并实施</w:t>
      </w:r>
      <w:r>
        <w:rPr>
          <w:kern w:val="0"/>
        </w:rPr>
        <w:t>)</w:t>
      </w:r>
      <w:r>
        <w:rPr>
          <w:rFonts w:hint="eastAsia"/>
          <w:kern w:val="0"/>
        </w:rPr>
        <w:t>；</w:t>
      </w:r>
    </w:p>
    <w:p w14:paraId="48D5885D">
      <w:pPr>
        <w:pStyle w:val="85"/>
        <w:ind w:firstLine="480"/>
        <w:rPr>
          <w:kern w:val="0"/>
        </w:rPr>
      </w:pPr>
      <w:r>
        <w:rPr>
          <w:rFonts w:hint="eastAsia"/>
          <w:kern w:val="0"/>
        </w:rPr>
        <w:t>（</w:t>
      </w:r>
      <w:r>
        <w:rPr>
          <w:kern w:val="0"/>
        </w:rPr>
        <w:t>23</w:t>
      </w:r>
      <w:r>
        <w:rPr>
          <w:rFonts w:hint="eastAsia"/>
          <w:kern w:val="0"/>
        </w:rPr>
        <w:t>）</w:t>
      </w:r>
      <w:r>
        <w:rPr>
          <w:kern w:val="0"/>
        </w:rPr>
        <w:t>《</w:t>
      </w:r>
      <w:r>
        <w:rPr>
          <w:rFonts w:hint="eastAsia"/>
          <w:kern w:val="0"/>
        </w:rPr>
        <w:t>关于生态环境领域进一步深化“放管服”改革，推动经济高质量发展的指导意见</w:t>
      </w:r>
      <w:r>
        <w:rPr>
          <w:kern w:val="0"/>
        </w:rPr>
        <w:t>》（</w:t>
      </w:r>
      <w:r>
        <w:rPr>
          <w:rFonts w:hint="eastAsia"/>
          <w:kern w:val="0"/>
        </w:rPr>
        <w:t>环规财[2018]86号</w:t>
      </w:r>
      <w:r>
        <w:rPr>
          <w:kern w:val="0"/>
        </w:rPr>
        <w:t>）</w:t>
      </w:r>
      <w:r>
        <w:rPr>
          <w:rFonts w:hint="eastAsia"/>
          <w:kern w:val="0"/>
        </w:rPr>
        <w:t>；</w:t>
      </w:r>
    </w:p>
    <w:p w14:paraId="122371FB">
      <w:pPr>
        <w:pStyle w:val="85"/>
        <w:ind w:firstLine="480"/>
        <w:rPr>
          <w:kern w:val="0"/>
        </w:rPr>
      </w:pPr>
      <w:r>
        <w:rPr>
          <w:rFonts w:hint="eastAsia"/>
          <w:kern w:val="0"/>
        </w:rPr>
        <w:t>（</w:t>
      </w:r>
      <w:r>
        <w:rPr>
          <w:kern w:val="0"/>
        </w:rPr>
        <w:t>24</w:t>
      </w:r>
      <w:r>
        <w:rPr>
          <w:rFonts w:hint="eastAsia"/>
          <w:kern w:val="0"/>
        </w:rPr>
        <w:t>）</w:t>
      </w:r>
      <w:r>
        <w:rPr>
          <w:kern w:val="0"/>
        </w:rPr>
        <w:t>《中共中央国务院关于深入打好污染防治攻坚战的意见》，2021年11月2日</w:t>
      </w:r>
      <w:r>
        <w:rPr>
          <w:rFonts w:hint="eastAsia"/>
          <w:kern w:val="0"/>
        </w:rPr>
        <w:t>；</w:t>
      </w:r>
    </w:p>
    <w:p w14:paraId="06C01628">
      <w:pPr>
        <w:pStyle w:val="85"/>
        <w:ind w:firstLine="480"/>
        <w:rPr>
          <w:kern w:val="0"/>
        </w:rPr>
      </w:pPr>
      <w:r>
        <w:rPr>
          <w:rFonts w:hint="eastAsia"/>
          <w:kern w:val="0"/>
        </w:rPr>
        <w:t>（</w:t>
      </w:r>
      <w:r>
        <w:rPr>
          <w:kern w:val="0"/>
        </w:rPr>
        <w:t>25</w:t>
      </w:r>
      <w:r>
        <w:rPr>
          <w:rFonts w:hint="eastAsia"/>
          <w:kern w:val="0"/>
        </w:rPr>
        <w:t>）</w:t>
      </w:r>
      <w:r>
        <w:rPr>
          <w:kern w:val="0"/>
        </w:rPr>
        <w:t>《</w:t>
      </w:r>
      <w:r>
        <w:rPr>
          <w:rFonts w:hint="eastAsia"/>
          <w:kern w:val="0"/>
        </w:rPr>
        <w:t>自然资源部办公厅关于北京等省（区、市）启用“三区三线”划定成果作为报批建设项目用地用海依据的函</w:t>
      </w:r>
      <w:r>
        <w:rPr>
          <w:kern w:val="0"/>
        </w:rPr>
        <w:t>》</w:t>
      </w:r>
      <w:r>
        <w:rPr>
          <w:rFonts w:hint="eastAsia"/>
          <w:kern w:val="0"/>
        </w:rPr>
        <w:t>（自然资办函，〔2022]2207号），2022年10月14日；</w:t>
      </w:r>
    </w:p>
    <w:p w14:paraId="59F2BF0F">
      <w:pPr>
        <w:pStyle w:val="85"/>
        <w:ind w:firstLine="480"/>
        <w:rPr>
          <w:kern w:val="0"/>
        </w:rPr>
      </w:pPr>
      <w:r>
        <w:rPr>
          <w:rFonts w:hint="eastAsia"/>
          <w:kern w:val="0"/>
        </w:rPr>
        <w:t>（2</w:t>
      </w:r>
      <w:r>
        <w:rPr>
          <w:kern w:val="0"/>
        </w:rPr>
        <w:t>6</w:t>
      </w:r>
      <w:r>
        <w:rPr>
          <w:rFonts w:hint="eastAsia"/>
          <w:kern w:val="0"/>
        </w:rPr>
        <w:t>）《国家重点保护野生动物名录》（国家林业和草原局农业农村部公告2021年第3号，2021年1月4日经国务院批准，2021年2月1日公布、施行）；</w:t>
      </w:r>
    </w:p>
    <w:p w14:paraId="500299D2">
      <w:pPr>
        <w:pStyle w:val="85"/>
        <w:ind w:firstLine="480"/>
        <w:rPr>
          <w:kern w:val="0"/>
        </w:rPr>
      </w:pPr>
      <w:r>
        <w:rPr>
          <w:rFonts w:hint="eastAsia"/>
          <w:kern w:val="0"/>
        </w:rPr>
        <w:t>（2</w:t>
      </w:r>
      <w:r>
        <w:rPr>
          <w:kern w:val="0"/>
        </w:rPr>
        <w:t>7</w:t>
      </w:r>
      <w:r>
        <w:rPr>
          <w:rFonts w:hint="eastAsia"/>
          <w:kern w:val="0"/>
        </w:rPr>
        <w:t>）《国家重点保护野生植物名录》（国家林业和草原局、农业农村部，2021年第15号，2021年9月7日公布、施行）；</w:t>
      </w:r>
    </w:p>
    <w:p w14:paraId="304FBACF">
      <w:pPr>
        <w:pStyle w:val="85"/>
        <w:ind w:firstLine="480"/>
        <w:rPr>
          <w:kern w:val="0"/>
        </w:rPr>
      </w:pPr>
      <w:r>
        <w:rPr>
          <w:rFonts w:hint="eastAsia"/>
          <w:kern w:val="0"/>
        </w:rPr>
        <w:t>（2</w:t>
      </w:r>
      <w:r>
        <w:rPr>
          <w:kern w:val="0"/>
        </w:rPr>
        <w:t>8</w:t>
      </w:r>
      <w:r>
        <w:rPr>
          <w:rFonts w:hint="eastAsia"/>
          <w:kern w:val="0"/>
        </w:rPr>
        <w:t>）《湿地保护管理规定》（国家林业局令第48号，2017年11月3日修改）；</w:t>
      </w:r>
    </w:p>
    <w:p w14:paraId="4A880468">
      <w:pPr>
        <w:pStyle w:val="85"/>
        <w:ind w:firstLine="480"/>
        <w:rPr>
          <w:kern w:val="0"/>
        </w:rPr>
      </w:pPr>
      <w:r>
        <w:rPr>
          <w:rFonts w:hint="eastAsia"/>
          <w:kern w:val="0"/>
        </w:rPr>
        <w:t>（</w:t>
      </w:r>
      <w:r>
        <w:rPr>
          <w:kern w:val="0"/>
        </w:rPr>
        <w:t>29</w:t>
      </w:r>
      <w:r>
        <w:rPr>
          <w:rFonts w:hint="eastAsia"/>
          <w:kern w:val="0"/>
        </w:rPr>
        <w:t>）《关于加强生态保护红线管理的通知（试行）》（自然资发[</w:t>
      </w:r>
      <w:r>
        <w:rPr>
          <w:kern w:val="0"/>
        </w:rPr>
        <w:t>2022]142</w:t>
      </w:r>
      <w:r>
        <w:rPr>
          <w:rFonts w:hint="eastAsia"/>
          <w:kern w:val="0"/>
        </w:rPr>
        <w:t>号）；</w:t>
      </w:r>
    </w:p>
    <w:p w14:paraId="137FDD6E">
      <w:pPr>
        <w:pStyle w:val="85"/>
        <w:ind w:firstLine="480"/>
        <w:rPr>
          <w:kern w:val="0"/>
        </w:rPr>
      </w:pPr>
      <w:r>
        <w:rPr>
          <w:rFonts w:hint="eastAsia"/>
          <w:kern w:val="0"/>
        </w:rPr>
        <w:t>（</w:t>
      </w:r>
      <w:r>
        <w:rPr>
          <w:kern w:val="0"/>
        </w:rPr>
        <w:t>30</w:t>
      </w:r>
      <w:r>
        <w:rPr>
          <w:rFonts w:hint="eastAsia"/>
          <w:kern w:val="0"/>
        </w:rPr>
        <w:t>）《关于加强资源环境生态红线管控的指导意见》（发改环资[2016]1162号）；</w:t>
      </w:r>
    </w:p>
    <w:p w14:paraId="31152B61">
      <w:pPr>
        <w:pStyle w:val="85"/>
        <w:ind w:firstLine="480"/>
        <w:rPr>
          <w:kern w:val="0"/>
        </w:rPr>
      </w:pPr>
      <w:r>
        <w:rPr>
          <w:rFonts w:hint="eastAsia"/>
          <w:kern w:val="0"/>
        </w:rPr>
        <w:t>（3</w:t>
      </w:r>
      <w:r>
        <w:rPr>
          <w:kern w:val="0"/>
        </w:rPr>
        <w:t>1</w:t>
      </w:r>
      <w:r>
        <w:rPr>
          <w:rFonts w:hint="eastAsia"/>
          <w:kern w:val="0"/>
        </w:rPr>
        <w:t>）《中共中央办公厅 国务院办公厅关于加强生态环境分区管控的意见》（2024年3月6日）。</w:t>
      </w:r>
    </w:p>
    <w:p w14:paraId="42DD287C">
      <w:pPr>
        <w:pStyle w:val="5"/>
        <w:rPr>
          <w:kern w:val="0"/>
        </w:rPr>
      </w:pPr>
      <w:r>
        <w:rPr>
          <w:rFonts w:hint="eastAsia"/>
          <w:kern w:val="0"/>
        </w:rPr>
        <w:t>地方环境保护法规和规章</w:t>
      </w:r>
    </w:p>
    <w:p w14:paraId="3966E893">
      <w:pPr>
        <w:pStyle w:val="85"/>
        <w:ind w:firstLine="480"/>
        <w:rPr>
          <w:kern w:val="0"/>
        </w:rPr>
      </w:pPr>
      <w:r>
        <w:rPr>
          <w:rFonts w:hint="eastAsia"/>
          <w:kern w:val="0"/>
        </w:rPr>
        <w:t>（1）《河北省生态环境保护条例》（河北省第十三届人大常委会第十六次会议通过，2020年3月27日发布）；</w:t>
      </w:r>
    </w:p>
    <w:p w14:paraId="0E98838C">
      <w:pPr>
        <w:pStyle w:val="85"/>
        <w:ind w:firstLine="480"/>
        <w:rPr>
          <w:kern w:val="0"/>
        </w:rPr>
      </w:pPr>
      <w:r>
        <w:rPr>
          <w:rFonts w:hint="eastAsia"/>
          <w:kern w:val="0"/>
        </w:rPr>
        <w:t>（</w:t>
      </w:r>
      <w:r>
        <w:rPr>
          <w:kern w:val="0"/>
        </w:rPr>
        <w:t>2</w:t>
      </w:r>
      <w:r>
        <w:rPr>
          <w:rFonts w:hint="eastAsia"/>
          <w:kern w:val="0"/>
        </w:rPr>
        <w:t>）《中共河北省委、河北省人民政府关于强力推进大气污染综合治理的意见》(冀发[2017]7号，2017年3月30日发布并实施)；</w:t>
      </w:r>
    </w:p>
    <w:p w14:paraId="42ED36EA">
      <w:pPr>
        <w:pStyle w:val="85"/>
        <w:ind w:firstLine="480"/>
        <w:rPr>
          <w:kern w:val="0"/>
        </w:rPr>
      </w:pPr>
      <w:r>
        <w:rPr>
          <w:rFonts w:hint="eastAsia"/>
          <w:kern w:val="0"/>
        </w:rPr>
        <w:t>（</w:t>
      </w:r>
      <w:r>
        <w:rPr>
          <w:kern w:val="0"/>
        </w:rPr>
        <w:t>3</w:t>
      </w:r>
      <w:r>
        <w:rPr>
          <w:rFonts w:hint="eastAsia"/>
          <w:kern w:val="0"/>
        </w:rPr>
        <w:t>）《河北省水污染防治工作方案》</w:t>
      </w:r>
      <w:r>
        <w:rPr>
          <w:kern w:val="0"/>
        </w:rPr>
        <w:t>(</w:t>
      </w:r>
      <w:r>
        <w:rPr>
          <w:rFonts w:hint="eastAsia"/>
          <w:kern w:val="0"/>
        </w:rPr>
        <w:t>河北省人民政府，</w:t>
      </w:r>
      <w:r>
        <w:rPr>
          <w:kern w:val="0"/>
        </w:rPr>
        <w:t>2016</w:t>
      </w:r>
      <w:r>
        <w:rPr>
          <w:rFonts w:hint="eastAsia"/>
          <w:kern w:val="0"/>
        </w:rPr>
        <w:t>年</w:t>
      </w:r>
      <w:r>
        <w:rPr>
          <w:kern w:val="0"/>
        </w:rPr>
        <w:t>2</w:t>
      </w:r>
      <w:r>
        <w:rPr>
          <w:rFonts w:hint="eastAsia"/>
          <w:kern w:val="0"/>
        </w:rPr>
        <w:t>月</w:t>
      </w:r>
      <w:r>
        <w:rPr>
          <w:kern w:val="0"/>
        </w:rPr>
        <w:t>19</w:t>
      </w:r>
      <w:r>
        <w:rPr>
          <w:rFonts w:hint="eastAsia"/>
          <w:kern w:val="0"/>
        </w:rPr>
        <w:t>日发布并实施</w:t>
      </w:r>
      <w:r>
        <w:rPr>
          <w:kern w:val="0"/>
        </w:rPr>
        <w:t>)</w:t>
      </w:r>
      <w:r>
        <w:rPr>
          <w:rFonts w:hint="eastAsia"/>
          <w:kern w:val="0"/>
        </w:rPr>
        <w:t>；</w:t>
      </w:r>
    </w:p>
    <w:p w14:paraId="216076B7">
      <w:pPr>
        <w:pStyle w:val="85"/>
        <w:ind w:firstLine="480"/>
        <w:rPr>
          <w:kern w:val="0"/>
        </w:rPr>
      </w:pPr>
      <w:r>
        <w:rPr>
          <w:rFonts w:hint="eastAsia"/>
          <w:kern w:val="0"/>
        </w:rPr>
        <w:t>（</w:t>
      </w:r>
      <w:r>
        <w:rPr>
          <w:kern w:val="0"/>
        </w:rPr>
        <w:t>4</w:t>
      </w:r>
      <w:r>
        <w:rPr>
          <w:rFonts w:hint="eastAsia"/>
          <w:kern w:val="0"/>
        </w:rPr>
        <w:t>）《河北省大气污染防治条例》（河北省第十二届人民代表大会第四次会议通过，</w:t>
      </w:r>
      <w:r>
        <w:rPr>
          <w:kern w:val="0"/>
        </w:rPr>
        <w:t>2016</w:t>
      </w:r>
      <w:r>
        <w:rPr>
          <w:rFonts w:hint="eastAsia"/>
          <w:kern w:val="0"/>
        </w:rPr>
        <w:t>年</w:t>
      </w:r>
      <w:r>
        <w:rPr>
          <w:kern w:val="0"/>
        </w:rPr>
        <w:t>1</w:t>
      </w:r>
      <w:r>
        <w:rPr>
          <w:rFonts w:hint="eastAsia"/>
          <w:kern w:val="0"/>
        </w:rPr>
        <w:t>月</w:t>
      </w:r>
      <w:r>
        <w:rPr>
          <w:kern w:val="0"/>
        </w:rPr>
        <w:t>13</w:t>
      </w:r>
      <w:r>
        <w:rPr>
          <w:rFonts w:hint="eastAsia"/>
          <w:kern w:val="0"/>
        </w:rPr>
        <w:t>日发布，</w:t>
      </w:r>
      <w:r>
        <w:rPr>
          <w:kern w:val="0"/>
        </w:rPr>
        <w:t>2016</w:t>
      </w:r>
      <w:r>
        <w:rPr>
          <w:rFonts w:hint="eastAsia"/>
          <w:kern w:val="0"/>
        </w:rPr>
        <w:t>年</w:t>
      </w:r>
      <w:r>
        <w:rPr>
          <w:kern w:val="0"/>
        </w:rPr>
        <w:t>3</w:t>
      </w:r>
      <w:r>
        <w:rPr>
          <w:rFonts w:hint="eastAsia"/>
          <w:kern w:val="0"/>
        </w:rPr>
        <w:t>月</w:t>
      </w:r>
      <w:r>
        <w:rPr>
          <w:kern w:val="0"/>
        </w:rPr>
        <w:t>1</w:t>
      </w:r>
      <w:r>
        <w:rPr>
          <w:rFonts w:hint="eastAsia"/>
          <w:kern w:val="0"/>
        </w:rPr>
        <w:t>日实施）；</w:t>
      </w:r>
    </w:p>
    <w:p w14:paraId="0CB71DCE">
      <w:pPr>
        <w:pStyle w:val="85"/>
        <w:ind w:firstLine="480"/>
        <w:rPr>
          <w:kern w:val="0"/>
        </w:rPr>
      </w:pPr>
      <w:r>
        <w:rPr>
          <w:rFonts w:hint="eastAsia"/>
          <w:kern w:val="0"/>
        </w:rPr>
        <w:t>（</w:t>
      </w:r>
      <w:r>
        <w:rPr>
          <w:kern w:val="0"/>
        </w:rPr>
        <w:t>5</w:t>
      </w:r>
      <w:r>
        <w:rPr>
          <w:rFonts w:hint="eastAsia"/>
          <w:kern w:val="0"/>
        </w:rPr>
        <w:t>）《河北省固体废物污染环境防治条例》</w:t>
      </w:r>
      <w:r>
        <w:rPr>
          <w:kern w:val="0"/>
        </w:rPr>
        <w:t>(</w:t>
      </w:r>
      <w:r>
        <w:rPr>
          <w:rFonts w:hint="eastAsia"/>
          <w:kern w:val="0"/>
        </w:rPr>
        <w:t>河北省第十二届人大常委会第十四次会议，</w:t>
      </w:r>
      <w:r>
        <w:rPr>
          <w:kern w:val="0"/>
        </w:rPr>
        <w:t>2015</w:t>
      </w:r>
      <w:r>
        <w:rPr>
          <w:rFonts w:hint="eastAsia"/>
          <w:kern w:val="0"/>
        </w:rPr>
        <w:t>年</w:t>
      </w:r>
      <w:r>
        <w:rPr>
          <w:kern w:val="0"/>
        </w:rPr>
        <w:t>3</w:t>
      </w:r>
      <w:r>
        <w:rPr>
          <w:rFonts w:hint="eastAsia"/>
          <w:kern w:val="0"/>
        </w:rPr>
        <w:t>月</w:t>
      </w:r>
      <w:r>
        <w:rPr>
          <w:kern w:val="0"/>
        </w:rPr>
        <w:t>26</w:t>
      </w:r>
      <w:r>
        <w:rPr>
          <w:rFonts w:hint="eastAsia"/>
          <w:kern w:val="0"/>
        </w:rPr>
        <w:t>日发布并实施</w:t>
      </w:r>
      <w:r>
        <w:rPr>
          <w:kern w:val="0"/>
        </w:rPr>
        <w:t>)</w:t>
      </w:r>
      <w:r>
        <w:rPr>
          <w:rFonts w:hint="eastAsia"/>
          <w:kern w:val="0"/>
        </w:rPr>
        <w:t>；</w:t>
      </w:r>
    </w:p>
    <w:p w14:paraId="40B09EC5">
      <w:pPr>
        <w:pStyle w:val="85"/>
        <w:ind w:firstLine="480"/>
        <w:rPr>
          <w:kern w:val="0"/>
        </w:rPr>
      </w:pPr>
      <w:r>
        <w:rPr>
          <w:rFonts w:hint="eastAsia"/>
          <w:kern w:val="0"/>
        </w:rPr>
        <w:t>（</w:t>
      </w:r>
      <w:r>
        <w:rPr>
          <w:kern w:val="0"/>
        </w:rPr>
        <w:t>6</w:t>
      </w:r>
      <w:r>
        <w:rPr>
          <w:rFonts w:hint="eastAsia"/>
          <w:kern w:val="0"/>
        </w:rPr>
        <w:t>）《河北省地下水管理条例》</w:t>
      </w:r>
      <w:r>
        <w:rPr>
          <w:kern w:val="0"/>
        </w:rPr>
        <w:t>(</w:t>
      </w:r>
      <w:r>
        <w:rPr>
          <w:rFonts w:hint="eastAsia"/>
          <w:kern w:val="0"/>
        </w:rPr>
        <w:t>河北省第十二届人大常委会第十一次会议，</w:t>
      </w:r>
      <w:r>
        <w:rPr>
          <w:kern w:val="0"/>
        </w:rPr>
        <w:t>2014</w:t>
      </w:r>
      <w:r>
        <w:rPr>
          <w:rFonts w:hint="eastAsia"/>
          <w:kern w:val="0"/>
        </w:rPr>
        <w:t>年</w:t>
      </w:r>
      <w:r>
        <w:rPr>
          <w:kern w:val="0"/>
        </w:rPr>
        <w:t>11</w:t>
      </w:r>
      <w:r>
        <w:rPr>
          <w:rFonts w:hint="eastAsia"/>
          <w:kern w:val="0"/>
        </w:rPr>
        <w:t>月</w:t>
      </w:r>
      <w:r>
        <w:rPr>
          <w:kern w:val="0"/>
        </w:rPr>
        <w:t>28</w:t>
      </w:r>
      <w:r>
        <w:rPr>
          <w:rFonts w:hint="eastAsia"/>
          <w:kern w:val="0"/>
        </w:rPr>
        <w:t>日发布，</w:t>
      </w:r>
      <w:r>
        <w:rPr>
          <w:kern w:val="0"/>
        </w:rPr>
        <w:t>2015</w:t>
      </w:r>
      <w:r>
        <w:rPr>
          <w:rFonts w:hint="eastAsia"/>
          <w:kern w:val="0"/>
        </w:rPr>
        <w:t>年</w:t>
      </w:r>
      <w:r>
        <w:rPr>
          <w:kern w:val="0"/>
        </w:rPr>
        <w:t>3</w:t>
      </w:r>
      <w:r>
        <w:rPr>
          <w:rFonts w:hint="eastAsia"/>
          <w:kern w:val="0"/>
        </w:rPr>
        <w:t>月</w:t>
      </w:r>
      <w:r>
        <w:rPr>
          <w:kern w:val="0"/>
        </w:rPr>
        <w:t>1</w:t>
      </w:r>
      <w:r>
        <w:rPr>
          <w:rFonts w:hint="eastAsia"/>
          <w:kern w:val="0"/>
        </w:rPr>
        <w:t>日实施</w:t>
      </w:r>
      <w:r>
        <w:rPr>
          <w:kern w:val="0"/>
        </w:rPr>
        <w:t>)</w:t>
      </w:r>
      <w:r>
        <w:rPr>
          <w:rFonts w:hint="eastAsia"/>
          <w:kern w:val="0"/>
        </w:rPr>
        <w:t>；</w:t>
      </w:r>
    </w:p>
    <w:p w14:paraId="52C7BF8F">
      <w:pPr>
        <w:pStyle w:val="85"/>
        <w:ind w:firstLine="480"/>
        <w:rPr>
          <w:kern w:val="0"/>
        </w:rPr>
      </w:pPr>
      <w:r>
        <w:rPr>
          <w:rFonts w:hint="eastAsia"/>
          <w:kern w:val="0"/>
        </w:rPr>
        <w:t>（</w:t>
      </w:r>
      <w:r>
        <w:rPr>
          <w:kern w:val="0"/>
        </w:rPr>
        <w:t>7</w:t>
      </w:r>
      <w:r>
        <w:rPr>
          <w:rFonts w:hint="eastAsia"/>
          <w:kern w:val="0"/>
        </w:rPr>
        <w:t>）《关于印发</w:t>
      </w:r>
      <w:r>
        <w:rPr>
          <w:kern w:val="0"/>
        </w:rPr>
        <w:t>&lt;</w:t>
      </w:r>
      <w:r>
        <w:rPr>
          <w:rFonts w:hint="eastAsia"/>
          <w:kern w:val="0"/>
        </w:rPr>
        <w:t>河北省大气污染防治行动计划实施方案</w:t>
      </w:r>
      <w:r>
        <w:rPr>
          <w:kern w:val="0"/>
        </w:rPr>
        <w:t>&gt;</w:t>
      </w:r>
      <w:r>
        <w:rPr>
          <w:rFonts w:hint="eastAsia"/>
          <w:kern w:val="0"/>
        </w:rPr>
        <w:t>的通知》（中共河北省委、河北省人民政府，</w:t>
      </w:r>
      <w:r>
        <w:rPr>
          <w:kern w:val="0"/>
        </w:rPr>
        <w:t>2013</w:t>
      </w:r>
      <w:r>
        <w:rPr>
          <w:rFonts w:hint="eastAsia"/>
          <w:kern w:val="0"/>
        </w:rPr>
        <w:t>年</w:t>
      </w:r>
      <w:r>
        <w:rPr>
          <w:kern w:val="0"/>
        </w:rPr>
        <w:t>9</w:t>
      </w:r>
      <w:r>
        <w:rPr>
          <w:rFonts w:hint="eastAsia"/>
          <w:kern w:val="0"/>
        </w:rPr>
        <w:t>月</w:t>
      </w:r>
      <w:r>
        <w:rPr>
          <w:kern w:val="0"/>
        </w:rPr>
        <w:t>6</w:t>
      </w:r>
      <w:r>
        <w:rPr>
          <w:rFonts w:hint="eastAsia"/>
          <w:kern w:val="0"/>
        </w:rPr>
        <w:t>日发布并实施）；</w:t>
      </w:r>
    </w:p>
    <w:p w14:paraId="540CC28A">
      <w:pPr>
        <w:pStyle w:val="85"/>
        <w:ind w:firstLine="480"/>
        <w:rPr>
          <w:kern w:val="0"/>
        </w:rPr>
      </w:pPr>
      <w:r>
        <w:rPr>
          <w:rFonts w:hint="eastAsia"/>
          <w:kern w:val="0"/>
        </w:rPr>
        <w:t>（</w:t>
      </w:r>
      <w:r>
        <w:rPr>
          <w:kern w:val="0"/>
        </w:rPr>
        <w:t>8</w:t>
      </w:r>
      <w:r>
        <w:rPr>
          <w:rFonts w:hint="eastAsia"/>
          <w:kern w:val="0"/>
        </w:rPr>
        <w:t>）《河北省扬尘污染防治办法》</w:t>
      </w:r>
      <w:r>
        <w:rPr>
          <w:kern w:val="0"/>
        </w:rPr>
        <w:t>(</w:t>
      </w:r>
      <w:r>
        <w:rPr>
          <w:rFonts w:hint="eastAsia"/>
          <w:kern w:val="0"/>
        </w:rPr>
        <w:t>河北省人民政府令</w:t>
      </w:r>
      <w:r>
        <w:rPr>
          <w:kern w:val="0"/>
        </w:rPr>
        <w:t>[2020]</w:t>
      </w:r>
      <w:r>
        <w:rPr>
          <w:rFonts w:hint="eastAsia"/>
          <w:kern w:val="0"/>
        </w:rPr>
        <w:t>第</w:t>
      </w:r>
      <w:r>
        <w:rPr>
          <w:kern w:val="0"/>
        </w:rPr>
        <w:t>1</w:t>
      </w:r>
      <w:r>
        <w:rPr>
          <w:rFonts w:hint="eastAsia"/>
          <w:kern w:val="0"/>
        </w:rPr>
        <w:t>号</w:t>
      </w:r>
      <w:r>
        <w:rPr>
          <w:kern w:val="0"/>
        </w:rPr>
        <w:t>)</w:t>
      </w:r>
      <w:r>
        <w:rPr>
          <w:rFonts w:hint="eastAsia"/>
          <w:kern w:val="0"/>
        </w:rPr>
        <w:t>；</w:t>
      </w:r>
    </w:p>
    <w:p w14:paraId="3ACDB396">
      <w:pPr>
        <w:pStyle w:val="85"/>
        <w:ind w:firstLine="480"/>
        <w:rPr>
          <w:kern w:val="0"/>
        </w:rPr>
      </w:pPr>
      <w:r>
        <w:rPr>
          <w:rFonts w:hint="eastAsia"/>
          <w:kern w:val="0"/>
        </w:rPr>
        <w:t>（</w:t>
      </w:r>
      <w:r>
        <w:rPr>
          <w:kern w:val="0"/>
        </w:rPr>
        <w:t>9</w:t>
      </w:r>
      <w:r>
        <w:rPr>
          <w:rFonts w:hint="eastAsia"/>
          <w:kern w:val="0"/>
        </w:rPr>
        <w:t>）《关于印发</w:t>
      </w:r>
      <w:r>
        <w:rPr>
          <w:kern w:val="0"/>
        </w:rPr>
        <w:t>&lt;</w:t>
      </w:r>
      <w:r>
        <w:rPr>
          <w:rFonts w:hint="eastAsia"/>
          <w:kern w:val="0"/>
        </w:rPr>
        <w:t>建设项目环境影响评价文件审批及建设单位自主开展环境保护设施验收工作指引</w:t>
      </w:r>
      <w:r>
        <w:rPr>
          <w:kern w:val="0"/>
        </w:rPr>
        <w:t>(</w:t>
      </w:r>
      <w:r>
        <w:rPr>
          <w:rFonts w:hint="eastAsia"/>
          <w:kern w:val="0"/>
        </w:rPr>
        <w:t>试行</w:t>
      </w:r>
      <w:r>
        <w:rPr>
          <w:kern w:val="0"/>
        </w:rPr>
        <w:t>)&gt;</w:t>
      </w:r>
      <w:r>
        <w:rPr>
          <w:rFonts w:hint="eastAsia"/>
          <w:kern w:val="0"/>
        </w:rPr>
        <w:t>的通知》</w:t>
      </w:r>
      <w:r>
        <w:rPr>
          <w:kern w:val="0"/>
        </w:rPr>
        <w:t>(</w:t>
      </w:r>
      <w:r>
        <w:rPr>
          <w:rFonts w:hint="eastAsia"/>
          <w:kern w:val="0"/>
        </w:rPr>
        <w:t>冀环办字函</w:t>
      </w:r>
      <w:r>
        <w:rPr>
          <w:kern w:val="0"/>
        </w:rPr>
        <w:t>[2017]727</w:t>
      </w:r>
      <w:r>
        <w:rPr>
          <w:rFonts w:hint="eastAsia"/>
          <w:kern w:val="0"/>
        </w:rPr>
        <w:t>号，</w:t>
      </w:r>
      <w:r>
        <w:rPr>
          <w:kern w:val="0"/>
        </w:rPr>
        <w:t>2017</w:t>
      </w:r>
      <w:r>
        <w:rPr>
          <w:rFonts w:hint="eastAsia"/>
          <w:kern w:val="0"/>
        </w:rPr>
        <w:t>年</w:t>
      </w:r>
      <w:r>
        <w:rPr>
          <w:kern w:val="0"/>
        </w:rPr>
        <w:t>11</w:t>
      </w:r>
      <w:r>
        <w:rPr>
          <w:rFonts w:hint="eastAsia"/>
          <w:kern w:val="0"/>
        </w:rPr>
        <w:t>月</w:t>
      </w:r>
      <w:r>
        <w:rPr>
          <w:kern w:val="0"/>
        </w:rPr>
        <w:t>23</w:t>
      </w:r>
      <w:r>
        <w:rPr>
          <w:rFonts w:hint="eastAsia"/>
          <w:kern w:val="0"/>
        </w:rPr>
        <w:t>日发布并实施</w:t>
      </w:r>
      <w:r>
        <w:rPr>
          <w:kern w:val="0"/>
        </w:rPr>
        <w:t>)</w:t>
      </w:r>
      <w:r>
        <w:rPr>
          <w:rFonts w:hint="eastAsia"/>
          <w:kern w:val="0"/>
        </w:rPr>
        <w:t>；</w:t>
      </w:r>
    </w:p>
    <w:p w14:paraId="006F435C">
      <w:pPr>
        <w:pStyle w:val="85"/>
        <w:ind w:firstLine="480"/>
        <w:rPr>
          <w:kern w:val="0"/>
        </w:rPr>
      </w:pPr>
      <w:r>
        <w:rPr>
          <w:rFonts w:hint="eastAsia"/>
          <w:kern w:val="0"/>
        </w:rPr>
        <w:t>（</w:t>
      </w:r>
      <w:r>
        <w:rPr>
          <w:kern w:val="0"/>
        </w:rPr>
        <w:t>10</w:t>
      </w:r>
      <w:r>
        <w:rPr>
          <w:rFonts w:hint="eastAsia"/>
          <w:kern w:val="0"/>
        </w:rPr>
        <w:t>）《河北省水污染防治条例》</w:t>
      </w:r>
      <w:r>
        <w:rPr>
          <w:kern w:val="0"/>
        </w:rPr>
        <w:t>(</w:t>
      </w:r>
      <w:r>
        <w:rPr>
          <w:rFonts w:hint="eastAsia"/>
          <w:kern w:val="0"/>
        </w:rPr>
        <w:t>河北省第十三届人民代表大会第三次会议通过，</w:t>
      </w:r>
      <w:r>
        <w:rPr>
          <w:kern w:val="0"/>
        </w:rPr>
        <w:t>2018</w:t>
      </w:r>
      <w:r>
        <w:rPr>
          <w:rFonts w:hint="eastAsia"/>
          <w:kern w:val="0"/>
        </w:rPr>
        <w:t>年</w:t>
      </w:r>
      <w:r>
        <w:rPr>
          <w:kern w:val="0"/>
        </w:rPr>
        <w:t>6</w:t>
      </w:r>
      <w:r>
        <w:rPr>
          <w:rFonts w:hint="eastAsia"/>
          <w:kern w:val="0"/>
        </w:rPr>
        <w:t>月</w:t>
      </w:r>
      <w:r>
        <w:rPr>
          <w:kern w:val="0"/>
        </w:rPr>
        <w:t>1</w:t>
      </w:r>
      <w:r>
        <w:rPr>
          <w:rFonts w:hint="eastAsia"/>
          <w:kern w:val="0"/>
        </w:rPr>
        <w:t>日发布，</w:t>
      </w:r>
      <w:r>
        <w:rPr>
          <w:kern w:val="0"/>
        </w:rPr>
        <w:t>2018</w:t>
      </w:r>
      <w:r>
        <w:rPr>
          <w:rFonts w:hint="eastAsia"/>
          <w:kern w:val="0"/>
        </w:rPr>
        <w:t>年</w:t>
      </w:r>
      <w:r>
        <w:rPr>
          <w:kern w:val="0"/>
        </w:rPr>
        <w:t>9</w:t>
      </w:r>
      <w:r>
        <w:rPr>
          <w:rFonts w:hint="eastAsia"/>
          <w:kern w:val="0"/>
        </w:rPr>
        <w:t>月</w:t>
      </w:r>
      <w:r>
        <w:rPr>
          <w:kern w:val="0"/>
        </w:rPr>
        <w:t>1</w:t>
      </w:r>
      <w:r>
        <w:rPr>
          <w:rFonts w:hint="eastAsia"/>
          <w:kern w:val="0"/>
        </w:rPr>
        <w:t>日实施</w:t>
      </w:r>
      <w:r>
        <w:rPr>
          <w:kern w:val="0"/>
        </w:rPr>
        <w:t>)</w:t>
      </w:r>
      <w:r>
        <w:rPr>
          <w:rFonts w:hint="eastAsia"/>
          <w:kern w:val="0"/>
        </w:rPr>
        <w:t>；</w:t>
      </w:r>
    </w:p>
    <w:p w14:paraId="7B5F36D6">
      <w:pPr>
        <w:pStyle w:val="85"/>
        <w:ind w:firstLine="480"/>
        <w:rPr>
          <w:kern w:val="0"/>
        </w:rPr>
      </w:pPr>
      <w:r>
        <w:rPr>
          <w:rFonts w:hint="eastAsia"/>
          <w:kern w:val="0"/>
        </w:rPr>
        <w:t>（</w:t>
      </w:r>
      <w:r>
        <w:rPr>
          <w:kern w:val="0"/>
        </w:rPr>
        <w:t>11</w:t>
      </w:r>
      <w:r>
        <w:rPr>
          <w:rFonts w:hint="eastAsia"/>
          <w:kern w:val="0"/>
        </w:rPr>
        <w:t>）《关于加强重要生态功能区及周边区域环境管理工作的通知》（[2020]407号，河北省生态环境厅，</w:t>
      </w:r>
      <w:r>
        <w:rPr>
          <w:kern w:val="0"/>
        </w:rPr>
        <w:t>2020</w:t>
      </w:r>
      <w:r>
        <w:rPr>
          <w:rFonts w:hint="eastAsia"/>
          <w:kern w:val="0"/>
        </w:rPr>
        <w:t>年</w:t>
      </w:r>
      <w:r>
        <w:rPr>
          <w:kern w:val="0"/>
        </w:rPr>
        <w:t>10</w:t>
      </w:r>
      <w:r>
        <w:rPr>
          <w:rFonts w:hint="eastAsia"/>
          <w:kern w:val="0"/>
        </w:rPr>
        <w:t>月</w:t>
      </w:r>
      <w:r>
        <w:rPr>
          <w:kern w:val="0"/>
        </w:rPr>
        <w:t>19</w:t>
      </w:r>
      <w:r>
        <w:rPr>
          <w:rFonts w:hint="eastAsia"/>
          <w:kern w:val="0"/>
        </w:rPr>
        <w:t>日）；</w:t>
      </w:r>
    </w:p>
    <w:p w14:paraId="7EBCC124">
      <w:pPr>
        <w:pStyle w:val="85"/>
        <w:ind w:firstLine="480"/>
        <w:rPr>
          <w:kern w:val="0"/>
        </w:rPr>
      </w:pPr>
      <w:r>
        <w:rPr>
          <w:rFonts w:hint="eastAsia"/>
          <w:kern w:val="0"/>
        </w:rPr>
        <w:t>（</w:t>
      </w:r>
      <w:r>
        <w:rPr>
          <w:kern w:val="0"/>
        </w:rPr>
        <w:t>12</w:t>
      </w:r>
      <w:r>
        <w:rPr>
          <w:rFonts w:hint="eastAsia"/>
          <w:kern w:val="0"/>
        </w:rPr>
        <w:t>）《关于印发&lt;河北省2024年建筑施工扬尘污染防治工作方案</w:t>
      </w:r>
      <w:r>
        <w:rPr>
          <w:kern w:val="0"/>
        </w:rPr>
        <w:t>&gt;</w:t>
      </w:r>
      <w:r>
        <w:rPr>
          <w:rFonts w:hint="eastAsia"/>
          <w:kern w:val="0"/>
        </w:rPr>
        <w:t>的通知》（冀建质安函﹝202</w:t>
      </w:r>
      <w:r>
        <w:rPr>
          <w:kern w:val="0"/>
        </w:rPr>
        <w:t>4</w:t>
      </w:r>
      <w:r>
        <w:rPr>
          <w:rFonts w:hint="eastAsia"/>
          <w:kern w:val="0"/>
        </w:rPr>
        <w:t>﹞1</w:t>
      </w:r>
      <w:r>
        <w:rPr>
          <w:kern w:val="0"/>
        </w:rPr>
        <w:t>15</w:t>
      </w:r>
      <w:r>
        <w:rPr>
          <w:rFonts w:hint="eastAsia"/>
          <w:kern w:val="0"/>
        </w:rPr>
        <w:t>号）；</w:t>
      </w:r>
    </w:p>
    <w:p w14:paraId="2A4A7672">
      <w:pPr>
        <w:pStyle w:val="85"/>
        <w:ind w:firstLine="480"/>
        <w:rPr>
          <w:kern w:val="0"/>
        </w:rPr>
      </w:pPr>
      <w:r>
        <w:rPr>
          <w:rFonts w:hint="eastAsia"/>
          <w:kern w:val="0"/>
        </w:rPr>
        <w:t>（</w:t>
      </w:r>
      <w:r>
        <w:rPr>
          <w:kern w:val="0"/>
        </w:rPr>
        <w:t>13</w:t>
      </w:r>
      <w:r>
        <w:rPr>
          <w:rFonts w:hint="eastAsia"/>
          <w:kern w:val="0"/>
        </w:rPr>
        <w:t>）《河北省人民代表大会常务委员会关于加强扬尘污染防治的决定》（2018年11月1日起施行）；</w:t>
      </w:r>
    </w:p>
    <w:p w14:paraId="05AEAA57">
      <w:pPr>
        <w:pStyle w:val="85"/>
        <w:ind w:firstLine="480"/>
        <w:rPr>
          <w:kern w:val="0"/>
        </w:rPr>
      </w:pPr>
      <w:r>
        <w:rPr>
          <w:rFonts w:hint="eastAsia"/>
          <w:kern w:val="0"/>
        </w:rPr>
        <w:t>（</w:t>
      </w:r>
      <w:r>
        <w:rPr>
          <w:kern w:val="0"/>
        </w:rPr>
        <w:t>14</w:t>
      </w:r>
      <w:r>
        <w:rPr>
          <w:rFonts w:hint="eastAsia"/>
          <w:kern w:val="0"/>
        </w:rPr>
        <w:t>）《关于调整公布</w:t>
      </w:r>
      <w:r>
        <w:rPr>
          <w:kern w:val="0"/>
        </w:rPr>
        <w:t>&lt;</w:t>
      </w:r>
      <w:r>
        <w:rPr>
          <w:rFonts w:hint="eastAsia"/>
          <w:kern w:val="0"/>
        </w:rPr>
        <w:t>河北省水功能区划</w:t>
      </w:r>
      <w:r>
        <w:rPr>
          <w:kern w:val="0"/>
        </w:rPr>
        <w:t>&gt;</w:t>
      </w:r>
      <w:r>
        <w:rPr>
          <w:rFonts w:hint="eastAsia"/>
          <w:kern w:val="0"/>
        </w:rPr>
        <w:t>的通知》（冀水资</w:t>
      </w:r>
      <w:r>
        <w:rPr>
          <w:kern w:val="0"/>
        </w:rPr>
        <w:t>[2017]127</w:t>
      </w:r>
      <w:r>
        <w:rPr>
          <w:rFonts w:hint="eastAsia"/>
          <w:kern w:val="0"/>
        </w:rPr>
        <w:t>号，</w:t>
      </w:r>
      <w:r>
        <w:rPr>
          <w:kern w:val="0"/>
        </w:rPr>
        <w:t>2017</w:t>
      </w:r>
      <w:r>
        <w:rPr>
          <w:rFonts w:hint="eastAsia"/>
          <w:kern w:val="0"/>
        </w:rPr>
        <w:t>年</w:t>
      </w:r>
      <w:r>
        <w:rPr>
          <w:kern w:val="0"/>
        </w:rPr>
        <w:t>11</w:t>
      </w:r>
      <w:r>
        <w:rPr>
          <w:rFonts w:hint="eastAsia"/>
          <w:kern w:val="0"/>
        </w:rPr>
        <w:t>月</w:t>
      </w:r>
      <w:r>
        <w:rPr>
          <w:kern w:val="0"/>
        </w:rPr>
        <w:t>30</w:t>
      </w:r>
      <w:r>
        <w:rPr>
          <w:rFonts w:hint="eastAsia"/>
          <w:kern w:val="0"/>
        </w:rPr>
        <w:t>日发布并实施）；</w:t>
      </w:r>
    </w:p>
    <w:p w14:paraId="7005BAE5">
      <w:pPr>
        <w:pStyle w:val="85"/>
        <w:ind w:firstLine="480"/>
        <w:rPr>
          <w:kern w:val="0"/>
        </w:rPr>
      </w:pPr>
      <w:r>
        <w:rPr>
          <w:rFonts w:hint="eastAsia"/>
          <w:kern w:val="0"/>
        </w:rPr>
        <w:t>（</w:t>
      </w:r>
      <w:r>
        <w:rPr>
          <w:kern w:val="0"/>
        </w:rPr>
        <w:t>15</w:t>
      </w:r>
      <w:r>
        <w:rPr>
          <w:rFonts w:hint="eastAsia"/>
          <w:kern w:val="0"/>
        </w:rPr>
        <w:t>）河北省人民政府关于加快实施“三线一单”生态环境分区管控的意见 冀政字〔2020〕71号（2020年12月26日）；</w:t>
      </w:r>
    </w:p>
    <w:p w14:paraId="14C44125">
      <w:pPr>
        <w:pStyle w:val="85"/>
        <w:ind w:firstLine="480"/>
        <w:rPr>
          <w:kern w:val="0"/>
        </w:rPr>
      </w:pPr>
      <w:r>
        <w:rPr>
          <w:rFonts w:hint="eastAsia"/>
          <w:kern w:val="0"/>
        </w:rPr>
        <w:t>（</w:t>
      </w:r>
      <w:r>
        <w:rPr>
          <w:kern w:val="0"/>
        </w:rPr>
        <w:t>16</w:t>
      </w:r>
      <w:r>
        <w:rPr>
          <w:rFonts w:hint="eastAsia"/>
          <w:kern w:val="0"/>
        </w:rPr>
        <w:t>）</w:t>
      </w:r>
      <w:r>
        <w:rPr>
          <w:kern w:val="0"/>
        </w:rPr>
        <w:t>河北省《关于深入打好污染防治攻坚战的实施意见》，2022年1月</w:t>
      </w:r>
      <w:r>
        <w:rPr>
          <w:rFonts w:hint="eastAsia"/>
          <w:kern w:val="0"/>
        </w:rPr>
        <w:t>；</w:t>
      </w:r>
    </w:p>
    <w:p w14:paraId="4803F2D8">
      <w:pPr>
        <w:pStyle w:val="85"/>
        <w:ind w:firstLine="480"/>
        <w:rPr>
          <w:kern w:val="0"/>
        </w:rPr>
      </w:pPr>
      <w:r>
        <w:rPr>
          <w:rFonts w:hint="eastAsia"/>
          <w:kern w:val="0"/>
        </w:rPr>
        <w:t>（</w:t>
      </w:r>
      <w:r>
        <w:rPr>
          <w:kern w:val="0"/>
        </w:rPr>
        <w:t>17</w:t>
      </w:r>
      <w:r>
        <w:rPr>
          <w:rFonts w:hint="eastAsia"/>
          <w:kern w:val="0"/>
        </w:rPr>
        <w:t>）</w:t>
      </w:r>
      <w:r>
        <w:rPr>
          <w:kern w:val="0"/>
        </w:rPr>
        <w:t>《河北省建设京津冀生态环境支撑区“十四五”规划》，省政府办公厅，冀政办字〔2021〕144号，2021年11月15日</w:t>
      </w:r>
      <w:r>
        <w:rPr>
          <w:rFonts w:hint="eastAsia"/>
          <w:kern w:val="0"/>
        </w:rPr>
        <w:t>；</w:t>
      </w:r>
    </w:p>
    <w:p w14:paraId="5A883078">
      <w:pPr>
        <w:pStyle w:val="85"/>
        <w:ind w:firstLine="480"/>
        <w:rPr>
          <w:kern w:val="0"/>
        </w:rPr>
      </w:pPr>
      <w:r>
        <w:rPr>
          <w:rFonts w:hint="eastAsia"/>
          <w:kern w:val="0"/>
        </w:rPr>
        <w:t>（</w:t>
      </w:r>
      <w:r>
        <w:rPr>
          <w:kern w:val="0"/>
        </w:rPr>
        <w:t>18</w:t>
      </w:r>
      <w:r>
        <w:rPr>
          <w:rFonts w:hint="eastAsia"/>
          <w:kern w:val="0"/>
        </w:rPr>
        <w:t>）</w:t>
      </w:r>
      <w:r>
        <w:rPr>
          <w:kern w:val="0"/>
        </w:rPr>
        <w:t>《河北省人民政府关于印发河北省生态环境保护“十四五”规划的通知》，冀政字〔2022〕2号，2022年1月12日</w:t>
      </w:r>
      <w:r>
        <w:rPr>
          <w:rFonts w:hint="eastAsia"/>
          <w:kern w:val="0"/>
        </w:rPr>
        <w:t>；</w:t>
      </w:r>
    </w:p>
    <w:p w14:paraId="6017D577">
      <w:pPr>
        <w:pStyle w:val="85"/>
        <w:ind w:firstLine="480"/>
        <w:rPr>
          <w:kern w:val="0"/>
        </w:rPr>
      </w:pPr>
      <w:r>
        <w:rPr>
          <w:rFonts w:hint="eastAsia"/>
          <w:kern w:val="0"/>
        </w:rPr>
        <w:t>（</w:t>
      </w:r>
      <w:r>
        <w:rPr>
          <w:kern w:val="0"/>
        </w:rPr>
        <w:t>19</w:t>
      </w:r>
      <w:r>
        <w:rPr>
          <w:rFonts w:hint="eastAsia"/>
          <w:kern w:val="0"/>
        </w:rPr>
        <w:t>）《关于印发&lt;2024年建筑施工扬尘污染防治工作方案&gt;的通知》（冀建质安函﹝2024﹞115号）；</w:t>
      </w:r>
    </w:p>
    <w:p w14:paraId="6837D5C9">
      <w:pPr>
        <w:pStyle w:val="85"/>
        <w:ind w:firstLine="480"/>
        <w:rPr>
          <w:kern w:val="0"/>
        </w:rPr>
      </w:pPr>
      <w:r>
        <w:rPr>
          <w:rFonts w:hint="eastAsia"/>
          <w:kern w:val="0"/>
        </w:rPr>
        <w:t>（</w:t>
      </w:r>
      <w:r>
        <w:rPr>
          <w:kern w:val="0"/>
        </w:rPr>
        <w:t>20</w:t>
      </w:r>
      <w:r>
        <w:rPr>
          <w:rFonts w:hint="eastAsia"/>
          <w:kern w:val="0"/>
        </w:rPr>
        <w:t>）《河北省水土保持规划（2016-2030年）》；</w:t>
      </w:r>
    </w:p>
    <w:p w14:paraId="4EB506D9">
      <w:pPr>
        <w:pStyle w:val="85"/>
        <w:ind w:firstLine="480"/>
        <w:rPr>
          <w:kern w:val="0"/>
        </w:rPr>
      </w:pPr>
      <w:r>
        <w:rPr>
          <w:rFonts w:hint="eastAsia"/>
          <w:kern w:val="0"/>
        </w:rPr>
        <w:t>（21）《河北省重点保护陆生野生动物名录》（2</w:t>
      </w:r>
      <w:r>
        <w:rPr>
          <w:kern w:val="0"/>
        </w:rPr>
        <w:t>022</w:t>
      </w:r>
      <w:r>
        <w:rPr>
          <w:rFonts w:hint="eastAsia"/>
          <w:kern w:val="0"/>
        </w:rPr>
        <w:t>年版）；</w:t>
      </w:r>
    </w:p>
    <w:p w14:paraId="11D4864E">
      <w:pPr>
        <w:pStyle w:val="85"/>
        <w:ind w:firstLine="480"/>
        <w:rPr>
          <w:kern w:val="0"/>
        </w:rPr>
      </w:pPr>
      <w:r>
        <w:rPr>
          <w:rFonts w:hint="eastAsia"/>
          <w:kern w:val="0"/>
        </w:rPr>
        <w:t>（</w:t>
      </w:r>
      <w:r>
        <w:rPr>
          <w:kern w:val="0"/>
        </w:rPr>
        <w:t>22</w:t>
      </w:r>
      <w:r>
        <w:rPr>
          <w:rFonts w:hint="eastAsia"/>
          <w:kern w:val="0"/>
        </w:rPr>
        <w:t>）《河北省重点保护野生植物名录（第一批）》；</w:t>
      </w:r>
    </w:p>
    <w:p w14:paraId="0334B43B">
      <w:pPr>
        <w:pStyle w:val="85"/>
        <w:ind w:firstLine="480"/>
        <w:rPr>
          <w:kern w:val="0"/>
        </w:rPr>
      </w:pPr>
      <w:r>
        <w:rPr>
          <w:rFonts w:hint="eastAsia"/>
          <w:kern w:val="0"/>
        </w:rPr>
        <w:t>（</w:t>
      </w:r>
      <w:r>
        <w:rPr>
          <w:kern w:val="0"/>
        </w:rPr>
        <w:t>23</w:t>
      </w:r>
      <w:r>
        <w:rPr>
          <w:rFonts w:hint="eastAsia"/>
          <w:kern w:val="0"/>
        </w:rPr>
        <w:t>）《河北省生态功能区划》；</w:t>
      </w:r>
    </w:p>
    <w:p w14:paraId="6FFED8E3">
      <w:pPr>
        <w:pStyle w:val="85"/>
        <w:ind w:firstLine="480"/>
        <w:rPr>
          <w:kern w:val="0"/>
        </w:rPr>
      </w:pPr>
      <w:r>
        <w:rPr>
          <w:rFonts w:hint="eastAsia"/>
          <w:kern w:val="0"/>
        </w:rPr>
        <w:t>（2</w:t>
      </w:r>
      <w:r>
        <w:rPr>
          <w:kern w:val="0"/>
        </w:rPr>
        <w:t>4</w:t>
      </w:r>
      <w:r>
        <w:rPr>
          <w:rFonts w:hint="eastAsia"/>
          <w:kern w:val="0"/>
        </w:rPr>
        <w:t>）《关于加强生态保护红线管理的通知》（冀自然资发〔2024〕4号）；</w:t>
      </w:r>
    </w:p>
    <w:p w14:paraId="08C93E69">
      <w:pPr>
        <w:pStyle w:val="85"/>
        <w:ind w:firstLine="480"/>
        <w:rPr>
          <w:kern w:val="0"/>
        </w:rPr>
      </w:pPr>
      <w:r>
        <w:rPr>
          <w:rFonts w:hint="eastAsia"/>
          <w:kern w:val="0"/>
        </w:rPr>
        <w:t>（2</w:t>
      </w:r>
      <w:r>
        <w:rPr>
          <w:kern w:val="0"/>
        </w:rPr>
        <w:t>5</w:t>
      </w:r>
      <w:r>
        <w:rPr>
          <w:rFonts w:hint="eastAsia"/>
          <w:kern w:val="0"/>
        </w:rPr>
        <w:t>）《河北滦平潮河国家湿地公园管理办法(试行)》。</w:t>
      </w:r>
    </w:p>
    <w:p w14:paraId="40B88E6F">
      <w:pPr>
        <w:pStyle w:val="4"/>
        <w:rPr>
          <w:kern w:val="0"/>
        </w:rPr>
      </w:pPr>
      <w:r>
        <w:rPr>
          <w:rFonts w:hint="eastAsia"/>
          <w:kern w:val="0"/>
        </w:rPr>
        <w:t>技术</w:t>
      </w:r>
      <w:r>
        <w:rPr>
          <w:kern w:val="0"/>
        </w:rPr>
        <w:t>导则及规范</w:t>
      </w:r>
    </w:p>
    <w:p w14:paraId="033D0A26">
      <w:pPr>
        <w:pStyle w:val="85"/>
        <w:ind w:firstLine="480"/>
        <w:rPr>
          <w:kern w:val="0"/>
        </w:rPr>
      </w:pPr>
      <w:r>
        <w:rPr>
          <w:rFonts w:hint="eastAsia"/>
          <w:kern w:val="0"/>
        </w:rPr>
        <w:t>（1）</w:t>
      </w:r>
      <w:r>
        <w:rPr>
          <w:kern w:val="0"/>
        </w:rPr>
        <w:t>《</w:t>
      </w:r>
      <w:r>
        <w:rPr>
          <w:rFonts w:hint="eastAsia"/>
          <w:kern w:val="0"/>
        </w:rPr>
        <w:t>建设项目环境影响评价技术导则</w:t>
      </w:r>
      <w:r>
        <w:rPr>
          <w:kern w:val="0"/>
        </w:rPr>
        <w:t>－</w:t>
      </w:r>
      <w:r>
        <w:rPr>
          <w:rFonts w:hint="eastAsia"/>
          <w:kern w:val="0"/>
        </w:rPr>
        <w:t>总纲</w:t>
      </w:r>
      <w:r>
        <w:rPr>
          <w:kern w:val="0"/>
        </w:rPr>
        <w:t>》（HJ2.1-2016）</w:t>
      </w:r>
      <w:r>
        <w:rPr>
          <w:rFonts w:hint="eastAsia"/>
          <w:kern w:val="0"/>
        </w:rPr>
        <w:t>；</w:t>
      </w:r>
    </w:p>
    <w:p w14:paraId="57BB14C4">
      <w:pPr>
        <w:pStyle w:val="85"/>
        <w:ind w:firstLine="480"/>
        <w:rPr>
          <w:kern w:val="0"/>
        </w:rPr>
      </w:pPr>
      <w:r>
        <w:rPr>
          <w:rFonts w:hint="eastAsia"/>
          <w:kern w:val="0"/>
        </w:rPr>
        <w:t>（2）</w:t>
      </w:r>
      <w:r>
        <w:rPr>
          <w:kern w:val="0"/>
        </w:rPr>
        <w:t>《环境影响评价技术导则－地</w:t>
      </w:r>
      <w:r>
        <w:rPr>
          <w:rFonts w:hint="eastAsia"/>
          <w:kern w:val="0"/>
        </w:rPr>
        <w:t>表</w:t>
      </w:r>
      <w:r>
        <w:rPr>
          <w:kern w:val="0"/>
        </w:rPr>
        <w:t>水环境》（HJ2.3-2018）；</w:t>
      </w:r>
    </w:p>
    <w:p w14:paraId="3F188F8D">
      <w:pPr>
        <w:pStyle w:val="85"/>
        <w:ind w:firstLine="480"/>
        <w:rPr>
          <w:kern w:val="0"/>
        </w:rPr>
      </w:pPr>
      <w:r>
        <w:rPr>
          <w:rFonts w:hint="eastAsia"/>
          <w:kern w:val="0"/>
        </w:rPr>
        <w:t>（3）</w:t>
      </w:r>
      <w:r>
        <w:rPr>
          <w:kern w:val="0"/>
        </w:rPr>
        <w:t>《环境影响评价技术导则－大气环境》（HJ2.2-2018）；</w:t>
      </w:r>
    </w:p>
    <w:p w14:paraId="2C47F7BB">
      <w:pPr>
        <w:pStyle w:val="85"/>
        <w:ind w:firstLine="480"/>
        <w:rPr>
          <w:kern w:val="0"/>
        </w:rPr>
      </w:pPr>
      <w:r>
        <w:rPr>
          <w:rFonts w:hint="eastAsia"/>
          <w:kern w:val="0"/>
        </w:rPr>
        <w:t>（4）</w:t>
      </w:r>
      <w:r>
        <w:rPr>
          <w:kern w:val="0"/>
        </w:rPr>
        <w:t>《环境影响评价技术导则－声环境》（HJ2.4-2021）；</w:t>
      </w:r>
    </w:p>
    <w:p w14:paraId="5FF77CCD">
      <w:pPr>
        <w:pStyle w:val="85"/>
        <w:ind w:firstLine="480"/>
        <w:rPr>
          <w:kern w:val="0"/>
        </w:rPr>
      </w:pPr>
      <w:r>
        <w:rPr>
          <w:rFonts w:hint="eastAsia"/>
          <w:kern w:val="0"/>
        </w:rPr>
        <w:t>（5）</w:t>
      </w:r>
      <w:r>
        <w:rPr>
          <w:kern w:val="0"/>
        </w:rPr>
        <w:t>《环境影响评价技术导则－地下水环境》（HJ610-201</w:t>
      </w:r>
      <w:r>
        <w:rPr>
          <w:rFonts w:hint="eastAsia"/>
          <w:kern w:val="0"/>
        </w:rPr>
        <w:t>6</w:t>
      </w:r>
      <w:r>
        <w:rPr>
          <w:kern w:val="0"/>
        </w:rPr>
        <w:t>）；</w:t>
      </w:r>
    </w:p>
    <w:p w14:paraId="347BA355">
      <w:pPr>
        <w:pStyle w:val="85"/>
        <w:ind w:firstLine="480"/>
        <w:rPr>
          <w:kern w:val="0"/>
        </w:rPr>
      </w:pPr>
      <w:r>
        <w:rPr>
          <w:rFonts w:hint="eastAsia"/>
          <w:kern w:val="0"/>
        </w:rPr>
        <w:t>（6）</w:t>
      </w:r>
      <w:r>
        <w:rPr>
          <w:kern w:val="0"/>
        </w:rPr>
        <w:t>《环境影响评价技术导则－生态影响》（HJ19-2022）；</w:t>
      </w:r>
    </w:p>
    <w:p w14:paraId="0635CC13">
      <w:pPr>
        <w:pStyle w:val="85"/>
        <w:ind w:firstLine="480"/>
        <w:rPr>
          <w:kern w:val="0"/>
        </w:rPr>
      </w:pPr>
      <w:r>
        <w:rPr>
          <w:rFonts w:hint="eastAsia"/>
          <w:kern w:val="0"/>
        </w:rPr>
        <w:t>（7）《环境影响评价技术导则</w:t>
      </w:r>
      <w:r>
        <w:rPr>
          <w:kern w:val="0"/>
        </w:rPr>
        <w:t>－</w:t>
      </w:r>
      <w:r>
        <w:rPr>
          <w:rFonts w:hint="eastAsia"/>
          <w:kern w:val="0"/>
        </w:rPr>
        <w:t>土壤环境（试行）》(HJ964-2018)；</w:t>
      </w:r>
    </w:p>
    <w:p w14:paraId="092ED0C0">
      <w:pPr>
        <w:pStyle w:val="85"/>
        <w:ind w:firstLine="480"/>
        <w:rPr>
          <w:kern w:val="0"/>
        </w:rPr>
      </w:pPr>
      <w:r>
        <w:rPr>
          <w:rFonts w:hint="eastAsia"/>
          <w:kern w:val="0"/>
        </w:rPr>
        <w:t>（</w:t>
      </w:r>
      <w:r>
        <w:rPr>
          <w:kern w:val="0"/>
        </w:rPr>
        <w:t>8</w:t>
      </w:r>
      <w:r>
        <w:rPr>
          <w:rFonts w:hint="eastAsia"/>
          <w:kern w:val="0"/>
        </w:rPr>
        <w:t>）《固体废物鉴别标准·通则</w:t>
      </w:r>
      <w:r>
        <w:rPr>
          <w:kern w:val="0"/>
        </w:rPr>
        <w:t>)</w:t>
      </w:r>
      <w:r>
        <w:rPr>
          <w:rFonts w:hint="eastAsia"/>
          <w:kern w:val="0"/>
        </w:rPr>
        <w:t>》</w:t>
      </w:r>
      <w:r>
        <w:rPr>
          <w:kern w:val="0"/>
        </w:rPr>
        <w:t>(GB 34330-2017)</w:t>
      </w:r>
      <w:r>
        <w:rPr>
          <w:rFonts w:hint="eastAsia"/>
          <w:kern w:val="0"/>
        </w:rPr>
        <w:t>；</w:t>
      </w:r>
    </w:p>
    <w:p w14:paraId="640B1BBB">
      <w:pPr>
        <w:pStyle w:val="85"/>
        <w:ind w:firstLine="480"/>
        <w:rPr>
          <w:kern w:val="0"/>
        </w:rPr>
      </w:pPr>
      <w:r>
        <w:rPr>
          <w:rFonts w:hint="eastAsia"/>
          <w:kern w:val="0"/>
        </w:rPr>
        <w:t>（</w:t>
      </w:r>
      <w:r>
        <w:rPr>
          <w:kern w:val="0"/>
        </w:rPr>
        <w:t>9</w:t>
      </w:r>
      <w:r>
        <w:rPr>
          <w:rFonts w:hint="eastAsia"/>
          <w:kern w:val="0"/>
        </w:rPr>
        <w:t>）《建设项目危险废物环境影响评价指南》（生态环境部公告</w:t>
      </w:r>
      <w:r>
        <w:rPr>
          <w:kern w:val="0"/>
        </w:rPr>
        <w:t>2017</w:t>
      </w:r>
      <w:r>
        <w:rPr>
          <w:rFonts w:hint="eastAsia"/>
          <w:kern w:val="0"/>
        </w:rPr>
        <w:t>年第</w:t>
      </w:r>
      <w:r>
        <w:rPr>
          <w:kern w:val="0"/>
        </w:rPr>
        <w:t>43</w:t>
      </w:r>
      <w:r>
        <w:rPr>
          <w:rFonts w:hint="eastAsia"/>
          <w:kern w:val="0"/>
        </w:rPr>
        <w:t>号）；</w:t>
      </w:r>
    </w:p>
    <w:p w14:paraId="1933C7CD">
      <w:pPr>
        <w:pStyle w:val="85"/>
        <w:ind w:firstLine="480"/>
        <w:rPr>
          <w:kern w:val="0"/>
        </w:rPr>
      </w:pPr>
      <w:r>
        <w:rPr>
          <w:rFonts w:hint="eastAsia"/>
          <w:kern w:val="0"/>
        </w:rPr>
        <w:t>（1</w:t>
      </w:r>
      <w:r>
        <w:rPr>
          <w:kern w:val="0"/>
        </w:rPr>
        <w:t>0</w:t>
      </w:r>
      <w:r>
        <w:rPr>
          <w:rFonts w:hint="eastAsia"/>
          <w:kern w:val="0"/>
        </w:rPr>
        <w:t>）《排污单位自行监测技术指南·总则》</w:t>
      </w:r>
      <w:r>
        <w:rPr>
          <w:kern w:val="0"/>
        </w:rPr>
        <w:t>(HJ819-2017)</w:t>
      </w:r>
      <w:r>
        <w:rPr>
          <w:rFonts w:hint="eastAsia"/>
          <w:kern w:val="0"/>
        </w:rPr>
        <w:t>；</w:t>
      </w:r>
    </w:p>
    <w:p w14:paraId="7284C867">
      <w:pPr>
        <w:pStyle w:val="85"/>
        <w:ind w:firstLine="480"/>
        <w:rPr>
          <w:kern w:val="0"/>
        </w:rPr>
      </w:pPr>
      <w:r>
        <w:rPr>
          <w:rFonts w:hint="eastAsia"/>
          <w:kern w:val="0"/>
        </w:rPr>
        <w:t>（1</w:t>
      </w:r>
      <w:r>
        <w:rPr>
          <w:kern w:val="0"/>
        </w:rPr>
        <w:t>1</w:t>
      </w:r>
      <w:r>
        <w:rPr>
          <w:rFonts w:hint="eastAsia"/>
          <w:kern w:val="0"/>
        </w:rPr>
        <w:t>）《生产建设项目水土保持技术标准》</w:t>
      </w:r>
      <w:r>
        <w:rPr>
          <w:kern w:val="0"/>
        </w:rPr>
        <w:t>(GB50433-2018)</w:t>
      </w:r>
      <w:r>
        <w:rPr>
          <w:rFonts w:hint="eastAsia"/>
          <w:kern w:val="0"/>
        </w:rPr>
        <w:t>；</w:t>
      </w:r>
    </w:p>
    <w:p w14:paraId="3E576FEB">
      <w:pPr>
        <w:pStyle w:val="85"/>
        <w:ind w:firstLine="480"/>
        <w:rPr>
          <w:kern w:val="0"/>
        </w:rPr>
      </w:pPr>
      <w:r>
        <w:rPr>
          <w:rFonts w:hint="eastAsia"/>
          <w:kern w:val="0"/>
        </w:rPr>
        <w:t>（12）《生态环境状况评价技术规范》（HJ</w:t>
      </w:r>
      <w:r>
        <w:rPr>
          <w:kern w:val="0"/>
        </w:rPr>
        <w:t xml:space="preserve"> </w:t>
      </w:r>
      <w:r>
        <w:rPr>
          <w:rFonts w:hint="eastAsia"/>
          <w:kern w:val="0"/>
        </w:rPr>
        <w:t>192-2015）；</w:t>
      </w:r>
    </w:p>
    <w:p w14:paraId="301F302B">
      <w:pPr>
        <w:pStyle w:val="85"/>
        <w:ind w:firstLine="480"/>
        <w:rPr>
          <w:kern w:val="0"/>
        </w:rPr>
      </w:pPr>
      <w:r>
        <w:rPr>
          <w:rFonts w:hint="eastAsia"/>
          <w:kern w:val="0"/>
        </w:rPr>
        <w:t>（</w:t>
      </w:r>
      <w:r>
        <w:rPr>
          <w:kern w:val="0"/>
        </w:rPr>
        <w:t>13</w:t>
      </w:r>
      <w:r>
        <w:rPr>
          <w:rFonts w:hint="eastAsia"/>
          <w:kern w:val="0"/>
        </w:rPr>
        <w:t xml:space="preserve">）《生物多样性观测技术导则 </w:t>
      </w:r>
      <w:r>
        <w:rPr>
          <w:kern w:val="0"/>
        </w:rPr>
        <w:t xml:space="preserve"> </w:t>
      </w:r>
      <w:r>
        <w:rPr>
          <w:rFonts w:hint="eastAsia"/>
          <w:kern w:val="0"/>
        </w:rPr>
        <w:t>陆生维管植物》（HJ 710.1-2014）；</w:t>
      </w:r>
    </w:p>
    <w:p w14:paraId="3787AE20">
      <w:pPr>
        <w:pStyle w:val="85"/>
        <w:ind w:firstLine="480"/>
        <w:rPr>
          <w:kern w:val="0"/>
        </w:rPr>
      </w:pPr>
      <w:r>
        <w:rPr>
          <w:rFonts w:hint="eastAsia"/>
          <w:kern w:val="0"/>
        </w:rPr>
        <w:t>（</w:t>
      </w:r>
      <w:r>
        <w:rPr>
          <w:kern w:val="0"/>
        </w:rPr>
        <w:t>14</w:t>
      </w:r>
      <w:r>
        <w:rPr>
          <w:rFonts w:hint="eastAsia"/>
          <w:kern w:val="0"/>
        </w:rPr>
        <w:t xml:space="preserve">）《生物多样性观测技术导则 </w:t>
      </w:r>
      <w:r>
        <w:rPr>
          <w:kern w:val="0"/>
        </w:rPr>
        <w:t xml:space="preserve"> </w:t>
      </w:r>
      <w:r>
        <w:rPr>
          <w:rFonts w:hint="eastAsia"/>
          <w:kern w:val="0"/>
        </w:rPr>
        <w:t>两栖动物》（HJ 710.6-2014）；</w:t>
      </w:r>
    </w:p>
    <w:p w14:paraId="6B2FC68F">
      <w:pPr>
        <w:pStyle w:val="85"/>
        <w:ind w:firstLine="480"/>
        <w:rPr>
          <w:kern w:val="0"/>
        </w:rPr>
      </w:pPr>
      <w:r>
        <w:rPr>
          <w:rFonts w:hint="eastAsia"/>
          <w:kern w:val="0"/>
        </w:rPr>
        <w:t>（</w:t>
      </w:r>
      <w:r>
        <w:rPr>
          <w:kern w:val="0"/>
        </w:rPr>
        <w:t>15</w:t>
      </w:r>
      <w:r>
        <w:rPr>
          <w:rFonts w:hint="eastAsia"/>
          <w:kern w:val="0"/>
        </w:rPr>
        <w:t xml:space="preserve">）《生物多样性观测技术导则 </w:t>
      </w:r>
      <w:r>
        <w:rPr>
          <w:kern w:val="0"/>
        </w:rPr>
        <w:t xml:space="preserve"> </w:t>
      </w:r>
      <w:r>
        <w:rPr>
          <w:rFonts w:hint="eastAsia"/>
          <w:kern w:val="0"/>
        </w:rPr>
        <w:t>爬行动物》（HJ 710.5-2014）；</w:t>
      </w:r>
    </w:p>
    <w:p w14:paraId="22E139FD">
      <w:pPr>
        <w:pStyle w:val="85"/>
        <w:ind w:firstLine="480"/>
        <w:rPr>
          <w:kern w:val="0"/>
        </w:rPr>
      </w:pPr>
      <w:r>
        <w:rPr>
          <w:rFonts w:hint="eastAsia"/>
          <w:kern w:val="0"/>
        </w:rPr>
        <w:t>（</w:t>
      </w:r>
      <w:r>
        <w:rPr>
          <w:kern w:val="0"/>
        </w:rPr>
        <w:t>16</w:t>
      </w:r>
      <w:r>
        <w:rPr>
          <w:rFonts w:hint="eastAsia"/>
          <w:kern w:val="0"/>
        </w:rPr>
        <w:t xml:space="preserve">）《生物多样性观测技术导则 </w:t>
      </w:r>
      <w:r>
        <w:rPr>
          <w:kern w:val="0"/>
        </w:rPr>
        <w:t xml:space="preserve"> </w:t>
      </w:r>
      <w:r>
        <w:rPr>
          <w:rFonts w:hint="eastAsia"/>
          <w:kern w:val="0"/>
        </w:rPr>
        <w:t>鸟类》（HJ 710.4-2014）；</w:t>
      </w:r>
    </w:p>
    <w:p w14:paraId="357A50E3">
      <w:pPr>
        <w:pStyle w:val="85"/>
        <w:ind w:firstLine="480"/>
        <w:rPr>
          <w:kern w:val="0"/>
        </w:rPr>
      </w:pPr>
      <w:r>
        <w:rPr>
          <w:rFonts w:hint="eastAsia"/>
          <w:kern w:val="0"/>
        </w:rPr>
        <w:t>（</w:t>
      </w:r>
      <w:r>
        <w:rPr>
          <w:kern w:val="0"/>
        </w:rPr>
        <w:t>17</w:t>
      </w:r>
      <w:r>
        <w:rPr>
          <w:rFonts w:hint="eastAsia"/>
          <w:kern w:val="0"/>
        </w:rPr>
        <w:t xml:space="preserve">）《生物多样性观测技术导则 </w:t>
      </w:r>
      <w:r>
        <w:rPr>
          <w:kern w:val="0"/>
        </w:rPr>
        <w:t xml:space="preserve"> </w:t>
      </w:r>
      <w:r>
        <w:rPr>
          <w:rFonts w:hint="eastAsia"/>
          <w:kern w:val="0"/>
        </w:rPr>
        <w:t>陆生哺乳动物》（HJ 710.3-2014）；</w:t>
      </w:r>
    </w:p>
    <w:p w14:paraId="307DF439">
      <w:pPr>
        <w:pStyle w:val="85"/>
        <w:ind w:firstLine="480"/>
        <w:rPr>
          <w:kern w:val="0"/>
        </w:rPr>
      </w:pPr>
      <w:r>
        <w:rPr>
          <w:rFonts w:hint="eastAsia"/>
          <w:kern w:val="0"/>
        </w:rPr>
        <w:t>（</w:t>
      </w:r>
      <w:r>
        <w:rPr>
          <w:kern w:val="0"/>
        </w:rPr>
        <w:t>18</w:t>
      </w:r>
      <w:r>
        <w:rPr>
          <w:rFonts w:hint="eastAsia"/>
          <w:kern w:val="0"/>
        </w:rPr>
        <w:t xml:space="preserve">）《生物多样性观测技术导则 </w:t>
      </w:r>
      <w:r>
        <w:rPr>
          <w:kern w:val="0"/>
        </w:rPr>
        <w:t xml:space="preserve"> </w:t>
      </w:r>
      <w:r>
        <w:rPr>
          <w:rFonts w:hint="eastAsia"/>
          <w:kern w:val="0"/>
        </w:rPr>
        <w:t>内陆水生鱼类》（HJ 710.7-2014）；</w:t>
      </w:r>
    </w:p>
    <w:p w14:paraId="6B0F0DCA">
      <w:pPr>
        <w:pStyle w:val="85"/>
        <w:ind w:firstLine="480"/>
        <w:rPr>
          <w:kern w:val="0"/>
        </w:rPr>
      </w:pPr>
      <w:r>
        <w:rPr>
          <w:rFonts w:hint="eastAsia"/>
          <w:kern w:val="0"/>
        </w:rPr>
        <w:t xml:space="preserve">（19）《全国生态状况调查评估技术规范 </w:t>
      </w:r>
      <w:r>
        <w:rPr>
          <w:kern w:val="0"/>
        </w:rPr>
        <w:t xml:space="preserve"> </w:t>
      </w:r>
      <w:r>
        <w:rPr>
          <w:rFonts w:hint="eastAsia"/>
          <w:kern w:val="0"/>
        </w:rPr>
        <w:t>生态系统质量评估》（HJ1172-2021）；</w:t>
      </w:r>
    </w:p>
    <w:p w14:paraId="3B90EB7B">
      <w:pPr>
        <w:pStyle w:val="85"/>
        <w:ind w:firstLine="480"/>
        <w:rPr>
          <w:kern w:val="0"/>
        </w:rPr>
      </w:pPr>
      <w:r>
        <w:rPr>
          <w:rFonts w:hint="eastAsia"/>
          <w:kern w:val="0"/>
        </w:rPr>
        <w:t xml:space="preserve">（20）《全国生态状况调查评估技术规范 </w:t>
      </w:r>
      <w:r>
        <w:rPr>
          <w:kern w:val="0"/>
        </w:rPr>
        <w:t xml:space="preserve"> </w:t>
      </w:r>
      <w:r>
        <w:rPr>
          <w:rFonts w:hint="eastAsia"/>
          <w:kern w:val="0"/>
        </w:rPr>
        <w:t>生态系统格局评估》（HJ1171-2021）；</w:t>
      </w:r>
    </w:p>
    <w:p w14:paraId="41A69324">
      <w:pPr>
        <w:pStyle w:val="85"/>
        <w:ind w:firstLine="480"/>
        <w:rPr>
          <w:kern w:val="0"/>
        </w:rPr>
      </w:pPr>
      <w:r>
        <w:rPr>
          <w:rFonts w:hint="eastAsia"/>
          <w:kern w:val="0"/>
        </w:rPr>
        <w:t xml:space="preserve">（21）《全国生态状况调查评估技术规范 </w:t>
      </w:r>
      <w:r>
        <w:rPr>
          <w:kern w:val="0"/>
        </w:rPr>
        <w:t xml:space="preserve"> </w:t>
      </w:r>
      <w:r>
        <w:rPr>
          <w:rFonts w:hint="eastAsia"/>
          <w:kern w:val="0"/>
        </w:rPr>
        <w:t>生态问题评估》（HJ 1174-2021）；</w:t>
      </w:r>
    </w:p>
    <w:p w14:paraId="2E67B488">
      <w:pPr>
        <w:pStyle w:val="85"/>
        <w:ind w:firstLine="480"/>
        <w:rPr>
          <w:kern w:val="0"/>
        </w:rPr>
      </w:pPr>
      <w:r>
        <w:rPr>
          <w:rFonts w:hint="eastAsia"/>
          <w:kern w:val="0"/>
        </w:rPr>
        <w:t>（22）《全国植物物种资源调查技术规定（试行）》（环境保护部公告，2010年第27号）；</w:t>
      </w:r>
    </w:p>
    <w:p w14:paraId="5B8580D3">
      <w:pPr>
        <w:pStyle w:val="85"/>
        <w:ind w:firstLine="480"/>
        <w:rPr>
          <w:kern w:val="0"/>
        </w:rPr>
      </w:pPr>
      <w:r>
        <w:rPr>
          <w:rFonts w:hint="eastAsia"/>
          <w:kern w:val="0"/>
        </w:rPr>
        <w:t>（23）《全国动物物种资源调查技术规定（试行）》（环境保护部公告，2010年第27号）；</w:t>
      </w:r>
    </w:p>
    <w:p w14:paraId="2BABFA11">
      <w:pPr>
        <w:pStyle w:val="85"/>
        <w:ind w:firstLine="480"/>
        <w:rPr>
          <w:kern w:val="0"/>
        </w:rPr>
      </w:pPr>
      <w:r>
        <w:rPr>
          <w:rFonts w:hint="eastAsia"/>
          <w:kern w:val="0"/>
        </w:rPr>
        <w:t>（24）《全国淡水生物物种资源调查技术规定（试行）》（环境保护部公告，2010年第27号）；</w:t>
      </w:r>
    </w:p>
    <w:p w14:paraId="7FA528BA">
      <w:pPr>
        <w:pStyle w:val="85"/>
        <w:ind w:firstLine="480"/>
        <w:rPr>
          <w:kern w:val="0"/>
        </w:rPr>
      </w:pPr>
      <w:r>
        <w:rPr>
          <w:rFonts w:hint="eastAsia"/>
          <w:kern w:val="0"/>
        </w:rPr>
        <w:t>（25）《外来物种环境风险评估技术导则》（HJ 624-2011）；</w:t>
      </w:r>
    </w:p>
    <w:p w14:paraId="7E185D81">
      <w:pPr>
        <w:pStyle w:val="85"/>
        <w:ind w:firstLine="480"/>
        <w:rPr>
          <w:kern w:val="0"/>
        </w:rPr>
      </w:pPr>
      <w:r>
        <w:rPr>
          <w:rFonts w:hint="eastAsia"/>
          <w:kern w:val="0"/>
        </w:rPr>
        <w:t>（26）《土地利用现状分类》(GB</w:t>
      </w:r>
      <w:r>
        <w:rPr>
          <w:kern w:val="0"/>
        </w:rPr>
        <w:t>/</w:t>
      </w:r>
      <w:r>
        <w:rPr>
          <w:rFonts w:hint="eastAsia"/>
          <w:kern w:val="0"/>
        </w:rPr>
        <w:t>T 21010-2017)；</w:t>
      </w:r>
    </w:p>
    <w:p w14:paraId="119065F1">
      <w:pPr>
        <w:pStyle w:val="85"/>
        <w:ind w:firstLine="480"/>
        <w:rPr>
          <w:kern w:val="0"/>
        </w:rPr>
      </w:pPr>
      <w:r>
        <w:rPr>
          <w:rFonts w:hint="eastAsia"/>
          <w:kern w:val="0"/>
        </w:rPr>
        <w:t>（27）《古树名木鉴定规范》（LY/T2737-2016，2017年1月1日实施）；</w:t>
      </w:r>
    </w:p>
    <w:p w14:paraId="6BA38EB0">
      <w:pPr>
        <w:pStyle w:val="85"/>
        <w:ind w:firstLine="480"/>
        <w:rPr>
          <w:kern w:val="0"/>
        </w:rPr>
      </w:pPr>
      <w:r>
        <w:rPr>
          <w:rFonts w:hint="eastAsia"/>
          <w:kern w:val="0"/>
        </w:rPr>
        <w:t>（28）《古树名木普查技术规范》（LY/T2738-2016，2017年1月1日实施）；</w:t>
      </w:r>
    </w:p>
    <w:p w14:paraId="7CA5E25B">
      <w:pPr>
        <w:pStyle w:val="85"/>
        <w:ind w:firstLine="480"/>
        <w:rPr>
          <w:kern w:val="0"/>
        </w:rPr>
      </w:pPr>
      <w:r>
        <w:rPr>
          <w:rFonts w:hint="eastAsia"/>
          <w:kern w:val="0"/>
        </w:rPr>
        <w:t>（29）《古树名木代码与条码（LY/T1664-2006）》；</w:t>
      </w:r>
    </w:p>
    <w:p w14:paraId="2CB01D84">
      <w:pPr>
        <w:pStyle w:val="85"/>
        <w:ind w:firstLine="480"/>
        <w:rPr>
          <w:kern w:val="0"/>
        </w:rPr>
      </w:pPr>
      <w:r>
        <w:rPr>
          <w:rFonts w:hint="eastAsia"/>
          <w:kern w:val="0"/>
        </w:rPr>
        <w:t>（</w:t>
      </w:r>
      <w:r>
        <w:rPr>
          <w:kern w:val="0"/>
        </w:rPr>
        <w:t>30</w:t>
      </w:r>
      <w:r>
        <w:rPr>
          <w:rFonts w:hint="eastAsia"/>
          <w:kern w:val="0"/>
        </w:rPr>
        <w:t>）《森林资源代码（LY/T1439）》；</w:t>
      </w:r>
    </w:p>
    <w:p w14:paraId="5B1EDD48">
      <w:pPr>
        <w:pStyle w:val="85"/>
        <w:ind w:firstLine="480"/>
        <w:rPr>
          <w:kern w:val="0"/>
        </w:rPr>
      </w:pPr>
      <w:r>
        <w:rPr>
          <w:rFonts w:hint="eastAsia"/>
          <w:kern w:val="0"/>
        </w:rPr>
        <w:t>（3</w:t>
      </w:r>
      <w:r>
        <w:rPr>
          <w:kern w:val="0"/>
        </w:rPr>
        <w:t>1</w:t>
      </w:r>
      <w:r>
        <w:rPr>
          <w:rFonts w:hint="eastAsia"/>
          <w:kern w:val="0"/>
        </w:rPr>
        <w:t>）承德市人民政府关于发布承德市生态环境分区管控准入清单(2023年版)的通知（2</w:t>
      </w:r>
      <w:r>
        <w:rPr>
          <w:kern w:val="0"/>
        </w:rPr>
        <w:t>024</w:t>
      </w:r>
      <w:r>
        <w:rPr>
          <w:rFonts w:hint="eastAsia"/>
          <w:kern w:val="0"/>
        </w:rPr>
        <w:t>年5月2</w:t>
      </w:r>
      <w:r>
        <w:rPr>
          <w:kern w:val="0"/>
        </w:rPr>
        <w:t>7</w:t>
      </w:r>
      <w:r>
        <w:rPr>
          <w:rFonts w:hint="eastAsia"/>
          <w:kern w:val="0"/>
        </w:rPr>
        <w:t>日）。</w:t>
      </w:r>
    </w:p>
    <w:p w14:paraId="14A07D7B">
      <w:pPr>
        <w:pStyle w:val="4"/>
        <w:rPr>
          <w:kern w:val="0"/>
        </w:rPr>
      </w:pPr>
      <w:r>
        <w:rPr>
          <w:rFonts w:hint="eastAsia"/>
          <w:kern w:val="0"/>
        </w:rPr>
        <w:t>相关</w:t>
      </w:r>
      <w:r>
        <w:rPr>
          <w:kern w:val="0"/>
        </w:rPr>
        <w:t>文件</w:t>
      </w:r>
      <w:r>
        <w:rPr>
          <w:rFonts w:hint="eastAsia"/>
          <w:kern w:val="0"/>
        </w:rPr>
        <w:t>及</w:t>
      </w:r>
      <w:r>
        <w:rPr>
          <w:kern w:val="0"/>
        </w:rPr>
        <w:t>技术资料</w:t>
      </w:r>
    </w:p>
    <w:p w14:paraId="6C58AF0D">
      <w:pPr>
        <w:pStyle w:val="85"/>
        <w:ind w:firstLine="480"/>
        <w:rPr>
          <w:kern w:val="0"/>
        </w:rPr>
      </w:pPr>
      <w:r>
        <w:rPr>
          <w:rFonts w:hint="eastAsia"/>
          <w:kern w:val="0"/>
        </w:rPr>
        <w:t>（</w:t>
      </w:r>
      <w:r>
        <w:rPr>
          <w:kern w:val="0"/>
        </w:rPr>
        <w:t>1</w:t>
      </w:r>
      <w:r>
        <w:rPr>
          <w:rFonts w:hint="eastAsia"/>
          <w:kern w:val="0"/>
        </w:rPr>
        <w:t>）《滦平县潮河干流河道水质改善与生态修复工程可行性研究报告》（北京建功工程咨询有限公司，2024年8月）</w:t>
      </w:r>
    </w:p>
    <w:p w14:paraId="2100E54D">
      <w:pPr>
        <w:pStyle w:val="85"/>
        <w:ind w:firstLine="480"/>
        <w:rPr>
          <w:kern w:val="0"/>
        </w:rPr>
      </w:pPr>
      <w:r>
        <w:rPr>
          <w:rFonts w:hint="eastAsia"/>
          <w:kern w:val="0"/>
        </w:rPr>
        <w:t>（</w:t>
      </w:r>
      <w:r>
        <w:rPr>
          <w:kern w:val="0"/>
        </w:rPr>
        <w:t>2</w:t>
      </w:r>
      <w:r>
        <w:rPr>
          <w:rFonts w:hint="eastAsia"/>
          <w:kern w:val="0"/>
        </w:rPr>
        <w:t>）本项目可行性</w:t>
      </w:r>
      <w:r>
        <w:rPr>
          <w:kern w:val="0"/>
        </w:rPr>
        <w:t>研究报告的批复，</w:t>
      </w:r>
      <w:r>
        <w:rPr>
          <w:rFonts w:hint="eastAsia"/>
          <w:kern w:val="0"/>
        </w:rPr>
        <w:t>滦数政投资[2024]33号；</w:t>
      </w:r>
    </w:p>
    <w:p w14:paraId="0D39AEC1">
      <w:pPr>
        <w:pStyle w:val="85"/>
        <w:ind w:firstLine="480"/>
        <w:rPr>
          <w:kern w:val="0"/>
        </w:rPr>
      </w:pPr>
      <w:r>
        <w:rPr>
          <w:rFonts w:hint="eastAsia"/>
          <w:kern w:val="0"/>
        </w:rPr>
        <w:t>（</w:t>
      </w:r>
      <w:r>
        <w:rPr>
          <w:kern w:val="0"/>
        </w:rPr>
        <w:t>3</w:t>
      </w:r>
      <w:r>
        <w:rPr>
          <w:rFonts w:hint="eastAsia"/>
          <w:kern w:val="0"/>
        </w:rPr>
        <w:t>）《滦平县潮河干流河道水质改善与生态修复工程初步设计》（北方工程设计研究院有限公司，202</w:t>
      </w:r>
      <w:r>
        <w:rPr>
          <w:kern w:val="0"/>
        </w:rPr>
        <w:t>5</w:t>
      </w:r>
      <w:r>
        <w:rPr>
          <w:rFonts w:hint="eastAsia"/>
          <w:kern w:val="0"/>
        </w:rPr>
        <w:t>年</w:t>
      </w:r>
      <w:r>
        <w:rPr>
          <w:kern w:val="0"/>
        </w:rPr>
        <w:t>3</w:t>
      </w:r>
      <w:r>
        <w:rPr>
          <w:rFonts w:hint="eastAsia"/>
          <w:kern w:val="0"/>
        </w:rPr>
        <w:t>月）；</w:t>
      </w:r>
    </w:p>
    <w:p w14:paraId="78921522">
      <w:pPr>
        <w:pStyle w:val="85"/>
        <w:ind w:firstLine="480"/>
        <w:rPr>
          <w:kern w:val="0"/>
        </w:rPr>
      </w:pPr>
      <w:r>
        <w:rPr>
          <w:rFonts w:hint="eastAsia"/>
          <w:kern w:val="0"/>
        </w:rPr>
        <w:t>（</w:t>
      </w:r>
      <w:r>
        <w:rPr>
          <w:kern w:val="0"/>
        </w:rPr>
        <w:t>4</w:t>
      </w:r>
      <w:r>
        <w:rPr>
          <w:rFonts w:hint="eastAsia"/>
          <w:kern w:val="0"/>
        </w:rPr>
        <w:t>）本项目</w:t>
      </w:r>
      <w:r>
        <w:rPr>
          <w:kern w:val="0"/>
        </w:rPr>
        <w:t>初步设计的批复，</w:t>
      </w:r>
      <w:r>
        <w:rPr>
          <w:rFonts w:hint="eastAsia"/>
          <w:kern w:val="0"/>
        </w:rPr>
        <w:t>滦数政投资[2025]22号；</w:t>
      </w:r>
    </w:p>
    <w:p w14:paraId="6EC76AD7">
      <w:pPr>
        <w:pStyle w:val="85"/>
        <w:tabs>
          <w:tab w:val="center" w:pos="4396"/>
        </w:tabs>
        <w:ind w:firstLine="480"/>
        <w:rPr>
          <w:kern w:val="0"/>
        </w:rPr>
      </w:pPr>
      <w:r>
        <w:rPr>
          <w:rFonts w:hint="eastAsia"/>
          <w:kern w:val="0"/>
        </w:rPr>
        <w:t>（</w:t>
      </w:r>
      <w:r>
        <w:rPr>
          <w:kern w:val="0"/>
        </w:rPr>
        <w:t>5</w:t>
      </w:r>
      <w:r>
        <w:rPr>
          <w:rFonts w:hint="eastAsia"/>
          <w:kern w:val="0"/>
        </w:rPr>
        <w:t>）《承德市潮河流域生态环境保护规划（2018-2025年）》；</w:t>
      </w:r>
    </w:p>
    <w:p w14:paraId="7261AA6C">
      <w:pPr>
        <w:pStyle w:val="85"/>
        <w:ind w:firstLine="480"/>
        <w:rPr>
          <w:kern w:val="0"/>
        </w:rPr>
      </w:pPr>
      <w:r>
        <w:rPr>
          <w:rFonts w:hint="eastAsia"/>
          <w:kern w:val="0"/>
        </w:rPr>
        <w:t>（</w:t>
      </w:r>
      <w:r>
        <w:rPr>
          <w:kern w:val="0"/>
        </w:rPr>
        <w:t>6</w:t>
      </w:r>
      <w:r>
        <w:rPr>
          <w:rFonts w:hint="eastAsia"/>
          <w:kern w:val="0"/>
        </w:rPr>
        <w:t>）《</w:t>
      </w:r>
      <w:r>
        <w:rPr>
          <w:kern w:val="0"/>
        </w:rPr>
        <w:t>检测报告</w:t>
      </w:r>
      <w:r>
        <w:rPr>
          <w:rFonts w:hint="eastAsia"/>
          <w:kern w:val="0"/>
        </w:rPr>
        <w:t>》（HBJC检字(2025)第661号）；</w:t>
      </w:r>
    </w:p>
    <w:p w14:paraId="49338F08">
      <w:pPr>
        <w:pStyle w:val="85"/>
        <w:ind w:firstLine="480"/>
        <w:rPr>
          <w:kern w:val="0"/>
        </w:rPr>
      </w:pPr>
      <w:r>
        <w:rPr>
          <w:rFonts w:hint="eastAsia"/>
          <w:kern w:val="0"/>
        </w:rPr>
        <w:t>（7）《检测报告》云环检字[2025]第0447号；</w:t>
      </w:r>
    </w:p>
    <w:p w14:paraId="0E37216B">
      <w:pPr>
        <w:pStyle w:val="85"/>
        <w:ind w:firstLine="480"/>
        <w:rPr>
          <w:kern w:val="0"/>
        </w:rPr>
      </w:pPr>
      <w:r>
        <w:rPr>
          <w:rFonts w:hint="eastAsia"/>
          <w:kern w:val="0"/>
        </w:rPr>
        <w:t>（</w:t>
      </w:r>
      <w:r>
        <w:rPr>
          <w:kern w:val="0"/>
        </w:rPr>
        <w:t>8</w:t>
      </w:r>
      <w:r>
        <w:rPr>
          <w:rFonts w:hint="eastAsia"/>
          <w:kern w:val="0"/>
        </w:rPr>
        <w:t>）滦平县2024年1-12月份地表水跨县界断面水质生态补偿监测数据；</w:t>
      </w:r>
    </w:p>
    <w:p w14:paraId="72AE98F6">
      <w:pPr>
        <w:pStyle w:val="85"/>
        <w:ind w:firstLine="480"/>
        <w:rPr>
          <w:kern w:val="0"/>
        </w:rPr>
      </w:pPr>
      <w:r>
        <w:rPr>
          <w:rFonts w:hint="eastAsia"/>
          <w:kern w:val="0"/>
        </w:rPr>
        <w:t>（</w:t>
      </w:r>
      <w:r>
        <w:rPr>
          <w:kern w:val="0"/>
        </w:rPr>
        <w:t>9</w:t>
      </w:r>
      <w:r>
        <w:rPr>
          <w:rFonts w:hint="eastAsia"/>
          <w:kern w:val="0"/>
        </w:rPr>
        <w:t>）《中国植物志》（1959-2004年）；</w:t>
      </w:r>
    </w:p>
    <w:p w14:paraId="33BCDEE7">
      <w:pPr>
        <w:pStyle w:val="85"/>
        <w:ind w:firstLine="480"/>
        <w:rPr>
          <w:kern w:val="0"/>
        </w:rPr>
      </w:pPr>
      <w:r>
        <w:rPr>
          <w:rFonts w:hint="eastAsia"/>
          <w:kern w:val="0"/>
        </w:rPr>
        <w:t>（</w:t>
      </w:r>
      <w:r>
        <w:rPr>
          <w:kern w:val="0"/>
        </w:rPr>
        <w:t>10</w:t>
      </w:r>
      <w:r>
        <w:rPr>
          <w:rFonts w:hint="eastAsia"/>
          <w:kern w:val="0"/>
        </w:rPr>
        <w:t>）《中国植被》（1980年）；</w:t>
      </w:r>
    </w:p>
    <w:p w14:paraId="6548D58E">
      <w:pPr>
        <w:pStyle w:val="85"/>
        <w:ind w:firstLine="480"/>
        <w:rPr>
          <w:kern w:val="0"/>
        </w:rPr>
      </w:pPr>
      <w:r>
        <w:rPr>
          <w:rFonts w:hint="eastAsia"/>
          <w:kern w:val="0"/>
        </w:rPr>
        <w:t>（1</w:t>
      </w:r>
      <w:r>
        <w:rPr>
          <w:kern w:val="0"/>
        </w:rPr>
        <w:t>1</w:t>
      </w:r>
      <w:r>
        <w:rPr>
          <w:rFonts w:hint="eastAsia"/>
          <w:kern w:val="0"/>
        </w:rPr>
        <w:t>）《中国两栖纲和爬行纲动物校正名录》（赵尔宓，张学文等，2000年）；</w:t>
      </w:r>
    </w:p>
    <w:p w14:paraId="4E7C1C9D">
      <w:pPr>
        <w:pStyle w:val="85"/>
        <w:ind w:firstLine="480"/>
        <w:rPr>
          <w:kern w:val="0"/>
        </w:rPr>
      </w:pPr>
      <w:r>
        <w:rPr>
          <w:rFonts w:hint="eastAsia"/>
          <w:kern w:val="0"/>
        </w:rPr>
        <w:t>（1</w:t>
      </w:r>
      <w:r>
        <w:rPr>
          <w:kern w:val="0"/>
        </w:rPr>
        <w:t>2</w:t>
      </w:r>
      <w:r>
        <w:rPr>
          <w:rFonts w:hint="eastAsia"/>
          <w:kern w:val="0"/>
        </w:rPr>
        <w:t>）《中国鸟类分类与分布名录（第三版）》（郑光美，2017年）；</w:t>
      </w:r>
    </w:p>
    <w:p w14:paraId="0363C232">
      <w:pPr>
        <w:pStyle w:val="85"/>
        <w:ind w:firstLine="480"/>
        <w:rPr>
          <w:kern w:val="0"/>
        </w:rPr>
      </w:pPr>
      <w:r>
        <w:rPr>
          <w:rFonts w:hint="eastAsia"/>
          <w:kern w:val="0"/>
        </w:rPr>
        <w:t>（1</w:t>
      </w:r>
      <w:r>
        <w:rPr>
          <w:kern w:val="0"/>
        </w:rPr>
        <w:t>3</w:t>
      </w:r>
      <w:r>
        <w:rPr>
          <w:rFonts w:hint="eastAsia"/>
          <w:kern w:val="0"/>
        </w:rPr>
        <w:t>）《中国哺乳动物种和亚种分类名录与分布大全》（王应祥著，2003年）；</w:t>
      </w:r>
    </w:p>
    <w:p w14:paraId="3D418737">
      <w:pPr>
        <w:pStyle w:val="85"/>
        <w:ind w:firstLine="480"/>
        <w:rPr>
          <w:kern w:val="0"/>
        </w:rPr>
      </w:pPr>
      <w:r>
        <w:rPr>
          <w:rFonts w:hint="eastAsia"/>
          <w:kern w:val="0"/>
        </w:rPr>
        <w:t>（1</w:t>
      </w:r>
      <w:r>
        <w:rPr>
          <w:kern w:val="0"/>
        </w:rPr>
        <w:t>4</w:t>
      </w:r>
      <w:r>
        <w:rPr>
          <w:rFonts w:hint="eastAsia"/>
          <w:kern w:val="0"/>
        </w:rPr>
        <w:t>）《中国鸟类图鉴》（钱燕文，1995年）；</w:t>
      </w:r>
    </w:p>
    <w:p w14:paraId="2E3C87F7">
      <w:pPr>
        <w:pStyle w:val="85"/>
        <w:ind w:firstLine="480"/>
        <w:rPr>
          <w:kern w:val="0"/>
        </w:rPr>
      </w:pPr>
      <w:r>
        <w:rPr>
          <w:rFonts w:hint="eastAsia"/>
          <w:kern w:val="0"/>
        </w:rPr>
        <w:t>（1</w:t>
      </w:r>
      <w:r>
        <w:rPr>
          <w:kern w:val="0"/>
        </w:rPr>
        <w:t>5</w:t>
      </w:r>
      <w:r>
        <w:rPr>
          <w:rFonts w:hint="eastAsia"/>
          <w:kern w:val="0"/>
        </w:rPr>
        <w:t>）《中国脊椎动物大全》（刘明玉，解玉浩等，2000年）；</w:t>
      </w:r>
    </w:p>
    <w:p w14:paraId="4BD352EB">
      <w:pPr>
        <w:pStyle w:val="85"/>
        <w:ind w:firstLine="480"/>
        <w:rPr>
          <w:kern w:val="0"/>
        </w:rPr>
      </w:pPr>
      <w:r>
        <w:rPr>
          <w:rFonts w:hint="eastAsia"/>
          <w:kern w:val="0"/>
        </w:rPr>
        <w:t>（1</w:t>
      </w:r>
      <w:r>
        <w:rPr>
          <w:kern w:val="0"/>
        </w:rPr>
        <w:t>6</w:t>
      </w:r>
      <w:r>
        <w:rPr>
          <w:rFonts w:hint="eastAsia"/>
          <w:kern w:val="0"/>
        </w:rPr>
        <w:t>）《中国兽类野外手册》（湖南教育出版社，2009年）；</w:t>
      </w:r>
    </w:p>
    <w:p w14:paraId="3E1FAEDA">
      <w:pPr>
        <w:pStyle w:val="85"/>
        <w:ind w:firstLine="480"/>
        <w:rPr>
          <w:kern w:val="0"/>
        </w:rPr>
      </w:pPr>
      <w:r>
        <w:rPr>
          <w:rFonts w:hint="eastAsia"/>
          <w:kern w:val="0"/>
        </w:rPr>
        <w:t>（1</w:t>
      </w:r>
      <w:r>
        <w:rPr>
          <w:kern w:val="0"/>
        </w:rPr>
        <w:t>7</w:t>
      </w:r>
      <w:r>
        <w:rPr>
          <w:rFonts w:hint="eastAsia"/>
          <w:kern w:val="0"/>
        </w:rPr>
        <w:t>）《河北高等植物名录》（科学出版社，2</w:t>
      </w:r>
      <w:r>
        <w:rPr>
          <w:kern w:val="0"/>
        </w:rPr>
        <w:t>005</w:t>
      </w:r>
      <w:r>
        <w:rPr>
          <w:rFonts w:hint="eastAsia"/>
          <w:kern w:val="0"/>
        </w:rPr>
        <w:t>年）；</w:t>
      </w:r>
    </w:p>
    <w:p w14:paraId="6EBD52DD">
      <w:pPr>
        <w:pStyle w:val="85"/>
        <w:ind w:firstLine="480"/>
        <w:rPr>
          <w:kern w:val="0"/>
        </w:rPr>
      </w:pPr>
      <w:r>
        <w:rPr>
          <w:rFonts w:hint="eastAsia"/>
          <w:kern w:val="0"/>
        </w:rPr>
        <w:t>（</w:t>
      </w:r>
      <w:r>
        <w:rPr>
          <w:kern w:val="0"/>
        </w:rPr>
        <w:t>18</w:t>
      </w:r>
      <w:r>
        <w:rPr>
          <w:rFonts w:hint="eastAsia"/>
          <w:kern w:val="0"/>
        </w:rPr>
        <w:t>）滦平县水务局</w:t>
      </w:r>
      <w:r>
        <w:rPr>
          <w:kern w:val="0"/>
        </w:rPr>
        <w:t>提供的其他资料；</w:t>
      </w:r>
    </w:p>
    <w:p w14:paraId="7020D707">
      <w:pPr>
        <w:pStyle w:val="85"/>
        <w:ind w:firstLine="480"/>
        <w:rPr>
          <w:kern w:val="0"/>
        </w:rPr>
      </w:pPr>
      <w:r>
        <w:rPr>
          <w:rFonts w:hint="eastAsia"/>
          <w:kern w:val="0"/>
        </w:rPr>
        <w:t>（</w:t>
      </w:r>
      <w:r>
        <w:rPr>
          <w:kern w:val="0"/>
        </w:rPr>
        <w:t>19</w:t>
      </w:r>
      <w:r>
        <w:rPr>
          <w:rFonts w:hint="eastAsia"/>
          <w:kern w:val="0"/>
        </w:rPr>
        <w:t>）环评</w:t>
      </w:r>
      <w:r>
        <w:rPr>
          <w:kern w:val="0"/>
        </w:rPr>
        <w:t>委托书。</w:t>
      </w:r>
    </w:p>
    <w:p w14:paraId="36E6135E">
      <w:pPr>
        <w:pStyle w:val="3"/>
        <w:rPr>
          <w:kern w:val="0"/>
        </w:rPr>
      </w:pPr>
      <w:bookmarkStart w:id="20" w:name="_Toc198733143"/>
      <w:r>
        <w:rPr>
          <w:rFonts w:hint="eastAsia"/>
          <w:kern w:val="0"/>
        </w:rPr>
        <w:t>评价</w:t>
      </w:r>
      <w:r>
        <w:rPr>
          <w:kern w:val="0"/>
        </w:rPr>
        <w:t>目的</w:t>
      </w:r>
      <w:bookmarkEnd w:id="20"/>
    </w:p>
    <w:p w14:paraId="3381BF50">
      <w:pPr>
        <w:pStyle w:val="85"/>
        <w:ind w:firstLine="480"/>
        <w:rPr>
          <w:kern w:val="0"/>
        </w:rPr>
      </w:pPr>
      <w:r>
        <w:rPr>
          <w:rFonts w:hint="eastAsia"/>
          <w:kern w:val="0"/>
        </w:rPr>
        <w:t>（1）通过环境现状调查和监测，掌握本项目所在区域的自然环境和环境质量现状，为本项目环境影响评价提供依据。</w:t>
      </w:r>
    </w:p>
    <w:p w14:paraId="13952274">
      <w:pPr>
        <w:pStyle w:val="85"/>
        <w:spacing w:line="500" w:lineRule="exact"/>
        <w:ind w:firstLine="480"/>
        <w:rPr>
          <w:kern w:val="0"/>
        </w:rPr>
      </w:pPr>
      <w:r>
        <w:rPr>
          <w:rFonts w:hint="eastAsia"/>
          <w:kern w:val="0"/>
        </w:rPr>
        <w:t>（2）通过工程分析找出项目的特点和污染特征，确定主要环境影响要素及其污染因子。</w:t>
      </w:r>
    </w:p>
    <w:p w14:paraId="5B576D11">
      <w:pPr>
        <w:pStyle w:val="85"/>
        <w:spacing w:line="500" w:lineRule="exact"/>
        <w:ind w:firstLine="480"/>
        <w:rPr>
          <w:kern w:val="0"/>
        </w:rPr>
      </w:pPr>
      <w:r>
        <w:rPr>
          <w:rFonts w:hint="eastAsia"/>
          <w:kern w:val="0"/>
        </w:rPr>
        <w:t>（3）预测项目实施后对当地环境可能造成影响的范围和程度，从而规定避免和减少污染的对策和措施，并提出污染物总量控制指标。</w:t>
      </w:r>
    </w:p>
    <w:p w14:paraId="44001678">
      <w:pPr>
        <w:pStyle w:val="85"/>
        <w:spacing w:line="500" w:lineRule="exact"/>
        <w:ind w:firstLine="480"/>
        <w:rPr>
          <w:kern w:val="0"/>
        </w:rPr>
      </w:pPr>
      <w:r>
        <w:rPr>
          <w:rFonts w:hint="eastAsia"/>
          <w:kern w:val="0"/>
        </w:rPr>
        <w:t>（4）分析本项目可能存在的环境风险，预测风险发生后可能影响的程度和范围，对本项目环境风险进行评估，并提出相应的风险防范和应急措施。</w:t>
      </w:r>
    </w:p>
    <w:p w14:paraId="526AC5A5">
      <w:pPr>
        <w:pStyle w:val="85"/>
        <w:spacing w:line="500" w:lineRule="exact"/>
        <w:ind w:firstLine="480"/>
        <w:rPr>
          <w:kern w:val="0"/>
        </w:rPr>
      </w:pPr>
      <w:r>
        <w:rPr>
          <w:rFonts w:hint="eastAsia"/>
          <w:kern w:val="0"/>
        </w:rPr>
        <w:t>（5）分析论述污染治理措施的可行性。</w:t>
      </w:r>
    </w:p>
    <w:p w14:paraId="652D32CA">
      <w:pPr>
        <w:pStyle w:val="85"/>
        <w:spacing w:line="500" w:lineRule="exact"/>
        <w:ind w:firstLine="480"/>
        <w:rPr>
          <w:kern w:val="0"/>
        </w:rPr>
      </w:pPr>
      <w:r>
        <w:rPr>
          <w:rFonts w:hint="eastAsia"/>
          <w:kern w:val="0"/>
        </w:rPr>
        <w:t>（6）从环保角度对工程项目建设的可行性给出明确结论，实现环境影响评价的源头预防作用，为环境管理主管部门决策、设计部门优化设计、建设单位环境管理提供科学依据。</w:t>
      </w:r>
    </w:p>
    <w:p w14:paraId="12026626">
      <w:pPr>
        <w:pStyle w:val="3"/>
        <w:rPr>
          <w:kern w:val="0"/>
        </w:rPr>
      </w:pPr>
      <w:bookmarkStart w:id="21" w:name="_Toc198733144"/>
      <w:r>
        <w:rPr>
          <w:rFonts w:hint="eastAsia"/>
          <w:kern w:val="0"/>
        </w:rPr>
        <w:t>评价</w:t>
      </w:r>
      <w:r>
        <w:rPr>
          <w:kern w:val="0"/>
        </w:rPr>
        <w:t>原则</w:t>
      </w:r>
      <w:bookmarkEnd w:id="21"/>
    </w:p>
    <w:p w14:paraId="01156F77">
      <w:pPr>
        <w:pStyle w:val="85"/>
        <w:spacing w:line="500" w:lineRule="exact"/>
        <w:ind w:firstLine="480"/>
        <w:rPr>
          <w:kern w:val="0"/>
        </w:rPr>
      </w:pPr>
      <w:r>
        <w:rPr>
          <w:rFonts w:hint="eastAsia"/>
          <w:kern w:val="0"/>
        </w:rPr>
        <w:t>突出环境影响评价的源头预防作用，坚持保护和改善环境质量。</w:t>
      </w:r>
    </w:p>
    <w:p w14:paraId="2E61C96D">
      <w:pPr>
        <w:pStyle w:val="85"/>
        <w:spacing w:line="500" w:lineRule="exact"/>
        <w:ind w:firstLine="480"/>
        <w:rPr>
          <w:kern w:val="0"/>
        </w:rPr>
      </w:pPr>
      <w:r>
        <w:rPr>
          <w:rFonts w:hint="eastAsia"/>
          <w:kern w:val="0"/>
        </w:rPr>
        <w:t>（1）依法评价</w:t>
      </w:r>
    </w:p>
    <w:p w14:paraId="78791FFB">
      <w:pPr>
        <w:pStyle w:val="85"/>
        <w:spacing w:line="500" w:lineRule="exact"/>
        <w:ind w:firstLine="480"/>
        <w:rPr>
          <w:kern w:val="0"/>
        </w:rPr>
      </w:pPr>
      <w:r>
        <w:rPr>
          <w:rFonts w:hint="eastAsia"/>
          <w:kern w:val="0"/>
        </w:rPr>
        <w:t>贯彻执行我国环境保护相关法律法规、标准、政策和规划等，优化项目建设，服务环境管理。</w:t>
      </w:r>
    </w:p>
    <w:p w14:paraId="59CCCD2A">
      <w:pPr>
        <w:pStyle w:val="85"/>
        <w:spacing w:line="500" w:lineRule="exact"/>
        <w:ind w:firstLine="480"/>
        <w:rPr>
          <w:kern w:val="0"/>
        </w:rPr>
      </w:pPr>
      <w:r>
        <w:rPr>
          <w:rFonts w:hint="eastAsia"/>
          <w:kern w:val="0"/>
        </w:rPr>
        <w:t>（2）科学评价</w:t>
      </w:r>
    </w:p>
    <w:p w14:paraId="20E7B8EC">
      <w:pPr>
        <w:pStyle w:val="85"/>
        <w:spacing w:line="500" w:lineRule="exact"/>
        <w:ind w:firstLine="480"/>
        <w:rPr>
          <w:kern w:val="0"/>
        </w:rPr>
      </w:pPr>
      <w:r>
        <w:rPr>
          <w:rFonts w:hint="eastAsia"/>
          <w:kern w:val="0"/>
        </w:rPr>
        <w:t>规范环境影响评价方法，科学分析项目建设对环境质量的影响。</w:t>
      </w:r>
    </w:p>
    <w:p w14:paraId="74AE0874">
      <w:pPr>
        <w:pStyle w:val="85"/>
        <w:spacing w:line="500" w:lineRule="exact"/>
        <w:ind w:firstLine="480"/>
        <w:rPr>
          <w:kern w:val="0"/>
        </w:rPr>
      </w:pPr>
      <w:r>
        <w:rPr>
          <w:rFonts w:hint="eastAsia"/>
          <w:kern w:val="0"/>
        </w:rPr>
        <w:t>（3）突出重点</w:t>
      </w:r>
    </w:p>
    <w:p w14:paraId="5387385C">
      <w:pPr>
        <w:pStyle w:val="85"/>
        <w:spacing w:line="500" w:lineRule="exact"/>
        <w:ind w:firstLine="480"/>
        <w:rPr>
          <w:kern w:val="0"/>
        </w:rPr>
      </w:pPr>
      <w:r>
        <w:rPr>
          <w:rFonts w:hint="eastAsia"/>
          <w:kern w:val="0"/>
        </w:rPr>
        <w:t>根据建设项目的工程内容及其特点，明确与环境要素间的作用效应关系，根据生态环境</w:t>
      </w:r>
      <w:r>
        <w:rPr>
          <w:kern w:val="0"/>
        </w:rPr>
        <w:t>保护规划、</w:t>
      </w:r>
      <w:r>
        <w:rPr>
          <w:rFonts w:hint="eastAsia"/>
          <w:kern w:val="0"/>
        </w:rPr>
        <w:t>潮河</w:t>
      </w:r>
      <w:r>
        <w:rPr>
          <w:kern w:val="0"/>
        </w:rPr>
        <w:t>保护规划等</w:t>
      </w:r>
      <w:r>
        <w:rPr>
          <w:rFonts w:hint="eastAsia"/>
          <w:kern w:val="0"/>
        </w:rPr>
        <w:t>，充分利用符合时效的数据资料及成果，对建设项目主要环境影响予以重点分析和评价。</w:t>
      </w:r>
    </w:p>
    <w:p w14:paraId="058A02C2">
      <w:pPr>
        <w:pStyle w:val="3"/>
        <w:rPr>
          <w:kern w:val="0"/>
        </w:rPr>
      </w:pPr>
      <w:bookmarkStart w:id="22" w:name="_Toc198733145"/>
      <w:r>
        <w:rPr>
          <w:rFonts w:hint="eastAsia"/>
          <w:kern w:val="0"/>
        </w:rPr>
        <w:t>环境</w:t>
      </w:r>
      <w:r>
        <w:rPr>
          <w:kern w:val="0"/>
        </w:rPr>
        <w:t>影响</w:t>
      </w:r>
      <w:r>
        <w:rPr>
          <w:rFonts w:hint="eastAsia"/>
          <w:kern w:val="0"/>
        </w:rPr>
        <w:t>因素识别与评价因子筛选</w:t>
      </w:r>
      <w:bookmarkEnd w:id="22"/>
    </w:p>
    <w:p w14:paraId="1A987E15">
      <w:pPr>
        <w:pStyle w:val="4"/>
        <w:rPr>
          <w:kern w:val="0"/>
        </w:rPr>
      </w:pPr>
      <w:r>
        <w:rPr>
          <w:rFonts w:hint="eastAsia"/>
          <w:kern w:val="0"/>
        </w:rPr>
        <w:t>环境影响因素识别</w:t>
      </w:r>
    </w:p>
    <w:p w14:paraId="5AB47062">
      <w:pPr>
        <w:pStyle w:val="85"/>
        <w:spacing w:line="500" w:lineRule="exact"/>
        <w:ind w:firstLine="480"/>
        <w:rPr>
          <w:kern w:val="0"/>
        </w:rPr>
        <w:sectPr>
          <w:headerReference r:id="rId12" w:type="even"/>
          <w:pgSz w:w="11906" w:h="16838"/>
          <w:pgMar w:top="2007" w:right="1797" w:bottom="1724" w:left="1797" w:header="1417" w:footer="1162" w:gutter="0"/>
          <w:pgNumType w:fmt="numberInDash"/>
          <w:cols w:space="425" w:num="1"/>
          <w:docGrid w:type="lines" w:linePitch="312" w:charSpace="0"/>
        </w:sectPr>
      </w:pPr>
      <w:r>
        <w:rPr>
          <w:rFonts w:hint="eastAsia"/>
          <w:kern w:val="0"/>
        </w:rPr>
        <w:t>本项目的环境影响主要分为施工期、运营期两个阶段，根据工程建设内容、施工工艺、排放污染物的种类、数量并结合评价区的环境特征，按施工期和运营期对本工程主要环境影响因素、影响类型和影响程度进行识别，结果见</w:t>
      </w:r>
      <w:r>
        <w:rPr>
          <w:kern w:val="0"/>
        </w:rPr>
        <w:fldChar w:fldCharType="begin"/>
      </w:r>
      <w:r>
        <w:rPr>
          <w:kern w:val="0"/>
        </w:rPr>
        <w:instrText xml:space="preserve"> REF _Ref470535028 \h  \* MERGEFORMAT </w:instrText>
      </w:r>
      <w:r>
        <w:rPr>
          <w:kern w:val="0"/>
        </w:rPr>
        <w:fldChar w:fldCharType="separate"/>
      </w:r>
      <w:r>
        <w:rPr>
          <w:rFonts w:hint="eastAsia"/>
          <w:kern w:val="0"/>
        </w:rPr>
        <w:t>表</w:t>
      </w:r>
      <w:r>
        <w:rPr>
          <w:kern w:val="0"/>
        </w:rPr>
        <w:t>1</w:t>
      </w:r>
      <w:r>
        <w:rPr>
          <w:kern w:val="0"/>
        </w:rPr>
        <w:noBreakHyphen/>
      </w:r>
      <w:r>
        <w:rPr>
          <w:kern w:val="0"/>
        </w:rPr>
        <w:t>1</w:t>
      </w:r>
      <w:r>
        <w:rPr>
          <w:kern w:val="0"/>
        </w:rPr>
        <w:fldChar w:fldCharType="end"/>
      </w:r>
      <w:r>
        <w:rPr>
          <w:rFonts w:hint="eastAsia"/>
          <w:kern w:val="0"/>
        </w:rPr>
        <w:t>。</w:t>
      </w:r>
      <w:bookmarkStart w:id="23" w:name="_Ref446496655"/>
    </w:p>
    <w:p w14:paraId="4433D02F">
      <w:pPr>
        <w:pStyle w:val="85"/>
        <w:ind w:firstLine="480"/>
        <w:jc w:val="center"/>
        <w:rPr>
          <w:rFonts w:eastAsia="黑体"/>
          <w:bCs/>
          <w:kern w:val="0"/>
          <w:szCs w:val="32"/>
        </w:rPr>
      </w:pPr>
      <w:bookmarkStart w:id="24" w:name="_Ref470535028"/>
      <w:r>
        <w:rPr>
          <w:rFonts w:hint="eastAsia" w:eastAsia="黑体"/>
          <w:bCs/>
          <w:kern w:val="0"/>
          <w:szCs w:val="32"/>
        </w:rPr>
        <w:t>表</w:t>
      </w:r>
      <w:r>
        <w:rPr>
          <w:rFonts w:eastAsia="黑体"/>
          <w:bCs/>
          <w:kern w:val="0"/>
          <w:szCs w:val="32"/>
        </w:rPr>
        <w:fldChar w:fldCharType="begin"/>
      </w:r>
      <w:r>
        <w:rPr>
          <w:rFonts w:eastAsia="黑体"/>
          <w:bCs/>
          <w:kern w:val="0"/>
          <w:szCs w:val="32"/>
        </w:rPr>
        <w:instrText xml:space="preserve"> </w:instrText>
      </w:r>
      <w:r>
        <w:rPr>
          <w:rFonts w:hint="eastAsia" w:eastAsia="黑体"/>
          <w:bCs/>
          <w:kern w:val="0"/>
          <w:szCs w:val="32"/>
        </w:rPr>
        <w:instrText xml:space="preserve">STYLEREF 1 \s</w:instrText>
      </w:r>
      <w:r>
        <w:rPr>
          <w:rFonts w:eastAsia="黑体"/>
          <w:bCs/>
          <w:kern w:val="0"/>
          <w:szCs w:val="32"/>
        </w:rPr>
        <w:instrText xml:space="preserve"> </w:instrText>
      </w:r>
      <w:r>
        <w:rPr>
          <w:rFonts w:eastAsia="黑体"/>
          <w:bCs/>
          <w:kern w:val="0"/>
          <w:szCs w:val="32"/>
        </w:rPr>
        <w:fldChar w:fldCharType="separate"/>
      </w:r>
      <w:r>
        <w:rPr>
          <w:rFonts w:eastAsia="黑体"/>
          <w:bCs/>
          <w:kern w:val="0"/>
          <w:szCs w:val="32"/>
        </w:rPr>
        <w:t>1</w:t>
      </w:r>
      <w:r>
        <w:rPr>
          <w:rFonts w:eastAsia="黑体"/>
          <w:bCs/>
          <w:kern w:val="0"/>
          <w:szCs w:val="32"/>
        </w:rPr>
        <w:fldChar w:fldCharType="end"/>
      </w:r>
      <w:r>
        <w:rPr>
          <w:rFonts w:eastAsia="黑体"/>
          <w:bCs/>
          <w:kern w:val="0"/>
          <w:szCs w:val="32"/>
        </w:rPr>
        <w:noBreakHyphen/>
      </w:r>
      <w:r>
        <w:rPr>
          <w:rFonts w:eastAsia="黑体"/>
          <w:bCs/>
          <w:kern w:val="0"/>
          <w:szCs w:val="32"/>
        </w:rPr>
        <w:fldChar w:fldCharType="begin"/>
      </w:r>
      <w:r>
        <w:rPr>
          <w:rFonts w:eastAsia="黑体"/>
          <w:bCs/>
          <w:kern w:val="0"/>
          <w:szCs w:val="32"/>
        </w:rPr>
        <w:instrText xml:space="preserve"> </w:instrText>
      </w:r>
      <w:r>
        <w:rPr>
          <w:rFonts w:hint="eastAsia" w:eastAsia="黑体"/>
          <w:bCs/>
          <w:kern w:val="0"/>
          <w:szCs w:val="32"/>
        </w:rPr>
        <w:instrText xml:space="preserve">SEQ 表 \* ARABIC \s 1</w:instrText>
      </w:r>
      <w:r>
        <w:rPr>
          <w:rFonts w:eastAsia="黑体"/>
          <w:bCs/>
          <w:kern w:val="0"/>
          <w:szCs w:val="32"/>
        </w:rPr>
        <w:instrText xml:space="preserve"> </w:instrText>
      </w:r>
      <w:r>
        <w:rPr>
          <w:rFonts w:eastAsia="黑体"/>
          <w:bCs/>
          <w:kern w:val="0"/>
          <w:szCs w:val="32"/>
        </w:rPr>
        <w:fldChar w:fldCharType="separate"/>
      </w:r>
      <w:r>
        <w:rPr>
          <w:rFonts w:eastAsia="黑体"/>
          <w:bCs/>
          <w:kern w:val="0"/>
          <w:szCs w:val="32"/>
        </w:rPr>
        <w:t>1</w:t>
      </w:r>
      <w:r>
        <w:rPr>
          <w:rFonts w:eastAsia="黑体"/>
          <w:bCs/>
          <w:kern w:val="0"/>
          <w:szCs w:val="32"/>
        </w:rPr>
        <w:fldChar w:fldCharType="end"/>
      </w:r>
      <w:bookmarkEnd w:id="23"/>
      <w:bookmarkEnd w:id="24"/>
      <w:r>
        <w:rPr>
          <w:rFonts w:eastAsia="黑体"/>
          <w:bCs/>
          <w:kern w:val="0"/>
          <w:szCs w:val="32"/>
        </w:rPr>
        <w:t xml:space="preserve">  </w:t>
      </w:r>
      <w:r>
        <w:rPr>
          <w:rFonts w:hint="eastAsia" w:eastAsia="黑体"/>
          <w:bCs/>
          <w:kern w:val="0"/>
          <w:szCs w:val="32"/>
        </w:rPr>
        <w:t>工程</w:t>
      </w:r>
      <w:r>
        <w:rPr>
          <w:rFonts w:eastAsia="黑体"/>
          <w:bCs/>
          <w:kern w:val="0"/>
          <w:szCs w:val="32"/>
        </w:rPr>
        <w:t>环境影响因素识别矩阵</w:t>
      </w:r>
    </w:p>
    <w:tbl>
      <w:tblPr>
        <w:tblStyle w:val="6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05"/>
        <w:gridCol w:w="3557"/>
        <w:gridCol w:w="1010"/>
        <w:gridCol w:w="761"/>
        <w:gridCol w:w="761"/>
        <w:gridCol w:w="761"/>
        <w:gridCol w:w="1010"/>
        <w:gridCol w:w="1010"/>
        <w:gridCol w:w="512"/>
        <w:gridCol w:w="1010"/>
        <w:gridCol w:w="512"/>
        <w:gridCol w:w="1010"/>
        <w:gridCol w:w="498"/>
      </w:tblGrid>
      <w:tr w14:paraId="51671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269" w:type="pct"/>
            <w:vMerge w:val="restart"/>
            <w:vAlign w:val="center"/>
          </w:tcPr>
          <w:p w14:paraId="12C6864D">
            <w:pPr>
              <w:spacing w:line="300" w:lineRule="exact"/>
              <w:ind w:right="-17"/>
              <w:jc w:val="center"/>
              <w:rPr>
                <w:kern w:val="0"/>
              </w:rPr>
            </w:pPr>
            <w:r>
              <w:rPr>
                <w:rFonts w:hint="eastAsia"/>
                <w:kern w:val="0"/>
              </w:rPr>
              <w:t>时段</w:t>
            </w:r>
          </w:p>
        </w:tc>
        <w:tc>
          <w:tcPr>
            <w:tcW w:w="1356" w:type="pct"/>
            <w:vMerge w:val="restart"/>
            <w:vAlign w:val="center"/>
          </w:tcPr>
          <w:p w14:paraId="651AE8AD">
            <w:pPr>
              <w:spacing w:line="300" w:lineRule="exact"/>
              <w:ind w:right="-17"/>
              <w:jc w:val="center"/>
              <w:rPr>
                <w:kern w:val="0"/>
              </w:rPr>
            </w:pPr>
            <w:r>
              <w:rPr>
                <w:rFonts w:hint="eastAsia"/>
                <w:kern w:val="0"/>
              </w:rPr>
              <w:t>类别</w:t>
            </w:r>
          </w:p>
        </w:tc>
        <w:tc>
          <w:tcPr>
            <w:tcW w:w="1640" w:type="pct"/>
            <w:gridSpan w:val="5"/>
            <w:vAlign w:val="center"/>
          </w:tcPr>
          <w:p w14:paraId="545D113C">
            <w:pPr>
              <w:spacing w:line="300" w:lineRule="exact"/>
              <w:ind w:right="-17"/>
              <w:jc w:val="center"/>
              <w:rPr>
                <w:kern w:val="0"/>
              </w:rPr>
            </w:pPr>
            <w:r>
              <w:rPr>
                <w:kern w:val="0"/>
              </w:rPr>
              <w:t>自然环境</w:t>
            </w:r>
          </w:p>
        </w:tc>
        <w:tc>
          <w:tcPr>
            <w:tcW w:w="1735" w:type="pct"/>
            <w:gridSpan w:val="6"/>
            <w:vAlign w:val="center"/>
          </w:tcPr>
          <w:p w14:paraId="0E1E5596">
            <w:pPr>
              <w:spacing w:line="300" w:lineRule="exact"/>
              <w:ind w:right="-17"/>
              <w:jc w:val="center"/>
              <w:rPr>
                <w:kern w:val="0"/>
              </w:rPr>
            </w:pPr>
            <w:r>
              <w:rPr>
                <w:kern w:val="0"/>
              </w:rPr>
              <w:t>生态环境</w:t>
            </w:r>
          </w:p>
        </w:tc>
      </w:tr>
      <w:tr w14:paraId="1D285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269" w:type="pct"/>
            <w:vMerge w:val="continue"/>
            <w:vAlign w:val="center"/>
          </w:tcPr>
          <w:p w14:paraId="7AAAABEE">
            <w:pPr>
              <w:spacing w:line="300" w:lineRule="exact"/>
              <w:ind w:right="-17"/>
              <w:jc w:val="center"/>
              <w:rPr>
                <w:kern w:val="0"/>
              </w:rPr>
            </w:pPr>
          </w:p>
        </w:tc>
        <w:tc>
          <w:tcPr>
            <w:tcW w:w="1356" w:type="pct"/>
            <w:vMerge w:val="continue"/>
            <w:vAlign w:val="center"/>
          </w:tcPr>
          <w:p w14:paraId="0092B6EF">
            <w:pPr>
              <w:spacing w:line="300" w:lineRule="exact"/>
              <w:ind w:right="-17"/>
              <w:jc w:val="center"/>
              <w:rPr>
                <w:kern w:val="0"/>
              </w:rPr>
            </w:pPr>
          </w:p>
        </w:tc>
        <w:tc>
          <w:tcPr>
            <w:tcW w:w="385" w:type="pct"/>
            <w:vAlign w:val="center"/>
          </w:tcPr>
          <w:p w14:paraId="1780B0D7">
            <w:pPr>
              <w:spacing w:line="300" w:lineRule="exact"/>
              <w:ind w:right="-17"/>
              <w:jc w:val="center"/>
              <w:rPr>
                <w:kern w:val="0"/>
              </w:rPr>
            </w:pPr>
            <w:r>
              <w:rPr>
                <w:rFonts w:hint="eastAsia"/>
                <w:kern w:val="0"/>
              </w:rPr>
              <w:t>环境</w:t>
            </w:r>
            <w:r>
              <w:rPr>
                <w:kern w:val="0"/>
              </w:rPr>
              <w:t>空气</w:t>
            </w:r>
          </w:p>
        </w:tc>
        <w:tc>
          <w:tcPr>
            <w:tcW w:w="290" w:type="pct"/>
            <w:vAlign w:val="center"/>
          </w:tcPr>
          <w:p w14:paraId="3F0CDC8F">
            <w:pPr>
              <w:spacing w:line="300" w:lineRule="exact"/>
              <w:ind w:right="-17"/>
              <w:jc w:val="center"/>
              <w:rPr>
                <w:kern w:val="0"/>
              </w:rPr>
            </w:pPr>
            <w:r>
              <w:rPr>
                <w:rFonts w:hint="eastAsia"/>
                <w:kern w:val="0"/>
              </w:rPr>
              <w:t>地表水</w:t>
            </w:r>
          </w:p>
        </w:tc>
        <w:tc>
          <w:tcPr>
            <w:tcW w:w="290" w:type="pct"/>
            <w:vAlign w:val="center"/>
          </w:tcPr>
          <w:p w14:paraId="6B761E9E">
            <w:pPr>
              <w:spacing w:line="300" w:lineRule="exact"/>
              <w:ind w:right="-17"/>
              <w:jc w:val="center"/>
              <w:rPr>
                <w:kern w:val="0"/>
              </w:rPr>
            </w:pPr>
            <w:r>
              <w:rPr>
                <w:rFonts w:hint="eastAsia"/>
                <w:kern w:val="0"/>
              </w:rPr>
              <w:t>地下水</w:t>
            </w:r>
          </w:p>
        </w:tc>
        <w:tc>
          <w:tcPr>
            <w:tcW w:w="290" w:type="pct"/>
            <w:vAlign w:val="center"/>
          </w:tcPr>
          <w:p w14:paraId="2D8192A1">
            <w:pPr>
              <w:spacing w:line="300" w:lineRule="exact"/>
              <w:ind w:right="-17"/>
              <w:jc w:val="center"/>
              <w:rPr>
                <w:kern w:val="0"/>
              </w:rPr>
            </w:pPr>
            <w:r>
              <w:rPr>
                <w:rFonts w:hint="eastAsia"/>
                <w:kern w:val="0"/>
              </w:rPr>
              <w:t>声环境</w:t>
            </w:r>
          </w:p>
        </w:tc>
        <w:tc>
          <w:tcPr>
            <w:tcW w:w="385" w:type="pct"/>
            <w:vAlign w:val="center"/>
          </w:tcPr>
          <w:p w14:paraId="5EE2EE72">
            <w:pPr>
              <w:spacing w:line="300" w:lineRule="exact"/>
              <w:ind w:right="-17"/>
              <w:jc w:val="center"/>
              <w:rPr>
                <w:kern w:val="0"/>
              </w:rPr>
            </w:pPr>
            <w:r>
              <w:rPr>
                <w:rFonts w:hint="eastAsia"/>
                <w:kern w:val="0"/>
              </w:rPr>
              <w:t>水文情势</w:t>
            </w:r>
          </w:p>
        </w:tc>
        <w:tc>
          <w:tcPr>
            <w:tcW w:w="385" w:type="pct"/>
            <w:vAlign w:val="center"/>
          </w:tcPr>
          <w:p w14:paraId="42E281F3">
            <w:pPr>
              <w:spacing w:line="300" w:lineRule="exact"/>
              <w:ind w:right="-17"/>
              <w:jc w:val="center"/>
              <w:rPr>
                <w:kern w:val="0"/>
              </w:rPr>
            </w:pPr>
            <w:r>
              <w:rPr>
                <w:rFonts w:hint="eastAsia"/>
                <w:kern w:val="0"/>
              </w:rPr>
              <w:t>土地</w:t>
            </w:r>
            <w:r>
              <w:rPr>
                <w:kern w:val="0"/>
              </w:rPr>
              <w:t>利用</w:t>
            </w:r>
          </w:p>
        </w:tc>
        <w:tc>
          <w:tcPr>
            <w:tcW w:w="195" w:type="pct"/>
            <w:vAlign w:val="center"/>
          </w:tcPr>
          <w:p w14:paraId="06A02EC2">
            <w:pPr>
              <w:spacing w:line="300" w:lineRule="exact"/>
              <w:ind w:right="-17"/>
              <w:jc w:val="center"/>
              <w:rPr>
                <w:kern w:val="0"/>
              </w:rPr>
            </w:pPr>
            <w:r>
              <w:rPr>
                <w:kern w:val="0"/>
              </w:rPr>
              <w:t>植被</w:t>
            </w:r>
          </w:p>
        </w:tc>
        <w:tc>
          <w:tcPr>
            <w:tcW w:w="385" w:type="pct"/>
            <w:vAlign w:val="center"/>
          </w:tcPr>
          <w:p w14:paraId="4A2E7608">
            <w:pPr>
              <w:spacing w:line="300" w:lineRule="exact"/>
              <w:ind w:right="-17"/>
              <w:jc w:val="center"/>
              <w:rPr>
                <w:kern w:val="0"/>
              </w:rPr>
            </w:pPr>
            <w:r>
              <w:rPr>
                <w:rFonts w:hint="eastAsia"/>
                <w:kern w:val="0"/>
              </w:rPr>
              <w:t>水土</w:t>
            </w:r>
            <w:r>
              <w:rPr>
                <w:kern w:val="0"/>
              </w:rPr>
              <w:t>流失</w:t>
            </w:r>
          </w:p>
        </w:tc>
        <w:tc>
          <w:tcPr>
            <w:tcW w:w="195" w:type="pct"/>
            <w:vAlign w:val="center"/>
          </w:tcPr>
          <w:p w14:paraId="7372FB87">
            <w:pPr>
              <w:spacing w:line="300" w:lineRule="exact"/>
              <w:ind w:right="-17"/>
              <w:jc w:val="center"/>
              <w:rPr>
                <w:kern w:val="0"/>
              </w:rPr>
            </w:pPr>
            <w:r>
              <w:rPr>
                <w:rFonts w:hint="eastAsia"/>
                <w:kern w:val="0"/>
              </w:rPr>
              <w:t>景观</w:t>
            </w:r>
          </w:p>
        </w:tc>
        <w:tc>
          <w:tcPr>
            <w:tcW w:w="385" w:type="pct"/>
            <w:vAlign w:val="center"/>
          </w:tcPr>
          <w:p w14:paraId="2594DE50">
            <w:pPr>
              <w:spacing w:line="300" w:lineRule="exact"/>
              <w:ind w:right="-17"/>
              <w:jc w:val="center"/>
              <w:rPr>
                <w:kern w:val="0"/>
              </w:rPr>
            </w:pPr>
            <w:r>
              <w:rPr>
                <w:rFonts w:hint="eastAsia"/>
                <w:kern w:val="0"/>
              </w:rPr>
              <w:t>水生</w:t>
            </w:r>
            <w:r>
              <w:rPr>
                <w:kern w:val="0"/>
              </w:rPr>
              <w:t>生态</w:t>
            </w:r>
          </w:p>
        </w:tc>
        <w:tc>
          <w:tcPr>
            <w:tcW w:w="190" w:type="pct"/>
            <w:vAlign w:val="center"/>
          </w:tcPr>
          <w:p w14:paraId="13A3C401">
            <w:pPr>
              <w:spacing w:line="300" w:lineRule="exact"/>
              <w:ind w:right="-17"/>
              <w:jc w:val="center"/>
              <w:rPr>
                <w:kern w:val="0"/>
              </w:rPr>
            </w:pPr>
            <w:r>
              <w:rPr>
                <w:rFonts w:hint="eastAsia"/>
                <w:kern w:val="0"/>
              </w:rPr>
              <w:t>动物</w:t>
            </w:r>
          </w:p>
        </w:tc>
      </w:tr>
      <w:tr w14:paraId="0D881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6" w:hRule="atLeast"/>
          <w:jc w:val="center"/>
        </w:trPr>
        <w:tc>
          <w:tcPr>
            <w:tcW w:w="269" w:type="pct"/>
            <w:vMerge w:val="restart"/>
            <w:vAlign w:val="center"/>
          </w:tcPr>
          <w:p w14:paraId="66421411">
            <w:pPr>
              <w:spacing w:line="300" w:lineRule="exact"/>
              <w:ind w:right="-17"/>
              <w:jc w:val="center"/>
              <w:rPr>
                <w:kern w:val="0"/>
              </w:rPr>
            </w:pPr>
            <w:r>
              <w:rPr>
                <w:kern w:val="0"/>
              </w:rPr>
              <w:t>施工期</w:t>
            </w:r>
          </w:p>
        </w:tc>
        <w:tc>
          <w:tcPr>
            <w:tcW w:w="1356" w:type="pct"/>
            <w:vAlign w:val="center"/>
          </w:tcPr>
          <w:p w14:paraId="1008B748">
            <w:pPr>
              <w:spacing w:line="300" w:lineRule="exact"/>
              <w:ind w:right="-112"/>
              <w:jc w:val="center"/>
              <w:rPr>
                <w:kern w:val="0"/>
              </w:rPr>
            </w:pPr>
            <w:r>
              <w:rPr>
                <w:rFonts w:hint="eastAsia"/>
                <w:kern w:val="0"/>
              </w:rPr>
              <w:t>河道基底修复及微地形梳理</w:t>
            </w:r>
          </w:p>
        </w:tc>
        <w:tc>
          <w:tcPr>
            <w:tcW w:w="385" w:type="pct"/>
            <w:vAlign w:val="center"/>
          </w:tcPr>
          <w:p w14:paraId="396BF63C">
            <w:pPr>
              <w:spacing w:line="300" w:lineRule="exact"/>
              <w:ind w:right="-17"/>
              <w:jc w:val="center"/>
              <w:rPr>
                <w:kern w:val="0"/>
              </w:rPr>
            </w:pPr>
            <w:r>
              <w:rPr>
                <w:rFonts w:hint="eastAsia"/>
                <w:kern w:val="0"/>
              </w:rPr>
              <w:t>-1</w:t>
            </w:r>
            <w:r>
              <w:rPr>
                <w:kern w:val="0"/>
              </w:rPr>
              <w:t>D</w:t>
            </w:r>
          </w:p>
        </w:tc>
        <w:tc>
          <w:tcPr>
            <w:tcW w:w="290" w:type="pct"/>
            <w:vAlign w:val="center"/>
          </w:tcPr>
          <w:p w14:paraId="7DD234A9">
            <w:pPr>
              <w:spacing w:line="300" w:lineRule="exact"/>
              <w:ind w:right="-17"/>
              <w:jc w:val="center"/>
              <w:rPr>
                <w:kern w:val="0"/>
              </w:rPr>
            </w:pPr>
            <w:r>
              <w:rPr>
                <w:kern w:val="0"/>
              </w:rPr>
              <w:t>/</w:t>
            </w:r>
          </w:p>
        </w:tc>
        <w:tc>
          <w:tcPr>
            <w:tcW w:w="290" w:type="pct"/>
            <w:vAlign w:val="center"/>
          </w:tcPr>
          <w:p w14:paraId="043B2192">
            <w:pPr>
              <w:spacing w:line="300" w:lineRule="exact"/>
              <w:ind w:right="-17"/>
              <w:jc w:val="center"/>
              <w:rPr>
                <w:kern w:val="0"/>
              </w:rPr>
            </w:pPr>
            <w:r>
              <w:rPr>
                <w:kern w:val="0"/>
              </w:rPr>
              <w:t>/</w:t>
            </w:r>
          </w:p>
        </w:tc>
        <w:tc>
          <w:tcPr>
            <w:tcW w:w="290" w:type="pct"/>
            <w:vAlign w:val="center"/>
          </w:tcPr>
          <w:p w14:paraId="6B83A059">
            <w:pPr>
              <w:jc w:val="center"/>
              <w:rPr>
                <w:kern w:val="0"/>
              </w:rPr>
            </w:pPr>
            <w:r>
              <w:rPr>
                <w:rFonts w:hint="eastAsia"/>
                <w:kern w:val="0"/>
              </w:rPr>
              <w:t>-</w:t>
            </w:r>
            <w:r>
              <w:rPr>
                <w:kern w:val="0"/>
              </w:rPr>
              <w:t>2D</w:t>
            </w:r>
          </w:p>
        </w:tc>
        <w:tc>
          <w:tcPr>
            <w:tcW w:w="385" w:type="pct"/>
            <w:vAlign w:val="center"/>
          </w:tcPr>
          <w:p w14:paraId="33AB6D05">
            <w:pPr>
              <w:jc w:val="center"/>
              <w:rPr>
                <w:kern w:val="0"/>
              </w:rPr>
            </w:pPr>
            <w:r>
              <w:rPr>
                <w:kern w:val="0"/>
              </w:rPr>
              <w:t>/</w:t>
            </w:r>
          </w:p>
        </w:tc>
        <w:tc>
          <w:tcPr>
            <w:tcW w:w="385" w:type="pct"/>
            <w:vAlign w:val="center"/>
          </w:tcPr>
          <w:p w14:paraId="528227DD">
            <w:pPr>
              <w:jc w:val="center"/>
              <w:rPr>
                <w:kern w:val="0"/>
              </w:rPr>
            </w:pPr>
            <w:r>
              <w:rPr>
                <w:rFonts w:hint="eastAsia"/>
                <w:kern w:val="0"/>
              </w:rPr>
              <w:t>/</w:t>
            </w:r>
          </w:p>
        </w:tc>
        <w:tc>
          <w:tcPr>
            <w:tcW w:w="195" w:type="pct"/>
            <w:vAlign w:val="center"/>
          </w:tcPr>
          <w:p w14:paraId="66403B53">
            <w:pPr>
              <w:jc w:val="center"/>
              <w:rPr>
                <w:kern w:val="0"/>
              </w:rPr>
            </w:pPr>
            <w:r>
              <w:rPr>
                <w:kern w:val="0"/>
              </w:rPr>
              <w:t>/</w:t>
            </w:r>
          </w:p>
        </w:tc>
        <w:tc>
          <w:tcPr>
            <w:tcW w:w="385" w:type="pct"/>
            <w:vAlign w:val="center"/>
          </w:tcPr>
          <w:p w14:paraId="4930CA86">
            <w:pPr>
              <w:jc w:val="center"/>
              <w:rPr>
                <w:kern w:val="0"/>
              </w:rPr>
            </w:pPr>
            <w:r>
              <w:rPr>
                <w:rFonts w:hint="eastAsia"/>
                <w:kern w:val="0"/>
              </w:rPr>
              <w:t>-1</w:t>
            </w:r>
            <w:r>
              <w:rPr>
                <w:kern w:val="0"/>
              </w:rPr>
              <w:t>D</w:t>
            </w:r>
          </w:p>
        </w:tc>
        <w:tc>
          <w:tcPr>
            <w:tcW w:w="195" w:type="pct"/>
            <w:vAlign w:val="center"/>
          </w:tcPr>
          <w:p w14:paraId="6FD65BAE">
            <w:pPr>
              <w:spacing w:line="300" w:lineRule="exact"/>
              <w:ind w:right="-17"/>
              <w:jc w:val="center"/>
              <w:rPr>
                <w:kern w:val="0"/>
              </w:rPr>
            </w:pPr>
            <w:r>
              <w:rPr>
                <w:kern w:val="0"/>
              </w:rPr>
              <w:t>/</w:t>
            </w:r>
          </w:p>
        </w:tc>
        <w:tc>
          <w:tcPr>
            <w:tcW w:w="385" w:type="pct"/>
            <w:vAlign w:val="center"/>
          </w:tcPr>
          <w:p w14:paraId="2EA79CC1">
            <w:pPr>
              <w:spacing w:line="300" w:lineRule="exact"/>
              <w:ind w:right="-17"/>
              <w:jc w:val="center"/>
              <w:rPr>
                <w:kern w:val="0"/>
              </w:rPr>
            </w:pPr>
            <w:r>
              <w:rPr>
                <w:kern w:val="0"/>
              </w:rPr>
              <w:t>/</w:t>
            </w:r>
          </w:p>
        </w:tc>
        <w:tc>
          <w:tcPr>
            <w:tcW w:w="190" w:type="pct"/>
            <w:vAlign w:val="center"/>
          </w:tcPr>
          <w:p w14:paraId="671D19DA">
            <w:pPr>
              <w:spacing w:line="300" w:lineRule="exact"/>
              <w:ind w:right="-17"/>
              <w:jc w:val="center"/>
              <w:rPr>
                <w:kern w:val="0"/>
              </w:rPr>
            </w:pPr>
            <w:r>
              <w:rPr>
                <w:rFonts w:hint="eastAsia"/>
                <w:kern w:val="0"/>
              </w:rPr>
              <w:t>-1</w:t>
            </w:r>
            <w:r>
              <w:rPr>
                <w:kern w:val="0"/>
              </w:rPr>
              <w:t>D</w:t>
            </w:r>
          </w:p>
        </w:tc>
      </w:tr>
      <w:tr w14:paraId="35834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 w:hRule="atLeast"/>
          <w:jc w:val="center"/>
        </w:trPr>
        <w:tc>
          <w:tcPr>
            <w:tcW w:w="269" w:type="pct"/>
            <w:vMerge w:val="continue"/>
            <w:vAlign w:val="center"/>
          </w:tcPr>
          <w:p w14:paraId="39C29816">
            <w:pPr>
              <w:spacing w:line="300" w:lineRule="exact"/>
              <w:ind w:right="-17"/>
              <w:jc w:val="center"/>
              <w:rPr>
                <w:kern w:val="0"/>
              </w:rPr>
            </w:pPr>
          </w:p>
        </w:tc>
        <w:tc>
          <w:tcPr>
            <w:tcW w:w="1356" w:type="pct"/>
            <w:vAlign w:val="center"/>
          </w:tcPr>
          <w:p w14:paraId="79514447">
            <w:pPr>
              <w:spacing w:line="300" w:lineRule="exact"/>
              <w:ind w:right="-112"/>
              <w:jc w:val="center"/>
              <w:rPr>
                <w:kern w:val="0"/>
              </w:rPr>
            </w:pPr>
            <w:r>
              <w:rPr>
                <w:rFonts w:hint="eastAsia"/>
                <w:kern w:val="0"/>
              </w:rPr>
              <w:t>构建恢复生态缓冲带及陆域植被恢复</w:t>
            </w:r>
          </w:p>
        </w:tc>
        <w:tc>
          <w:tcPr>
            <w:tcW w:w="385" w:type="pct"/>
            <w:vAlign w:val="center"/>
          </w:tcPr>
          <w:p w14:paraId="3DB55227">
            <w:pPr>
              <w:spacing w:line="300" w:lineRule="exact"/>
              <w:ind w:right="-17"/>
              <w:jc w:val="center"/>
              <w:rPr>
                <w:kern w:val="0"/>
              </w:rPr>
            </w:pPr>
            <w:r>
              <w:rPr>
                <w:rFonts w:hint="eastAsia"/>
                <w:kern w:val="0"/>
              </w:rPr>
              <w:t>-1</w:t>
            </w:r>
            <w:r>
              <w:rPr>
                <w:kern w:val="0"/>
              </w:rPr>
              <w:t>D</w:t>
            </w:r>
          </w:p>
        </w:tc>
        <w:tc>
          <w:tcPr>
            <w:tcW w:w="290" w:type="pct"/>
            <w:vAlign w:val="center"/>
          </w:tcPr>
          <w:p w14:paraId="701D6D78">
            <w:pPr>
              <w:spacing w:line="300" w:lineRule="exact"/>
              <w:ind w:right="-17"/>
              <w:jc w:val="center"/>
              <w:rPr>
                <w:kern w:val="0"/>
              </w:rPr>
            </w:pPr>
            <w:r>
              <w:rPr>
                <w:kern w:val="0"/>
              </w:rPr>
              <w:t>/</w:t>
            </w:r>
          </w:p>
        </w:tc>
        <w:tc>
          <w:tcPr>
            <w:tcW w:w="290" w:type="pct"/>
            <w:vAlign w:val="center"/>
          </w:tcPr>
          <w:p w14:paraId="33FD837D">
            <w:pPr>
              <w:jc w:val="center"/>
              <w:rPr>
                <w:kern w:val="0"/>
              </w:rPr>
            </w:pPr>
            <w:r>
              <w:rPr>
                <w:rFonts w:hint="eastAsia"/>
                <w:kern w:val="0"/>
              </w:rPr>
              <w:t>-1</w:t>
            </w:r>
            <w:r>
              <w:rPr>
                <w:kern w:val="0"/>
              </w:rPr>
              <w:t>D</w:t>
            </w:r>
          </w:p>
        </w:tc>
        <w:tc>
          <w:tcPr>
            <w:tcW w:w="290" w:type="pct"/>
            <w:vAlign w:val="center"/>
          </w:tcPr>
          <w:p w14:paraId="1FAA25A8">
            <w:pPr>
              <w:spacing w:line="300" w:lineRule="exact"/>
              <w:ind w:right="-17"/>
              <w:jc w:val="center"/>
              <w:rPr>
                <w:kern w:val="0"/>
              </w:rPr>
            </w:pPr>
            <w:r>
              <w:rPr>
                <w:rFonts w:hint="eastAsia"/>
                <w:kern w:val="0"/>
              </w:rPr>
              <w:t>-1</w:t>
            </w:r>
            <w:r>
              <w:rPr>
                <w:kern w:val="0"/>
              </w:rPr>
              <w:t>D</w:t>
            </w:r>
          </w:p>
        </w:tc>
        <w:tc>
          <w:tcPr>
            <w:tcW w:w="385" w:type="pct"/>
            <w:vAlign w:val="center"/>
          </w:tcPr>
          <w:p w14:paraId="5D73704D">
            <w:pPr>
              <w:spacing w:line="300" w:lineRule="exact"/>
              <w:ind w:right="-17"/>
              <w:jc w:val="center"/>
              <w:rPr>
                <w:kern w:val="0"/>
              </w:rPr>
            </w:pPr>
            <w:r>
              <w:rPr>
                <w:rFonts w:hint="eastAsia"/>
                <w:kern w:val="0"/>
              </w:rPr>
              <w:t>/</w:t>
            </w:r>
          </w:p>
        </w:tc>
        <w:tc>
          <w:tcPr>
            <w:tcW w:w="385" w:type="pct"/>
            <w:vAlign w:val="center"/>
          </w:tcPr>
          <w:p w14:paraId="30A824BF">
            <w:pPr>
              <w:spacing w:line="300" w:lineRule="exact"/>
              <w:ind w:right="-17"/>
              <w:jc w:val="center"/>
              <w:rPr>
                <w:kern w:val="0"/>
              </w:rPr>
            </w:pPr>
            <w:r>
              <w:rPr>
                <w:rFonts w:hint="eastAsia"/>
                <w:kern w:val="0"/>
              </w:rPr>
              <w:t>/</w:t>
            </w:r>
          </w:p>
        </w:tc>
        <w:tc>
          <w:tcPr>
            <w:tcW w:w="195" w:type="pct"/>
            <w:vAlign w:val="center"/>
          </w:tcPr>
          <w:p w14:paraId="3D968702">
            <w:pPr>
              <w:spacing w:line="300" w:lineRule="exact"/>
              <w:ind w:right="-17"/>
              <w:jc w:val="center"/>
              <w:rPr>
                <w:kern w:val="0"/>
              </w:rPr>
            </w:pPr>
            <w:r>
              <w:rPr>
                <w:rFonts w:hint="eastAsia"/>
                <w:kern w:val="0"/>
              </w:rPr>
              <w:t>-</w:t>
            </w:r>
            <w:r>
              <w:rPr>
                <w:kern w:val="0"/>
              </w:rPr>
              <w:t>1D</w:t>
            </w:r>
          </w:p>
        </w:tc>
        <w:tc>
          <w:tcPr>
            <w:tcW w:w="385" w:type="pct"/>
            <w:vAlign w:val="center"/>
          </w:tcPr>
          <w:p w14:paraId="52C6267A">
            <w:pPr>
              <w:spacing w:line="300" w:lineRule="exact"/>
              <w:ind w:right="-17"/>
              <w:jc w:val="center"/>
              <w:rPr>
                <w:kern w:val="0"/>
              </w:rPr>
            </w:pPr>
            <w:r>
              <w:rPr>
                <w:rFonts w:hint="eastAsia"/>
                <w:kern w:val="0"/>
              </w:rPr>
              <w:t>-1</w:t>
            </w:r>
            <w:r>
              <w:rPr>
                <w:kern w:val="0"/>
              </w:rPr>
              <w:t>D</w:t>
            </w:r>
          </w:p>
        </w:tc>
        <w:tc>
          <w:tcPr>
            <w:tcW w:w="195" w:type="pct"/>
            <w:vAlign w:val="center"/>
          </w:tcPr>
          <w:p w14:paraId="16BEEC7E">
            <w:pPr>
              <w:spacing w:line="300" w:lineRule="exact"/>
              <w:ind w:right="-17"/>
              <w:jc w:val="center"/>
              <w:rPr>
                <w:kern w:val="0"/>
              </w:rPr>
            </w:pPr>
            <w:r>
              <w:rPr>
                <w:rFonts w:hint="eastAsia"/>
                <w:kern w:val="0"/>
              </w:rPr>
              <w:t>-1</w:t>
            </w:r>
            <w:r>
              <w:rPr>
                <w:kern w:val="0"/>
              </w:rPr>
              <w:t>D</w:t>
            </w:r>
          </w:p>
        </w:tc>
        <w:tc>
          <w:tcPr>
            <w:tcW w:w="385" w:type="pct"/>
            <w:vAlign w:val="center"/>
          </w:tcPr>
          <w:p w14:paraId="701F5249">
            <w:pPr>
              <w:spacing w:line="300" w:lineRule="exact"/>
              <w:ind w:right="-17"/>
              <w:jc w:val="center"/>
              <w:rPr>
                <w:kern w:val="0"/>
              </w:rPr>
            </w:pPr>
            <w:r>
              <w:rPr>
                <w:rFonts w:hint="eastAsia"/>
                <w:kern w:val="0"/>
              </w:rPr>
              <w:t>-1</w:t>
            </w:r>
            <w:r>
              <w:rPr>
                <w:kern w:val="0"/>
              </w:rPr>
              <w:t>D</w:t>
            </w:r>
          </w:p>
        </w:tc>
        <w:tc>
          <w:tcPr>
            <w:tcW w:w="190" w:type="pct"/>
            <w:vAlign w:val="center"/>
          </w:tcPr>
          <w:p w14:paraId="57F316CA">
            <w:pPr>
              <w:spacing w:line="300" w:lineRule="exact"/>
              <w:ind w:right="-17"/>
              <w:jc w:val="center"/>
              <w:rPr>
                <w:kern w:val="0"/>
              </w:rPr>
            </w:pPr>
            <w:r>
              <w:rPr>
                <w:rFonts w:hint="eastAsia"/>
                <w:kern w:val="0"/>
              </w:rPr>
              <w:t>-1</w:t>
            </w:r>
            <w:r>
              <w:rPr>
                <w:kern w:val="0"/>
              </w:rPr>
              <w:t>D</w:t>
            </w:r>
          </w:p>
        </w:tc>
      </w:tr>
      <w:tr w14:paraId="48CB0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 w:hRule="atLeast"/>
          <w:jc w:val="center"/>
        </w:trPr>
        <w:tc>
          <w:tcPr>
            <w:tcW w:w="269" w:type="pct"/>
            <w:vMerge w:val="continue"/>
            <w:vAlign w:val="center"/>
          </w:tcPr>
          <w:p w14:paraId="4CC37E13">
            <w:pPr>
              <w:spacing w:line="300" w:lineRule="exact"/>
              <w:ind w:right="-17"/>
              <w:jc w:val="center"/>
              <w:rPr>
                <w:kern w:val="0"/>
              </w:rPr>
            </w:pPr>
          </w:p>
        </w:tc>
        <w:tc>
          <w:tcPr>
            <w:tcW w:w="1356" w:type="pct"/>
            <w:vAlign w:val="center"/>
          </w:tcPr>
          <w:p w14:paraId="02C8833C">
            <w:pPr>
              <w:spacing w:line="300" w:lineRule="exact"/>
              <w:ind w:right="-112"/>
              <w:jc w:val="center"/>
              <w:rPr>
                <w:kern w:val="0"/>
              </w:rPr>
            </w:pPr>
            <w:r>
              <w:rPr>
                <w:rFonts w:hint="eastAsia"/>
                <w:kern w:val="0"/>
              </w:rPr>
              <w:t>水生态构建及水生植物恢复</w:t>
            </w:r>
          </w:p>
        </w:tc>
        <w:tc>
          <w:tcPr>
            <w:tcW w:w="385" w:type="pct"/>
            <w:vAlign w:val="center"/>
          </w:tcPr>
          <w:p w14:paraId="615F5097">
            <w:pPr>
              <w:spacing w:line="300" w:lineRule="exact"/>
              <w:ind w:right="-17"/>
              <w:jc w:val="center"/>
              <w:rPr>
                <w:kern w:val="0"/>
              </w:rPr>
            </w:pPr>
            <w:r>
              <w:rPr>
                <w:rFonts w:hint="eastAsia"/>
                <w:kern w:val="0"/>
              </w:rPr>
              <w:t>-1</w:t>
            </w:r>
            <w:r>
              <w:rPr>
                <w:kern w:val="0"/>
              </w:rPr>
              <w:t>D</w:t>
            </w:r>
          </w:p>
        </w:tc>
        <w:tc>
          <w:tcPr>
            <w:tcW w:w="290" w:type="pct"/>
            <w:vAlign w:val="center"/>
          </w:tcPr>
          <w:p w14:paraId="20A388C0">
            <w:pPr>
              <w:spacing w:line="300" w:lineRule="exact"/>
              <w:ind w:right="-17"/>
              <w:jc w:val="center"/>
              <w:rPr>
                <w:kern w:val="0"/>
              </w:rPr>
            </w:pPr>
            <w:r>
              <w:rPr>
                <w:rFonts w:hint="eastAsia"/>
                <w:kern w:val="0"/>
              </w:rPr>
              <w:t>-1</w:t>
            </w:r>
            <w:r>
              <w:rPr>
                <w:kern w:val="0"/>
              </w:rPr>
              <w:t>D</w:t>
            </w:r>
          </w:p>
        </w:tc>
        <w:tc>
          <w:tcPr>
            <w:tcW w:w="290" w:type="pct"/>
            <w:vAlign w:val="center"/>
          </w:tcPr>
          <w:p w14:paraId="3CC1FAB4">
            <w:pPr>
              <w:jc w:val="center"/>
              <w:rPr>
                <w:kern w:val="0"/>
              </w:rPr>
            </w:pPr>
            <w:r>
              <w:rPr>
                <w:rFonts w:hint="eastAsia"/>
                <w:kern w:val="0"/>
              </w:rPr>
              <w:t>-1</w:t>
            </w:r>
            <w:r>
              <w:rPr>
                <w:kern w:val="0"/>
              </w:rPr>
              <w:t>D</w:t>
            </w:r>
          </w:p>
        </w:tc>
        <w:tc>
          <w:tcPr>
            <w:tcW w:w="290" w:type="pct"/>
            <w:vAlign w:val="center"/>
          </w:tcPr>
          <w:p w14:paraId="78BB93C5">
            <w:pPr>
              <w:spacing w:line="300" w:lineRule="exact"/>
              <w:ind w:right="-17"/>
              <w:jc w:val="center"/>
              <w:rPr>
                <w:kern w:val="0"/>
              </w:rPr>
            </w:pPr>
            <w:r>
              <w:rPr>
                <w:rFonts w:hint="eastAsia"/>
                <w:kern w:val="0"/>
              </w:rPr>
              <w:t>-1</w:t>
            </w:r>
            <w:r>
              <w:rPr>
                <w:kern w:val="0"/>
              </w:rPr>
              <w:t>D</w:t>
            </w:r>
          </w:p>
        </w:tc>
        <w:tc>
          <w:tcPr>
            <w:tcW w:w="385" w:type="pct"/>
            <w:vAlign w:val="center"/>
          </w:tcPr>
          <w:p w14:paraId="4F20D83D">
            <w:pPr>
              <w:spacing w:line="300" w:lineRule="exact"/>
              <w:ind w:right="-17"/>
              <w:jc w:val="center"/>
              <w:rPr>
                <w:kern w:val="0"/>
              </w:rPr>
            </w:pPr>
            <w:r>
              <w:rPr>
                <w:rFonts w:hint="eastAsia"/>
                <w:kern w:val="0"/>
              </w:rPr>
              <w:t>-1</w:t>
            </w:r>
            <w:r>
              <w:rPr>
                <w:kern w:val="0"/>
              </w:rPr>
              <w:t>D</w:t>
            </w:r>
          </w:p>
        </w:tc>
        <w:tc>
          <w:tcPr>
            <w:tcW w:w="385" w:type="pct"/>
            <w:vAlign w:val="center"/>
          </w:tcPr>
          <w:p w14:paraId="3A1476C0">
            <w:pPr>
              <w:spacing w:line="300" w:lineRule="exact"/>
              <w:ind w:right="-17"/>
              <w:jc w:val="center"/>
              <w:rPr>
                <w:kern w:val="0"/>
              </w:rPr>
            </w:pPr>
            <w:r>
              <w:rPr>
                <w:kern w:val="0"/>
              </w:rPr>
              <w:t>/</w:t>
            </w:r>
          </w:p>
        </w:tc>
        <w:tc>
          <w:tcPr>
            <w:tcW w:w="195" w:type="pct"/>
            <w:vAlign w:val="center"/>
          </w:tcPr>
          <w:p w14:paraId="3E1C6E61">
            <w:pPr>
              <w:spacing w:line="300" w:lineRule="exact"/>
              <w:ind w:right="-17"/>
              <w:jc w:val="center"/>
              <w:rPr>
                <w:kern w:val="0"/>
              </w:rPr>
            </w:pPr>
            <w:r>
              <w:rPr>
                <w:rFonts w:hint="eastAsia"/>
                <w:kern w:val="0"/>
              </w:rPr>
              <w:t>-</w:t>
            </w:r>
            <w:r>
              <w:rPr>
                <w:kern w:val="0"/>
              </w:rPr>
              <w:t>1D</w:t>
            </w:r>
          </w:p>
        </w:tc>
        <w:tc>
          <w:tcPr>
            <w:tcW w:w="385" w:type="pct"/>
            <w:vAlign w:val="center"/>
          </w:tcPr>
          <w:p w14:paraId="63C355C7">
            <w:pPr>
              <w:spacing w:line="300" w:lineRule="exact"/>
              <w:ind w:right="-17"/>
              <w:jc w:val="center"/>
              <w:rPr>
                <w:kern w:val="0"/>
              </w:rPr>
            </w:pPr>
            <w:r>
              <w:rPr>
                <w:rFonts w:hint="eastAsia"/>
                <w:kern w:val="0"/>
              </w:rPr>
              <w:t>-1</w:t>
            </w:r>
            <w:r>
              <w:rPr>
                <w:kern w:val="0"/>
              </w:rPr>
              <w:t>D</w:t>
            </w:r>
          </w:p>
        </w:tc>
        <w:tc>
          <w:tcPr>
            <w:tcW w:w="195" w:type="pct"/>
            <w:vAlign w:val="center"/>
          </w:tcPr>
          <w:p w14:paraId="57BEABA0">
            <w:pPr>
              <w:spacing w:line="300" w:lineRule="exact"/>
              <w:ind w:right="-17"/>
              <w:jc w:val="center"/>
              <w:rPr>
                <w:kern w:val="0"/>
              </w:rPr>
            </w:pPr>
            <w:r>
              <w:rPr>
                <w:rFonts w:hint="eastAsia"/>
                <w:kern w:val="0"/>
              </w:rPr>
              <w:t>-1</w:t>
            </w:r>
            <w:r>
              <w:rPr>
                <w:kern w:val="0"/>
              </w:rPr>
              <w:t>D</w:t>
            </w:r>
          </w:p>
        </w:tc>
        <w:tc>
          <w:tcPr>
            <w:tcW w:w="385" w:type="pct"/>
            <w:vAlign w:val="center"/>
          </w:tcPr>
          <w:p w14:paraId="5382C0A6">
            <w:pPr>
              <w:spacing w:line="300" w:lineRule="exact"/>
              <w:ind w:right="-17"/>
              <w:jc w:val="center"/>
              <w:rPr>
                <w:kern w:val="0"/>
              </w:rPr>
            </w:pPr>
            <w:r>
              <w:rPr>
                <w:rFonts w:hint="eastAsia"/>
                <w:kern w:val="0"/>
              </w:rPr>
              <w:t>-1</w:t>
            </w:r>
            <w:r>
              <w:rPr>
                <w:kern w:val="0"/>
              </w:rPr>
              <w:t>D</w:t>
            </w:r>
          </w:p>
        </w:tc>
        <w:tc>
          <w:tcPr>
            <w:tcW w:w="190" w:type="pct"/>
            <w:vAlign w:val="center"/>
          </w:tcPr>
          <w:p w14:paraId="512BB197">
            <w:pPr>
              <w:spacing w:line="300" w:lineRule="exact"/>
              <w:ind w:right="-17"/>
              <w:jc w:val="center"/>
              <w:rPr>
                <w:kern w:val="0"/>
              </w:rPr>
            </w:pPr>
            <w:r>
              <w:rPr>
                <w:rFonts w:hint="eastAsia"/>
                <w:kern w:val="0"/>
              </w:rPr>
              <w:t>-1</w:t>
            </w:r>
            <w:r>
              <w:rPr>
                <w:kern w:val="0"/>
              </w:rPr>
              <w:t>D</w:t>
            </w:r>
          </w:p>
        </w:tc>
      </w:tr>
      <w:tr w14:paraId="29AAE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3" w:hRule="atLeast"/>
          <w:jc w:val="center"/>
        </w:trPr>
        <w:tc>
          <w:tcPr>
            <w:tcW w:w="269" w:type="pct"/>
            <w:vAlign w:val="center"/>
          </w:tcPr>
          <w:p w14:paraId="78458F71">
            <w:pPr>
              <w:spacing w:line="300" w:lineRule="exact"/>
              <w:ind w:right="-17"/>
              <w:jc w:val="center"/>
              <w:rPr>
                <w:kern w:val="0"/>
              </w:rPr>
            </w:pPr>
            <w:r>
              <w:rPr>
                <w:rFonts w:hint="eastAsia"/>
                <w:kern w:val="0"/>
              </w:rPr>
              <w:t>运营</w:t>
            </w:r>
            <w:r>
              <w:rPr>
                <w:kern w:val="0"/>
              </w:rPr>
              <w:t>期</w:t>
            </w:r>
          </w:p>
        </w:tc>
        <w:tc>
          <w:tcPr>
            <w:tcW w:w="1356" w:type="pct"/>
            <w:vAlign w:val="center"/>
          </w:tcPr>
          <w:p w14:paraId="1F9CD0DF">
            <w:pPr>
              <w:spacing w:line="300" w:lineRule="exact"/>
              <w:ind w:right="-17"/>
              <w:jc w:val="center"/>
              <w:rPr>
                <w:spacing w:val="-20"/>
                <w:kern w:val="0"/>
              </w:rPr>
            </w:pPr>
            <w:r>
              <w:rPr>
                <w:rFonts w:hint="eastAsia"/>
                <w:spacing w:val="-20"/>
                <w:kern w:val="0"/>
              </w:rPr>
              <w:t>河道</w:t>
            </w:r>
          </w:p>
        </w:tc>
        <w:tc>
          <w:tcPr>
            <w:tcW w:w="385" w:type="pct"/>
            <w:vAlign w:val="center"/>
          </w:tcPr>
          <w:p w14:paraId="5E05C75D">
            <w:pPr>
              <w:jc w:val="center"/>
              <w:rPr>
                <w:kern w:val="0"/>
              </w:rPr>
            </w:pPr>
            <w:r>
              <w:rPr>
                <w:rFonts w:hint="eastAsia"/>
                <w:kern w:val="0"/>
              </w:rPr>
              <w:t>/</w:t>
            </w:r>
          </w:p>
        </w:tc>
        <w:tc>
          <w:tcPr>
            <w:tcW w:w="290" w:type="pct"/>
            <w:vAlign w:val="center"/>
          </w:tcPr>
          <w:p w14:paraId="1EBE1826">
            <w:pPr>
              <w:jc w:val="center"/>
              <w:rPr>
                <w:kern w:val="0"/>
              </w:rPr>
            </w:pPr>
            <w:r>
              <w:rPr>
                <w:kern w:val="0"/>
              </w:rPr>
              <w:t>+2C</w:t>
            </w:r>
          </w:p>
        </w:tc>
        <w:tc>
          <w:tcPr>
            <w:tcW w:w="290" w:type="pct"/>
            <w:vAlign w:val="center"/>
          </w:tcPr>
          <w:p w14:paraId="7DB129B7">
            <w:pPr>
              <w:jc w:val="center"/>
              <w:rPr>
                <w:kern w:val="0"/>
              </w:rPr>
            </w:pPr>
            <w:r>
              <w:rPr>
                <w:rFonts w:hint="eastAsia"/>
                <w:kern w:val="0"/>
              </w:rPr>
              <w:t>/</w:t>
            </w:r>
          </w:p>
        </w:tc>
        <w:tc>
          <w:tcPr>
            <w:tcW w:w="290" w:type="pct"/>
            <w:vAlign w:val="center"/>
          </w:tcPr>
          <w:p w14:paraId="109A4F5D">
            <w:pPr>
              <w:jc w:val="center"/>
              <w:rPr>
                <w:kern w:val="0"/>
              </w:rPr>
            </w:pPr>
            <w:r>
              <w:rPr>
                <w:rFonts w:hint="eastAsia"/>
                <w:kern w:val="0"/>
              </w:rPr>
              <w:t>/</w:t>
            </w:r>
          </w:p>
        </w:tc>
        <w:tc>
          <w:tcPr>
            <w:tcW w:w="385" w:type="pct"/>
            <w:vAlign w:val="center"/>
          </w:tcPr>
          <w:p w14:paraId="0AE35C42">
            <w:pPr>
              <w:jc w:val="center"/>
              <w:rPr>
                <w:kern w:val="0"/>
              </w:rPr>
            </w:pPr>
            <w:r>
              <w:rPr>
                <w:kern w:val="0"/>
              </w:rPr>
              <w:t>/</w:t>
            </w:r>
          </w:p>
        </w:tc>
        <w:tc>
          <w:tcPr>
            <w:tcW w:w="385" w:type="pct"/>
            <w:vAlign w:val="center"/>
          </w:tcPr>
          <w:p w14:paraId="4F570FAA">
            <w:pPr>
              <w:jc w:val="center"/>
              <w:rPr>
                <w:kern w:val="0"/>
              </w:rPr>
            </w:pPr>
            <w:r>
              <w:rPr>
                <w:kern w:val="0"/>
              </w:rPr>
              <w:t>/</w:t>
            </w:r>
          </w:p>
        </w:tc>
        <w:tc>
          <w:tcPr>
            <w:tcW w:w="195" w:type="pct"/>
            <w:vAlign w:val="center"/>
          </w:tcPr>
          <w:p w14:paraId="5A00D5BB">
            <w:pPr>
              <w:spacing w:line="300" w:lineRule="exact"/>
              <w:ind w:right="-17"/>
              <w:jc w:val="center"/>
              <w:rPr>
                <w:kern w:val="0"/>
              </w:rPr>
            </w:pPr>
            <w:r>
              <w:rPr>
                <w:rFonts w:hint="eastAsia"/>
                <w:kern w:val="0"/>
              </w:rPr>
              <w:t>+</w:t>
            </w:r>
            <w:r>
              <w:rPr>
                <w:kern w:val="0"/>
              </w:rPr>
              <w:t>2C</w:t>
            </w:r>
          </w:p>
        </w:tc>
        <w:tc>
          <w:tcPr>
            <w:tcW w:w="385" w:type="pct"/>
            <w:vAlign w:val="center"/>
          </w:tcPr>
          <w:p w14:paraId="6D145321">
            <w:pPr>
              <w:spacing w:line="300" w:lineRule="exact"/>
              <w:ind w:right="-17"/>
              <w:jc w:val="center"/>
              <w:rPr>
                <w:kern w:val="0"/>
              </w:rPr>
            </w:pPr>
            <w:r>
              <w:rPr>
                <w:kern w:val="0"/>
              </w:rPr>
              <w:t>+1C</w:t>
            </w:r>
          </w:p>
        </w:tc>
        <w:tc>
          <w:tcPr>
            <w:tcW w:w="195" w:type="pct"/>
            <w:vAlign w:val="center"/>
          </w:tcPr>
          <w:p w14:paraId="3FC5FDEB">
            <w:pPr>
              <w:jc w:val="center"/>
              <w:rPr>
                <w:kern w:val="0"/>
              </w:rPr>
            </w:pPr>
            <w:r>
              <w:rPr>
                <w:rFonts w:hint="eastAsia"/>
                <w:kern w:val="0"/>
              </w:rPr>
              <w:t>+</w:t>
            </w:r>
            <w:r>
              <w:rPr>
                <w:kern w:val="0"/>
              </w:rPr>
              <w:t>2C</w:t>
            </w:r>
          </w:p>
        </w:tc>
        <w:tc>
          <w:tcPr>
            <w:tcW w:w="385" w:type="pct"/>
            <w:vAlign w:val="center"/>
          </w:tcPr>
          <w:p w14:paraId="1B2CBB4A">
            <w:pPr>
              <w:jc w:val="center"/>
              <w:rPr>
                <w:kern w:val="0"/>
              </w:rPr>
            </w:pPr>
            <w:r>
              <w:rPr>
                <w:rFonts w:hint="eastAsia"/>
                <w:kern w:val="0"/>
              </w:rPr>
              <w:t>+</w:t>
            </w:r>
            <w:r>
              <w:rPr>
                <w:kern w:val="0"/>
              </w:rPr>
              <w:t>2C</w:t>
            </w:r>
          </w:p>
        </w:tc>
        <w:tc>
          <w:tcPr>
            <w:tcW w:w="190" w:type="pct"/>
            <w:vAlign w:val="center"/>
          </w:tcPr>
          <w:p w14:paraId="6C5D7100">
            <w:pPr>
              <w:jc w:val="center"/>
              <w:rPr>
                <w:kern w:val="0"/>
              </w:rPr>
            </w:pPr>
            <w:r>
              <w:rPr>
                <w:rFonts w:hint="eastAsia"/>
                <w:kern w:val="0"/>
              </w:rPr>
              <w:t>+</w:t>
            </w:r>
            <w:r>
              <w:rPr>
                <w:kern w:val="0"/>
              </w:rPr>
              <w:t>2C</w:t>
            </w:r>
          </w:p>
        </w:tc>
      </w:tr>
    </w:tbl>
    <w:p w14:paraId="79970BEB">
      <w:pPr>
        <w:spacing w:line="300" w:lineRule="exact"/>
        <w:rPr>
          <w:kern w:val="0"/>
          <w:szCs w:val="21"/>
        </w:rPr>
      </w:pPr>
      <w:r>
        <w:rPr>
          <w:kern w:val="0"/>
          <w:szCs w:val="21"/>
        </w:rPr>
        <w:t>注：1.</w:t>
      </w:r>
      <w:r>
        <w:rPr>
          <w:rFonts w:hint="eastAsia"/>
          <w:kern w:val="0"/>
          <w:szCs w:val="21"/>
        </w:rPr>
        <w:t>表中“＋”表示正效益，“－”表示负效益。</w:t>
      </w:r>
    </w:p>
    <w:p w14:paraId="32B122A5">
      <w:pPr>
        <w:spacing w:line="300" w:lineRule="exact"/>
        <w:ind w:firstLine="420" w:firstLineChars="200"/>
        <w:rPr>
          <w:kern w:val="0"/>
          <w:szCs w:val="21"/>
        </w:rPr>
      </w:pPr>
      <w:r>
        <w:rPr>
          <w:kern w:val="0"/>
          <w:szCs w:val="21"/>
        </w:rPr>
        <w:t>2.</w:t>
      </w:r>
      <w:r>
        <w:rPr>
          <w:rFonts w:hint="eastAsia"/>
          <w:kern w:val="0"/>
          <w:szCs w:val="21"/>
        </w:rPr>
        <w:t>表中数字表示影响的相对程度</w:t>
      </w:r>
      <w:r>
        <w:rPr>
          <w:kern w:val="0"/>
          <w:szCs w:val="21"/>
        </w:rPr>
        <w:t>,</w:t>
      </w:r>
      <w:r>
        <w:rPr>
          <w:rFonts w:hint="eastAsia"/>
          <w:kern w:val="0"/>
          <w:szCs w:val="21"/>
        </w:rPr>
        <w:t>“</w:t>
      </w:r>
      <w:r>
        <w:rPr>
          <w:kern w:val="0"/>
          <w:szCs w:val="21"/>
        </w:rPr>
        <w:t>1</w:t>
      </w:r>
      <w:r>
        <w:rPr>
          <w:rFonts w:hint="eastAsia"/>
          <w:kern w:val="0"/>
          <w:szCs w:val="21"/>
        </w:rPr>
        <w:t>”表示影响较小</w:t>
      </w:r>
      <w:r>
        <w:rPr>
          <w:kern w:val="0"/>
          <w:szCs w:val="21"/>
        </w:rPr>
        <w:t>,</w:t>
      </w:r>
      <w:r>
        <w:rPr>
          <w:rFonts w:hint="eastAsia"/>
          <w:kern w:val="0"/>
          <w:szCs w:val="21"/>
        </w:rPr>
        <w:t>“</w:t>
      </w:r>
      <w:r>
        <w:rPr>
          <w:kern w:val="0"/>
          <w:szCs w:val="21"/>
        </w:rPr>
        <w:t>2</w:t>
      </w:r>
      <w:r>
        <w:rPr>
          <w:rFonts w:hint="eastAsia"/>
          <w:kern w:val="0"/>
          <w:szCs w:val="21"/>
        </w:rPr>
        <w:t>”表示影响中等，“</w:t>
      </w:r>
      <w:r>
        <w:rPr>
          <w:kern w:val="0"/>
          <w:szCs w:val="21"/>
        </w:rPr>
        <w:t>3</w:t>
      </w:r>
      <w:r>
        <w:rPr>
          <w:rFonts w:hint="eastAsia"/>
          <w:kern w:val="0"/>
          <w:szCs w:val="21"/>
        </w:rPr>
        <w:t>”表示影响较大。</w:t>
      </w:r>
    </w:p>
    <w:p w14:paraId="508AD98D">
      <w:pPr>
        <w:spacing w:line="300" w:lineRule="exact"/>
        <w:ind w:firstLine="420" w:firstLineChars="200"/>
        <w:rPr>
          <w:kern w:val="0"/>
          <w:szCs w:val="21"/>
        </w:rPr>
      </w:pPr>
      <w:r>
        <w:rPr>
          <w:kern w:val="0"/>
          <w:szCs w:val="21"/>
        </w:rPr>
        <w:t>3.</w:t>
      </w:r>
      <w:r>
        <w:rPr>
          <w:rFonts w:hint="eastAsia"/>
          <w:kern w:val="0"/>
          <w:szCs w:val="21"/>
        </w:rPr>
        <w:t>表中“</w:t>
      </w:r>
      <w:r>
        <w:rPr>
          <w:kern w:val="0"/>
          <w:szCs w:val="21"/>
        </w:rPr>
        <w:t>D</w:t>
      </w:r>
      <w:r>
        <w:rPr>
          <w:rFonts w:hint="eastAsia"/>
          <w:kern w:val="0"/>
          <w:szCs w:val="21"/>
        </w:rPr>
        <w:t>”表示短期影响，“</w:t>
      </w:r>
      <w:r>
        <w:rPr>
          <w:kern w:val="0"/>
          <w:szCs w:val="21"/>
        </w:rPr>
        <w:t>C</w:t>
      </w:r>
      <w:r>
        <w:rPr>
          <w:rFonts w:hint="eastAsia"/>
          <w:kern w:val="0"/>
          <w:szCs w:val="21"/>
        </w:rPr>
        <w:t>”表示长期影响。</w:t>
      </w:r>
    </w:p>
    <w:p w14:paraId="69684C47">
      <w:pPr>
        <w:pStyle w:val="85"/>
        <w:ind w:firstLine="480"/>
        <w:rPr>
          <w:kern w:val="0"/>
        </w:rPr>
        <w:sectPr>
          <w:pgSz w:w="16838" w:h="11906" w:orient="landscape"/>
          <w:pgMar w:top="1797" w:right="2007" w:bottom="1797" w:left="1724" w:header="1417" w:footer="1162" w:gutter="0"/>
          <w:pgNumType w:fmt="numberInDash"/>
          <w:cols w:space="425" w:num="1"/>
          <w:docGrid w:type="lines" w:linePitch="312" w:charSpace="0"/>
        </w:sectPr>
      </w:pPr>
    </w:p>
    <w:p w14:paraId="266A386E">
      <w:pPr>
        <w:pStyle w:val="4"/>
        <w:rPr>
          <w:kern w:val="0"/>
        </w:rPr>
      </w:pPr>
      <w:r>
        <w:rPr>
          <w:rFonts w:hint="eastAsia"/>
          <w:kern w:val="0"/>
        </w:rPr>
        <w:t>评价</w:t>
      </w:r>
      <w:r>
        <w:rPr>
          <w:kern w:val="0"/>
        </w:rPr>
        <w:t>因子筛选</w:t>
      </w:r>
    </w:p>
    <w:p w14:paraId="540389D5">
      <w:pPr>
        <w:pStyle w:val="85"/>
        <w:ind w:firstLine="480"/>
        <w:rPr>
          <w:kern w:val="0"/>
        </w:rPr>
      </w:pPr>
      <w:r>
        <w:rPr>
          <w:kern w:val="0"/>
        </w:rPr>
        <w:t>根据上述环境影响因素识别结果及工程特点，筛选后确定本工程环境影响评价因子见</w:t>
      </w:r>
      <w:r>
        <w:rPr>
          <w:kern w:val="0"/>
        </w:rPr>
        <w:fldChar w:fldCharType="begin"/>
      </w:r>
      <w:r>
        <w:rPr>
          <w:kern w:val="0"/>
        </w:rPr>
        <w:instrText xml:space="preserve"> REF _Ref470535347 \h  \* MERGEFORMAT </w:instrText>
      </w:r>
      <w:r>
        <w:rPr>
          <w:kern w:val="0"/>
        </w:rPr>
        <w:fldChar w:fldCharType="separate"/>
      </w:r>
      <w:r>
        <w:rPr>
          <w:rFonts w:hint="eastAsia"/>
          <w:kern w:val="0"/>
        </w:rPr>
        <w:t>表</w:t>
      </w:r>
      <w:r>
        <w:rPr>
          <w:kern w:val="0"/>
        </w:rPr>
        <w:t>1</w:t>
      </w:r>
      <w:r>
        <w:rPr>
          <w:kern w:val="0"/>
        </w:rPr>
        <w:noBreakHyphen/>
      </w:r>
      <w:r>
        <w:rPr>
          <w:kern w:val="0"/>
        </w:rPr>
        <w:t>2</w:t>
      </w:r>
      <w:r>
        <w:rPr>
          <w:kern w:val="0"/>
        </w:rPr>
        <w:fldChar w:fldCharType="end"/>
      </w:r>
      <w:r>
        <w:rPr>
          <w:rFonts w:hint="eastAsia"/>
          <w:kern w:val="0"/>
        </w:rPr>
        <w:t>、</w:t>
      </w:r>
      <w:r>
        <w:rPr>
          <w:kern w:val="0"/>
        </w:rPr>
        <w:fldChar w:fldCharType="begin"/>
      </w:r>
      <w:r>
        <w:rPr>
          <w:kern w:val="0"/>
        </w:rPr>
        <w:instrText xml:space="preserve"> </w:instrText>
      </w:r>
      <w:r>
        <w:rPr>
          <w:rFonts w:hint="eastAsia"/>
          <w:kern w:val="0"/>
        </w:rPr>
        <w:instrText xml:space="preserve">REF _Ref198803192 \h</w:instrText>
      </w:r>
      <w:r>
        <w:rPr>
          <w:kern w:val="0"/>
        </w:rPr>
        <w:instrText xml:space="preserve"> </w:instrText>
      </w:r>
      <w:r>
        <w:rPr>
          <w:kern w:val="0"/>
        </w:rPr>
        <w:fldChar w:fldCharType="separate"/>
      </w:r>
      <w:r>
        <w:rPr>
          <w:rFonts w:hint="eastAsia" w:eastAsia="黑体"/>
          <w:bCs/>
          <w:kern w:val="0"/>
          <w:szCs w:val="32"/>
        </w:rPr>
        <w:t>表</w:t>
      </w:r>
      <w:r>
        <w:rPr>
          <w:rFonts w:eastAsia="黑体"/>
          <w:bCs/>
          <w:kern w:val="0"/>
          <w:szCs w:val="32"/>
        </w:rPr>
        <w:t>1</w:t>
      </w:r>
      <w:r>
        <w:rPr>
          <w:rFonts w:eastAsia="黑体"/>
          <w:bCs/>
          <w:kern w:val="0"/>
          <w:szCs w:val="32"/>
        </w:rPr>
        <w:noBreakHyphen/>
      </w:r>
      <w:r>
        <w:rPr>
          <w:rFonts w:eastAsia="黑体"/>
          <w:bCs/>
          <w:kern w:val="0"/>
          <w:szCs w:val="32"/>
        </w:rPr>
        <w:t>3</w:t>
      </w:r>
      <w:r>
        <w:rPr>
          <w:kern w:val="0"/>
        </w:rPr>
        <w:fldChar w:fldCharType="end"/>
      </w:r>
      <w:r>
        <w:rPr>
          <w:rFonts w:hint="eastAsia"/>
          <w:kern w:val="0"/>
        </w:rPr>
        <w:t>。</w:t>
      </w:r>
    </w:p>
    <w:p w14:paraId="26CBA139">
      <w:pPr>
        <w:keepNext/>
        <w:spacing w:line="360" w:lineRule="auto"/>
        <w:jc w:val="center"/>
        <w:rPr>
          <w:rFonts w:eastAsia="黑体"/>
          <w:bCs/>
          <w:kern w:val="0"/>
          <w:sz w:val="24"/>
          <w:szCs w:val="32"/>
        </w:rPr>
      </w:pPr>
      <w:bookmarkStart w:id="25" w:name="_Ref470535347"/>
      <w:r>
        <w:rPr>
          <w:rFonts w:hint="eastAsia" w:eastAsia="黑体"/>
          <w:bCs/>
          <w:kern w:val="0"/>
          <w:sz w:val="24"/>
          <w:szCs w:val="32"/>
        </w:rPr>
        <w:t>表</w:t>
      </w:r>
      <w:r>
        <w:rPr>
          <w:rFonts w:eastAsia="黑体"/>
          <w:bCs/>
          <w:kern w:val="0"/>
          <w:sz w:val="24"/>
          <w:szCs w:val="32"/>
        </w:rPr>
        <w:fldChar w:fldCharType="begin"/>
      </w:r>
      <w:r>
        <w:rPr>
          <w:rFonts w:eastAsia="黑体"/>
          <w:bCs/>
          <w:kern w:val="0"/>
          <w:sz w:val="24"/>
          <w:szCs w:val="32"/>
        </w:rPr>
        <w:instrText xml:space="preserve"> </w:instrText>
      </w:r>
      <w:r>
        <w:rPr>
          <w:rFonts w:hint="eastAsia" w:eastAsia="黑体"/>
          <w:bCs/>
          <w:kern w:val="0"/>
          <w:sz w:val="24"/>
          <w:szCs w:val="32"/>
        </w:rPr>
        <w:instrText xml:space="preserve">STYLEREF 1 \s</w:instrText>
      </w:r>
      <w:r>
        <w:rPr>
          <w:rFonts w:eastAsia="黑体"/>
          <w:bCs/>
          <w:kern w:val="0"/>
          <w:sz w:val="24"/>
          <w:szCs w:val="32"/>
        </w:rPr>
        <w:instrText xml:space="preserve"> </w:instrText>
      </w:r>
      <w:r>
        <w:rPr>
          <w:rFonts w:eastAsia="黑体"/>
          <w:bCs/>
          <w:kern w:val="0"/>
          <w:sz w:val="24"/>
          <w:szCs w:val="32"/>
        </w:rPr>
        <w:fldChar w:fldCharType="separate"/>
      </w:r>
      <w:r>
        <w:rPr>
          <w:rFonts w:eastAsia="黑体"/>
          <w:bCs/>
          <w:kern w:val="0"/>
          <w:sz w:val="24"/>
          <w:szCs w:val="32"/>
        </w:rPr>
        <w:t>1</w:t>
      </w:r>
      <w:r>
        <w:rPr>
          <w:rFonts w:eastAsia="黑体"/>
          <w:bCs/>
          <w:kern w:val="0"/>
          <w:sz w:val="24"/>
          <w:szCs w:val="32"/>
        </w:rPr>
        <w:fldChar w:fldCharType="end"/>
      </w:r>
      <w:r>
        <w:rPr>
          <w:rFonts w:eastAsia="黑体"/>
          <w:bCs/>
          <w:kern w:val="0"/>
          <w:sz w:val="24"/>
          <w:szCs w:val="32"/>
        </w:rPr>
        <w:noBreakHyphen/>
      </w:r>
      <w:r>
        <w:rPr>
          <w:rFonts w:eastAsia="黑体"/>
          <w:bCs/>
          <w:kern w:val="0"/>
          <w:sz w:val="24"/>
          <w:szCs w:val="32"/>
        </w:rPr>
        <w:fldChar w:fldCharType="begin"/>
      </w:r>
      <w:r>
        <w:rPr>
          <w:rFonts w:eastAsia="黑体"/>
          <w:bCs/>
          <w:kern w:val="0"/>
          <w:sz w:val="24"/>
          <w:szCs w:val="32"/>
        </w:rPr>
        <w:instrText xml:space="preserve"> </w:instrText>
      </w:r>
      <w:r>
        <w:rPr>
          <w:rFonts w:hint="eastAsia" w:eastAsia="黑体"/>
          <w:bCs/>
          <w:kern w:val="0"/>
          <w:sz w:val="24"/>
          <w:szCs w:val="32"/>
        </w:rPr>
        <w:instrText xml:space="preserve">SEQ 表 \* ARABIC \s 1</w:instrText>
      </w:r>
      <w:r>
        <w:rPr>
          <w:rFonts w:eastAsia="黑体"/>
          <w:bCs/>
          <w:kern w:val="0"/>
          <w:sz w:val="24"/>
          <w:szCs w:val="32"/>
        </w:rPr>
        <w:instrText xml:space="preserve"> </w:instrText>
      </w:r>
      <w:r>
        <w:rPr>
          <w:rFonts w:eastAsia="黑体"/>
          <w:bCs/>
          <w:kern w:val="0"/>
          <w:sz w:val="24"/>
          <w:szCs w:val="32"/>
        </w:rPr>
        <w:fldChar w:fldCharType="separate"/>
      </w:r>
      <w:r>
        <w:rPr>
          <w:rFonts w:eastAsia="黑体"/>
          <w:bCs/>
          <w:kern w:val="0"/>
          <w:sz w:val="24"/>
          <w:szCs w:val="32"/>
        </w:rPr>
        <w:t>2</w:t>
      </w:r>
      <w:r>
        <w:rPr>
          <w:rFonts w:eastAsia="黑体"/>
          <w:bCs/>
          <w:kern w:val="0"/>
          <w:sz w:val="24"/>
          <w:szCs w:val="32"/>
        </w:rPr>
        <w:fldChar w:fldCharType="end"/>
      </w:r>
      <w:bookmarkEnd w:id="25"/>
      <w:r>
        <w:rPr>
          <w:rFonts w:eastAsia="黑体"/>
          <w:bCs/>
          <w:kern w:val="0"/>
          <w:sz w:val="24"/>
          <w:szCs w:val="32"/>
        </w:rPr>
        <w:t xml:space="preserve">  评价因子一览表</w:t>
      </w:r>
    </w:p>
    <w:tbl>
      <w:tblPr>
        <w:tblStyle w:val="6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006"/>
        <w:gridCol w:w="1006"/>
        <w:gridCol w:w="1234"/>
        <w:gridCol w:w="5180"/>
      </w:tblGrid>
      <w:tr w14:paraId="3DFE4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597" w:type="pct"/>
            <w:vAlign w:val="center"/>
          </w:tcPr>
          <w:p w14:paraId="6CF4D04F">
            <w:pPr>
              <w:spacing w:line="240" w:lineRule="exact"/>
              <w:jc w:val="center"/>
              <w:rPr>
                <w:kern w:val="0"/>
                <w:szCs w:val="21"/>
              </w:rPr>
            </w:pPr>
            <w:r>
              <w:rPr>
                <w:rFonts w:hint="eastAsia"/>
                <w:kern w:val="0"/>
                <w:szCs w:val="21"/>
              </w:rPr>
              <w:t>时段</w:t>
            </w:r>
          </w:p>
        </w:tc>
        <w:tc>
          <w:tcPr>
            <w:tcW w:w="597" w:type="pct"/>
            <w:vAlign w:val="center"/>
          </w:tcPr>
          <w:p w14:paraId="06E86748">
            <w:pPr>
              <w:spacing w:line="240" w:lineRule="exact"/>
              <w:rPr>
                <w:kern w:val="0"/>
                <w:szCs w:val="21"/>
              </w:rPr>
            </w:pPr>
            <w:r>
              <w:rPr>
                <w:kern w:val="0"/>
                <w:szCs w:val="21"/>
              </w:rPr>
              <w:t>环境要素</w:t>
            </w:r>
          </w:p>
        </w:tc>
        <w:tc>
          <w:tcPr>
            <w:tcW w:w="732" w:type="pct"/>
            <w:vAlign w:val="center"/>
          </w:tcPr>
          <w:p w14:paraId="1CCEDCF2">
            <w:pPr>
              <w:spacing w:line="240" w:lineRule="exact"/>
              <w:rPr>
                <w:kern w:val="0"/>
                <w:szCs w:val="21"/>
              </w:rPr>
            </w:pPr>
            <w:r>
              <w:rPr>
                <w:kern w:val="0"/>
                <w:szCs w:val="21"/>
              </w:rPr>
              <w:t>评价类别</w:t>
            </w:r>
          </w:p>
        </w:tc>
        <w:tc>
          <w:tcPr>
            <w:tcW w:w="3074" w:type="pct"/>
            <w:vAlign w:val="center"/>
          </w:tcPr>
          <w:p w14:paraId="46FEF4B3">
            <w:pPr>
              <w:spacing w:line="240" w:lineRule="exact"/>
              <w:rPr>
                <w:kern w:val="0"/>
                <w:szCs w:val="21"/>
              </w:rPr>
            </w:pPr>
            <w:r>
              <w:rPr>
                <w:kern w:val="0"/>
                <w:szCs w:val="21"/>
              </w:rPr>
              <w:t>评价因子</w:t>
            </w:r>
          </w:p>
        </w:tc>
      </w:tr>
      <w:tr w14:paraId="116D6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597" w:type="pct"/>
            <w:vMerge w:val="restart"/>
            <w:vAlign w:val="center"/>
          </w:tcPr>
          <w:p w14:paraId="0EDA9D36">
            <w:pPr>
              <w:spacing w:line="240" w:lineRule="exact"/>
              <w:jc w:val="center"/>
              <w:rPr>
                <w:kern w:val="0"/>
                <w:szCs w:val="21"/>
              </w:rPr>
            </w:pPr>
            <w:r>
              <w:rPr>
                <w:rFonts w:hint="eastAsia"/>
                <w:kern w:val="0"/>
                <w:szCs w:val="21"/>
              </w:rPr>
              <w:t>施工期</w:t>
            </w:r>
          </w:p>
        </w:tc>
        <w:tc>
          <w:tcPr>
            <w:tcW w:w="597" w:type="pct"/>
            <w:vMerge w:val="restart"/>
            <w:vAlign w:val="center"/>
          </w:tcPr>
          <w:p w14:paraId="73CDD284">
            <w:pPr>
              <w:spacing w:line="240" w:lineRule="exact"/>
              <w:rPr>
                <w:kern w:val="0"/>
                <w:szCs w:val="21"/>
              </w:rPr>
            </w:pPr>
            <w:r>
              <w:rPr>
                <w:rFonts w:hint="eastAsia"/>
                <w:kern w:val="0"/>
                <w:szCs w:val="21"/>
              </w:rPr>
              <w:t>大气</w:t>
            </w:r>
          </w:p>
        </w:tc>
        <w:tc>
          <w:tcPr>
            <w:tcW w:w="732" w:type="pct"/>
            <w:vAlign w:val="center"/>
          </w:tcPr>
          <w:p w14:paraId="3A12111B">
            <w:pPr>
              <w:spacing w:line="240" w:lineRule="exact"/>
              <w:rPr>
                <w:kern w:val="0"/>
                <w:szCs w:val="21"/>
              </w:rPr>
            </w:pPr>
            <w:r>
              <w:rPr>
                <w:rFonts w:hint="eastAsia"/>
                <w:kern w:val="0"/>
                <w:szCs w:val="21"/>
              </w:rPr>
              <w:t>现状</w:t>
            </w:r>
            <w:r>
              <w:rPr>
                <w:kern w:val="0"/>
                <w:szCs w:val="21"/>
              </w:rPr>
              <w:t>评价</w:t>
            </w:r>
          </w:p>
        </w:tc>
        <w:tc>
          <w:tcPr>
            <w:tcW w:w="3074" w:type="pct"/>
            <w:vAlign w:val="center"/>
          </w:tcPr>
          <w:p w14:paraId="62271C16">
            <w:pPr>
              <w:spacing w:line="240" w:lineRule="exact"/>
              <w:rPr>
                <w:kern w:val="0"/>
                <w:szCs w:val="21"/>
                <w:vertAlign w:val="subscript"/>
              </w:rPr>
            </w:pPr>
            <w:r>
              <w:rPr>
                <w:rFonts w:hint="eastAsia"/>
                <w:kern w:val="0"/>
                <w:szCs w:val="21"/>
              </w:rPr>
              <w:t>PM</w:t>
            </w:r>
            <w:r>
              <w:rPr>
                <w:kern w:val="0"/>
                <w:szCs w:val="21"/>
                <w:vertAlign w:val="subscript"/>
              </w:rPr>
              <w:t>10</w:t>
            </w:r>
            <w:r>
              <w:rPr>
                <w:rFonts w:hint="eastAsia"/>
                <w:kern w:val="0"/>
                <w:szCs w:val="21"/>
              </w:rPr>
              <w:t>、</w:t>
            </w:r>
            <w:r>
              <w:rPr>
                <w:kern w:val="0"/>
                <w:szCs w:val="21"/>
              </w:rPr>
              <w:t>PM</w:t>
            </w:r>
            <w:r>
              <w:rPr>
                <w:kern w:val="0"/>
                <w:szCs w:val="21"/>
                <w:vertAlign w:val="subscript"/>
              </w:rPr>
              <w:t>2.5</w:t>
            </w:r>
            <w:r>
              <w:rPr>
                <w:rFonts w:hint="eastAsia"/>
                <w:kern w:val="0"/>
                <w:szCs w:val="21"/>
              </w:rPr>
              <w:t>、SO</w:t>
            </w:r>
            <w:r>
              <w:rPr>
                <w:kern w:val="0"/>
                <w:szCs w:val="21"/>
                <w:vertAlign w:val="subscript"/>
              </w:rPr>
              <w:t>2</w:t>
            </w:r>
            <w:r>
              <w:rPr>
                <w:rFonts w:hint="eastAsia"/>
                <w:kern w:val="0"/>
                <w:szCs w:val="21"/>
              </w:rPr>
              <w:t>、</w:t>
            </w:r>
            <w:r>
              <w:rPr>
                <w:kern w:val="0"/>
                <w:szCs w:val="21"/>
              </w:rPr>
              <w:t>NO</w:t>
            </w:r>
            <w:r>
              <w:rPr>
                <w:kern w:val="0"/>
                <w:szCs w:val="21"/>
                <w:vertAlign w:val="subscript"/>
              </w:rPr>
              <w:t>2</w:t>
            </w:r>
            <w:r>
              <w:rPr>
                <w:rFonts w:hint="eastAsia"/>
                <w:kern w:val="0"/>
                <w:szCs w:val="21"/>
              </w:rPr>
              <w:t>、</w:t>
            </w:r>
            <w:r>
              <w:rPr>
                <w:kern w:val="0"/>
                <w:szCs w:val="21"/>
              </w:rPr>
              <w:t>CO、O</w:t>
            </w:r>
            <w:r>
              <w:rPr>
                <w:kern w:val="0"/>
                <w:szCs w:val="21"/>
                <w:vertAlign w:val="subscript"/>
              </w:rPr>
              <w:t>3</w:t>
            </w:r>
          </w:p>
        </w:tc>
      </w:tr>
      <w:tr w14:paraId="162BA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597" w:type="pct"/>
            <w:vMerge w:val="continue"/>
            <w:vAlign w:val="center"/>
          </w:tcPr>
          <w:p w14:paraId="5EFB7722">
            <w:pPr>
              <w:spacing w:line="240" w:lineRule="exact"/>
              <w:jc w:val="center"/>
              <w:rPr>
                <w:kern w:val="0"/>
                <w:szCs w:val="21"/>
              </w:rPr>
            </w:pPr>
          </w:p>
        </w:tc>
        <w:tc>
          <w:tcPr>
            <w:tcW w:w="597" w:type="pct"/>
            <w:vMerge w:val="continue"/>
            <w:vAlign w:val="center"/>
          </w:tcPr>
          <w:p w14:paraId="70162B64">
            <w:pPr>
              <w:spacing w:line="240" w:lineRule="exact"/>
              <w:rPr>
                <w:kern w:val="0"/>
                <w:szCs w:val="21"/>
              </w:rPr>
            </w:pPr>
          </w:p>
        </w:tc>
        <w:tc>
          <w:tcPr>
            <w:tcW w:w="732" w:type="pct"/>
            <w:vAlign w:val="center"/>
          </w:tcPr>
          <w:p w14:paraId="1D8B8594">
            <w:pPr>
              <w:spacing w:line="240" w:lineRule="exact"/>
              <w:rPr>
                <w:kern w:val="0"/>
                <w:szCs w:val="21"/>
              </w:rPr>
            </w:pPr>
            <w:r>
              <w:rPr>
                <w:kern w:val="0"/>
                <w:szCs w:val="21"/>
              </w:rPr>
              <w:t>污染源评价</w:t>
            </w:r>
          </w:p>
        </w:tc>
        <w:tc>
          <w:tcPr>
            <w:tcW w:w="3074" w:type="pct"/>
            <w:vAlign w:val="center"/>
          </w:tcPr>
          <w:p w14:paraId="0C904820">
            <w:pPr>
              <w:spacing w:line="240" w:lineRule="exact"/>
              <w:rPr>
                <w:kern w:val="0"/>
                <w:szCs w:val="21"/>
              </w:rPr>
            </w:pPr>
            <w:r>
              <w:rPr>
                <w:rFonts w:hint="eastAsia"/>
                <w:kern w:val="0"/>
                <w:szCs w:val="21"/>
              </w:rPr>
              <w:t>颗粒物、NO</w:t>
            </w:r>
            <w:r>
              <w:rPr>
                <w:kern w:val="0"/>
                <w:szCs w:val="21"/>
                <w:vertAlign w:val="subscript"/>
              </w:rPr>
              <w:t>x</w:t>
            </w:r>
            <w:r>
              <w:rPr>
                <w:rFonts w:hint="eastAsia"/>
                <w:kern w:val="0"/>
                <w:szCs w:val="21"/>
              </w:rPr>
              <w:t>、</w:t>
            </w:r>
            <w:r>
              <w:rPr>
                <w:kern w:val="0"/>
                <w:szCs w:val="21"/>
              </w:rPr>
              <w:t>CO</w:t>
            </w:r>
          </w:p>
        </w:tc>
      </w:tr>
      <w:tr w14:paraId="749B7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77" w:hRule="atLeast"/>
          <w:jc w:val="center"/>
        </w:trPr>
        <w:tc>
          <w:tcPr>
            <w:tcW w:w="597" w:type="pct"/>
            <w:vMerge w:val="continue"/>
            <w:vAlign w:val="center"/>
          </w:tcPr>
          <w:p w14:paraId="22B68DA1">
            <w:pPr>
              <w:spacing w:line="240" w:lineRule="exact"/>
              <w:jc w:val="center"/>
              <w:rPr>
                <w:kern w:val="0"/>
                <w:szCs w:val="21"/>
              </w:rPr>
            </w:pPr>
          </w:p>
        </w:tc>
        <w:tc>
          <w:tcPr>
            <w:tcW w:w="597" w:type="pct"/>
            <w:vMerge w:val="continue"/>
            <w:vAlign w:val="center"/>
          </w:tcPr>
          <w:p w14:paraId="50642205">
            <w:pPr>
              <w:spacing w:line="240" w:lineRule="exact"/>
              <w:rPr>
                <w:kern w:val="0"/>
                <w:szCs w:val="21"/>
              </w:rPr>
            </w:pPr>
          </w:p>
        </w:tc>
        <w:tc>
          <w:tcPr>
            <w:tcW w:w="732" w:type="pct"/>
            <w:vAlign w:val="center"/>
          </w:tcPr>
          <w:p w14:paraId="2C79ED10">
            <w:pPr>
              <w:spacing w:line="240" w:lineRule="exact"/>
              <w:rPr>
                <w:kern w:val="0"/>
                <w:szCs w:val="21"/>
              </w:rPr>
            </w:pPr>
            <w:r>
              <w:rPr>
                <w:kern w:val="0"/>
                <w:szCs w:val="21"/>
              </w:rPr>
              <w:t>影响分析</w:t>
            </w:r>
          </w:p>
        </w:tc>
        <w:tc>
          <w:tcPr>
            <w:tcW w:w="3074" w:type="pct"/>
            <w:vAlign w:val="center"/>
          </w:tcPr>
          <w:p w14:paraId="5C885115">
            <w:pPr>
              <w:spacing w:line="240" w:lineRule="exact"/>
              <w:rPr>
                <w:kern w:val="0"/>
                <w:szCs w:val="21"/>
              </w:rPr>
            </w:pPr>
            <w:r>
              <w:rPr>
                <w:kern w:val="0"/>
                <w:szCs w:val="21"/>
              </w:rPr>
              <w:t>PM</w:t>
            </w:r>
            <w:r>
              <w:rPr>
                <w:kern w:val="0"/>
                <w:szCs w:val="21"/>
                <w:vertAlign w:val="subscript"/>
              </w:rPr>
              <w:t>10</w:t>
            </w:r>
            <w:r>
              <w:rPr>
                <w:rFonts w:hint="eastAsia"/>
                <w:kern w:val="0"/>
                <w:szCs w:val="21"/>
              </w:rPr>
              <w:t>、NO</w:t>
            </w:r>
            <w:r>
              <w:rPr>
                <w:kern w:val="0"/>
                <w:szCs w:val="21"/>
                <w:vertAlign w:val="subscript"/>
              </w:rPr>
              <w:t>x</w:t>
            </w:r>
            <w:r>
              <w:rPr>
                <w:rFonts w:hint="eastAsia"/>
                <w:kern w:val="0"/>
                <w:szCs w:val="21"/>
              </w:rPr>
              <w:t>、</w:t>
            </w:r>
            <w:r>
              <w:rPr>
                <w:kern w:val="0"/>
                <w:szCs w:val="21"/>
              </w:rPr>
              <w:t>CO</w:t>
            </w:r>
          </w:p>
        </w:tc>
      </w:tr>
      <w:tr w14:paraId="10BE9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3" w:hRule="atLeast"/>
          <w:jc w:val="center"/>
        </w:trPr>
        <w:tc>
          <w:tcPr>
            <w:tcW w:w="597" w:type="pct"/>
            <w:vMerge w:val="continue"/>
            <w:vAlign w:val="center"/>
          </w:tcPr>
          <w:p w14:paraId="0C26AC0B">
            <w:pPr>
              <w:spacing w:line="240" w:lineRule="exact"/>
              <w:jc w:val="center"/>
              <w:rPr>
                <w:kern w:val="0"/>
                <w:szCs w:val="21"/>
              </w:rPr>
            </w:pPr>
          </w:p>
        </w:tc>
        <w:tc>
          <w:tcPr>
            <w:tcW w:w="597" w:type="pct"/>
            <w:vMerge w:val="restart"/>
            <w:vAlign w:val="center"/>
          </w:tcPr>
          <w:p w14:paraId="42A2CA62">
            <w:pPr>
              <w:spacing w:line="240" w:lineRule="exact"/>
              <w:rPr>
                <w:kern w:val="0"/>
                <w:szCs w:val="21"/>
              </w:rPr>
            </w:pPr>
            <w:r>
              <w:rPr>
                <w:rFonts w:hint="eastAsia"/>
                <w:kern w:val="0"/>
                <w:szCs w:val="21"/>
              </w:rPr>
              <w:t>地表水</w:t>
            </w:r>
          </w:p>
        </w:tc>
        <w:tc>
          <w:tcPr>
            <w:tcW w:w="732" w:type="pct"/>
            <w:vAlign w:val="center"/>
          </w:tcPr>
          <w:p w14:paraId="7A3AE7C4">
            <w:pPr>
              <w:spacing w:line="240" w:lineRule="exact"/>
              <w:rPr>
                <w:kern w:val="0"/>
                <w:szCs w:val="21"/>
              </w:rPr>
            </w:pPr>
            <w:r>
              <w:rPr>
                <w:rFonts w:hint="eastAsia"/>
                <w:kern w:val="0"/>
                <w:szCs w:val="21"/>
              </w:rPr>
              <w:t>现状</w:t>
            </w:r>
            <w:r>
              <w:rPr>
                <w:kern w:val="0"/>
                <w:szCs w:val="21"/>
              </w:rPr>
              <w:t>评价</w:t>
            </w:r>
          </w:p>
        </w:tc>
        <w:tc>
          <w:tcPr>
            <w:tcW w:w="3074" w:type="pct"/>
            <w:vAlign w:val="center"/>
          </w:tcPr>
          <w:p w14:paraId="40DA460F">
            <w:pPr>
              <w:spacing w:line="240" w:lineRule="exact"/>
              <w:rPr>
                <w:kern w:val="0"/>
                <w:szCs w:val="21"/>
              </w:rPr>
            </w:pPr>
            <w:r>
              <w:rPr>
                <w:kern w:val="0"/>
                <w:szCs w:val="21"/>
              </w:rPr>
              <w:t>COD</w:t>
            </w:r>
            <w:r>
              <w:rPr>
                <w:rFonts w:hint="eastAsia"/>
                <w:kern w:val="0"/>
                <w:szCs w:val="21"/>
              </w:rPr>
              <w:t>、氨氮、总磷、高锰酸盐指数、总氮</w:t>
            </w:r>
          </w:p>
        </w:tc>
      </w:tr>
      <w:tr w14:paraId="1D7C2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3" w:hRule="atLeast"/>
          <w:jc w:val="center"/>
        </w:trPr>
        <w:tc>
          <w:tcPr>
            <w:tcW w:w="597" w:type="pct"/>
            <w:vMerge w:val="continue"/>
            <w:vAlign w:val="center"/>
          </w:tcPr>
          <w:p w14:paraId="04E35C4C">
            <w:pPr>
              <w:spacing w:line="240" w:lineRule="exact"/>
              <w:jc w:val="center"/>
              <w:rPr>
                <w:kern w:val="0"/>
                <w:szCs w:val="21"/>
              </w:rPr>
            </w:pPr>
          </w:p>
        </w:tc>
        <w:tc>
          <w:tcPr>
            <w:tcW w:w="597" w:type="pct"/>
            <w:vMerge w:val="continue"/>
            <w:vAlign w:val="center"/>
          </w:tcPr>
          <w:p w14:paraId="215879CC">
            <w:pPr>
              <w:spacing w:line="240" w:lineRule="exact"/>
              <w:rPr>
                <w:kern w:val="0"/>
                <w:szCs w:val="21"/>
              </w:rPr>
            </w:pPr>
          </w:p>
        </w:tc>
        <w:tc>
          <w:tcPr>
            <w:tcW w:w="732" w:type="pct"/>
            <w:vAlign w:val="center"/>
          </w:tcPr>
          <w:p w14:paraId="5A4544B3">
            <w:pPr>
              <w:spacing w:line="240" w:lineRule="exact"/>
              <w:rPr>
                <w:kern w:val="0"/>
                <w:szCs w:val="21"/>
              </w:rPr>
            </w:pPr>
            <w:r>
              <w:rPr>
                <w:rFonts w:hint="eastAsia"/>
                <w:kern w:val="0"/>
                <w:szCs w:val="21"/>
              </w:rPr>
              <w:t>污染源</w:t>
            </w:r>
          </w:p>
        </w:tc>
        <w:tc>
          <w:tcPr>
            <w:tcW w:w="3074" w:type="pct"/>
            <w:vAlign w:val="center"/>
          </w:tcPr>
          <w:p w14:paraId="2E696CB5">
            <w:pPr>
              <w:spacing w:line="240" w:lineRule="exact"/>
              <w:rPr>
                <w:kern w:val="0"/>
                <w:szCs w:val="21"/>
              </w:rPr>
            </w:pPr>
            <w:r>
              <w:rPr>
                <w:kern w:val="0"/>
                <w:szCs w:val="21"/>
              </w:rPr>
              <w:t>COD、氨氮、SS</w:t>
            </w:r>
            <w:r>
              <w:rPr>
                <w:rFonts w:hint="eastAsia"/>
                <w:kern w:val="0"/>
                <w:szCs w:val="21"/>
              </w:rPr>
              <w:t>、</w:t>
            </w:r>
            <w:r>
              <w:rPr>
                <w:kern w:val="0"/>
                <w:szCs w:val="21"/>
              </w:rPr>
              <w:t>石油类</w:t>
            </w:r>
          </w:p>
        </w:tc>
      </w:tr>
      <w:tr w14:paraId="3999F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3" w:hRule="atLeast"/>
          <w:jc w:val="center"/>
        </w:trPr>
        <w:tc>
          <w:tcPr>
            <w:tcW w:w="597" w:type="pct"/>
            <w:vMerge w:val="continue"/>
            <w:vAlign w:val="center"/>
          </w:tcPr>
          <w:p w14:paraId="79CEA2BD">
            <w:pPr>
              <w:spacing w:line="240" w:lineRule="exact"/>
              <w:jc w:val="center"/>
              <w:rPr>
                <w:kern w:val="0"/>
                <w:szCs w:val="21"/>
              </w:rPr>
            </w:pPr>
          </w:p>
        </w:tc>
        <w:tc>
          <w:tcPr>
            <w:tcW w:w="597" w:type="pct"/>
            <w:vMerge w:val="continue"/>
            <w:vAlign w:val="center"/>
          </w:tcPr>
          <w:p w14:paraId="07462DC4">
            <w:pPr>
              <w:spacing w:line="240" w:lineRule="exact"/>
              <w:rPr>
                <w:kern w:val="0"/>
                <w:szCs w:val="21"/>
              </w:rPr>
            </w:pPr>
          </w:p>
        </w:tc>
        <w:tc>
          <w:tcPr>
            <w:tcW w:w="732" w:type="pct"/>
            <w:vAlign w:val="center"/>
          </w:tcPr>
          <w:p w14:paraId="2A566A7B">
            <w:pPr>
              <w:spacing w:line="240" w:lineRule="exact"/>
              <w:rPr>
                <w:kern w:val="0"/>
                <w:szCs w:val="21"/>
              </w:rPr>
            </w:pPr>
            <w:r>
              <w:rPr>
                <w:rFonts w:hint="eastAsia"/>
                <w:kern w:val="0"/>
                <w:szCs w:val="21"/>
              </w:rPr>
              <w:t>影响</w:t>
            </w:r>
            <w:r>
              <w:rPr>
                <w:kern w:val="0"/>
                <w:szCs w:val="21"/>
              </w:rPr>
              <w:t>评价</w:t>
            </w:r>
          </w:p>
        </w:tc>
        <w:tc>
          <w:tcPr>
            <w:tcW w:w="3074" w:type="pct"/>
            <w:vAlign w:val="center"/>
          </w:tcPr>
          <w:p w14:paraId="503FC5F4">
            <w:pPr>
              <w:spacing w:line="240" w:lineRule="exact"/>
              <w:rPr>
                <w:kern w:val="0"/>
                <w:szCs w:val="21"/>
              </w:rPr>
            </w:pPr>
            <w:r>
              <w:rPr>
                <w:kern w:val="0"/>
                <w:szCs w:val="21"/>
              </w:rPr>
              <w:t>COD、氨氮、SS</w:t>
            </w:r>
            <w:r>
              <w:rPr>
                <w:rFonts w:hint="eastAsia"/>
                <w:kern w:val="0"/>
                <w:szCs w:val="21"/>
              </w:rPr>
              <w:t>、</w:t>
            </w:r>
            <w:r>
              <w:rPr>
                <w:kern w:val="0"/>
                <w:szCs w:val="21"/>
              </w:rPr>
              <w:t>石油类</w:t>
            </w:r>
          </w:p>
        </w:tc>
      </w:tr>
      <w:tr w14:paraId="1A5E5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3" w:hRule="atLeast"/>
          <w:jc w:val="center"/>
        </w:trPr>
        <w:tc>
          <w:tcPr>
            <w:tcW w:w="597" w:type="pct"/>
            <w:vMerge w:val="continue"/>
            <w:vAlign w:val="center"/>
          </w:tcPr>
          <w:p w14:paraId="2A3683A0">
            <w:pPr>
              <w:spacing w:line="240" w:lineRule="exact"/>
              <w:jc w:val="center"/>
              <w:rPr>
                <w:kern w:val="0"/>
                <w:szCs w:val="21"/>
              </w:rPr>
            </w:pPr>
          </w:p>
        </w:tc>
        <w:tc>
          <w:tcPr>
            <w:tcW w:w="597" w:type="pct"/>
            <w:vMerge w:val="restart"/>
            <w:vAlign w:val="center"/>
          </w:tcPr>
          <w:p w14:paraId="08645BE8">
            <w:pPr>
              <w:spacing w:line="240" w:lineRule="exact"/>
              <w:rPr>
                <w:kern w:val="0"/>
                <w:szCs w:val="21"/>
              </w:rPr>
            </w:pPr>
            <w:r>
              <w:rPr>
                <w:rFonts w:hint="eastAsia"/>
                <w:kern w:val="0"/>
                <w:szCs w:val="21"/>
              </w:rPr>
              <w:t>地下水</w:t>
            </w:r>
          </w:p>
        </w:tc>
        <w:tc>
          <w:tcPr>
            <w:tcW w:w="732" w:type="pct"/>
            <w:vAlign w:val="center"/>
          </w:tcPr>
          <w:p w14:paraId="0D269166">
            <w:pPr>
              <w:spacing w:line="240" w:lineRule="exact"/>
              <w:rPr>
                <w:kern w:val="0"/>
                <w:szCs w:val="21"/>
              </w:rPr>
            </w:pPr>
            <w:r>
              <w:rPr>
                <w:rFonts w:hint="eastAsia"/>
                <w:kern w:val="0"/>
                <w:szCs w:val="21"/>
              </w:rPr>
              <w:t>现状</w:t>
            </w:r>
            <w:r>
              <w:rPr>
                <w:kern w:val="0"/>
                <w:szCs w:val="21"/>
              </w:rPr>
              <w:t>评价</w:t>
            </w:r>
          </w:p>
        </w:tc>
        <w:tc>
          <w:tcPr>
            <w:tcW w:w="3074" w:type="pct"/>
            <w:vAlign w:val="center"/>
          </w:tcPr>
          <w:p w14:paraId="1BA4BFC9">
            <w:pPr>
              <w:spacing w:line="240" w:lineRule="exact"/>
              <w:rPr>
                <w:kern w:val="0"/>
                <w:szCs w:val="21"/>
              </w:rPr>
            </w:pPr>
            <w:bookmarkStart w:id="26" w:name="OLE_LINK2"/>
            <w:r>
              <w:rPr>
                <w:rFonts w:hint="eastAsia"/>
                <w:kern w:val="0"/>
                <w:szCs w:val="21"/>
              </w:rPr>
              <w:t>色</w:t>
            </w:r>
            <w:r>
              <w:rPr>
                <w:kern w:val="0"/>
                <w:szCs w:val="21"/>
              </w:rPr>
              <w:t>、嗅和味、浑浊度、肉眼可见物、pH、总硬度、溶解性总固体、硫酸盐、氯化物、铁、锰、</w:t>
            </w:r>
            <w:r>
              <w:rPr>
                <w:rFonts w:hint="eastAsia"/>
                <w:kern w:val="0"/>
                <w:szCs w:val="21"/>
              </w:rPr>
              <w:t>铜</w:t>
            </w:r>
            <w:r>
              <w:rPr>
                <w:kern w:val="0"/>
                <w:szCs w:val="21"/>
              </w:rPr>
              <w:t>、锌、</w:t>
            </w:r>
            <w:r>
              <w:rPr>
                <w:rFonts w:hint="eastAsia"/>
                <w:kern w:val="0"/>
                <w:szCs w:val="21"/>
              </w:rPr>
              <w:t>铝</w:t>
            </w:r>
            <w:r>
              <w:rPr>
                <w:kern w:val="0"/>
                <w:szCs w:val="21"/>
              </w:rPr>
              <w:t>、挥发性酚、</w:t>
            </w:r>
            <w:r>
              <w:rPr>
                <w:rFonts w:hint="eastAsia"/>
                <w:kern w:val="0"/>
                <w:szCs w:val="21"/>
              </w:rPr>
              <w:t>阴离子</w:t>
            </w:r>
            <w:r>
              <w:rPr>
                <w:kern w:val="0"/>
                <w:szCs w:val="21"/>
              </w:rPr>
              <w:t>表面活性剂、耗氧量(COD</w:t>
            </w:r>
            <w:r>
              <w:rPr>
                <w:kern w:val="0"/>
                <w:szCs w:val="21"/>
                <w:vertAlign w:val="subscript"/>
              </w:rPr>
              <w:t>Mn</w:t>
            </w:r>
            <w:r>
              <w:rPr>
                <w:kern w:val="0"/>
                <w:szCs w:val="21"/>
              </w:rPr>
              <w:t>)、氨氮、</w:t>
            </w:r>
            <w:r>
              <w:rPr>
                <w:rFonts w:hint="eastAsia"/>
                <w:kern w:val="0"/>
                <w:szCs w:val="21"/>
              </w:rPr>
              <w:t>硫化物、钠</w:t>
            </w:r>
            <w:r>
              <w:rPr>
                <w:kern w:val="0"/>
                <w:szCs w:val="21"/>
              </w:rPr>
              <w:t>、</w:t>
            </w:r>
            <w:r>
              <w:rPr>
                <w:rFonts w:hint="eastAsia"/>
                <w:kern w:val="0"/>
                <w:szCs w:val="21"/>
              </w:rPr>
              <w:t>总大肠菌群、菌落总数、</w:t>
            </w:r>
            <w:r>
              <w:rPr>
                <w:kern w:val="0"/>
                <w:szCs w:val="21"/>
              </w:rPr>
              <w:t>亚硝酸盐、硝酸盐、氰化物、氟化物、</w:t>
            </w:r>
            <w:r>
              <w:rPr>
                <w:rFonts w:hint="eastAsia"/>
                <w:kern w:val="0"/>
                <w:szCs w:val="21"/>
              </w:rPr>
              <w:t>碘化物</w:t>
            </w:r>
            <w:r>
              <w:rPr>
                <w:kern w:val="0"/>
                <w:szCs w:val="21"/>
              </w:rPr>
              <w:t>、汞、砷、</w:t>
            </w:r>
            <w:r>
              <w:rPr>
                <w:rFonts w:hint="eastAsia"/>
                <w:kern w:val="0"/>
                <w:szCs w:val="21"/>
              </w:rPr>
              <w:t>硒</w:t>
            </w:r>
            <w:r>
              <w:rPr>
                <w:kern w:val="0"/>
                <w:szCs w:val="21"/>
              </w:rPr>
              <w:t>、镉、六价铬、铅、</w:t>
            </w:r>
            <w:r>
              <w:rPr>
                <w:rFonts w:hint="eastAsia"/>
                <w:kern w:val="0"/>
                <w:szCs w:val="21"/>
              </w:rPr>
              <w:t>三氯甲烷</w:t>
            </w:r>
            <w:r>
              <w:rPr>
                <w:kern w:val="0"/>
                <w:szCs w:val="21"/>
              </w:rPr>
              <w:t>、四氯化碳、苯、甲苯、石油类</w:t>
            </w:r>
            <w:r>
              <w:rPr>
                <w:rFonts w:hint="eastAsia"/>
                <w:kern w:val="0"/>
                <w:szCs w:val="21"/>
              </w:rPr>
              <w:t>及</w:t>
            </w:r>
            <w:r>
              <w:rPr>
                <w:kern w:val="0"/>
                <w:szCs w:val="21"/>
              </w:rPr>
              <w:t>K</w:t>
            </w:r>
            <w:r>
              <w:rPr>
                <w:kern w:val="0"/>
                <w:szCs w:val="21"/>
                <w:vertAlign w:val="superscript"/>
              </w:rPr>
              <w:t>+</w:t>
            </w:r>
            <w:r>
              <w:rPr>
                <w:kern w:val="0"/>
                <w:szCs w:val="21"/>
              </w:rPr>
              <w:t>、Na</w:t>
            </w:r>
            <w:r>
              <w:rPr>
                <w:kern w:val="0"/>
                <w:szCs w:val="21"/>
                <w:vertAlign w:val="superscript"/>
              </w:rPr>
              <w:t>+</w:t>
            </w:r>
            <w:r>
              <w:rPr>
                <w:kern w:val="0"/>
                <w:szCs w:val="21"/>
              </w:rPr>
              <w:t>、Ca</w:t>
            </w:r>
            <w:r>
              <w:rPr>
                <w:kern w:val="0"/>
                <w:szCs w:val="21"/>
                <w:vertAlign w:val="superscript"/>
              </w:rPr>
              <w:t>2+</w:t>
            </w:r>
            <w:r>
              <w:rPr>
                <w:kern w:val="0"/>
                <w:szCs w:val="21"/>
              </w:rPr>
              <w:t>、Mg</w:t>
            </w:r>
            <w:r>
              <w:rPr>
                <w:kern w:val="0"/>
                <w:szCs w:val="21"/>
                <w:vertAlign w:val="superscript"/>
              </w:rPr>
              <w:t>2+</w:t>
            </w:r>
            <w:r>
              <w:rPr>
                <w:kern w:val="0"/>
                <w:szCs w:val="21"/>
              </w:rPr>
              <w:t>、CO</w:t>
            </w:r>
            <w:r>
              <w:rPr>
                <w:kern w:val="0"/>
                <w:szCs w:val="21"/>
                <w:vertAlign w:val="subscript"/>
              </w:rPr>
              <w:t>3</w:t>
            </w:r>
            <w:r>
              <w:rPr>
                <w:kern w:val="0"/>
                <w:szCs w:val="21"/>
                <w:vertAlign w:val="superscript"/>
              </w:rPr>
              <w:t>2-</w:t>
            </w:r>
            <w:r>
              <w:rPr>
                <w:kern w:val="0"/>
                <w:szCs w:val="21"/>
              </w:rPr>
              <w:t>、HCO</w:t>
            </w:r>
            <w:r>
              <w:rPr>
                <w:kern w:val="0"/>
                <w:szCs w:val="21"/>
                <w:vertAlign w:val="subscript"/>
              </w:rPr>
              <w:t>3</w:t>
            </w:r>
            <w:r>
              <w:rPr>
                <w:kern w:val="0"/>
                <w:szCs w:val="21"/>
                <w:vertAlign w:val="superscript"/>
              </w:rPr>
              <w:t>-</w:t>
            </w:r>
            <w:r>
              <w:rPr>
                <w:kern w:val="0"/>
                <w:szCs w:val="21"/>
              </w:rPr>
              <w:t>、Cl</w:t>
            </w:r>
            <w:r>
              <w:rPr>
                <w:kern w:val="0"/>
                <w:szCs w:val="21"/>
                <w:vertAlign w:val="superscript"/>
              </w:rPr>
              <w:t>-</w:t>
            </w:r>
            <w:r>
              <w:rPr>
                <w:kern w:val="0"/>
                <w:szCs w:val="21"/>
              </w:rPr>
              <w:t>、SO</w:t>
            </w:r>
            <w:r>
              <w:rPr>
                <w:kern w:val="0"/>
                <w:szCs w:val="21"/>
                <w:vertAlign w:val="subscript"/>
              </w:rPr>
              <w:t>4</w:t>
            </w:r>
            <w:r>
              <w:rPr>
                <w:kern w:val="0"/>
                <w:szCs w:val="21"/>
                <w:vertAlign w:val="superscript"/>
              </w:rPr>
              <w:t>2-</w:t>
            </w:r>
            <w:bookmarkEnd w:id="26"/>
          </w:p>
        </w:tc>
      </w:tr>
      <w:tr w14:paraId="52951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3" w:hRule="atLeast"/>
          <w:jc w:val="center"/>
        </w:trPr>
        <w:tc>
          <w:tcPr>
            <w:tcW w:w="597" w:type="pct"/>
            <w:vMerge w:val="continue"/>
            <w:vAlign w:val="center"/>
          </w:tcPr>
          <w:p w14:paraId="704A0275">
            <w:pPr>
              <w:spacing w:line="240" w:lineRule="exact"/>
              <w:jc w:val="center"/>
              <w:rPr>
                <w:kern w:val="0"/>
                <w:szCs w:val="21"/>
              </w:rPr>
            </w:pPr>
          </w:p>
        </w:tc>
        <w:tc>
          <w:tcPr>
            <w:tcW w:w="597" w:type="pct"/>
            <w:vMerge w:val="continue"/>
            <w:vAlign w:val="center"/>
          </w:tcPr>
          <w:p w14:paraId="624D35F7">
            <w:pPr>
              <w:spacing w:line="240" w:lineRule="exact"/>
              <w:rPr>
                <w:kern w:val="0"/>
                <w:szCs w:val="21"/>
              </w:rPr>
            </w:pPr>
          </w:p>
        </w:tc>
        <w:tc>
          <w:tcPr>
            <w:tcW w:w="732" w:type="pct"/>
            <w:vAlign w:val="center"/>
          </w:tcPr>
          <w:p w14:paraId="471C417C">
            <w:pPr>
              <w:spacing w:line="240" w:lineRule="exact"/>
              <w:rPr>
                <w:kern w:val="0"/>
                <w:szCs w:val="21"/>
              </w:rPr>
            </w:pPr>
            <w:r>
              <w:rPr>
                <w:kern w:val="0"/>
                <w:szCs w:val="21"/>
              </w:rPr>
              <w:t>污染源评价</w:t>
            </w:r>
          </w:p>
        </w:tc>
        <w:tc>
          <w:tcPr>
            <w:tcW w:w="3074" w:type="pct"/>
            <w:vAlign w:val="center"/>
          </w:tcPr>
          <w:p w14:paraId="22091C72">
            <w:pPr>
              <w:spacing w:line="240" w:lineRule="exact"/>
              <w:rPr>
                <w:kern w:val="0"/>
                <w:szCs w:val="21"/>
              </w:rPr>
            </w:pPr>
            <w:r>
              <w:rPr>
                <w:kern w:val="0"/>
                <w:szCs w:val="21"/>
              </w:rPr>
              <w:t>COD、BOD</w:t>
            </w:r>
            <w:r>
              <w:rPr>
                <w:kern w:val="0"/>
                <w:szCs w:val="21"/>
                <w:vertAlign w:val="subscript"/>
              </w:rPr>
              <w:t>5</w:t>
            </w:r>
            <w:r>
              <w:rPr>
                <w:kern w:val="0"/>
                <w:szCs w:val="21"/>
              </w:rPr>
              <w:t>、氨氮、SS、石油类</w:t>
            </w:r>
          </w:p>
        </w:tc>
      </w:tr>
      <w:tr w14:paraId="3C4F3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3" w:hRule="atLeast"/>
          <w:jc w:val="center"/>
        </w:trPr>
        <w:tc>
          <w:tcPr>
            <w:tcW w:w="597" w:type="pct"/>
            <w:vMerge w:val="continue"/>
            <w:vAlign w:val="center"/>
          </w:tcPr>
          <w:p w14:paraId="7156B692">
            <w:pPr>
              <w:spacing w:line="240" w:lineRule="exact"/>
              <w:jc w:val="center"/>
              <w:rPr>
                <w:kern w:val="0"/>
                <w:szCs w:val="21"/>
              </w:rPr>
            </w:pPr>
          </w:p>
        </w:tc>
        <w:tc>
          <w:tcPr>
            <w:tcW w:w="597" w:type="pct"/>
            <w:vMerge w:val="continue"/>
            <w:vAlign w:val="center"/>
          </w:tcPr>
          <w:p w14:paraId="26A6EB16">
            <w:pPr>
              <w:spacing w:line="240" w:lineRule="exact"/>
              <w:rPr>
                <w:kern w:val="0"/>
                <w:szCs w:val="21"/>
              </w:rPr>
            </w:pPr>
          </w:p>
        </w:tc>
        <w:tc>
          <w:tcPr>
            <w:tcW w:w="732" w:type="pct"/>
            <w:vAlign w:val="center"/>
          </w:tcPr>
          <w:p w14:paraId="6C958222">
            <w:pPr>
              <w:spacing w:line="240" w:lineRule="exact"/>
              <w:rPr>
                <w:kern w:val="0"/>
                <w:szCs w:val="21"/>
              </w:rPr>
            </w:pPr>
            <w:r>
              <w:rPr>
                <w:kern w:val="0"/>
                <w:szCs w:val="21"/>
              </w:rPr>
              <w:t>影响分析</w:t>
            </w:r>
          </w:p>
        </w:tc>
        <w:tc>
          <w:tcPr>
            <w:tcW w:w="3074" w:type="pct"/>
            <w:vAlign w:val="center"/>
          </w:tcPr>
          <w:p w14:paraId="3EAE35B5">
            <w:pPr>
              <w:spacing w:line="240" w:lineRule="exact"/>
              <w:rPr>
                <w:kern w:val="0"/>
                <w:szCs w:val="21"/>
              </w:rPr>
            </w:pPr>
            <w:r>
              <w:rPr>
                <w:kern w:val="0"/>
                <w:szCs w:val="21"/>
              </w:rPr>
              <w:t>SS</w:t>
            </w:r>
            <w:r>
              <w:rPr>
                <w:rFonts w:hint="eastAsia"/>
                <w:kern w:val="0"/>
                <w:szCs w:val="21"/>
              </w:rPr>
              <w:t>、</w:t>
            </w:r>
            <w:r>
              <w:rPr>
                <w:kern w:val="0"/>
                <w:szCs w:val="21"/>
              </w:rPr>
              <w:t>耗氧量(COD</w:t>
            </w:r>
            <w:r>
              <w:rPr>
                <w:kern w:val="0"/>
                <w:szCs w:val="21"/>
                <w:vertAlign w:val="subscript"/>
              </w:rPr>
              <w:t>Mn</w:t>
            </w:r>
            <w:r>
              <w:rPr>
                <w:kern w:val="0"/>
                <w:szCs w:val="21"/>
              </w:rPr>
              <w:t>)、氨氮</w:t>
            </w:r>
          </w:p>
        </w:tc>
      </w:tr>
      <w:tr w14:paraId="0246E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09" w:hRule="atLeast"/>
          <w:jc w:val="center"/>
        </w:trPr>
        <w:tc>
          <w:tcPr>
            <w:tcW w:w="597" w:type="pct"/>
            <w:vMerge w:val="continue"/>
            <w:vAlign w:val="center"/>
          </w:tcPr>
          <w:p w14:paraId="61A242C1">
            <w:pPr>
              <w:spacing w:line="240" w:lineRule="exact"/>
              <w:jc w:val="center"/>
              <w:rPr>
                <w:kern w:val="0"/>
                <w:szCs w:val="21"/>
              </w:rPr>
            </w:pPr>
          </w:p>
        </w:tc>
        <w:tc>
          <w:tcPr>
            <w:tcW w:w="597" w:type="pct"/>
            <w:vMerge w:val="restart"/>
            <w:vAlign w:val="center"/>
          </w:tcPr>
          <w:p w14:paraId="28E7C3DA">
            <w:pPr>
              <w:spacing w:line="240" w:lineRule="exact"/>
              <w:rPr>
                <w:kern w:val="0"/>
                <w:szCs w:val="21"/>
              </w:rPr>
            </w:pPr>
            <w:r>
              <w:rPr>
                <w:rFonts w:hint="eastAsia"/>
                <w:kern w:val="0"/>
                <w:szCs w:val="21"/>
              </w:rPr>
              <w:t>声环境</w:t>
            </w:r>
          </w:p>
        </w:tc>
        <w:tc>
          <w:tcPr>
            <w:tcW w:w="732" w:type="pct"/>
            <w:vAlign w:val="center"/>
          </w:tcPr>
          <w:p w14:paraId="5E513E96">
            <w:pPr>
              <w:spacing w:line="240" w:lineRule="exact"/>
              <w:rPr>
                <w:kern w:val="0"/>
                <w:szCs w:val="21"/>
              </w:rPr>
            </w:pPr>
            <w:r>
              <w:rPr>
                <w:rFonts w:hint="eastAsia"/>
                <w:kern w:val="0"/>
                <w:szCs w:val="21"/>
              </w:rPr>
              <w:t>现状</w:t>
            </w:r>
            <w:r>
              <w:rPr>
                <w:kern w:val="0"/>
                <w:szCs w:val="21"/>
              </w:rPr>
              <w:t>评价</w:t>
            </w:r>
          </w:p>
        </w:tc>
        <w:tc>
          <w:tcPr>
            <w:tcW w:w="3074" w:type="pct"/>
            <w:vAlign w:val="center"/>
          </w:tcPr>
          <w:p w14:paraId="6DDAE9C4">
            <w:pPr>
              <w:spacing w:line="240" w:lineRule="exact"/>
              <w:rPr>
                <w:kern w:val="0"/>
                <w:szCs w:val="21"/>
              </w:rPr>
            </w:pPr>
            <w:r>
              <w:rPr>
                <w:kern w:val="0"/>
                <w:szCs w:val="21"/>
              </w:rPr>
              <w:t>Leq (A)</w:t>
            </w:r>
          </w:p>
        </w:tc>
      </w:tr>
      <w:tr w14:paraId="70846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09" w:hRule="atLeast"/>
          <w:jc w:val="center"/>
        </w:trPr>
        <w:tc>
          <w:tcPr>
            <w:tcW w:w="597" w:type="pct"/>
            <w:vMerge w:val="continue"/>
            <w:vAlign w:val="center"/>
          </w:tcPr>
          <w:p w14:paraId="5189C276">
            <w:pPr>
              <w:spacing w:line="240" w:lineRule="exact"/>
              <w:jc w:val="center"/>
              <w:rPr>
                <w:kern w:val="0"/>
                <w:szCs w:val="21"/>
              </w:rPr>
            </w:pPr>
          </w:p>
        </w:tc>
        <w:tc>
          <w:tcPr>
            <w:tcW w:w="597" w:type="pct"/>
            <w:vMerge w:val="continue"/>
            <w:vAlign w:val="center"/>
          </w:tcPr>
          <w:p w14:paraId="2CF618E3">
            <w:pPr>
              <w:spacing w:line="240" w:lineRule="exact"/>
              <w:rPr>
                <w:kern w:val="0"/>
                <w:szCs w:val="21"/>
              </w:rPr>
            </w:pPr>
          </w:p>
        </w:tc>
        <w:tc>
          <w:tcPr>
            <w:tcW w:w="732" w:type="pct"/>
            <w:vAlign w:val="center"/>
          </w:tcPr>
          <w:p w14:paraId="78258524">
            <w:pPr>
              <w:spacing w:line="240" w:lineRule="exact"/>
              <w:rPr>
                <w:kern w:val="0"/>
                <w:szCs w:val="21"/>
              </w:rPr>
            </w:pPr>
            <w:r>
              <w:rPr>
                <w:kern w:val="0"/>
                <w:szCs w:val="21"/>
              </w:rPr>
              <w:t>污染源评价</w:t>
            </w:r>
          </w:p>
        </w:tc>
        <w:tc>
          <w:tcPr>
            <w:tcW w:w="3074" w:type="pct"/>
            <w:vAlign w:val="center"/>
          </w:tcPr>
          <w:p w14:paraId="5271BD9F">
            <w:pPr>
              <w:spacing w:line="240" w:lineRule="exact"/>
              <w:rPr>
                <w:kern w:val="0"/>
                <w:szCs w:val="21"/>
              </w:rPr>
            </w:pPr>
            <w:r>
              <w:rPr>
                <w:kern w:val="0"/>
                <w:szCs w:val="21"/>
              </w:rPr>
              <w:t>A</w:t>
            </w:r>
            <w:r>
              <w:rPr>
                <w:rFonts w:hint="eastAsia"/>
                <w:kern w:val="0"/>
                <w:szCs w:val="21"/>
              </w:rPr>
              <w:t>声功率</w:t>
            </w:r>
            <w:r>
              <w:rPr>
                <w:kern w:val="0"/>
                <w:szCs w:val="21"/>
              </w:rPr>
              <w:t>级</w:t>
            </w:r>
          </w:p>
        </w:tc>
      </w:tr>
      <w:tr w14:paraId="192A7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597" w:type="pct"/>
            <w:vMerge w:val="continue"/>
            <w:vAlign w:val="center"/>
          </w:tcPr>
          <w:p w14:paraId="74EEF016">
            <w:pPr>
              <w:spacing w:line="240" w:lineRule="exact"/>
              <w:jc w:val="center"/>
              <w:rPr>
                <w:kern w:val="0"/>
                <w:szCs w:val="21"/>
              </w:rPr>
            </w:pPr>
          </w:p>
        </w:tc>
        <w:tc>
          <w:tcPr>
            <w:tcW w:w="597" w:type="pct"/>
            <w:vMerge w:val="continue"/>
            <w:vAlign w:val="center"/>
          </w:tcPr>
          <w:p w14:paraId="0D7D7109">
            <w:pPr>
              <w:spacing w:line="240" w:lineRule="exact"/>
              <w:rPr>
                <w:kern w:val="0"/>
                <w:szCs w:val="21"/>
              </w:rPr>
            </w:pPr>
          </w:p>
        </w:tc>
        <w:tc>
          <w:tcPr>
            <w:tcW w:w="732" w:type="pct"/>
            <w:vAlign w:val="center"/>
          </w:tcPr>
          <w:p w14:paraId="20662630">
            <w:pPr>
              <w:spacing w:line="240" w:lineRule="exact"/>
              <w:rPr>
                <w:kern w:val="0"/>
                <w:szCs w:val="21"/>
              </w:rPr>
            </w:pPr>
            <w:r>
              <w:rPr>
                <w:kern w:val="0"/>
                <w:szCs w:val="21"/>
              </w:rPr>
              <w:t>影响评价</w:t>
            </w:r>
          </w:p>
        </w:tc>
        <w:tc>
          <w:tcPr>
            <w:tcW w:w="3074" w:type="pct"/>
            <w:vAlign w:val="center"/>
          </w:tcPr>
          <w:p w14:paraId="09D3B098">
            <w:pPr>
              <w:spacing w:line="240" w:lineRule="exact"/>
              <w:rPr>
                <w:kern w:val="0"/>
                <w:szCs w:val="21"/>
              </w:rPr>
            </w:pPr>
            <w:r>
              <w:rPr>
                <w:kern w:val="0"/>
                <w:szCs w:val="21"/>
              </w:rPr>
              <w:t>Leq (A)</w:t>
            </w:r>
          </w:p>
        </w:tc>
      </w:tr>
      <w:tr w14:paraId="5A05E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597" w:type="pct"/>
            <w:vMerge w:val="continue"/>
            <w:vAlign w:val="center"/>
          </w:tcPr>
          <w:p w14:paraId="15E66E7A">
            <w:pPr>
              <w:spacing w:line="240" w:lineRule="exact"/>
              <w:jc w:val="center"/>
              <w:rPr>
                <w:kern w:val="0"/>
                <w:szCs w:val="21"/>
              </w:rPr>
            </w:pPr>
          </w:p>
        </w:tc>
        <w:tc>
          <w:tcPr>
            <w:tcW w:w="597" w:type="pct"/>
            <w:vAlign w:val="center"/>
          </w:tcPr>
          <w:p w14:paraId="4428F997">
            <w:pPr>
              <w:spacing w:line="240" w:lineRule="exact"/>
              <w:rPr>
                <w:kern w:val="0"/>
                <w:szCs w:val="21"/>
              </w:rPr>
            </w:pPr>
            <w:r>
              <w:rPr>
                <w:rFonts w:hint="eastAsia"/>
                <w:kern w:val="0"/>
                <w:szCs w:val="21"/>
              </w:rPr>
              <w:t>土壤</w:t>
            </w:r>
          </w:p>
        </w:tc>
        <w:tc>
          <w:tcPr>
            <w:tcW w:w="732" w:type="pct"/>
            <w:vAlign w:val="center"/>
          </w:tcPr>
          <w:p w14:paraId="72FBE354">
            <w:pPr>
              <w:spacing w:line="240" w:lineRule="exact"/>
              <w:rPr>
                <w:kern w:val="0"/>
                <w:szCs w:val="21"/>
              </w:rPr>
            </w:pPr>
            <w:r>
              <w:rPr>
                <w:rFonts w:hint="eastAsia"/>
                <w:kern w:val="0"/>
                <w:szCs w:val="21"/>
              </w:rPr>
              <w:t>现状</w:t>
            </w:r>
            <w:r>
              <w:rPr>
                <w:kern w:val="0"/>
                <w:szCs w:val="21"/>
              </w:rPr>
              <w:t>评价</w:t>
            </w:r>
          </w:p>
        </w:tc>
        <w:tc>
          <w:tcPr>
            <w:tcW w:w="3074" w:type="pct"/>
            <w:vAlign w:val="center"/>
          </w:tcPr>
          <w:p w14:paraId="444D06AD">
            <w:pPr>
              <w:spacing w:line="240" w:lineRule="exact"/>
              <w:rPr>
                <w:kern w:val="0"/>
                <w:szCs w:val="21"/>
              </w:rPr>
            </w:pPr>
            <w:r>
              <w:rPr>
                <w:rFonts w:hint="eastAsia"/>
                <w:kern w:val="0"/>
                <w:szCs w:val="21"/>
              </w:rPr>
              <w:t>pH、含盐量</w:t>
            </w:r>
          </w:p>
        </w:tc>
      </w:tr>
      <w:tr w14:paraId="4A0BD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70" w:hRule="atLeast"/>
          <w:jc w:val="center"/>
        </w:trPr>
        <w:tc>
          <w:tcPr>
            <w:tcW w:w="597" w:type="pct"/>
            <w:vMerge w:val="continue"/>
            <w:vAlign w:val="center"/>
          </w:tcPr>
          <w:p w14:paraId="549E1FFC">
            <w:pPr>
              <w:spacing w:line="240" w:lineRule="exact"/>
              <w:jc w:val="center"/>
              <w:rPr>
                <w:kern w:val="0"/>
                <w:szCs w:val="21"/>
              </w:rPr>
            </w:pPr>
          </w:p>
        </w:tc>
        <w:tc>
          <w:tcPr>
            <w:tcW w:w="597" w:type="pct"/>
            <w:vAlign w:val="center"/>
          </w:tcPr>
          <w:p w14:paraId="513DE5DB">
            <w:pPr>
              <w:spacing w:line="240" w:lineRule="exact"/>
              <w:rPr>
                <w:kern w:val="0"/>
                <w:szCs w:val="21"/>
              </w:rPr>
            </w:pPr>
            <w:r>
              <w:rPr>
                <w:rFonts w:hint="eastAsia"/>
                <w:kern w:val="0"/>
                <w:szCs w:val="21"/>
              </w:rPr>
              <w:t>固废</w:t>
            </w:r>
          </w:p>
        </w:tc>
        <w:tc>
          <w:tcPr>
            <w:tcW w:w="732" w:type="pct"/>
            <w:vAlign w:val="center"/>
          </w:tcPr>
          <w:p w14:paraId="4EA7DE32">
            <w:pPr>
              <w:spacing w:line="240" w:lineRule="exact"/>
              <w:rPr>
                <w:kern w:val="0"/>
                <w:szCs w:val="21"/>
              </w:rPr>
            </w:pPr>
            <w:r>
              <w:rPr>
                <w:kern w:val="0"/>
                <w:szCs w:val="21"/>
              </w:rPr>
              <w:t>影响分析</w:t>
            </w:r>
          </w:p>
        </w:tc>
        <w:tc>
          <w:tcPr>
            <w:tcW w:w="3074" w:type="pct"/>
            <w:vAlign w:val="center"/>
          </w:tcPr>
          <w:p w14:paraId="190403A0">
            <w:pPr>
              <w:spacing w:line="240" w:lineRule="exact"/>
              <w:rPr>
                <w:kern w:val="0"/>
                <w:szCs w:val="21"/>
              </w:rPr>
            </w:pPr>
            <w:r>
              <w:rPr>
                <w:rFonts w:hint="eastAsia"/>
                <w:kern w:val="0"/>
                <w:szCs w:val="21"/>
              </w:rPr>
              <w:t>施工土方</w:t>
            </w:r>
            <w:r>
              <w:rPr>
                <w:kern w:val="0"/>
                <w:szCs w:val="21"/>
              </w:rPr>
              <w:t>、淤泥、生活垃圾</w:t>
            </w:r>
          </w:p>
        </w:tc>
      </w:tr>
      <w:tr w14:paraId="2D30F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597" w:type="pct"/>
            <w:vMerge w:val="restart"/>
            <w:vAlign w:val="center"/>
          </w:tcPr>
          <w:p w14:paraId="42DDBE75">
            <w:pPr>
              <w:widowControl/>
              <w:spacing w:line="240" w:lineRule="exact"/>
              <w:jc w:val="center"/>
              <w:rPr>
                <w:kern w:val="0"/>
                <w:szCs w:val="21"/>
              </w:rPr>
            </w:pPr>
            <w:r>
              <w:rPr>
                <w:rFonts w:hint="eastAsia"/>
                <w:kern w:val="0"/>
                <w:szCs w:val="21"/>
              </w:rPr>
              <w:t>运营期</w:t>
            </w:r>
          </w:p>
        </w:tc>
        <w:tc>
          <w:tcPr>
            <w:tcW w:w="597" w:type="pct"/>
            <w:vMerge w:val="restart"/>
            <w:vAlign w:val="center"/>
          </w:tcPr>
          <w:p w14:paraId="4FE078D4">
            <w:pPr>
              <w:spacing w:line="240" w:lineRule="exact"/>
              <w:rPr>
                <w:kern w:val="0"/>
                <w:szCs w:val="21"/>
              </w:rPr>
            </w:pPr>
            <w:r>
              <w:rPr>
                <w:kern w:val="0"/>
                <w:szCs w:val="21"/>
              </w:rPr>
              <w:t>大气</w:t>
            </w:r>
          </w:p>
        </w:tc>
        <w:tc>
          <w:tcPr>
            <w:tcW w:w="732" w:type="pct"/>
            <w:vAlign w:val="center"/>
          </w:tcPr>
          <w:p w14:paraId="71882D30">
            <w:pPr>
              <w:spacing w:line="240" w:lineRule="exact"/>
              <w:rPr>
                <w:kern w:val="0"/>
                <w:szCs w:val="21"/>
              </w:rPr>
            </w:pPr>
            <w:r>
              <w:rPr>
                <w:kern w:val="0"/>
                <w:szCs w:val="21"/>
              </w:rPr>
              <w:t>现状评价</w:t>
            </w:r>
          </w:p>
        </w:tc>
        <w:tc>
          <w:tcPr>
            <w:tcW w:w="3074" w:type="pct"/>
            <w:vAlign w:val="center"/>
          </w:tcPr>
          <w:p w14:paraId="103A71EB">
            <w:pPr>
              <w:spacing w:line="240" w:lineRule="exact"/>
              <w:rPr>
                <w:kern w:val="0"/>
                <w:szCs w:val="21"/>
              </w:rPr>
            </w:pPr>
            <w:r>
              <w:rPr>
                <w:kern w:val="0"/>
                <w:szCs w:val="21"/>
              </w:rPr>
              <w:t>PM</w:t>
            </w:r>
            <w:r>
              <w:rPr>
                <w:kern w:val="0"/>
                <w:szCs w:val="21"/>
                <w:vertAlign w:val="subscript"/>
              </w:rPr>
              <w:t>10</w:t>
            </w:r>
            <w:r>
              <w:rPr>
                <w:kern w:val="0"/>
                <w:szCs w:val="21"/>
              </w:rPr>
              <w:t>、SO</w:t>
            </w:r>
            <w:r>
              <w:rPr>
                <w:kern w:val="0"/>
                <w:szCs w:val="21"/>
                <w:vertAlign w:val="subscript"/>
              </w:rPr>
              <w:t>2</w:t>
            </w:r>
            <w:r>
              <w:rPr>
                <w:kern w:val="0"/>
                <w:szCs w:val="21"/>
              </w:rPr>
              <w:t>、NO</w:t>
            </w:r>
            <w:r>
              <w:rPr>
                <w:kern w:val="0"/>
                <w:szCs w:val="21"/>
                <w:vertAlign w:val="subscript"/>
              </w:rPr>
              <w:t>2</w:t>
            </w:r>
            <w:r>
              <w:rPr>
                <w:kern w:val="0"/>
                <w:szCs w:val="21"/>
              </w:rPr>
              <w:t>、</w:t>
            </w:r>
            <w:r>
              <w:rPr>
                <w:rFonts w:hint="eastAsia"/>
                <w:kern w:val="0"/>
                <w:szCs w:val="21"/>
              </w:rPr>
              <w:t>CO、O</w:t>
            </w:r>
            <w:r>
              <w:rPr>
                <w:kern w:val="0"/>
                <w:szCs w:val="21"/>
                <w:vertAlign w:val="subscript"/>
              </w:rPr>
              <w:t>3</w:t>
            </w:r>
            <w:r>
              <w:rPr>
                <w:rFonts w:hint="eastAsia"/>
                <w:kern w:val="0"/>
                <w:szCs w:val="21"/>
              </w:rPr>
              <w:t>、PM</w:t>
            </w:r>
            <w:r>
              <w:rPr>
                <w:rFonts w:hint="eastAsia"/>
                <w:kern w:val="0"/>
                <w:szCs w:val="21"/>
                <w:vertAlign w:val="subscript"/>
              </w:rPr>
              <w:t>2.5</w:t>
            </w:r>
          </w:p>
        </w:tc>
      </w:tr>
      <w:tr w14:paraId="290A6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597" w:type="pct"/>
            <w:vMerge w:val="continue"/>
            <w:vAlign w:val="center"/>
          </w:tcPr>
          <w:p w14:paraId="49C0DB97">
            <w:pPr>
              <w:spacing w:line="240" w:lineRule="exact"/>
              <w:jc w:val="center"/>
              <w:rPr>
                <w:kern w:val="0"/>
                <w:szCs w:val="21"/>
              </w:rPr>
            </w:pPr>
          </w:p>
        </w:tc>
        <w:tc>
          <w:tcPr>
            <w:tcW w:w="597" w:type="pct"/>
            <w:vMerge w:val="continue"/>
            <w:vAlign w:val="center"/>
          </w:tcPr>
          <w:p w14:paraId="06B517C9">
            <w:pPr>
              <w:spacing w:line="240" w:lineRule="exact"/>
              <w:rPr>
                <w:kern w:val="0"/>
                <w:szCs w:val="21"/>
              </w:rPr>
            </w:pPr>
          </w:p>
        </w:tc>
        <w:tc>
          <w:tcPr>
            <w:tcW w:w="732" w:type="pct"/>
            <w:vAlign w:val="center"/>
          </w:tcPr>
          <w:p w14:paraId="6C5E2B05">
            <w:pPr>
              <w:spacing w:line="240" w:lineRule="exact"/>
              <w:rPr>
                <w:kern w:val="0"/>
                <w:szCs w:val="21"/>
              </w:rPr>
            </w:pPr>
            <w:r>
              <w:rPr>
                <w:kern w:val="0"/>
                <w:szCs w:val="21"/>
              </w:rPr>
              <w:t>污染源评价</w:t>
            </w:r>
          </w:p>
        </w:tc>
        <w:tc>
          <w:tcPr>
            <w:tcW w:w="3074" w:type="pct"/>
            <w:vAlign w:val="center"/>
          </w:tcPr>
          <w:p w14:paraId="73A55713">
            <w:pPr>
              <w:spacing w:line="240" w:lineRule="exact"/>
              <w:rPr>
                <w:kern w:val="0"/>
                <w:szCs w:val="21"/>
                <w:vertAlign w:val="subscript"/>
              </w:rPr>
            </w:pPr>
            <w:r>
              <w:rPr>
                <w:rFonts w:hint="eastAsia"/>
                <w:kern w:val="0"/>
                <w:szCs w:val="21"/>
              </w:rPr>
              <w:t>/</w:t>
            </w:r>
          </w:p>
        </w:tc>
      </w:tr>
      <w:tr w14:paraId="0635E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77" w:hRule="atLeast"/>
          <w:jc w:val="center"/>
        </w:trPr>
        <w:tc>
          <w:tcPr>
            <w:tcW w:w="597" w:type="pct"/>
            <w:vMerge w:val="continue"/>
            <w:vAlign w:val="center"/>
          </w:tcPr>
          <w:p w14:paraId="0E68E057">
            <w:pPr>
              <w:spacing w:line="240" w:lineRule="exact"/>
              <w:jc w:val="center"/>
              <w:rPr>
                <w:kern w:val="0"/>
                <w:szCs w:val="21"/>
              </w:rPr>
            </w:pPr>
          </w:p>
        </w:tc>
        <w:tc>
          <w:tcPr>
            <w:tcW w:w="597" w:type="pct"/>
            <w:vMerge w:val="continue"/>
            <w:vAlign w:val="center"/>
          </w:tcPr>
          <w:p w14:paraId="687312F7">
            <w:pPr>
              <w:spacing w:line="240" w:lineRule="exact"/>
              <w:rPr>
                <w:kern w:val="0"/>
                <w:szCs w:val="21"/>
              </w:rPr>
            </w:pPr>
          </w:p>
        </w:tc>
        <w:tc>
          <w:tcPr>
            <w:tcW w:w="732" w:type="pct"/>
            <w:vAlign w:val="center"/>
          </w:tcPr>
          <w:p w14:paraId="21AB71C3">
            <w:pPr>
              <w:spacing w:line="240" w:lineRule="exact"/>
              <w:rPr>
                <w:kern w:val="0"/>
                <w:szCs w:val="21"/>
              </w:rPr>
            </w:pPr>
            <w:r>
              <w:rPr>
                <w:kern w:val="0"/>
                <w:szCs w:val="21"/>
              </w:rPr>
              <w:t>影响分析</w:t>
            </w:r>
          </w:p>
        </w:tc>
        <w:tc>
          <w:tcPr>
            <w:tcW w:w="3074" w:type="pct"/>
            <w:vAlign w:val="center"/>
          </w:tcPr>
          <w:p w14:paraId="49380C1F">
            <w:pPr>
              <w:spacing w:line="240" w:lineRule="exact"/>
              <w:rPr>
                <w:kern w:val="0"/>
                <w:szCs w:val="21"/>
                <w:vertAlign w:val="subscript"/>
              </w:rPr>
            </w:pPr>
            <w:r>
              <w:rPr>
                <w:kern w:val="0"/>
                <w:szCs w:val="21"/>
              </w:rPr>
              <w:t>/</w:t>
            </w:r>
          </w:p>
        </w:tc>
      </w:tr>
      <w:tr w14:paraId="73D40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597" w:type="pct"/>
            <w:vMerge w:val="continue"/>
            <w:vAlign w:val="center"/>
          </w:tcPr>
          <w:p w14:paraId="2B89F79C">
            <w:pPr>
              <w:spacing w:line="240" w:lineRule="exact"/>
              <w:jc w:val="center"/>
              <w:rPr>
                <w:kern w:val="0"/>
                <w:szCs w:val="21"/>
              </w:rPr>
            </w:pPr>
          </w:p>
        </w:tc>
        <w:tc>
          <w:tcPr>
            <w:tcW w:w="597" w:type="pct"/>
            <w:vMerge w:val="restart"/>
            <w:vAlign w:val="center"/>
          </w:tcPr>
          <w:p w14:paraId="66ECE3FA">
            <w:pPr>
              <w:spacing w:line="240" w:lineRule="exact"/>
              <w:rPr>
                <w:kern w:val="0"/>
                <w:szCs w:val="21"/>
              </w:rPr>
            </w:pPr>
            <w:r>
              <w:rPr>
                <w:kern w:val="0"/>
                <w:szCs w:val="21"/>
              </w:rPr>
              <w:t>噪声</w:t>
            </w:r>
          </w:p>
        </w:tc>
        <w:tc>
          <w:tcPr>
            <w:tcW w:w="732" w:type="pct"/>
            <w:vAlign w:val="center"/>
          </w:tcPr>
          <w:p w14:paraId="28F2D287">
            <w:pPr>
              <w:spacing w:line="240" w:lineRule="exact"/>
              <w:rPr>
                <w:kern w:val="0"/>
                <w:szCs w:val="21"/>
              </w:rPr>
            </w:pPr>
            <w:r>
              <w:rPr>
                <w:kern w:val="0"/>
                <w:szCs w:val="21"/>
              </w:rPr>
              <w:t>现状评价</w:t>
            </w:r>
          </w:p>
        </w:tc>
        <w:tc>
          <w:tcPr>
            <w:tcW w:w="3074" w:type="pct"/>
            <w:vAlign w:val="center"/>
          </w:tcPr>
          <w:p w14:paraId="06833D51">
            <w:pPr>
              <w:spacing w:line="240" w:lineRule="exact"/>
              <w:rPr>
                <w:kern w:val="0"/>
                <w:szCs w:val="21"/>
              </w:rPr>
            </w:pPr>
            <w:r>
              <w:rPr>
                <w:kern w:val="0"/>
                <w:szCs w:val="21"/>
              </w:rPr>
              <w:t>Leq (A)</w:t>
            </w:r>
          </w:p>
        </w:tc>
      </w:tr>
      <w:tr w14:paraId="0E24F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597" w:type="pct"/>
            <w:vMerge w:val="continue"/>
            <w:vAlign w:val="center"/>
          </w:tcPr>
          <w:p w14:paraId="296B974E">
            <w:pPr>
              <w:spacing w:line="240" w:lineRule="exact"/>
              <w:jc w:val="center"/>
              <w:rPr>
                <w:kern w:val="0"/>
                <w:szCs w:val="21"/>
              </w:rPr>
            </w:pPr>
          </w:p>
        </w:tc>
        <w:tc>
          <w:tcPr>
            <w:tcW w:w="597" w:type="pct"/>
            <w:vMerge w:val="continue"/>
            <w:vAlign w:val="center"/>
          </w:tcPr>
          <w:p w14:paraId="1F984B41">
            <w:pPr>
              <w:spacing w:line="240" w:lineRule="exact"/>
              <w:rPr>
                <w:kern w:val="0"/>
                <w:szCs w:val="21"/>
              </w:rPr>
            </w:pPr>
          </w:p>
        </w:tc>
        <w:tc>
          <w:tcPr>
            <w:tcW w:w="732" w:type="pct"/>
            <w:vAlign w:val="center"/>
          </w:tcPr>
          <w:p w14:paraId="308BADC4">
            <w:pPr>
              <w:spacing w:line="240" w:lineRule="exact"/>
              <w:rPr>
                <w:kern w:val="0"/>
                <w:szCs w:val="21"/>
              </w:rPr>
            </w:pPr>
            <w:r>
              <w:rPr>
                <w:kern w:val="0"/>
                <w:szCs w:val="21"/>
              </w:rPr>
              <w:t>污染源评价</w:t>
            </w:r>
          </w:p>
        </w:tc>
        <w:tc>
          <w:tcPr>
            <w:tcW w:w="3074" w:type="pct"/>
            <w:vAlign w:val="center"/>
          </w:tcPr>
          <w:p w14:paraId="79961809">
            <w:pPr>
              <w:spacing w:line="240" w:lineRule="exact"/>
              <w:rPr>
                <w:kern w:val="0"/>
                <w:szCs w:val="21"/>
              </w:rPr>
            </w:pPr>
            <w:r>
              <w:rPr>
                <w:kern w:val="0"/>
                <w:szCs w:val="21"/>
              </w:rPr>
              <w:t>/</w:t>
            </w:r>
          </w:p>
        </w:tc>
      </w:tr>
      <w:tr w14:paraId="21987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597" w:type="pct"/>
            <w:vMerge w:val="continue"/>
            <w:vAlign w:val="center"/>
          </w:tcPr>
          <w:p w14:paraId="3B30EDEA">
            <w:pPr>
              <w:spacing w:line="240" w:lineRule="exact"/>
              <w:jc w:val="center"/>
              <w:rPr>
                <w:kern w:val="0"/>
                <w:szCs w:val="21"/>
              </w:rPr>
            </w:pPr>
          </w:p>
        </w:tc>
        <w:tc>
          <w:tcPr>
            <w:tcW w:w="597" w:type="pct"/>
            <w:vMerge w:val="continue"/>
            <w:vAlign w:val="center"/>
          </w:tcPr>
          <w:p w14:paraId="5F23FDC7">
            <w:pPr>
              <w:spacing w:line="240" w:lineRule="exact"/>
              <w:rPr>
                <w:kern w:val="0"/>
                <w:szCs w:val="21"/>
              </w:rPr>
            </w:pPr>
          </w:p>
        </w:tc>
        <w:tc>
          <w:tcPr>
            <w:tcW w:w="732" w:type="pct"/>
            <w:vAlign w:val="center"/>
          </w:tcPr>
          <w:p w14:paraId="02CB97FC">
            <w:pPr>
              <w:spacing w:line="240" w:lineRule="exact"/>
              <w:rPr>
                <w:kern w:val="0"/>
                <w:szCs w:val="21"/>
              </w:rPr>
            </w:pPr>
            <w:r>
              <w:rPr>
                <w:kern w:val="0"/>
                <w:szCs w:val="21"/>
              </w:rPr>
              <w:t>影响评价</w:t>
            </w:r>
          </w:p>
        </w:tc>
        <w:tc>
          <w:tcPr>
            <w:tcW w:w="3074" w:type="pct"/>
            <w:vAlign w:val="center"/>
          </w:tcPr>
          <w:p w14:paraId="5792461C">
            <w:pPr>
              <w:spacing w:line="240" w:lineRule="exact"/>
              <w:rPr>
                <w:kern w:val="0"/>
                <w:szCs w:val="21"/>
              </w:rPr>
            </w:pPr>
            <w:r>
              <w:rPr>
                <w:kern w:val="0"/>
                <w:szCs w:val="21"/>
              </w:rPr>
              <w:t>/</w:t>
            </w:r>
          </w:p>
        </w:tc>
      </w:tr>
      <w:tr w14:paraId="770A6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597" w:type="pct"/>
            <w:vMerge w:val="continue"/>
            <w:vAlign w:val="center"/>
          </w:tcPr>
          <w:p w14:paraId="44EFAC37">
            <w:pPr>
              <w:spacing w:line="240" w:lineRule="exact"/>
              <w:jc w:val="center"/>
              <w:rPr>
                <w:kern w:val="0"/>
                <w:szCs w:val="21"/>
              </w:rPr>
            </w:pPr>
          </w:p>
        </w:tc>
        <w:tc>
          <w:tcPr>
            <w:tcW w:w="597" w:type="pct"/>
            <w:vAlign w:val="center"/>
          </w:tcPr>
          <w:p w14:paraId="39AE9086">
            <w:pPr>
              <w:spacing w:line="240" w:lineRule="exact"/>
              <w:rPr>
                <w:kern w:val="0"/>
                <w:szCs w:val="21"/>
              </w:rPr>
            </w:pPr>
            <w:r>
              <w:rPr>
                <w:rFonts w:hint="eastAsia"/>
                <w:kern w:val="0"/>
                <w:szCs w:val="21"/>
              </w:rPr>
              <w:t>土壤</w:t>
            </w:r>
          </w:p>
        </w:tc>
        <w:tc>
          <w:tcPr>
            <w:tcW w:w="732" w:type="pct"/>
            <w:vAlign w:val="center"/>
          </w:tcPr>
          <w:p w14:paraId="78EB36A6">
            <w:pPr>
              <w:spacing w:line="240" w:lineRule="exact"/>
              <w:rPr>
                <w:kern w:val="0"/>
                <w:szCs w:val="21"/>
              </w:rPr>
            </w:pPr>
            <w:r>
              <w:rPr>
                <w:rFonts w:hint="eastAsia"/>
                <w:kern w:val="0"/>
                <w:szCs w:val="21"/>
              </w:rPr>
              <w:t>现状</w:t>
            </w:r>
            <w:r>
              <w:rPr>
                <w:kern w:val="0"/>
                <w:szCs w:val="21"/>
              </w:rPr>
              <w:t>评价</w:t>
            </w:r>
          </w:p>
        </w:tc>
        <w:tc>
          <w:tcPr>
            <w:tcW w:w="3074" w:type="pct"/>
            <w:vAlign w:val="center"/>
          </w:tcPr>
          <w:p w14:paraId="729C7391">
            <w:pPr>
              <w:spacing w:line="240" w:lineRule="exact"/>
              <w:rPr>
                <w:kern w:val="0"/>
                <w:szCs w:val="21"/>
              </w:rPr>
            </w:pPr>
            <w:r>
              <w:rPr>
                <w:rFonts w:hint="eastAsia"/>
                <w:kern w:val="0"/>
                <w:szCs w:val="21"/>
              </w:rPr>
              <w:t>pH、含盐量</w:t>
            </w:r>
          </w:p>
        </w:tc>
      </w:tr>
      <w:tr w14:paraId="169D1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597" w:type="pct"/>
            <w:vMerge w:val="continue"/>
            <w:vAlign w:val="center"/>
          </w:tcPr>
          <w:p w14:paraId="476F46C4">
            <w:pPr>
              <w:spacing w:line="240" w:lineRule="exact"/>
              <w:jc w:val="center"/>
              <w:rPr>
                <w:kern w:val="0"/>
                <w:szCs w:val="21"/>
              </w:rPr>
            </w:pPr>
          </w:p>
        </w:tc>
        <w:tc>
          <w:tcPr>
            <w:tcW w:w="597" w:type="pct"/>
            <w:vMerge w:val="restart"/>
            <w:vAlign w:val="center"/>
          </w:tcPr>
          <w:p w14:paraId="12FAAC11">
            <w:pPr>
              <w:spacing w:line="240" w:lineRule="exact"/>
              <w:rPr>
                <w:kern w:val="0"/>
                <w:szCs w:val="21"/>
              </w:rPr>
            </w:pPr>
            <w:r>
              <w:rPr>
                <w:rFonts w:hint="eastAsia"/>
                <w:kern w:val="0"/>
                <w:szCs w:val="21"/>
              </w:rPr>
              <w:t>地表水</w:t>
            </w:r>
            <w:r>
              <w:rPr>
                <w:kern w:val="0"/>
                <w:szCs w:val="21"/>
              </w:rPr>
              <w:t>环境</w:t>
            </w:r>
          </w:p>
        </w:tc>
        <w:tc>
          <w:tcPr>
            <w:tcW w:w="732" w:type="pct"/>
            <w:vAlign w:val="center"/>
          </w:tcPr>
          <w:p w14:paraId="35A7BA01">
            <w:pPr>
              <w:spacing w:line="240" w:lineRule="exact"/>
              <w:rPr>
                <w:kern w:val="0"/>
                <w:szCs w:val="21"/>
              </w:rPr>
            </w:pPr>
            <w:r>
              <w:rPr>
                <w:rFonts w:hint="eastAsia"/>
                <w:kern w:val="0"/>
                <w:szCs w:val="21"/>
              </w:rPr>
              <w:t>现状</w:t>
            </w:r>
            <w:r>
              <w:rPr>
                <w:kern w:val="0"/>
                <w:szCs w:val="21"/>
              </w:rPr>
              <w:t>评价</w:t>
            </w:r>
          </w:p>
        </w:tc>
        <w:tc>
          <w:tcPr>
            <w:tcW w:w="3074" w:type="pct"/>
            <w:vAlign w:val="center"/>
          </w:tcPr>
          <w:p w14:paraId="7E978A2E">
            <w:pPr>
              <w:spacing w:line="240" w:lineRule="exact"/>
              <w:rPr>
                <w:kern w:val="0"/>
                <w:szCs w:val="21"/>
              </w:rPr>
            </w:pPr>
            <w:r>
              <w:rPr>
                <w:kern w:val="0"/>
                <w:szCs w:val="21"/>
              </w:rPr>
              <w:t>COD</w:t>
            </w:r>
            <w:r>
              <w:rPr>
                <w:rFonts w:hint="eastAsia"/>
                <w:kern w:val="0"/>
                <w:szCs w:val="21"/>
              </w:rPr>
              <w:t>、氨氮、总磷、高锰酸盐指数、总氮</w:t>
            </w:r>
          </w:p>
        </w:tc>
      </w:tr>
      <w:tr w14:paraId="04371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597" w:type="pct"/>
            <w:vMerge w:val="continue"/>
            <w:vAlign w:val="center"/>
          </w:tcPr>
          <w:p w14:paraId="716633F1">
            <w:pPr>
              <w:spacing w:line="240" w:lineRule="exact"/>
              <w:jc w:val="center"/>
              <w:rPr>
                <w:kern w:val="0"/>
                <w:szCs w:val="21"/>
              </w:rPr>
            </w:pPr>
          </w:p>
        </w:tc>
        <w:tc>
          <w:tcPr>
            <w:tcW w:w="597" w:type="pct"/>
            <w:vMerge w:val="continue"/>
            <w:vAlign w:val="center"/>
          </w:tcPr>
          <w:p w14:paraId="78E3A01B">
            <w:pPr>
              <w:spacing w:line="240" w:lineRule="exact"/>
              <w:rPr>
                <w:kern w:val="0"/>
                <w:szCs w:val="21"/>
              </w:rPr>
            </w:pPr>
          </w:p>
        </w:tc>
        <w:tc>
          <w:tcPr>
            <w:tcW w:w="732" w:type="pct"/>
            <w:vAlign w:val="center"/>
          </w:tcPr>
          <w:p w14:paraId="4F8219E1">
            <w:pPr>
              <w:spacing w:line="240" w:lineRule="exact"/>
              <w:rPr>
                <w:kern w:val="0"/>
                <w:szCs w:val="21"/>
              </w:rPr>
            </w:pPr>
            <w:r>
              <w:rPr>
                <w:kern w:val="0"/>
                <w:szCs w:val="21"/>
              </w:rPr>
              <w:t>污染源评价</w:t>
            </w:r>
          </w:p>
        </w:tc>
        <w:tc>
          <w:tcPr>
            <w:tcW w:w="3074" w:type="pct"/>
            <w:vAlign w:val="center"/>
          </w:tcPr>
          <w:p w14:paraId="4D27A022">
            <w:pPr>
              <w:spacing w:line="240" w:lineRule="exact"/>
              <w:rPr>
                <w:kern w:val="0"/>
                <w:szCs w:val="21"/>
              </w:rPr>
            </w:pPr>
            <w:r>
              <w:rPr>
                <w:rFonts w:hint="eastAsia"/>
                <w:kern w:val="0"/>
                <w:szCs w:val="21"/>
              </w:rPr>
              <w:t>/</w:t>
            </w:r>
          </w:p>
        </w:tc>
      </w:tr>
      <w:tr w14:paraId="32FD6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597" w:type="pct"/>
            <w:vMerge w:val="continue"/>
            <w:vAlign w:val="center"/>
          </w:tcPr>
          <w:p w14:paraId="595C504E">
            <w:pPr>
              <w:spacing w:line="240" w:lineRule="exact"/>
              <w:jc w:val="center"/>
              <w:rPr>
                <w:kern w:val="0"/>
                <w:szCs w:val="21"/>
              </w:rPr>
            </w:pPr>
          </w:p>
        </w:tc>
        <w:tc>
          <w:tcPr>
            <w:tcW w:w="597" w:type="pct"/>
            <w:vMerge w:val="continue"/>
            <w:vAlign w:val="center"/>
          </w:tcPr>
          <w:p w14:paraId="4581A065">
            <w:pPr>
              <w:spacing w:line="240" w:lineRule="exact"/>
              <w:rPr>
                <w:kern w:val="0"/>
                <w:szCs w:val="21"/>
              </w:rPr>
            </w:pPr>
          </w:p>
        </w:tc>
        <w:tc>
          <w:tcPr>
            <w:tcW w:w="732" w:type="pct"/>
            <w:vAlign w:val="center"/>
          </w:tcPr>
          <w:p w14:paraId="18F3174A">
            <w:pPr>
              <w:spacing w:line="240" w:lineRule="exact"/>
              <w:rPr>
                <w:kern w:val="0"/>
                <w:szCs w:val="21"/>
              </w:rPr>
            </w:pPr>
            <w:r>
              <w:rPr>
                <w:kern w:val="0"/>
                <w:szCs w:val="21"/>
              </w:rPr>
              <w:t>影响评价</w:t>
            </w:r>
          </w:p>
        </w:tc>
        <w:tc>
          <w:tcPr>
            <w:tcW w:w="3074" w:type="pct"/>
            <w:vAlign w:val="center"/>
          </w:tcPr>
          <w:p w14:paraId="40D12822">
            <w:pPr>
              <w:spacing w:line="240" w:lineRule="exact"/>
              <w:rPr>
                <w:kern w:val="0"/>
                <w:szCs w:val="21"/>
              </w:rPr>
            </w:pPr>
            <w:r>
              <w:rPr>
                <w:rFonts w:hint="eastAsia"/>
                <w:kern w:val="0"/>
                <w:szCs w:val="21"/>
              </w:rPr>
              <w:t>/</w:t>
            </w:r>
          </w:p>
        </w:tc>
      </w:tr>
      <w:tr w14:paraId="17636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597" w:type="pct"/>
            <w:vMerge w:val="continue"/>
            <w:vAlign w:val="center"/>
          </w:tcPr>
          <w:p w14:paraId="418557FF">
            <w:pPr>
              <w:spacing w:line="240" w:lineRule="exact"/>
              <w:jc w:val="center"/>
              <w:rPr>
                <w:kern w:val="0"/>
                <w:szCs w:val="21"/>
              </w:rPr>
            </w:pPr>
          </w:p>
        </w:tc>
        <w:tc>
          <w:tcPr>
            <w:tcW w:w="597" w:type="pct"/>
            <w:vMerge w:val="restart"/>
            <w:vAlign w:val="center"/>
          </w:tcPr>
          <w:p w14:paraId="338DAE79">
            <w:pPr>
              <w:spacing w:line="240" w:lineRule="exact"/>
              <w:rPr>
                <w:kern w:val="0"/>
                <w:szCs w:val="21"/>
              </w:rPr>
            </w:pPr>
            <w:r>
              <w:rPr>
                <w:rFonts w:hint="eastAsia"/>
                <w:kern w:val="0"/>
                <w:szCs w:val="21"/>
              </w:rPr>
              <w:t>地下水</w:t>
            </w:r>
            <w:r>
              <w:rPr>
                <w:kern w:val="0"/>
                <w:szCs w:val="21"/>
              </w:rPr>
              <w:t>环境</w:t>
            </w:r>
          </w:p>
        </w:tc>
        <w:tc>
          <w:tcPr>
            <w:tcW w:w="732" w:type="pct"/>
            <w:vAlign w:val="center"/>
          </w:tcPr>
          <w:p w14:paraId="5D6B33D1">
            <w:pPr>
              <w:spacing w:line="240" w:lineRule="exact"/>
              <w:rPr>
                <w:kern w:val="0"/>
                <w:szCs w:val="21"/>
              </w:rPr>
            </w:pPr>
            <w:r>
              <w:rPr>
                <w:rFonts w:hint="eastAsia"/>
                <w:kern w:val="0"/>
                <w:szCs w:val="21"/>
              </w:rPr>
              <w:t>现状</w:t>
            </w:r>
            <w:r>
              <w:rPr>
                <w:kern w:val="0"/>
                <w:szCs w:val="21"/>
              </w:rPr>
              <w:t>评价</w:t>
            </w:r>
          </w:p>
        </w:tc>
        <w:tc>
          <w:tcPr>
            <w:tcW w:w="3074" w:type="pct"/>
            <w:vAlign w:val="center"/>
          </w:tcPr>
          <w:p w14:paraId="74AFCD49">
            <w:pPr>
              <w:spacing w:line="240" w:lineRule="exact"/>
              <w:rPr>
                <w:kern w:val="0"/>
                <w:szCs w:val="21"/>
              </w:rPr>
            </w:pPr>
            <w:r>
              <w:rPr>
                <w:rFonts w:hint="eastAsia"/>
                <w:kern w:val="0"/>
                <w:szCs w:val="21"/>
              </w:rPr>
              <w:t>色</w:t>
            </w:r>
            <w:r>
              <w:rPr>
                <w:kern w:val="0"/>
                <w:szCs w:val="21"/>
              </w:rPr>
              <w:t>、嗅和味、浑浊度、肉眼可见物、pH、总硬度、溶解性总固体、硫酸盐、氯化物、铁、锰、</w:t>
            </w:r>
            <w:r>
              <w:rPr>
                <w:rFonts w:hint="eastAsia"/>
                <w:kern w:val="0"/>
                <w:szCs w:val="21"/>
              </w:rPr>
              <w:t>铜</w:t>
            </w:r>
            <w:r>
              <w:rPr>
                <w:kern w:val="0"/>
                <w:szCs w:val="21"/>
              </w:rPr>
              <w:t>、锌、</w:t>
            </w:r>
            <w:r>
              <w:rPr>
                <w:rFonts w:hint="eastAsia"/>
                <w:kern w:val="0"/>
                <w:szCs w:val="21"/>
              </w:rPr>
              <w:t>铝</w:t>
            </w:r>
            <w:r>
              <w:rPr>
                <w:kern w:val="0"/>
                <w:szCs w:val="21"/>
              </w:rPr>
              <w:t>、挥发性酚、</w:t>
            </w:r>
            <w:r>
              <w:rPr>
                <w:rFonts w:hint="eastAsia"/>
                <w:kern w:val="0"/>
                <w:szCs w:val="21"/>
              </w:rPr>
              <w:t>阴离子</w:t>
            </w:r>
            <w:r>
              <w:rPr>
                <w:kern w:val="0"/>
                <w:szCs w:val="21"/>
              </w:rPr>
              <w:t>表面活性剂、耗氧量(COD</w:t>
            </w:r>
            <w:r>
              <w:rPr>
                <w:kern w:val="0"/>
                <w:szCs w:val="21"/>
                <w:vertAlign w:val="subscript"/>
              </w:rPr>
              <w:t>Mn</w:t>
            </w:r>
            <w:r>
              <w:rPr>
                <w:kern w:val="0"/>
                <w:szCs w:val="21"/>
              </w:rPr>
              <w:t>)、氨氮、</w:t>
            </w:r>
            <w:r>
              <w:rPr>
                <w:rFonts w:hint="eastAsia"/>
                <w:kern w:val="0"/>
                <w:szCs w:val="21"/>
              </w:rPr>
              <w:t>硫化物、钠</w:t>
            </w:r>
            <w:r>
              <w:rPr>
                <w:kern w:val="0"/>
                <w:szCs w:val="21"/>
              </w:rPr>
              <w:t>、</w:t>
            </w:r>
            <w:r>
              <w:rPr>
                <w:rFonts w:hint="eastAsia"/>
                <w:kern w:val="0"/>
                <w:szCs w:val="21"/>
              </w:rPr>
              <w:t>总大肠菌群、菌落总数、</w:t>
            </w:r>
            <w:r>
              <w:rPr>
                <w:kern w:val="0"/>
                <w:szCs w:val="21"/>
              </w:rPr>
              <w:t>亚硝酸盐、硝酸盐、氰化物、氟化物、</w:t>
            </w:r>
            <w:r>
              <w:rPr>
                <w:rFonts w:hint="eastAsia"/>
                <w:kern w:val="0"/>
                <w:szCs w:val="21"/>
              </w:rPr>
              <w:t>碘化物</w:t>
            </w:r>
            <w:r>
              <w:rPr>
                <w:kern w:val="0"/>
                <w:szCs w:val="21"/>
              </w:rPr>
              <w:t>、汞、砷、</w:t>
            </w:r>
            <w:r>
              <w:rPr>
                <w:rFonts w:hint="eastAsia"/>
                <w:kern w:val="0"/>
                <w:szCs w:val="21"/>
              </w:rPr>
              <w:t>硒</w:t>
            </w:r>
            <w:r>
              <w:rPr>
                <w:kern w:val="0"/>
                <w:szCs w:val="21"/>
              </w:rPr>
              <w:t>、镉、六价铬、铅、</w:t>
            </w:r>
            <w:r>
              <w:rPr>
                <w:rFonts w:hint="eastAsia"/>
                <w:kern w:val="0"/>
                <w:szCs w:val="21"/>
              </w:rPr>
              <w:t>三氯甲烷</w:t>
            </w:r>
            <w:r>
              <w:rPr>
                <w:kern w:val="0"/>
                <w:szCs w:val="21"/>
              </w:rPr>
              <w:t>、四氯化碳、苯、甲苯、石油类</w:t>
            </w:r>
            <w:r>
              <w:rPr>
                <w:rFonts w:hint="eastAsia"/>
                <w:kern w:val="0"/>
                <w:szCs w:val="21"/>
              </w:rPr>
              <w:t>及</w:t>
            </w:r>
            <w:r>
              <w:rPr>
                <w:kern w:val="0"/>
                <w:szCs w:val="21"/>
              </w:rPr>
              <w:t>K</w:t>
            </w:r>
            <w:r>
              <w:rPr>
                <w:kern w:val="0"/>
                <w:szCs w:val="21"/>
                <w:vertAlign w:val="superscript"/>
              </w:rPr>
              <w:t>+</w:t>
            </w:r>
            <w:r>
              <w:rPr>
                <w:kern w:val="0"/>
                <w:szCs w:val="21"/>
              </w:rPr>
              <w:t>、Na</w:t>
            </w:r>
            <w:r>
              <w:rPr>
                <w:kern w:val="0"/>
                <w:szCs w:val="21"/>
                <w:vertAlign w:val="superscript"/>
              </w:rPr>
              <w:t>+</w:t>
            </w:r>
            <w:r>
              <w:rPr>
                <w:kern w:val="0"/>
                <w:szCs w:val="21"/>
              </w:rPr>
              <w:t>、Ca</w:t>
            </w:r>
            <w:r>
              <w:rPr>
                <w:kern w:val="0"/>
                <w:szCs w:val="21"/>
                <w:vertAlign w:val="superscript"/>
              </w:rPr>
              <w:t>2+</w:t>
            </w:r>
            <w:r>
              <w:rPr>
                <w:kern w:val="0"/>
                <w:szCs w:val="21"/>
              </w:rPr>
              <w:t>、Mg</w:t>
            </w:r>
            <w:r>
              <w:rPr>
                <w:kern w:val="0"/>
                <w:szCs w:val="21"/>
                <w:vertAlign w:val="superscript"/>
              </w:rPr>
              <w:t>2+</w:t>
            </w:r>
            <w:r>
              <w:rPr>
                <w:kern w:val="0"/>
                <w:szCs w:val="21"/>
              </w:rPr>
              <w:t>、CO</w:t>
            </w:r>
            <w:r>
              <w:rPr>
                <w:kern w:val="0"/>
                <w:szCs w:val="21"/>
                <w:vertAlign w:val="subscript"/>
              </w:rPr>
              <w:t>3</w:t>
            </w:r>
            <w:r>
              <w:rPr>
                <w:kern w:val="0"/>
                <w:szCs w:val="21"/>
                <w:vertAlign w:val="superscript"/>
              </w:rPr>
              <w:t>2-</w:t>
            </w:r>
            <w:r>
              <w:rPr>
                <w:kern w:val="0"/>
                <w:szCs w:val="21"/>
              </w:rPr>
              <w:t>、HCO</w:t>
            </w:r>
            <w:r>
              <w:rPr>
                <w:kern w:val="0"/>
                <w:szCs w:val="21"/>
                <w:vertAlign w:val="subscript"/>
              </w:rPr>
              <w:t>3</w:t>
            </w:r>
            <w:r>
              <w:rPr>
                <w:kern w:val="0"/>
                <w:szCs w:val="21"/>
                <w:vertAlign w:val="superscript"/>
              </w:rPr>
              <w:t>-</w:t>
            </w:r>
            <w:r>
              <w:rPr>
                <w:kern w:val="0"/>
                <w:szCs w:val="21"/>
              </w:rPr>
              <w:t>、Cl</w:t>
            </w:r>
            <w:r>
              <w:rPr>
                <w:kern w:val="0"/>
                <w:szCs w:val="21"/>
                <w:vertAlign w:val="superscript"/>
              </w:rPr>
              <w:t>-</w:t>
            </w:r>
            <w:r>
              <w:rPr>
                <w:kern w:val="0"/>
                <w:szCs w:val="21"/>
              </w:rPr>
              <w:t>、SO</w:t>
            </w:r>
            <w:r>
              <w:rPr>
                <w:kern w:val="0"/>
                <w:szCs w:val="21"/>
                <w:vertAlign w:val="subscript"/>
              </w:rPr>
              <w:t>4</w:t>
            </w:r>
            <w:r>
              <w:rPr>
                <w:kern w:val="0"/>
                <w:szCs w:val="21"/>
                <w:vertAlign w:val="superscript"/>
              </w:rPr>
              <w:t>2-</w:t>
            </w:r>
          </w:p>
        </w:tc>
      </w:tr>
      <w:tr w14:paraId="7F0CA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597" w:type="pct"/>
            <w:vMerge w:val="continue"/>
            <w:vAlign w:val="center"/>
          </w:tcPr>
          <w:p w14:paraId="449E58A9">
            <w:pPr>
              <w:spacing w:line="240" w:lineRule="exact"/>
              <w:jc w:val="center"/>
              <w:rPr>
                <w:kern w:val="0"/>
                <w:szCs w:val="21"/>
              </w:rPr>
            </w:pPr>
          </w:p>
        </w:tc>
        <w:tc>
          <w:tcPr>
            <w:tcW w:w="597" w:type="pct"/>
            <w:vMerge w:val="continue"/>
            <w:vAlign w:val="center"/>
          </w:tcPr>
          <w:p w14:paraId="09BC2AEF">
            <w:pPr>
              <w:spacing w:line="240" w:lineRule="exact"/>
              <w:rPr>
                <w:kern w:val="0"/>
                <w:szCs w:val="21"/>
              </w:rPr>
            </w:pPr>
          </w:p>
        </w:tc>
        <w:tc>
          <w:tcPr>
            <w:tcW w:w="732" w:type="pct"/>
            <w:vAlign w:val="center"/>
          </w:tcPr>
          <w:p w14:paraId="12C7B6A5">
            <w:pPr>
              <w:spacing w:line="240" w:lineRule="exact"/>
              <w:rPr>
                <w:kern w:val="0"/>
                <w:szCs w:val="21"/>
              </w:rPr>
            </w:pPr>
            <w:r>
              <w:rPr>
                <w:kern w:val="0"/>
                <w:szCs w:val="21"/>
              </w:rPr>
              <w:t>污染源评价</w:t>
            </w:r>
          </w:p>
        </w:tc>
        <w:tc>
          <w:tcPr>
            <w:tcW w:w="3074" w:type="pct"/>
            <w:vAlign w:val="center"/>
          </w:tcPr>
          <w:p w14:paraId="12B684AD">
            <w:pPr>
              <w:spacing w:line="240" w:lineRule="exact"/>
              <w:rPr>
                <w:kern w:val="0"/>
                <w:szCs w:val="21"/>
              </w:rPr>
            </w:pPr>
            <w:r>
              <w:rPr>
                <w:rFonts w:hint="eastAsia"/>
                <w:kern w:val="0"/>
                <w:szCs w:val="21"/>
              </w:rPr>
              <w:t>/</w:t>
            </w:r>
          </w:p>
        </w:tc>
      </w:tr>
      <w:tr w14:paraId="5B742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597" w:type="pct"/>
            <w:vMerge w:val="continue"/>
            <w:vAlign w:val="center"/>
          </w:tcPr>
          <w:p w14:paraId="2FAE93EB">
            <w:pPr>
              <w:spacing w:line="240" w:lineRule="exact"/>
              <w:jc w:val="center"/>
              <w:rPr>
                <w:kern w:val="0"/>
                <w:szCs w:val="21"/>
              </w:rPr>
            </w:pPr>
          </w:p>
        </w:tc>
        <w:tc>
          <w:tcPr>
            <w:tcW w:w="597" w:type="pct"/>
            <w:vMerge w:val="continue"/>
            <w:vAlign w:val="center"/>
          </w:tcPr>
          <w:p w14:paraId="576D67CD">
            <w:pPr>
              <w:spacing w:line="240" w:lineRule="exact"/>
              <w:rPr>
                <w:kern w:val="0"/>
                <w:szCs w:val="21"/>
              </w:rPr>
            </w:pPr>
          </w:p>
        </w:tc>
        <w:tc>
          <w:tcPr>
            <w:tcW w:w="732" w:type="pct"/>
            <w:vAlign w:val="center"/>
          </w:tcPr>
          <w:p w14:paraId="1B33FD9D">
            <w:pPr>
              <w:spacing w:line="240" w:lineRule="exact"/>
              <w:rPr>
                <w:kern w:val="0"/>
                <w:szCs w:val="21"/>
              </w:rPr>
            </w:pPr>
            <w:r>
              <w:rPr>
                <w:kern w:val="0"/>
                <w:szCs w:val="21"/>
              </w:rPr>
              <w:t>影响评价</w:t>
            </w:r>
          </w:p>
        </w:tc>
        <w:tc>
          <w:tcPr>
            <w:tcW w:w="3074" w:type="pct"/>
            <w:vAlign w:val="center"/>
          </w:tcPr>
          <w:p w14:paraId="34953738">
            <w:pPr>
              <w:spacing w:line="240" w:lineRule="exact"/>
              <w:rPr>
                <w:kern w:val="0"/>
                <w:szCs w:val="21"/>
              </w:rPr>
            </w:pPr>
            <w:r>
              <w:rPr>
                <w:rFonts w:hint="eastAsia"/>
                <w:kern w:val="0"/>
                <w:szCs w:val="21"/>
              </w:rPr>
              <w:t>/</w:t>
            </w:r>
          </w:p>
        </w:tc>
      </w:tr>
      <w:tr w14:paraId="02AEF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70" w:hRule="atLeast"/>
          <w:jc w:val="center"/>
        </w:trPr>
        <w:tc>
          <w:tcPr>
            <w:tcW w:w="597" w:type="pct"/>
            <w:vMerge w:val="continue"/>
            <w:vAlign w:val="center"/>
          </w:tcPr>
          <w:p w14:paraId="77F718AA">
            <w:pPr>
              <w:spacing w:line="240" w:lineRule="exact"/>
              <w:jc w:val="center"/>
              <w:rPr>
                <w:kern w:val="0"/>
                <w:szCs w:val="21"/>
              </w:rPr>
            </w:pPr>
          </w:p>
        </w:tc>
        <w:tc>
          <w:tcPr>
            <w:tcW w:w="597" w:type="pct"/>
            <w:vMerge w:val="restart"/>
            <w:vAlign w:val="center"/>
          </w:tcPr>
          <w:p w14:paraId="5D7A36AE">
            <w:pPr>
              <w:spacing w:line="240" w:lineRule="exact"/>
              <w:rPr>
                <w:kern w:val="0"/>
                <w:szCs w:val="21"/>
              </w:rPr>
            </w:pPr>
            <w:r>
              <w:rPr>
                <w:rFonts w:hint="eastAsia"/>
                <w:kern w:val="0"/>
                <w:szCs w:val="21"/>
              </w:rPr>
              <w:t>固体</w:t>
            </w:r>
            <w:r>
              <w:rPr>
                <w:kern w:val="0"/>
                <w:szCs w:val="21"/>
              </w:rPr>
              <w:t>废物</w:t>
            </w:r>
          </w:p>
        </w:tc>
        <w:tc>
          <w:tcPr>
            <w:tcW w:w="732" w:type="pct"/>
            <w:vAlign w:val="center"/>
          </w:tcPr>
          <w:p w14:paraId="3490940B">
            <w:pPr>
              <w:spacing w:line="240" w:lineRule="exact"/>
              <w:rPr>
                <w:kern w:val="0"/>
                <w:szCs w:val="21"/>
              </w:rPr>
            </w:pPr>
            <w:r>
              <w:rPr>
                <w:rFonts w:hint="eastAsia"/>
                <w:kern w:val="0"/>
                <w:szCs w:val="21"/>
              </w:rPr>
              <w:t>污染源</w:t>
            </w:r>
            <w:r>
              <w:rPr>
                <w:kern w:val="0"/>
                <w:szCs w:val="21"/>
              </w:rPr>
              <w:t>评价</w:t>
            </w:r>
          </w:p>
        </w:tc>
        <w:tc>
          <w:tcPr>
            <w:tcW w:w="3074" w:type="pct"/>
            <w:vMerge w:val="restart"/>
            <w:vAlign w:val="center"/>
          </w:tcPr>
          <w:p w14:paraId="298C33E1">
            <w:pPr>
              <w:spacing w:line="240" w:lineRule="exact"/>
              <w:rPr>
                <w:kern w:val="0"/>
                <w:szCs w:val="21"/>
              </w:rPr>
            </w:pPr>
            <w:r>
              <w:rPr>
                <w:rFonts w:hint="eastAsia"/>
                <w:kern w:val="0"/>
                <w:szCs w:val="21"/>
              </w:rPr>
              <w:t>/</w:t>
            </w:r>
          </w:p>
        </w:tc>
      </w:tr>
      <w:tr w14:paraId="4037A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70" w:hRule="atLeast"/>
          <w:jc w:val="center"/>
        </w:trPr>
        <w:tc>
          <w:tcPr>
            <w:tcW w:w="597" w:type="pct"/>
            <w:vMerge w:val="continue"/>
            <w:vAlign w:val="center"/>
          </w:tcPr>
          <w:p w14:paraId="0D1EB330">
            <w:pPr>
              <w:spacing w:line="240" w:lineRule="exact"/>
              <w:jc w:val="center"/>
              <w:rPr>
                <w:kern w:val="0"/>
                <w:szCs w:val="21"/>
              </w:rPr>
            </w:pPr>
          </w:p>
        </w:tc>
        <w:tc>
          <w:tcPr>
            <w:tcW w:w="597" w:type="pct"/>
            <w:vMerge w:val="continue"/>
            <w:vAlign w:val="center"/>
          </w:tcPr>
          <w:p w14:paraId="6DCD0397">
            <w:pPr>
              <w:spacing w:line="240" w:lineRule="exact"/>
              <w:rPr>
                <w:kern w:val="0"/>
                <w:szCs w:val="21"/>
              </w:rPr>
            </w:pPr>
          </w:p>
        </w:tc>
        <w:tc>
          <w:tcPr>
            <w:tcW w:w="732" w:type="pct"/>
            <w:vAlign w:val="center"/>
          </w:tcPr>
          <w:p w14:paraId="6D0FAFCE">
            <w:pPr>
              <w:spacing w:line="240" w:lineRule="exact"/>
              <w:rPr>
                <w:kern w:val="0"/>
                <w:szCs w:val="21"/>
              </w:rPr>
            </w:pPr>
            <w:r>
              <w:rPr>
                <w:rFonts w:hint="eastAsia"/>
                <w:kern w:val="0"/>
                <w:szCs w:val="21"/>
              </w:rPr>
              <w:t>影响</w:t>
            </w:r>
            <w:r>
              <w:rPr>
                <w:kern w:val="0"/>
                <w:szCs w:val="21"/>
              </w:rPr>
              <w:t>分析</w:t>
            </w:r>
          </w:p>
        </w:tc>
        <w:tc>
          <w:tcPr>
            <w:tcW w:w="3074" w:type="pct"/>
            <w:vMerge w:val="continue"/>
            <w:vAlign w:val="center"/>
          </w:tcPr>
          <w:p w14:paraId="0DD85B6A">
            <w:pPr>
              <w:spacing w:line="240" w:lineRule="exact"/>
              <w:rPr>
                <w:kern w:val="0"/>
                <w:szCs w:val="21"/>
              </w:rPr>
            </w:pPr>
          </w:p>
        </w:tc>
      </w:tr>
    </w:tbl>
    <w:p w14:paraId="1FDA38B2">
      <w:pPr>
        <w:jc w:val="center"/>
        <w:rPr>
          <w:rFonts w:eastAsia="黑体"/>
          <w:bCs/>
          <w:kern w:val="0"/>
          <w:sz w:val="24"/>
          <w:szCs w:val="32"/>
        </w:rPr>
      </w:pPr>
      <w:bookmarkStart w:id="27" w:name="_Ref129887604"/>
    </w:p>
    <w:p w14:paraId="395BEB93">
      <w:pPr>
        <w:jc w:val="center"/>
        <w:rPr>
          <w:rFonts w:eastAsia="黑体"/>
          <w:bCs/>
          <w:kern w:val="0"/>
          <w:sz w:val="24"/>
          <w:szCs w:val="32"/>
        </w:rPr>
      </w:pPr>
    </w:p>
    <w:p w14:paraId="5DF3AD13">
      <w:pPr>
        <w:jc w:val="center"/>
        <w:rPr>
          <w:rFonts w:eastAsia="黑体"/>
          <w:kern w:val="0"/>
          <w:sz w:val="24"/>
          <w:szCs w:val="21"/>
        </w:rPr>
      </w:pPr>
      <w:bookmarkStart w:id="28" w:name="_Ref198803192"/>
      <w:r>
        <w:rPr>
          <w:rFonts w:hint="eastAsia" w:eastAsia="黑体"/>
          <w:bCs/>
          <w:kern w:val="0"/>
          <w:sz w:val="24"/>
          <w:szCs w:val="32"/>
        </w:rPr>
        <w:t>表</w:t>
      </w:r>
      <w:r>
        <w:rPr>
          <w:rFonts w:eastAsia="黑体"/>
          <w:bCs/>
          <w:kern w:val="0"/>
          <w:sz w:val="24"/>
          <w:szCs w:val="32"/>
        </w:rPr>
        <w:fldChar w:fldCharType="begin"/>
      </w:r>
      <w:r>
        <w:rPr>
          <w:rFonts w:eastAsia="黑体"/>
          <w:bCs/>
          <w:kern w:val="0"/>
          <w:sz w:val="24"/>
          <w:szCs w:val="32"/>
        </w:rPr>
        <w:instrText xml:space="preserve"> </w:instrText>
      </w:r>
      <w:r>
        <w:rPr>
          <w:rFonts w:hint="eastAsia" w:eastAsia="黑体"/>
          <w:bCs/>
          <w:kern w:val="0"/>
          <w:sz w:val="24"/>
          <w:szCs w:val="32"/>
        </w:rPr>
        <w:instrText xml:space="preserve">STYLEREF 1 \s</w:instrText>
      </w:r>
      <w:r>
        <w:rPr>
          <w:rFonts w:eastAsia="黑体"/>
          <w:bCs/>
          <w:kern w:val="0"/>
          <w:sz w:val="24"/>
          <w:szCs w:val="32"/>
        </w:rPr>
        <w:instrText xml:space="preserve"> </w:instrText>
      </w:r>
      <w:r>
        <w:rPr>
          <w:rFonts w:eastAsia="黑体"/>
          <w:bCs/>
          <w:kern w:val="0"/>
          <w:sz w:val="24"/>
          <w:szCs w:val="32"/>
        </w:rPr>
        <w:fldChar w:fldCharType="separate"/>
      </w:r>
      <w:r>
        <w:rPr>
          <w:rFonts w:eastAsia="黑体"/>
          <w:bCs/>
          <w:kern w:val="0"/>
          <w:sz w:val="24"/>
          <w:szCs w:val="32"/>
        </w:rPr>
        <w:t>1</w:t>
      </w:r>
      <w:r>
        <w:rPr>
          <w:rFonts w:eastAsia="黑体"/>
          <w:bCs/>
          <w:kern w:val="0"/>
          <w:sz w:val="24"/>
          <w:szCs w:val="32"/>
        </w:rPr>
        <w:fldChar w:fldCharType="end"/>
      </w:r>
      <w:r>
        <w:rPr>
          <w:rFonts w:eastAsia="黑体"/>
          <w:bCs/>
          <w:kern w:val="0"/>
          <w:sz w:val="24"/>
          <w:szCs w:val="32"/>
        </w:rPr>
        <w:noBreakHyphen/>
      </w:r>
      <w:r>
        <w:rPr>
          <w:rFonts w:eastAsia="黑体"/>
          <w:bCs/>
          <w:kern w:val="0"/>
          <w:sz w:val="24"/>
          <w:szCs w:val="32"/>
        </w:rPr>
        <w:fldChar w:fldCharType="begin"/>
      </w:r>
      <w:r>
        <w:rPr>
          <w:rFonts w:eastAsia="黑体"/>
          <w:bCs/>
          <w:kern w:val="0"/>
          <w:sz w:val="24"/>
          <w:szCs w:val="32"/>
        </w:rPr>
        <w:instrText xml:space="preserve"> </w:instrText>
      </w:r>
      <w:r>
        <w:rPr>
          <w:rFonts w:hint="eastAsia" w:eastAsia="黑体"/>
          <w:bCs/>
          <w:kern w:val="0"/>
          <w:sz w:val="24"/>
          <w:szCs w:val="32"/>
        </w:rPr>
        <w:instrText xml:space="preserve">SEQ 表 \* ARABIC \s 1</w:instrText>
      </w:r>
      <w:r>
        <w:rPr>
          <w:rFonts w:eastAsia="黑体"/>
          <w:bCs/>
          <w:kern w:val="0"/>
          <w:sz w:val="24"/>
          <w:szCs w:val="32"/>
        </w:rPr>
        <w:instrText xml:space="preserve"> </w:instrText>
      </w:r>
      <w:r>
        <w:rPr>
          <w:rFonts w:eastAsia="黑体"/>
          <w:bCs/>
          <w:kern w:val="0"/>
          <w:sz w:val="24"/>
          <w:szCs w:val="32"/>
        </w:rPr>
        <w:fldChar w:fldCharType="separate"/>
      </w:r>
      <w:r>
        <w:rPr>
          <w:rFonts w:eastAsia="黑体"/>
          <w:bCs/>
          <w:kern w:val="0"/>
          <w:sz w:val="24"/>
          <w:szCs w:val="32"/>
        </w:rPr>
        <w:t>3</w:t>
      </w:r>
      <w:r>
        <w:rPr>
          <w:rFonts w:eastAsia="黑体"/>
          <w:bCs/>
          <w:kern w:val="0"/>
          <w:sz w:val="24"/>
          <w:szCs w:val="32"/>
        </w:rPr>
        <w:fldChar w:fldCharType="end"/>
      </w:r>
      <w:bookmarkEnd w:id="27"/>
      <w:bookmarkEnd w:id="28"/>
      <w:r>
        <w:rPr>
          <w:rFonts w:eastAsia="黑体"/>
          <w:bCs/>
          <w:kern w:val="0"/>
          <w:sz w:val="24"/>
          <w:szCs w:val="32"/>
        </w:rPr>
        <w:t xml:space="preserve">  </w:t>
      </w:r>
      <w:r>
        <w:rPr>
          <w:rFonts w:hint="eastAsia" w:eastAsia="黑体"/>
          <w:kern w:val="0"/>
          <w:sz w:val="24"/>
          <w:szCs w:val="21"/>
        </w:rPr>
        <w:t>生态影响评价因子筛选表</w:t>
      </w:r>
    </w:p>
    <w:tbl>
      <w:tblPr>
        <w:tblStyle w:val="27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985"/>
        <w:gridCol w:w="3402"/>
        <w:gridCol w:w="1446"/>
        <w:gridCol w:w="646"/>
      </w:tblGrid>
      <w:tr w14:paraId="68389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D4A7507">
            <w:pPr>
              <w:spacing w:line="276" w:lineRule="auto"/>
              <w:jc w:val="center"/>
              <w:rPr>
                <w:kern w:val="0"/>
                <w:sz w:val="21"/>
                <w:szCs w:val="21"/>
              </w:rPr>
            </w:pPr>
            <w:r>
              <w:rPr>
                <w:rFonts w:hint="eastAsia"/>
                <w:kern w:val="0"/>
                <w:sz w:val="21"/>
                <w:szCs w:val="21"/>
              </w:rPr>
              <w:t>影响对象</w:t>
            </w:r>
          </w:p>
        </w:tc>
        <w:tc>
          <w:tcPr>
            <w:tcW w:w="1985" w:type="dxa"/>
            <w:vAlign w:val="center"/>
          </w:tcPr>
          <w:p w14:paraId="6C78607C">
            <w:pPr>
              <w:spacing w:line="276" w:lineRule="auto"/>
              <w:jc w:val="center"/>
              <w:rPr>
                <w:kern w:val="0"/>
                <w:sz w:val="21"/>
                <w:szCs w:val="21"/>
              </w:rPr>
            </w:pPr>
            <w:r>
              <w:rPr>
                <w:rFonts w:hint="eastAsia"/>
                <w:kern w:val="0"/>
                <w:sz w:val="21"/>
                <w:szCs w:val="21"/>
              </w:rPr>
              <w:t>评价因子</w:t>
            </w:r>
          </w:p>
        </w:tc>
        <w:tc>
          <w:tcPr>
            <w:tcW w:w="3402" w:type="dxa"/>
            <w:vAlign w:val="center"/>
          </w:tcPr>
          <w:p w14:paraId="611A782B">
            <w:pPr>
              <w:spacing w:line="276" w:lineRule="auto"/>
              <w:jc w:val="center"/>
              <w:rPr>
                <w:kern w:val="0"/>
                <w:sz w:val="21"/>
                <w:szCs w:val="21"/>
              </w:rPr>
            </w:pPr>
            <w:r>
              <w:rPr>
                <w:rFonts w:hint="eastAsia"/>
                <w:kern w:val="0"/>
                <w:sz w:val="21"/>
                <w:szCs w:val="21"/>
              </w:rPr>
              <w:t>工程内容及影响方式</w:t>
            </w:r>
          </w:p>
        </w:tc>
        <w:tc>
          <w:tcPr>
            <w:tcW w:w="1446" w:type="dxa"/>
            <w:vAlign w:val="center"/>
          </w:tcPr>
          <w:p w14:paraId="4F810507">
            <w:pPr>
              <w:spacing w:line="276" w:lineRule="auto"/>
              <w:jc w:val="center"/>
              <w:rPr>
                <w:kern w:val="0"/>
                <w:sz w:val="21"/>
                <w:szCs w:val="21"/>
              </w:rPr>
            </w:pPr>
            <w:r>
              <w:rPr>
                <w:rFonts w:hint="eastAsia"/>
                <w:kern w:val="0"/>
                <w:sz w:val="21"/>
                <w:szCs w:val="21"/>
              </w:rPr>
              <w:t>影响性质</w:t>
            </w:r>
          </w:p>
        </w:tc>
        <w:tc>
          <w:tcPr>
            <w:tcW w:w="646" w:type="dxa"/>
            <w:vAlign w:val="center"/>
          </w:tcPr>
          <w:p w14:paraId="23AABD9A">
            <w:pPr>
              <w:spacing w:line="276" w:lineRule="auto"/>
              <w:jc w:val="center"/>
              <w:rPr>
                <w:kern w:val="0"/>
                <w:sz w:val="21"/>
                <w:szCs w:val="21"/>
              </w:rPr>
            </w:pPr>
            <w:r>
              <w:rPr>
                <w:rFonts w:hint="eastAsia"/>
                <w:kern w:val="0"/>
                <w:sz w:val="21"/>
                <w:szCs w:val="21"/>
              </w:rPr>
              <w:t>影响程度</w:t>
            </w:r>
          </w:p>
        </w:tc>
      </w:tr>
      <w:tr w14:paraId="2E9D8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5D3437BE">
            <w:pPr>
              <w:spacing w:line="276" w:lineRule="auto"/>
              <w:jc w:val="center"/>
              <w:rPr>
                <w:kern w:val="0"/>
                <w:sz w:val="21"/>
                <w:szCs w:val="21"/>
              </w:rPr>
            </w:pPr>
            <w:r>
              <w:rPr>
                <w:rFonts w:hint="eastAsia"/>
                <w:kern w:val="0"/>
                <w:sz w:val="21"/>
                <w:szCs w:val="21"/>
              </w:rPr>
              <w:t>物种</w:t>
            </w:r>
          </w:p>
        </w:tc>
        <w:tc>
          <w:tcPr>
            <w:tcW w:w="1985" w:type="dxa"/>
            <w:vMerge w:val="restart"/>
            <w:vAlign w:val="center"/>
          </w:tcPr>
          <w:p w14:paraId="374B6158">
            <w:pPr>
              <w:spacing w:line="276" w:lineRule="auto"/>
              <w:jc w:val="center"/>
              <w:rPr>
                <w:kern w:val="0"/>
                <w:sz w:val="21"/>
                <w:szCs w:val="21"/>
              </w:rPr>
            </w:pPr>
            <w:r>
              <w:rPr>
                <w:rFonts w:hint="eastAsia"/>
                <w:kern w:val="0"/>
                <w:sz w:val="21"/>
                <w:szCs w:val="21"/>
              </w:rPr>
              <w:t>分布范围、种群数量、种群结构、行为等</w:t>
            </w:r>
          </w:p>
        </w:tc>
        <w:tc>
          <w:tcPr>
            <w:tcW w:w="3402" w:type="dxa"/>
            <w:vAlign w:val="center"/>
          </w:tcPr>
          <w:p w14:paraId="61E24755">
            <w:pPr>
              <w:spacing w:line="276" w:lineRule="auto"/>
              <w:jc w:val="center"/>
              <w:rPr>
                <w:kern w:val="0"/>
                <w:sz w:val="21"/>
                <w:szCs w:val="21"/>
              </w:rPr>
            </w:pPr>
            <w:r>
              <w:rPr>
                <w:rFonts w:hint="eastAsia"/>
                <w:kern w:val="0"/>
                <w:sz w:val="21"/>
                <w:szCs w:val="21"/>
              </w:rPr>
              <w:t>施工活动以及运行期噪声、振动、灯光等对野生动物行为产生干扰</w:t>
            </w:r>
          </w:p>
        </w:tc>
        <w:tc>
          <w:tcPr>
            <w:tcW w:w="1446" w:type="dxa"/>
            <w:vAlign w:val="center"/>
          </w:tcPr>
          <w:p w14:paraId="40D763F7">
            <w:pPr>
              <w:spacing w:line="276" w:lineRule="auto"/>
              <w:jc w:val="center"/>
              <w:rPr>
                <w:kern w:val="0"/>
                <w:sz w:val="21"/>
                <w:szCs w:val="21"/>
              </w:rPr>
            </w:pPr>
            <w:r>
              <w:rPr>
                <w:rFonts w:hint="eastAsia"/>
                <w:kern w:val="0"/>
                <w:sz w:val="21"/>
                <w:szCs w:val="21"/>
              </w:rPr>
              <w:t>短期、可逆</w:t>
            </w:r>
          </w:p>
        </w:tc>
        <w:tc>
          <w:tcPr>
            <w:tcW w:w="646" w:type="dxa"/>
            <w:vAlign w:val="center"/>
          </w:tcPr>
          <w:p w14:paraId="2222DDA3">
            <w:pPr>
              <w:spacing w:line="276" w:lineRule="auto"/>
              <w:jc w:val="center"/>
              <w:rPr>
                <w:kern w:val="0"/>
                <w:sz w:val="21"/>
                <w:szCs w:val="21"/>
              </w:rPr>
            </w:pPr>
            <w:r>
              <w:rPr>
                <w:rFonts w:hint="eastAsia"/>
                <w:kern w:val="0"/>
                <w:sz w:val="21"/>
                <w:szCs w:val="21"/>
              </w:rPr>
              <w:t>弱</w:t>
            </w:r>
          </w:p>
        </w:tc>
      </w:tr>
      <w:tr w14:paraId="0F19B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6C534A46">
            <w:pPr>
              <w:spacing w:line="276" w:lineRule="auto"/>
              <w:jc w:val="center"/>
              <w:rPr>
                <w:kern w:val="0"/>
                <w:sz w:val="21"/>
                <w:szCs w:val="21"/>
              </w:rPr>
            </w:pPr>
          </w:p>
        </w:tc>
        <w:tc>
          <w:tcPr>
            <w:tcW w:w="1985" w:type="dxa"/>
            <w:vMerge w:val="continue"/>
            <w:vAlign w:val="center"/>
          </w:tcPr>
          <w:p w14:paraId="52555AFC">
            <w:pPr>
              <w:spacing w:line="276" w:lineRule="auto"/>
              <w:jc w:val="center"/>
              <w:rPr>
                <w:kern w:val="0"/>
                <w:sz w:val="21"/>
                <w:szCs w:val="21"/>
              </w:rPr>
            </w:pPr>
          </w:p>
        </w:tc>
        <w:tc>
          <w:tcPr>
            <w:tcW w:w="3402" w:type="dxa"/>
            <w:vAlign w:val="center"/>
          </w:tcPr>
          <w:p w14:paraId="2F90639E">
            <w:pPr>
              <w:spacing w:line="276" w:lineRule="auto"/>
              <w:jc w:val="center"/>
              <w:rPr>
                <w:kern w:val="0"/>
                <w:sz w:val="21"/>
                <w:szCs w:val="21"/>
              </w:rPr>
            </w:pPr>
            <w:r>
              <w:rPr>
                <w:rFonts w:hint="eastAsia"/>
                <w:kern w:val="0"/>
                <w:sz w:val="21"/>
                <w:szCs w:val="21"/>
              </w:rPr>
              <w:t>创造鸟类栖息生境有利于保护物种</w:t>
            </w:r>
          </w:p>
        </w:tc>
        <w:tc>
          <w:tcPr>
            <w:tcW w:w="1446" w:type="dxa"/>
            <w:vAlign w:val="center"/>
          </w:tcPr>
          <w:p w14:paraId="514A77B8">
            <w:pPr>
              <w:spacing w:line="276" w:lineRule="auto"/>
              <w:jc w:val="center"/>
              <w:rPr>
                <w:kern w:val="0"/>
                <w:sz w:val="21"/>
                <w:szCs w:val="21"/>
              </w:rPr>
            </w:pPr>
            <w:r>
              <w:rPr>
                <w:rFonts w:hint="eastAsia"/>
                <w:kern w:val="0"/>
                <w:sz w:val="21"/>
                <w:szCs w:val="21"/>
              </w:rPr>
              <w:t>长期、正向</w:t>
            </w:r>
          </w:p>
        </w:tc>
        <w:tc>
          <w:tcPr>
            <w:tcW w:w="646" w:type="dxa"/>
            <w:vAlign w:val="center"/>
          </w:tcPr>
          <w:p w14:paraId="30DFA716">
            <w:pPr>
              <w:spacing w:line="276" w:lineRule="auto"/>
              <w:jc w:val="center"/>
              <w:rPr>
                <w:kern w:val="0"/>
                <w:sz w:val="21"/>
                <w:szCs w:val="21"/>
              </w:rPr>
            </w:pPr>
            <w:r>
              <w:rPr>
                <w:rFonts w:hint="eastAsia"/>
                <w:kern w:val="0"/>
                <w:sz w:val="21"/>
                <w:szCs w:val="21"/>
              </w:rPr>
              <w:t>无</w:t>
            </w:r>
          </w:p>
        </w:tc>
      </w:tr>
      <w:tr w14:paraId="670A8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68991926">
            <w:pPr>
              <w:spacing w:line="276" w:lineRule="auto"/>
              <w:jc w:val="center"/>
              <w:rPr>
                <w:kern w:val="0"/>
                <w:sz w:val="21"/>
                <w:szCs w:val="21"/>
              </w:rPr>
            </w:pPr>
            <w:r>
              <w:rPr>
                <w:rFonts w:hint="eastAsia"/>
                <w:kern w:val="0"/>
                <w:sz w:val="21"/>
                <w:szCs w:val="21"/>
              </w:rPr>
              <w:t>生境</w:t>
            </w:r>
          </w:p>
        </w:tc>
        <w:tc>
          <w:tcPr>
            <w:tcW w:w="1985" w:type="dxa"/>
            <w:vMerge w:val="restart"/>
            <w:vAlign w:val="center"/>
          </w:tcPr>
          <w:p w14:paraId="5466B865">
            <w:pPr>
              <w:spacing w:line="276" w:lineRule="auto"/>
              <w:jc w:val="center"/>
              <w:rPr>
                <w:kern w:val="0"/>
                <w:sz w:val="21"/>
                <w:szCs w:val="21"/>
              </w:rPr>
            </w:pPr>
            <w:r>
              <w:rPr>
                <w:rFonts w:hint="eastAsia"/>
                <w:kern w:val="0"/>
                <w:sz w:val="21"/>
                <w:szCs w:val="21"/>
              </w:rPr>
              <w:t>生境面积、质量、连通性等</w:t>
            </w:r>
          </w:p>
        </w:tc>
        <w:tc>
          <w:tcPr>
            <w:tcW w:w="3402" w:type="dxa"/>
            <w:vAlign w:val="center"/>
          </w:tcPr>
          <w:p w14:paraId="03BCE29F">
            <w:pPr>
              <w:spacing w:line="276" w:lineRule="auto"/>
              <w:jc w:val="center"/>
              <w:rPr>
                <w:kern w:val="0"/>
                <w:sz w:val="21"/>
                <w:szCs w:val="21"/>
              </w:rPr>
            </w:pPr>
            <w:r>
              <w:rPr>
                <w:rFonts w:hint="eastAsia"/>
                <w:kern w:val="0"/>
                <w:sz w:val="21"/>
                <w:szCs w:val="21"/>
              </w:rPr>
              <w:t>临时占地导致生境直接破坏或丧失</w:t>
            </w:r>
          </w:p>
        </w:tc>
        <w:tc>
          <w:tcPr>
            <w:tcW w:w="1446" w:type="dxa"/>
            <w:vAlign w:val="center"/>
          </w:tcPr>
          <w:p w14:paraId="004E9EC5">
            <w:pPr>
              <w:spacing w:line="276" w:lineRule="auto"/>
              <w:jc w:val="center"/>
              <w:rPr>
                <w:kern w:val="0"/>
                <w:sz w:val="21"/>
                <w:szCs w:val="21"/>
              </w:rPr>
            </w:pPr>
            <w:r>
              <w:rPr>
                <w:rFonts w:hint="eastAsia"/>
                <w:kern w:val="0"/>
                <w:sz w:val="21"/>
                <w:szCs w:val="21"/>
              </w:rPr>
              <w:t>短期、可逆</w:t>
            </w:r>
          </w:p>
        </w:tc>
        <w:tc>
          <w:tcPr>
            <w:tcW w:w="646" w:type="dxa"/>
            <w:vAlign w:val="center"/>
          </w:tcPr>
          <w:p w14:paraId="632D9719">
            <w:pPr>
              <w:spacing w:line="276" w:lineRule="auto"/>
              <w:jc w:val="center"/>
              <w:rPr>
                <w:kern w:val="0"/>
                <w:sz w:val="21"/>
                <w:szCs w:val="21"/>
              </w:rPr>
            </w:pPr>
            <w:r>
              <w:rPr>
                <w:rFonts w:hint="eastAsia"/>
                <w:kern w:val="0"/>
                <w:sz w:val="21"/>
                <w:szCs w:val="21"/>
              </w:rPr>
              <w:t>弱</w:t>
            </w:r>
          </w:p>
        </w:tc>
      </w:tr>
      <w:tr w14:paraId="11773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1A1EC17D">
            <w:pPr>
              <w:spacing w:line="276" w:lineRule="auto"/>
              <w:jc w:val="center"/>
              <w:rPr>
                <w:kern w:val="0"/>
                <w:sz w:val="21"/>
                <w:szCs w:val="21"/>
              </w:rPr>
            </w:pPr>
          </w:p>
        </w:tc>
        <w:tc>
          <w:tcPr>
            <w:tcW w:w="1985" w:type="dxa"/>
            <w:vMerge w:val="continue"/>
            <w:vAlign w:val="center"/>
          </w:tcPr>
          <w:p w14:paraId="28F1A07E">
            <w:pPr>
              <w:spacing w:line="276" w:lineRule="auto"/>
              <w:jc w:val="center"/>
              <w:rPr>
                <w:kern w:val="0"/>
                <w:sz w:val="21"/>
                <w:szCs w:val="21"/>
              </w:rPr>
            </w:pPr>
          </w:p>
        </w:tc>
        <w:tc>
          <w:tcPr>
            <w:tcW w:w="3402" w:type="dxa"/>
            <w:vAlign w:val="center"/>
          </w:tcPr>
          <w:p w14:paraId="58A6D192">
            <w:pPr>
              <w:spacing w:line="276" w:lineRule="auto"/>
              <w:jc w:val="center"/>
              <w:rPr>
                <w:kern w:val="0"/>
                <w:sz w:val="21"/>
                <w:szCs w:val="21"/>
              </w:rPr>
            </w:pPr>
            <w:r>
              <w:rPr>
                <w:rFonts w:hint="eastAsia"/>
                <w:kern w:val="0"/>
                <w:sz w:val="21"/>
                <w:szCs w:val="21"/>
              </w:rPr>
              <w:t>野生动物栖息地扩大</w:t>
            </w:r>
          </w:p>
        </w:tc>
        <w:tc>
          <w:tcPr>
            <w:tcW w:w="1446" w:type="dxa"/>
            <w:vAlign w:val="center"/>
          </w:tcPr>
          <w:p w14:paraId="12C2B90A">
            <w:pPr>
              <w:spacing w:line="276" w:lineRule="auto"/>
              <w:jc w:val="center"/>
              <w:rPr>
                <w:kern w:val="0"/>
                <w:sz w:val="21"/>
                <w:szCs w:val="21"/>
              </w:rPr>
            </w:pPr>
            <w:r>
              <w:rPr>
                <w:rFonts w:hint="eastAsia"/>
                <w:kern w:val="0"/>
                <w:sz w:val="21"/>
                <w:szCs w:val="21"/>
              </w:rPr>
              <w:t>长期、正向</w:t>
            </w:r>
          </w:p>
        </w:tc>
        <w:tc>
          <w:tcPr>
            <w:tcW w:w="646" w:type="dxa"/>
            <w:vAlign w:val="center"/>
          </w:tcPr>
          <w:p w14:paraId="534176CB">
            <w:pPr>
              <w:spacing w:line="276" w:lineRule="auto"/>
              <w:jc w:val="center"/>
              <w:rPr>
                <w:kern w:val="0"/>
                <w:sz w:val="21"/>
                <w:szCs w:val="21"/>
              </w:rPr>
            </w:pPr>
            <w:r>
              <w:rPr>
                <w:rFonts w:hint="eastAsia"/>
                <w:kern w:val="0"/>
                <w:sz w:val="21"/>
                <w:szCs w:val="21"/>
              </w:rPr>
              <w:t>无</w:t>
            </w:r>
          </w:p>
        </w:tc>
      </w:tr>
      <w:tr w14:paraId="5F6EC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24D9096E">
            <w:pPr>
              <w:spacing w:line="276" w:lineRule="auto"/>
              <w:jc w:val="center"/>
              <w:rPr>
                <w:kern w:val="0"/>
                <w:sz w:val="21"/>
                <w:szCs w:val="21"/>
              </w:rPr>
            </w:pPr>
            <w:r>
              <w:rPr>
                <w:rFonts w:hint="eastAsia"/>
                <w:kern w:val="0"/>
                <w:sz w:val="21"/>
                <w:szCs w:val="21"/>
              </w:rPr>
              <w:t>生物群落</w:t>
            </w:r>
          </w:p>
        </w:tc>
        <w:tc>
          <w:tcPr>
            <w:tcW w:w="1985" w:type="dxa"/>
            <w:vMerge w:val="restart"/>
            <w:vAlign w:val="center"/>
          </w:tcPr>
          <w:p w14:paraId="354B8BE4">
            <w:pPr>
              <w:spacing w:line="276" w:lineRule="auto"/>
              <w:jc w:val="center"/>
              <w:rPr>
                <w:kern w:val="0"/>
                <w:sz w:val="21"/>
                <w:szCs w:val="21"/>
              </w:rPr>
            </w:pPr>
            <w:r>
              <w:rPr>
                <w:rFonts w:hint="eastAsia"/>
                <w:kern w:val="0"/>
                <w:sz w:val="21"/>
                <w:szCs w:val="21"/>
              </w:rPr>
              <w:t>物种组成、群落结构等</w:t>
            </w:r>
          </w:p>
        </w:tc>
        <w:tc>
          <w:tcPr>
            <w:tcW w:w="3402" w:type="dxa"/>
            <w:vAlign w:val="center"/>
          </w:tcPr>
          <w:p w14:paraId="2E4275E2">
            <w:pPr>
              <w:spacing w:line="276" w:lineRule="auto"/>
              <w:jc w:val="center"/>
              <w:rPr>
                <w:kern w:val="0"/>
                <w:sz w:val="21"/>
                <w:szCs w:val="21"/>
              </w:rPr>
            </w:pPr>
            <w:r>
              <w:rPr>
                <w:rFonts w:hint="eastAsia"/>
                <w:kern w:val="0"/>
                <w:sz w:val="21"/>
                <w:szCs w:val="21"/>
              </w:rPr>
              <w:t>局部群落结构遭到破坏</w:t>
            </w:r>
          </w:p>
        </w:tc>
        <w:tc>
          <w:tcPr>
            <w:tcW w:w="1446" w:type="dxa"/>
            <w:vAlign w:val="center"/>
          </w:tcPr>
          <w:p w14:paraId="46B12097">
            <w:pPr>
              <w:spacing w:line="276" w:lineRule="auto"/>
              <w:jc w:val="center"/>
              <w:rPr>
                <w:kern w:val="0"/>
                <w:sz w:val="21"/>
                <w:szCs w:val="21"/>
              </w:rPr>
            </w:pPr>
            <w:r>
              <w:rPr>
                <w:rFonts w:hint="eastAsia"/>
                <w:kern w:val="0"/>
                <w:sz w:val="21"/>
                <w:szCs w:val="21"/>
              </w:rPr>
              <w:t>短期、可逆</w:t>
            </w:r>
          </w:p>
        </w:tc>
        <w:tc>
          <w:tcPr>
            <w:tcW w:w="646" w:type="dxa"/>
            <w:vAlign w:val="center"/>
          </w:tcPr>
          <w:p w14:paraId="143C1142">
            <w:pPr>
              <w:spacing w:line="276" w:lineRule="auto"/>
              <w:jc w:val="center"/>
              <w:rPr>
                <w:kern w:val="0"/>
                <w:sz w:val="21"/>
                <w:szCs w:val="21"/>
              </w:rPr>
            </w:pPr>
            <w:r>
              <w:rPr>
                <w:rFonts w:hint="eastAsia"/>
                <w:kern w:val="0"/>
                <w:sz w:val="21"/>
                <w:szCs w:val="21"/>
              </w:rPr>
              <w:t>弱</w:t>
            </w:r>
          </w:p>
        </w:tc>
      </w:tr>
      <w:tr w14:paraId="78642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36E0CE69">
            <w:pPr>
              <w:spacing w:line="276" w:lineRule="auto"/>
              <w:jc w:val="center"/>
              <w:rPr>
                <w:kern w:val="0"/>
                <w:sz w:val="21"/>
                <w:szCs w:val="21"/>
              </w:rPr>
            </w:pPr>
          </w:p>
        </w:tc>
        <w:tc>
          <w:tcPr>
            <w:tcW w:w="1985" w:type="dxa"/>
            <w:vMerge w:val="continue"/>
            <w:vAlign w:val="center"/>
          </w:tcPr>
          <w:p w14:paraId="695B5787">
            <w:pPr>
              <w:spacing w:line="276" w:lineRule="auto"/>
              <w:jc w:val="center"/>
              <w:rPr>
                <w:kern w:val="0"/>
                <w:sz w:val="21"/>
                <w:szCs w:val="21"/>
              </w:rPr>
            </w:pPr>
          </w:p>
        </w:tc>
        <w:tc>
          <w:tcPr>
            <w:tcW w:w="3402" w:type="dxa"/>
            <w:vAlign w:val="center"/>
          </w:tcPr>
          <w:p w14:paraId="7039B786">
            <w:pPr>
              <w:spacing w:line="276" w:lineRule="auto"/>
              <w:jc w:val="center"/>
              <w:rPr>
                <w:kern w:val="0"/>
                <w:sz w:val="21"/>
                <w:szCs w:val="21"/>
              </w:rPr>
            </w:pPr>
            <w:r>
              <w:rPr>
                <w:rFonts w:hint="eastAsia"/>
                <w:kern w:val="0"/>
                <w:sz w:val="21"/>
                <w:szCs w:val="21"/>
              </w:rPr>
              <w:t>鸟类生境改善有利于丰富群落结构</w:t>
            </w:r>
          </w:p>
        </w:tc>
        <w:tc>
          <w:tcPr>
            <w:tcW w:w="1446" w:type="dxa"/>
            <w:vAlign w:val="center"/>
          </w:tcPr>
          <w:p w14:paraId="71427594">
            <w:pPr>
              <w:spacing w:line="276" w:lineRule="auto"/>
              <w:jc w:val="center"/>
              <w:rPr>
                <w:kern w:val="0"/>
                <w:sz w:val="21"/>
                <w:szCs w:val="21"/>
              </w:rPr>
            </w:pPr>
            <w:r>
              <w:rPr>
                <w:rFonts w:hint="eastAsia"/>
                <w:kern w:val="0"/>
                <w:sz w:val="21"/>
                <w:szCs w:val="21"/>
              </w:rPr>
              <w:t>长期、正向</w:t>
            </w:r>
          </w:p>
        </w:tc>
        <w:tc>
          <w:tcPr>
            <w:tcW w:w="646" w:type="dxa"/>
            <w:vAlign w:val="center"/>
          </w:tcPr>
          <w:p w14:paraId="1DA5B02B">
            <w:pPr>
              <w:spacing w:line="276" w:lineRule="auto"/>
              <w:jc w:val="center"/>
              <w:rPr>
                <w:kern w:val="0"/>
                <w:sz w:val="21"/>
                <w:szCs w:val="21"/>
              </w:rPr>
            </w:pPr>
            <w:r>
              <w:rPr>
                <w:rFonts w:hint="eastAsia"/>
                <w:kern w:val="0"/>
                <w:sz w:val="21"/>
                <w:szCs w:val="21"/>
              </w:rPr>
              <w:t>无</w:t>
            </w:r>
          </w:p>
        </w:tc>
      </w:tr>
      <w:tr w14:paraId="56D74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368983B7">
            <w:pPr>
              <w:spacing w:line="276" w:lineRule="auto"/>
              <w:jc w:val="center"/>
              <w:rPr>
                <w:kern w:val="0"/>
                <w:sz w:val="21"/>
                <w:szCs w:val="21"/>
              </w:rPr>
            </w:pPr>
            <w:r>
              <w:rPr>
                <w:rFonts w:hint="eastAsia"/>
                <w:kern w:val="0"/>
                <w:sz w:val="21"/>
                <w:szCs w:val="21"/>
              </w:rPr>
              <w:t>生态系统</w:t>
            </w:r>
          </w:p>
        </w:tc>
        <w:tc>
          <w:tcPr>
            <w:tcW w:w="1985" w:type="dxa"/>
            <w:vMerge w:val="restart"/>
            <w:vAlign w:val="center"/>
          </w:tcPr>
          <w:p w14:paraId="548ED3BA">
            <w:pPr>
              <w:spacing w:line="276" w:lineRule="auto"/>
              <w:jc w:val="center"/>
              <w:rPr>
                <w:kern w:val="0"/>
                <w:sz w:val="21"/>
                <w:szCs w:val="21"/>
              </w:rPr>
            </w:pPr>
            <w:r>
              <w:rPr>
                <w:rFonts w:hint="eastAsia"/>
                <w:kern w:val="0"/>
                <w:sz w:val="21"/>
                <w:szCs w:val="21"/>
              </w:rPr>
              <w:t>植被覆盖度、生产力、生物量、生态系统功能等</w:t>
            </w:r>
          </w:p>
        </w:tc>
        <w:tc>
          <w:tcPr>
            <w:tcW w:w="3402" w:type="dxa"/>
            <w:vAlign w:val="center"/>
          </w:tcPr>
          <w:p w14:paraId="065D7505">
            <w:pPr>
              <w:spacing w:line="276" w:lineRule="auto"/>
              <w:jc w:val="center"/>
              <w:rPr>
                <w:kern w:val="0"/>
                <w:sz w:val="21"/>
                <w:szCs w:val="21"/>
              </w:rPr>
            </w:pPr>
            <w:r>
              <w:rPr>
                <w:rFonts w:hint="eastAsia"/>
                <w:kern w:val="0"/>
                <w:sz w:val="21"/>
                <w:szCs w:val="21"/>
              </w:rPr>
              <w:t>临时占地使区域植被覆盖、生产力、生物量及生态服务功能短时下降</w:t>
            </w:r>
          </w:p>
        </w:tc>
        <w:tc>
          <w:tcPr>
            <w:tcW w:w="1446" w:type="dxa"/>
            <w:vAlign w:val="center"/>
          </w:tcPr>
          <w:p w14:paraId="4A5EEA40">
            <w:pPr>
              <w:spacing w:line="276" w:lineRule="auto"/>
              <w:jc w:val="center"/>
              <w:rPr>
                <w:kern w:val="0"/>
                <w:sz w:val="21"/>
                <w:szCs w:val="21"/>
              </w:rPr>
            </w:pPr>
            <w:r>
              <w:rPr>
                <w:rFonts w:hint="eastAsia"/>
                <w:kern w:val="0"/>
                <w:sz w:val="21"/>
                <w:szCs w:val="21"/>
              </w:rPr>
              <w:t>短期、可逆</w:t>
            </w:r>
          </w:p>
        </w:tc>
        <w:tc>
          <w:tcPr>
            <w:tcW w:w="646" w:type="dxa"/>
            <w:vAlign w:val="center"/>
          </w:tcPr>
          <w:p w14:paraId="364D8440">
            <w:pPr>
              <w:spacing w:line="276" w:lineRule="auto"/>
              <w:jc w:val="center"/>
              <w:rPr>
                <w:kern w:val="0"/>
                <w:sz w:val="21"/>
                <w:szCs w:val="21"/>
              </w:rPr>
            </w:pPr>
            <w:r>
              <w:rPr>
                <w:rFonts w:hint="eastAsia"/>
                <w:kern w:val="0"/>
                <w:sz w:val="21"/>
                <w:szCs w:val="21"/>
              </w:rPr>
              <w:t>弱</w:t>
            </w:r>
          </w:p>
        </w:tc>
      </w:tr>
      <w:tr w14:paraId="14546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1CC19DE6">
            <w:pPr>
              <w:spacing w:line="276" w:lineRule="auto"/>
              <w:jc w:val="center"/>
              <w:rPr>
                <w:kern w:val="0"/>
                <w:sz w:val="21"/>
                <w:szCs w:val="21"/>
              </w:rPr>
            </w:pPr>
          </w:p>
        </w:tc>
        <w:tc>
          <w:tcPr>
            <w:tcW w:w="1985" w:type="dxa"/>
            <w:vMerge w:val="continue"/>
            <w:vAlign w:val="center"/>
          </w:tcPr>
          <w:p w14:paraId="4AD3317C">
            <w:pPr>
              <w:spacing w:line="276" w:lineRule="auto"/>
              <w:jc w:val="center"/>
              <w:rPr>
                <w:kern w:val="0"/>
                <w:sz w:val="21"/>
                <w:szCs w:val="21"/>
              </w:rPr>
            </w:pPr>
          </w:p>
        </w:tc>
        <w:tc>
          <w:tcPr>
            <w:tcW w:w="3402" w:type="dxa"/>
            <w:vAlign w:val="center"/>
          </w:tcPr>
          <w:p w14:paraId="231E2CFA">
            <w:pPr>
              <w:spacing w:line="276" w:lineRule="auto"/>
              <w:jc w:val="center"/>
              <w:rPr>
                <w:kern w:val="0"/>
                <w:sz w:val="21"/>
                <w:szCs w:val="21"/>
              </w:rPr>
            </w:pPr>
            <w:r>
              <w:rPr>
                <w:rFonts w:hint="eastAsia"/>
                <w:kern w:val="0"/>
                <w:sz w:val="21"/>
                <w:szCs w:val="21"/>
              </w:rPr>
              <w:t>部分滩面复植植被提高植被覆盖</w:t>
            </w:r>
          </w:p>
        </w:tc>
        <w:tc>
          <w:tcPr>
            <w:tcW w:w="1446" w:type="dxa"/>
            <w:vAlign w:val="center"/>
          </w:tcPr>
          <w:p w14:paraId="57B03EDF">
            <w:pPr>
              <w:spacing w:line="276" w:lineRule="auto"/>
              <w:jc w:val="center"/>
              <w:rPr>
                <w:kern w:val="0"/>
                <w:sz w:val="21"/>
                <w:szCs w:val="21"/>
              </w:rPr>
            </w:pPr>
            <w:r>
              <w:rPr>
                <w:rFonts w:hint="eastAsia"/>
                <w:kern w:val="0"/>
                <w:sz w:val="21"/>
                <w:szCs w:val="21"/>
              </w:rPr>
              <w:t>长期、正向</w:t>
            </w:r>
          </w:p>
        </w:tc>
        <w:tc>
          <w:tcPr>
            <w:tcW w:w="646" w:type="dxa"/>
            <w:vAlign w:val="center"/>
          </w:tcPr>
          <w:p w14:paraId="1F68D8DD">
            <w:pPr>
              <w:spacing w:line="276" w:lineRule="auto"/>
              <w:jc w:val="center"/>
              <w:rPr>
                <w:kern w:val="0"/>
                <w:sz w:val="21"/>
                <w:szCs w:val="21"/>
              </w:rPr>
            </w:pPr>
            <w:r>
              <w:rPr>
                <w:rFonts w:hint="eastAsia"/>
                <w:kern w:val="0"/>
                <w:sz w:val="21"/>
                <w:szCs w:val="21"/>
              </w:rPr>
              <w:t>无</w:t>
            </w:r>
          </w:p>
        </w:tc>
      </w:tr>
      <w:tr w14:paraId="6F984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04F41D99">
            <w:pPr>
              <w:spacing w:line="276" w:lineRule="auto"/>
              <w:jc w:val="center"/>
              <w:rPr>
                <w:kern w:val="0"/>
                <w:sz w:val="21"/>
                <w:szCs w:val="21"/>
              </w:rPr>
            </w:pPr>
            <w:r>
              <w:rPr>
                <w:rFonts w:hint="eastAsia"/>
                <w:kern w:val="0"/>
                <w:sz w:val="21"/>
                <w:szCs w:val="21"/>
              </w:rPr>
              <w:t>生物多样性</w:t>
            </w:r>
          </w:p>
        </w:tc>
        <w:tc>
          <w:tcPr>
            <w:tcW w:w="1985" w:type="dxa"/>
            <w:vMerge w:val="restart"/>
            <w:vAlign w:val="center"/>
          </w:tcPr>
          <w:p w14:paraId="242017C7">
            <w:pPr>
              <w:spacing w:line="276" w:lineRule="auto"/>
              <w:jc w:val="center"/>
              <w:rPr>
                <w:kern w:val="0"/>
                <w:sz w:val="21"/>
                <w:szCs w:val="21"/>
              </w:rPr>
            </w:pPr>
            <w:r>
              <w:rPr>
                <w:rFonts w:hint="eastAsia"/>
                <w:kern w:val="0"/>
                <w:sz w:val="21"/>
                <w:szCs w:val="21"/>
              </w:rPr>
              <w:t>物种丰富度、均匀度、优势度等</w:t>
            </w:r>
          </w:p>
        </w:tc>
        <w:tc>
          <w:tcPr>
            <w:tcW w:w="3402" w:type="dxa"/>
            <w:vAlign w:val="center"/>
          </w:tcPr>
          <w:p w14:paraId="7E3CF2AC">
            <w:pPr>
              <w:spacing w:line="276" w:lineRule="auto"/>
              <w:jc w:val="center"/>
              <w:rPr>
                <w:kern w:val="0"/>
                <w:sz w:val="21"/>
                <w:szCs w:val="21"/>
              </w:rPr>
            </w:pPr>
            <w:r>
              <w:rPr>
                <w:rFonts w:hint="eastAsia"/>
                <w:kern w:val="0"/>
                <w:sz w:val="21"/>
                <w:szCs w:val="21"/>
              </w:rPr>
              <w:t>临时占地破坏少量植被</w:t>
            </w:r>
          </w:p>
        </w:tc>
        <w:tc>
          <w:tcPr>
            <w:tcW w:w="1446" w:type="dxa"/>
            <w:vAlign w:val="center"/>
          </w:tcPr>
          <w:p w14:paraId="0336B855">
            <w:pPr>
              <w:spacing w:line="276" w:lineRule="auto"/>
              <w:jc w:val="center"/>
              <w:rPr>
                <w:kern w:val="0"/>
                <w:sz w:val="21"/>
                <w:szCs w:val="21"/>
              </w:rPr>
            </w:pPr>
            <w:r>
              <w:rPr>
                <w:rFonts w:hint="eastAsia"/>
                <w:kern w:val="0"/>
                <w:sz w:val="21"/>
                <w:szCs w:val="21"/>
              </w:rPr>
              <w:t>短期、可逆</w:t>
            </w:r>
          </w:p>
        </w:tc>
        <w:tc>
          <w:tcPr>
            <w:tcW w:w="646" w:type="dxa"/>
            <w:vAlign w:val="center"/>
          </w:tcPr>
          <w:p w14:paraId="654A547E">
            <w:pPr>
              <w:spacing w:line="276" w:lineRule="auto"/>
              <w:jc w:val="center"/>
              <w:rPr>
                <w:kern w:val="0"/>
                <w:sz w:val="21"/>
                <w:szCs w:val="21"/>
              </w:rPr>
            </w:pPr>
            <w:r>
              <w:rPr>
                <w:rFonts w:hint="eastAsia"/>
                <w:kern w:val="0"/>
                <w:sz w:val="21"/>
                <w:szCs w:val="21"/>
              </w:rPr>
              <w:t>弱</w:t>
            </w:r>
          </w:p>
        </w:tc>
      </w:tr>
      <w:tr w14:paraId="35AB8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4006A49D">
            <w:pPr>
              <w:spacing w:line="276" w:lineRule="auto"/>
              <w:jc w:val="center"/>
              <w:rPr>
                <w:kern w:val="0"/>
                <w:sz w:val="21"/>
                <w:szCs w:val="21"/>
              </w:rPr>
            </w:pPr>
          </w:p>
        </w:tc>
        <w:tc>
          <w:tcPr>
            <w:tcW w:w="1985" w:type="dxa"/>
            <w:vMerge w:val="continue"/>
            <w:vAlign w:val="center"/>
          </w:tcPr>
          <w:p w14:paraId="59E5F6AC">
            <w:pPr>
              <w:spacing w:line="276" w:lineRule="auto"/>
              <w:jc w:val="center"/>
              <w:rPr>
                <w:kern w:val="0"/>
                <w:sz w:val="21"/>
                <w:szCs w:val="21"/>
              </w:rPr>
            </w:pPr>
          </w:p>
        </w:tc>
        <w:tc>
          <w:tcPr>
            <w:tcW w:w="3402" w:type="dxa"/>
            <w:vAlign w:val="center"/>
          </w:tcPr>
          <w:p w14:paraId="663503F1">
            <w:pPr>
              <w:spacing w:line="276" w:lineRule="auto"/>
              <w:jc w:val="center"/>
              <w:rPr>
                <w:kern w:val="0"/>
                <w:sz w:val="21"/>
                <w:szCs w:val="21"/>
              </w:rPr>
            </w:pPr>
            <w:r>
              <w:rPr>
                <w:rFonts w:hint="eastAsia"/>
                <w:kern w:val="0"/>
                <w:sz w:val="21"/>
                <w:szCs w:val="21"/>
              </w:rPr>
              <w:t>鸟类生境改善有利于提高区域物种多样性</w:t>
            </w:r>
          </w:p>
        </w:tc>
        <w:tc>
          <w:tcPr>
            <w:tcW w:w="1446" w:type="dxa"/>
            <w:vAlign w:val="center"/>
          </w:tcPr>
          <w:p w14:paraId="1AE51E21">
            <w:pPr>
              <w:spacing w:line="276" w:lineRule="auto"/>
              <w:jc w:val="center"/>
              <w:rPr>
                <w:kern w:val="0"/>
                <w:sz w:val="21"/>
                <w:szCs w:val="21"/>
              </w:rPr>
            </w:pPr>
            <w:r>
              <w:rPr>
                <w:rFonts w:hint="eastAsia"/>
                <w:kern w:val="0"/>
                <w:sz w:val="21"/>
                <w:szCs w:val="21"/>
              </w:rPr>
              <w:t>长期、正向</w:t>
            </w:r>
          </w:p>
        </w:tc>
        <w:tc>
          <w:tcPr>
            <w:tcW w:w="646" w:type="dxa"/>
            <w:vAlign w:val="center"/>
          </w:tcPr>
          <w:p w14:paraId="62C188D7">
            <w:pPr>
              <w:spacing w:line="276" w:lineRule="auto"/>
              <w:jc w:val="center"/>
              <w:rPr>
                <w:kern w:val="0"/>
                <w:sz w:val="21"/>
                <w:szCs w:val="21"/>
              </w:rPr>
            </w:pPr>
            <w:r>
              <w:rPr>
                <w:rFonts w:hint="eastAsia"/>
                <w:kern w:val="0"/>
                <w:sz w:val="21"/>
                <w:szCs w:val="21"/>
              </w:rPr>
              <w:t>无</w:t>
            </w:r>
          </w:p>
        </w:tc>
      </w:tr>
      <w:tr w14:paraId="3535B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10EA6E23">
            <w:pPr>
              <w:spacing w:line="276" w:lineRule="auto"/>
              <w:jc w:val="center"/>
              <w:rPr>
                <w:kern w:val="0"/>
                <w:sz w:val="21"/>
                <w:szCs w:val="21"/>
              </w:rPr>
            </w:pPr>
            <w:r>
              <w:rPr>
                <w:rFonts w:hint="eastAsia"/>
                <w:kern w:val="0"/>
                <w:sz w:val="21"/>
                <w:szCs w:val="21"/>
              </w:rPr>
              <w:t>生态敏感区</w:t>
            </w:r>
          </w:p>
        </w:tc>
        <w:tc>
          <w:tcPr>
            <w:tcW w:w="1985" w:type="dxa"/>
            <w:vMerge w:val="restart"/>
            <w:vAlign w:val="center"/>
          </w:tcPr>
          <w:p w14:paraId="0C8FF5D5">
            <w:pPr>
              <w:spacing w:line="276" w:lineRule="auto"/>
              <w:jc w:val="center"/>
              <w:rPr>
                <w:kern w:val="0"/>
                <w:sz w:val="21"/>
                <w:szCs w:val="21"/>
              </w:rPr>
            </w:pPr>
            <w:r>
              <w:rPr>
                <w:rFonts w:hint="eastAsia"/>
                <w:kern w:val="0"/>
                <w:sz w:val="21"/>
                <w:szCs w:val="21"/>
              </w:rPr>
              <w:t>主要保护对象、生态功能</w:t>
            </w:r>
          </w:p>
        </w:tc>
        <w:tc>
          <w:tcPr>
            <w:tcW w:w="3402" w:type="dxa"/>
            <w:vAlign w:val="center"/>
          </w:tcPr>
          <w:p w14:paraId="09D699F0">
            <w:pPr>
              <w:spacing w:line="276" w:lineRule="auto"/>
              <w:jc w:val="center"/>
              <w:rPr>
                <w:kern w:val="0"/>
                <w:sz w:val="21"/>
                <w:szCs w:val="21"/>
              </w:rPr>
            </w:pPr>
            <w:r>
              <w:rPr>
                <w:rFonts w:hint="eastAsia"/>
                <w:kern w:val="0"/>
                <w:sz w:val="21"/>
                <w:szCs w:val="21"/>
              </w:rPr>
              <w:t>施工活动对保护对象产生干扰，缩减其栖息地面积</w:t>
            </w:r>
          </w:p>
        </w:tc>
        <w:tc>
          <w:tcPr>
            <w:tcW w:w="1446" w:type="dxa"/>
            <w:vAlign w:val="center"/>
          </w:tcPr>
          <w:p w14:paraId="08DC5073">
            <w:pPr>
              <w:spacing w:line="276" w:lineRule="auto"/>
              <w:jc w:val="center"/>
              <w:rPr>
                <w:kern w:val="0"/>
                <w:sz w:val="21"/>
                <w:szCs w:val="21"/>
              </w:rPr>
            </w:pPr>
            <w:r>
              <w:rPr>
                <w:rFonts w:hint="eastAsia"/>
                <w:kern w:val="0"/>
                <w:sz w:val="21"/>
                <w:szCs w:val="21"/>
              </w:rPr>
              <w:t>短期、可逆</w:t>
            </w:r>
          </w:p>
        </w:tc>
        <w:tc>
          <w:tcPr>
            <w:tcW w:w="646" w:type="dxa"/>
            <w:vAlign w:val="center"/>
          </w:tcPr>
          <w:p w14:paraId="07071177">
            <w:pPr>
              <w:spacing w:line="276" w:lineRule="auto"/>
              <w:jc w:val="center"/>
              <w:rPr>
                <w:kern w:val="0"/>
                <w:sz w:val="21"/>
                <w:szCs w:val="21"/>
              </w:rPr>
            </w:pPr>
            <w:r>
              <w:rPr>
                <w:rFonts w:hint="eastAsia"/>
                <w:kern w:val="0"/>
                <w:sz w:val="21"/>
                <w:szCs w:val="21"/>
              </w:rPr>
              <w:t>强</w:t>
            </w:r>
          </w:p>
        </w:tc>
      </w:tr>
      <w:tr w14:paraId="61628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681B7757">
            <w:pPr>
              <w:spacing w:line="276" w:lineRule="auto"/>
              <w:jc w:val="center"/>
              <w:rPr>
                <w:kern w:val="0"/>
                <w:sz w:val="21"/>
                <w:szCs w:val="21"/>
              </w:rPr>
            </w:pPr>
          </w:p>
        </w:tc>
        <w:tc>
          <w:tcPr>
            <w:tcW w:w="1985" w:type="dxa"/>
            <w:vMerge w:val="continue"/>
            <w:vAlign w:val="center"/>
          </w:tcPr>
          <w:p w14:paraId="00BE2125">
            <w:pPr>
              <w:spacing w:line="276" w:lineRule="auto"/>
              <w:jc w:val="center"/>
              <w:rPr>
                <w:kern w:val="0"/>
                <w:sz w:val="21"/>
                <w:szCs w:val="21"/>
              </w:rPr>
            </w:pPr>
          </w:p>
        </w:tc>
        <w:tc>
          <w:tcPr>
            <w:tcW w:w="3402" w:type="dxa"/>
            <w:vAlign w:val="center"/>
          </w:tcPr>
          <w:p w14:paraId="190A486F">
            <w:pPr>
              <w:spacing w:line="276" w:lineRule="auto"/>
              <w:jc w:val="center"/>
              <w:rPr>
                <w:kern w:val="0"/>
                <w:sz w:val="21"/>
                <w:szCs w:val="21"/>
              </w:rPr>
            </w:pPr>
            <w:r>
              <w:rPr>
                <w:rFonts w:hint="eastAsia"/>
                <w:kern w:val="0"/>
                <w:sz w:val="21"/>
                <w:szCs w:val="21"/>
              </w:rPr>
              <w:t>鸟类生境改善和水系连通有利于保护对象保护</w:t>
            </w:r>
          </w:p>
        </w:tc>
        <w:tc>
          <w:tcPr>
            <w:tcW w:w="1446" w:type="dxa"/>
            <w:vAlign w:val="center"/>
          </w:tcPr>
          <w:p w14:paraId="3A898273">
            <w:pPr>
              <w:spacing w:line="276" w:lineRule="auto"/>
              <w:jc w:val="center"/>
              <w:rPr>
                <w:kern w:val="0"/>
                <w:sz w:val="21"/>
                <w:szCs w:val="21"/>
              </w:rPr>
            </w:pPr>
            <w:r>
              <w:rPr>
                <w:rFonts w:hint="eastAsia"/>
                <w:kern w:val="0"/>
                <w:sz w:val="21"/>
                <w:szCs w:val="21"/>
              </w:rPr>
              <w:t>长期、正向</w:t>
            </w:r>
          </w:p>
        </w:tc>
        <w:tc>
          <w:tcPr>
            <w:tcW w:w="646" w:type="dxa"/>
            <w:vAlign w:val="center"/>
          </w:tcPr>
          <w:p w14:paraId="485E36A1">
            <w:pPr>
              <w:spacing w:line="276" w:lineRule="auto"/>
              <w:jc w:val="center"/>
              <w:rPr>
                <w:kern w:val="0"/>
                <w:sz w:val="21"/>
                <w:szCs w:val="21"/>
              </w:rPr>
            </w:pPr>
            <w:r>
              <w:rPr>
                <w:rFonts w:hint="eastAsia"/>
                <w:kern w:val="0"/>
                <w:sz w:val="21"/>
                <w:szCs w:val="21"/>
              </w:rPr>
              <w:t>无</w:t>
            </w:r>
          </w:p>
        </w:tc>
      </w:tr>
      <w:tr w14:paraId="3AC8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1CCE5376">
            <w:pPr>
              <w:spacing w:line="276" w:lineRule="auto"/>
              <w:jc w:val="center"/>
              <w:rPr>
                <w:kern w:val="0"/>
                <w:sz w:val="21"/>
                <w:szCs w:val="21"/>
              </w:rPr>
            </w:pPr>
            <w:r>
              <w:rPr>
                <w:rFonts w:hint="eastAsia"/>
                <w:kern w:val="0"/>
                <w:sz w:val="21"/>
                <w:szCs w:val="21"/>
              </w:rPr>
              <w:t>自然景观</w:t>
            </w:r>
          </w:p>
        </w:tc>
        <w:tc>
          <w:tcPr>
            <w:tcW w:w="1985" w:type="dxa"/>
            <w:vMerge w:val="restart"/>
            <w:vAlign w:val="center"/>
          </w:tcPr>
          <w:p w14:paraId="3264891F">
            <w:pPr>
              <w:spacing w:line="276" w:lineRule="auto"/>
              <w:jc w:val="center"/>
              <w:rPr>
                <w:kern w:val="0"/>
                <w:sz w:val="21"/>
                <w:szCs w:val="21"/>
              </w:rPr>
            </w:pPr>
            <w:r>
              <w:rPr>
                <w:rFonts w:hint="eastAsia"/>
                <w:kern w:val="0"/>
                <w:sz w:val="21"/>
                <w:szCs w:val="21"/>
              </w:rPr>
              <w:t>景观多样性、完整性等</w:t>
            </w:r>
          </w:p>
        </w:tc>
        <w:tc>
          <w:tcPr>
            <w:tcW w:w="3402" w:type="dxa"/>
            <w:vAlign w:val="center"/>
          </w:tcPr>
          <w:p w14:paraId="55ED2707">
            <w:pPr>
              <w:spacing w:line="276" w:lineRule="auto"/>
              <w:jc w:val="center"/>
              <w:rPr>
                <w:kern w:val="0"/>
                <w:sz w:val="21"/>
                <w:szCs w:val="21"/>
              </w:rPr>
            </w:pPr>
            <w:r>
              <w:rPr>
                <w:rFonts w:hint="eastAsia"/>
                <w:kern w:val="0"/>
                <w:sz w:val="21"/>
                <w:szCs w:val="21"/>
              </w:rPr>
              <w:t>临时占地直接改变了区域景观类型</w:t>
            </w:r>
          </w:p>
        </w:tc>
        <w:tc>
          <w:tcPr>
            <w:tcW w:w="1446" w:type="dxa"/>
            <w:vAlign w:val="center"/>
          </w:tcPr>
          <w:p w14:paraId="05FF1D4D">
            <w:pPr>
              <w:spacing w:line="276" w:lineRule="auto"/>
              <w:jc w:val="center"/>
              <w:rPr>
                <w:kern w:val="0"/>
                <w:sz w:val="21"/>
                <w:szCs w:val="21"/>
              </w:rPr>
            </w:pPr>
            <w:r>
              <w:rPr>
                <w:rFonts w:hint="eastAsia"/>
                <w:kern w:val="0"/>
                <w:sz w:val="21"/>
                <w:szCs w:val="21"/>
              </w:rPr>
              <w:t>短期、可逆</w:t>
            </w:r>
          </w:p>
        </w:tc>
        <w:tc>
          <w:tcPr>
            <w:tcW w:w="646" w:type="dxa"/>
            <w:vAlign w:val="center"/>
          </w:tcPr>
          <w:p w14:paraId="2713B9B6">
            <w:pPr>
              <w:spacing w:line="276" w:lineRule="auto"/>
              <w:jc w:val="center"/>
              <w:rPr>
                <w:kern w:val="0"/>
                <w:sz w:val="21"/>
                <w:szCs w:val="21"/>
              </w:rPr>
            </w:pPr>
            <w:r>
              <w:rPr>
                <w:rFonts w:hint="eastAsia"/>
                <w:kern w:val="0"/>
                <w:sz w:val="21"/>
                <w:szCs w:val="21"/>
              </w:rPr>
              <w:t>弱</w:t>
            </w:r>
          </w:p>
        </w:tc>
      </w:tr>
      <w:tr w14:paraId="74E41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31E8F2C1">
            <w:pPr>
              <w:spacing w:line="276" w:lineRule="auto"/>
              <w:jc w:val="center"/>
              <w:rPr>
                <w:kern w:val="0"/>
                <w:sz w:val="21"/>
                <w:szCs w:val="21"/>
              </w:rPr>
            </w:pPr>
          </w:p>
        </w:tc>
        <w:tc>
          <w:tcPr>
            <w:tcW w:w="1985" w:type="dxa"/>
            <w:vMerge w:val="continue"/>
            <w:vAlign w:val="center"/>
          </w:tcPr>
          <w:p w14:paraId="50B5B160">
            <w:pPr>
              <w:spacing w:line="276" w:lineRule="auto"/>
              <w:jc w:val="center"/>
              <w:rPr>
                <w:kern w:val="0"/>
                <w:sz w:val="21"/>
                <w:szCs w:val="21"/>
              </w:rPr>
            </w:pPr>
          </w:p>
        </w:tc>
        <w:tc>
          <w:tcPr>
            <w:tcW w:w="3402" w:type="dxa"/>
            <w:vAlign w:val="center"/>
          </w:tcPr>
          <w:p w14:paraId="656292DA">
            <w:pPr>
              <w:spacing w:line="276" w:lineRule="auto"/>
              <w:jc w:val="center"/>
              <w:rPr>
                <w:kern w:val="0"/>
                <w:sz w:val="21"/>
                <w:szCs w:val="21"/>
              </w:rPr>
            </w:pPr>
            <w:r>
              <w:rPr>
                <w:rFonts w:hint="eastAsia"/>
                <w:kern w:val="0"/>
                <w:sz w:val="21"/>
                <w:szCs w:val="21"/>
              </w:rPr>
              <w:t>鸟类栖息地改造丰富了区域景观</w:t>
            </w:r>
          </w:p>
        </w:tc>
        <w:tc>
          <w:tcPr>
            <w:tcW w:w="1446" w:type="dxa"/>
            <w:vAlign w:val="center"/>
          </w:tcPr>
          <w:p w14:paraId="11A8B361">
            <w:pPr>
              <w:spacing w:line="276" w:lineRule="auto"/>
              <w:jc w:val="center"/>
              <w:rPr>
                <w:kern w:val="0"/>
                <w:sz w:val="21"/>
                <w:szCs w:val="21"/>
              </w:rPr>
            </w:pPr>
            <w:r>
              <w:rPr>
                <w:rFonts w:hint="eastAsia"/>
                <w:kern w:val="0"/>
                <w:sz w:val="21"/>
                <w:szCs w:val="21"/>
              </w:rPr>
              <w:t>长期、正向</w:t>
            </w:r>
          </w:p>
        </w:tc>
        <w:tc>
          <w:tcPr>
            <w:tcW w:w="646" w:type="dxa"/>
            <w:vAlign w:val="center"/>
          </w:tcPr>
          <w:p w14:paraId="0FF63F39">
            <w:pPr>
              <w:spacing w:line="276" w:lineRule="auto"/>
              <w:jc w:val="center"/>
              <w:rPr>
                <w:kern w:val="0"/>
                <w:sz w:val="21"/>
                <w:szCs w:val="21"/>
              </w:rPr>
            </w:pPr>
            <w:r>
              <w:rPr>
                <w:rFonts w:hint="eastAsia"/>
                <w:kern w:val="0"/>
                <w:sz w:val="21"/>
                <w:szCs w:val="21"/>
              </w:rPr>
              <w:t>无</w:t>
            </w:r>
          </w:p>
        </w:tc>
      </w:tr>
    </w:tbl>
    <w:p w14:paraId="5CD5779F">
      <w:pPr>
        <w:pStyle w:val="3"/>
        <w:rPr>
          <w:kern w:val="0"/>
        </w:rPr>
      </w:pPr>
      <w:bookmarkStart w:id="29" w:name="_Toc198733146"/>
      <w:r>
        <w:rPr>
          <w:rFonts w:hint="eastAsia"/>
          <w:kern w:val="0"/>
        </w:rPr>
        <w:t>评价</w:t>
      </w:r>
      <w:r>
        <w:rPr>
          <w:kern w:val="0"/>
        </w:rPr>
        <w:t>等级</w:t>
      </w:r>
      <w:r>
        <w:rPr>
          <w:rFonts w:hint="eastAsia"/>
          <w:kern w:val="0"/>
        </w:rPr>
        <w:t>及评价</w:t>
      </w:r>
      <w:r>
        <w:rPr>
          <w:kern w:val="0"/>
        </w:rPr>
        <w:t>范围</w:t>
      </w:r>
      <w:bookmarkEnd w:id="29"/>
    </w:p>
    <w:p w14:paraId="045B0886">
      <w:pPr>
        <w:pStyle w:val="4"/>
        <w:rPr>
          <w:kern w:val="0"/>
        </w:rPr>
      </w:pPr>
      <w:r>
        <w:rPr>
          <w:rFonts w:hint="eastAsia"/>
          <w:kern w:val="0"/>
        </w:rPr>
        <w:t>评价</w:t>
      </w:r>
      <w:r>
        <w:rPr>
          <w:kern w:val="0"/>
        </w:rPr>
        <w:t>等级</w:t>
      </w:r>
    </w:p>
    <w:p w14:paraId="3362B687">
      <w:pPr>
        <w:pStyle w:val="5"/>
        <w:rPr>
          <w:kern w:val="0"/>
        </w:rPr>
      </w:pPr>
      <w:r>
        <w:rPr>
          <w:rFonts w:hint="eastAsia"/>
          <w:kern w:val="0"/>
        </w:rPr>
        <w:t>环境</w:t>
      </w:r>
      <w:r>
        <w:rPr>
          <w:kern w:val="0"/>
        </w:rPr>
        <w:t>空气</w:t>
      </w:r>
    </w:p>
    <w:p w14:paraId="6D011535">
      <w:pPr>
        <w:spacing w:line="520" w:lineRule="exact"/>
        <w:ind w:firstLine="480" w:firstLineChars="200"/>
        <w:rPr>
          <w:kern w:val="0"/>
          <w:sz w:val="24"/>
          <w:szCs w:val="22"/>
        </w:rPr>
      </w:pPr>
      <w:r>
        <w:rPr>
          <w:rFonts w:hint="eastAsia"/>
          <w:kern w:val="0"/>
          <w:sz w:val="24"/>
          <w:szCs w:val="22"/>
        </w:rPr>
        <w:t>（1）评价</w:t>
      </w:r>
      <w:r>
        <w:rPr>
          <w:kern w:val="0"/>
          <w:sz w:val="24"/>
          <w:szCs w:val="22"/>
        </w:rPr>
        <w:t>工作等级划分依据</w:t>
      </w:r>
    </w:p>
    <w:p w14:paraId="5D978CFC">
      <w:pPr>
        <w:pStyle w:val="85"/>
        <w:ind w:firstLine="480"/>
        <w:rPr>
          <w:kern w:val="0"/>
        </w:rPr>
      </w:pPr>
      <w:r>
        <w:rPr>
          <w:rFonts w:hint="eastAsia"/>
          <w:kern w:val="0"/>
        </w:rPr>
        <w:t>根据</w:t>
      </w:r>
      <w:r>
        <w:rPr>
          <w:kern w:val="0"/>
        </w:rPr>
        <w:t>《环境影响评价技术导则 大气环境》(HJ2.2-2018)，大气环境影响评价工作等级的划分按照</w:t>
      </w:r>
      <w:r>
        <w:rPr>
          <w:kern w:val="0"/>
        </w:rPr>
        <w:fldChar w:fldCharType="begin"/>
      </w:r>
      <w:r>
        <w:rPr>
          <w:kern w:val="0"/>
        </w:rPr>
        <w:instrText xml:space="preserve"> REF _Ref423357380 \h  \* MERGEFORMAT </w:instrText>
      </w:r>
      <w:r>
        <w:rPr>
          <w:kern w:val="0"/>
        </w:rPr>
        <w:fldChar w:fldCharType="separate"/>
      </w:r>
      <w:r>
        <w:rPr>
          <w:kern w:val="0"/>
        </w:rPr>
        <w:t>表1</w:t>
      </w:r>
      <w:r>
        <w:rPr>
          <w:kern w:val="0"/>
        </w:rPr>
        <w:noBreakHyphen/>
      </w:r>
      <w:r>
        <w:rPr>
          <w:kern w:val="0"/>
        </w:rPr>
        <w:t>4</w:t>
      </w:r>
      <w:r>
        <w:rPr>
          <w:kern w:val="0"/>
        </w:rPr>
        <w:fldChar w:fldCharType="end"/>
      </w:r>
      <w:r>
        <w:rPr>
          <w:kern w:val="0"/>
        </w:rPr>
        <w:t>执行。拟建项目为</w:t>
      </w:r>
      <w:r>
        <w:rPr>
          <w:rFonts w:hint="eastAsia"/>
          <w:kern w:val="0"/>
        </w:rPr>
        <w:t>生态</w:t>
      </w:r>
      <w:r>
        <w:rPr>
          <w:kern w:val="0"/>
        </w:rPr>
        <w:t>环境</w:t>
      </w:r>
      <w:r>
        <w:rPr>
          <w:rFonts w:hint="eastAsia"/>
          <w:kern w:val="0"/>
        </w:rPr>
        <w:t>修复</w:t>
      </w:r>
      <w:r>
        <w:rPr>
          <w:kern w:val="0"/>
        </w:rPr>
        <w:t>整治工程，项目建成后</w:t>
      </w:r>
      <w:r>
        <w:rPr>
          <w:rFonts w:hint="eastAsia"/>
          <w:kern w:val="0"/>
        </w:rPr>
        <w:t>无</w:t>
      </w:r>
      <w:r>
        <w:rPr>
          <w:kern w:val="0"/>
        </w:rPr>
        <w:t>废气</w:t>
      </w:r>
      <w:r>
        <w:rPr>
          <w:rFonts w:hint="eastAsia"/>
          <w:kern w:val="0"/>
        </w:rPr>
        <w:t>产生</w:t>
      </w:r>
      <w:r>
        <w:rPr>
          <w:kern w:val="0"/>
        </w:rPr>
        <w:t>；</w:t>
      </w:r>
      <w:r>
        <w:rPr>
          <w:rFonts w:hint="eastAsia"/>
          <w:kern w:val="0"/>
        </w:rPr>
        <w:t>施工期主要</w:t>
      </w:r>
      <w:r>
        <w:rPr>
          <w:kern w:val="0"/>
        </w:rPr>
        <w:t>污染物为颗粒物及施工机械产生的少量NO</w:t>
      </w:r>
      <w:r>
        <w:rPr>
          <w:kern w:val="0"/>
          <w:vertAlign w:val="subscript"/>
        </w:rPr>
        <w:t>x</w:t>
      </w:r>
      <w:r>
        <w:rPr>
          <w:rFonts w:hint="eastAsia"/>
          <w:kern w:val="0"/>
        </w:rPr>
        <w:t>、</w:t>
      </w:r>
      <w:r>
        <w:rPr>
          <w:kern w:val="0"/>
        </w:rPr>
        <w:t>CO，属无组织排放且发生量很小，Pmax＜1%。因此，确定本项目大气环境影响评价工作等级为三级</w:t>
      </w:r>
      <w:r>
        <w:rPr>
          <w:rFonts w:hint="eastAsia"/>
          <w:kern w:val="0"/>
        </w:rPr>
        <w:t>。</w:t>
      </w:r>
    </w:p>
    <w:p w14:paraId="32C774DE">
      <w:pPr>
        <w:pStyle w:val="17"/>
        <w:keepNext/>
        <w:tabs>
          <w:tab w:val="left" w:pos="1095"/>
        </w:tabs>
        <w:spacing w:line="520" w:lineRule="exact"/>
        <w:jc w:val="center"/>
        <w:rPr>
          <w:rFonts w:ascii="Times New Roman" w:hAnsi="Times New Roman"/>
          <w:kern w:val="0"/>
          <w:sz w:val="24"/>
          <w:szCs w:val="24"/>
        </w:rPr>
      </w:pPr>
      <w:bookmarkStart w:id="30" w:name="_Ref423357380"/>
      <w:r>
        <w:rPr>
          <w:rFonts w:ascii="Times New Roman" w:hAnsi="Times New Roman"/>
          <w:kern w:val="0"/>
          <w:sz w:val="24"/>
          <w:szCs w:val="24"/>
        </w:rPr>
        <w:t>表</w:t>
      </w:r>
      <w:r>
        <w:rPr>
          <w:rFonts w:ascii="Times New Roman" w:hAnsi="Times New Roman"/>
          <w:kern w:val="0"/>
          <w:sz w:val="24"/>
          <w:szCs w:val="24"/>
        </w:rPr>
        <w:fldChar w:fldCharType="begin"/>
      </w:r>
      <w:r>
        <w:rPr>
          <w:rFonts w:ascii="Times New Roman" w:hAnsi="Times New Roman"/>
          <w:kern w:val="0"/>
          <w:sz w:val="24"/>
          <w:szCs w:val="24"/>
        </w:rPr>
        <w:instrText xml:space="preserve"> STYLEREF 1 \s </w:instrText>
      </w:r>
      <w:r>
        <w:rPr>
          <w:rFonts w:ascii="Times New Roman" w:hAnsi="Times New Roman"/>
          <w:kern w:val="0"/>
          <w:sz w:val="24"/>
          <w:szCs w:val="24"/>
        </w:rPr>
        <w:fldChar w:fldCharType="separate"/>
      </w:r>
      <w:r>
        <w:rPr>
          <w:rFonts w:ascii="Times New Roman" w:hAnsi="Times New Roman"/>
          <w:kern w:val="0"/>
          <w:sz w:val="24"/>
          <w:szCs w:val="24"/>
        </w:rPr>
        <w:t>1</w:t>
      </w:r>
      <w:r>
        <w:rPr>
          <w:rFonts w:ascii="Times New Roman" w:hAnsi="Times New Roman"/>
          <w:kern w:val="0"/>
          <w:sz w:val="24"/>
          <w:szCs w:val="24"/>
        </w:rPr>
        <w:fldChar w:fldCharType="end"/>
      </w:r>
      <w:r>
        <w:rPr>
          <w:rFonts w:ascii="Times New Roman" w:hAnsi="Times New Roman"/>
          <w:kern w:val="0"/>
          <w:sz w:val="24"/>
          <w:szCs w:val="24"/>
        </w:rPr>
        <w:noBreakHyphen/>
      </w:r>
      <w:r>
        <w:rPr>
          <w:rFonts w:ascii="Times New Roman" w:hAnsi="Times New Roman"/>
          <w:kern w:val="0"/>
          <w:sz w:val="24"/>
          <w:szCs w:val="24"/>
        </w:rPr>
        <w:fldChar w:fldCharType="begin"/>
      </w:r>
      <w:r>
        <w:rPr>
          <w:rFonts w:ascii="Times New Roman" w:hAnsi="Times New Roman"/>
          <w:kern w:val="0"/>
          <w:sz w:val="24"/>
          <w:szCs w:val="24"/>
        </w:rPr>
        <w:instrText xml:space="preserve"> SEQ 表 \* ARABIC \s 1 </w:instrText>
      </w:r>
      <w:r>
        <w:rPr>
          <w:rFonts w:ascii="Times New Roman" w:hAnsi="Times New Roman"/>
          <w:kern w:val="0"/>
          <w:sz w:val="24"/>
          <w:szCs w:val="24"/>
        </w:rPr>
        <w:fldChar w:fldCharType="separate"/>
      </w:r>
      <w:r>
        <w:rPr>
          <w:rFonts w:ascii="Times New Roman" w:hAnsi="Times New Roman"/>
          <w:kern w:val="0"/>
          <w:sz w:val="24"/>
          <w:szCs w:val="24"/>
        </w:rPr>
        <w:t>4</w:t>
      </w:r>
      <w:r>
        <w:rPr>
          <w:rFonts w:ascii="Times New Roman" w:hAnsi="Times New Roman"/>
          <w:kern w:val="0"/>
          <w:sz w:val="24"/>
          <w:szCs w:val="24"/>
        </w:rPr>
        <w:fldChar w:fldCharType="end"/>
      </w:r>
      <w:bookmarkEnd w:id="30"/>
      <w:r>
        <w:rPr>
          <w:rFonts w:ascii="Times New Roman" w:hAnsi="Times New Roman"/>
          <w:kern w:val="0"/>
          <w:sz w:val="24"/>
          <w:szCs w:val="24"/>
        </w:rPr>
        <w:t xml:space="preserve">  大气环境影响评价工作等级</w:t>
      </w:r>
      <w:r>
        <w:rPr>
          <w:rFonts w:hint="eastAsia" w:ascii="Times New Roman" w:hAnsi="Times New Roman"/>
          <w:kern w:val="0"/>
          <w:sz w:val="24"/>
          <w:szCs w:val="24"/>
        </w:rPr>
        <w:t>判据</w:t>
      </w:r>
      <w:r>
        <w:rPr>
          <w:rFonts w:ascii="Times New Roman" w:hAnsi="Times New Roman"/>
          <w:kern w:val="0"/>
          <w:sz w:val="24"/>
          <w:szCs w:val="24"/>
        </w:rPr>
        <w:t>表</w:t>
      </w:r>
    </w:p>
    <w:tbl>
      <w:tblPr>
        <w:tblStyle w:val="63"/>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2"/>
        <w:gridCol w:w="6166"/>
      </w:tblGrid>
      <w:tr w14:paraId="414A2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362" w:type="dxa"/>
            <w:vAlign w:val="center"/>
          </w:tcPr>
          <w:p w14:paraId="28DB29B0">
            <w:pPr>
              <w:jc w:val="center"/>
              <w:rPr>
                <w:kern w:val="0"/>
                <w:szCs w:val="21"/>
              </w:rPr>
            </w:pPr>
            <w:r>
              <w:rPr>
                <w:kern w:val="0"/>
                <w:szCs w:val="21"/>
              </w:rPr>
              <w:t>评价工作等级</w:t>
            </w:r>
          </w:p>
        </w:tc>
        <w:tc>
          <w:tcPr>
            <w:tcW w:w="6166" w:type="dxa"/>
            <w:vAlign w:val="center"/>
          </w:tcPr>
          <w:p w14:paraId="7ADB11E3">
            <w:pPr>
              <w:jc w:val="center"/>
              <w:rPr>
                <w:kern w:val="0"/>
                <w:szCs w:val="21"/>
              </w:rPr>
            </w:pPr>
            <w:r>
              <w:rPr>
                <w:kern w:val="0"/>
                <w:szCs w:val="21"/>
              </w:rPr>
              <w:t>评价工作分级判据</w:t>
            </w:r>
          </w:p>
        </w:tc>
      </w:tr>
      <w:tr w14:paraId="6376A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vAlign w:val="center"/>
          </w:tcPr>
          <w:p w14:paraId="53C27D13">
            <w:pPr>
              <w:jc w:val="center"/>
              <w:rPr>
                <w:kern w:val="0"/>
                <w:szCs w:val="21"/>
              </w:rPr>
            </w:pPr>
            <w:r>
              <w:rPr>
                <w:kern w:val="0"/>
                <w:szCs w:val="21"/>
              </w:rPr>
              <w:t>一级</w:t>
            </w:r>
          </w:p>
        </w:tc>
        <w:tc>
          <w:tcPr>
            <w:tcW w:w="6166" w:type="dxa"/>
            <w:vAlign w:val="center"/>
          </w:tcPr>
          <w:p w14:paraId="67452A5A">
            <w:pPr>
              <w:jc w:val="center"/>
              <w:rPr>
                <w:kern w:val="0"/>
              </w:rPr>
            </w:pPr>
            <w:r>
              <w:rPr>
                <w:i/>
                <w:kern w:val="0"/>
              </w:rPr>
              <w:t>P</w:t>
            </w:r>
            <w:r>
              <w:rPr>
                <w:i/>
                <w:kern w:val="0"/>
                <w:vertAlign w:val="subscript"/>
              </w:rPr>
              <w:t>max</w:t>
            </w:r>
            <w:r>
              <w:rPr>
                <w:rFonts w:hint="eastAsia"/>
                <w:kern w:val="0"/>
              </w:rPr>
              <w:t>≥</w:t>
            </w:r>
            <w:r>
              <w:rPr>
                <w:kern w:val="0"/>
              </w:rPr>
              <w:t>10%</w:t>
            </w:r>
          </w:p>
        </w:tc>
      </w:tr>
      <w:tr w14:paraId="712D7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vAlign w:val="center"/>
          </w:tcPr>
          <w:p w14:paraId="58F743BB">
            <w:pPr>
              <w:jc w:val="center"/>
              <w:rPr>
                <w:kern w:val="0"/>
                <w:szCs w:val="21"/>
              </w:rPr>
            </w:pPr>
            <w:r>
              <w:rPr>
                <w:kern w:val="0"/>
                <w:szCs w:val="21"/>
              </w:rPr>
              <w:t>二级</w:t>
            </w:r>
          </w:p>
        </w:tc>
        <w:tc>
          <w:tcPr>
            <w:tcW w:w="6166" w:type="dxa"/>
            <w:vAlign w:val="center"/>
          </w:tcPr>
          <w:p w14:paraId="20EE4DDA">
            <w:pPr>
              <w:jc w:val="center"/>
              <w:rPr>
                <w:kern w:val="0"/>
              </w:rPr>
            </w:pPr>
            <w:r>
              <w:rPr>
                <w:kern w:val="0"/>
              </w:rPr>
              <w:t>1%</w:t>
            </w:r>
            <w:r>
              <w:rPr>
                <w:rFonts w:hint="eastAsia"/>
                <w:kern w:val="0"/>
              </w:rPr>
              <w:t>≤</w:t>
            </w:r>
            <w:r>
              <w:rPr>
                <w:i/>
                <w:kern w:val="0"/>
              </w:rPr>
              <w:t>P</w:t>
            </w:r>
            <w:r>
              <w:rPr>
                <w:i/>
                <w:kern w:val="0"/>
                <w:vertAlign w:val="subscript"/>
              </w:rPr>
              <w:t>max</w:t>
            </w:r>
            <w:r>
              <w:rPr>
                <w:kern w:val="0"/>
              </w:rPr>
              <w:t>&lt;10%</w:t>
            </w:r>
          </w:p>
        </w:tc>
      </w:tr>
      <w:tr w14:paraId="201EA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vAlign w:val="center"/>
          </w:tcPr>
          <w:p w14:paraId="77BF22A8">
            <w:pPr>
              <w:jc w:val="center"/>
              <w:rPr>
                <w:kern w:val="0"/>
                <w:szCs w:val="21"/>
              </w:rPr>
            </w:pPr>
            <w:r>
              <w:rPr>
                <w:kern w:val="0"/>
                <w:szCs w:val="21"/>
              </w:rPr>
              <w:t>三级</w:t>
            </w:r>
          </w:p>
        </w:tc>
        <w:tc>
          <w:tcPr>
            <w:tcW w:w="6166" w:type="dxa"/>
            <w:vAlign w:val="center"/>
          </w:tcPr>
          <w:p w14:paraId="7AA17BFE">
            <w:pPr>
              <w:jc w:val="center"/>
              <w:rPr>
                <w:kern w:val="0"/>
              </w:rPr>
            </w:pPr>
            <w:r>
              <w:rPr>
                <w:i/>
                <w:kern w:val="0"/>
              </w:rPr>
              <w:t>P</w:t>
            </w:r>
            <w:r>
              <w:rPr>
                <w:i/>
                <w:kern w:val="0"/>
                <w:vertAlign w:val="subscript"/>
              </w:rPr>
              <w:t>max</w:t>
            </w:r>
            <w:r>
              <w:rPr>
                <w:kern w:val="0"/>
              </w:rPr>
              <w:t xml:space="preserve"> &lt;1%</w:t>
            </w:r>
          </w:p>
        </w:tc>
      </w:tr>
    </w:tbl>
    <w:p w14:paraId="27BCB8C2">
      <w:pPr>
        <w:pStyle w:val="5"/>
        <w:rPr>
          <w:kern w:val="0"/>
        </w:rPr>
      </w:pPr>
      <w:r>
        <w:rPr>
          <w:rFonts w:hint="eastAsia"/>
          <w:kern w:val="0"/>
        </w:rPr>
        <w:t>地表水</w:t>
      </w:r>
      <w:r>
        <w:rPr>
          <w:kern w:val="0"/>
        </w:rPr>
        <w:t>环境</w:t>
      </w:r>
    </w:p>
    <w:p w14:paraId="034D2DE0">
      <w:pPr>
        <w:pStyle w:val="85"/>
        <w:ind w:firstLine="480"/>
        <w:rPr>
          <w:kern w:val="0"/>
        </w:rPr>
      </w:pPr>
      <w:r>
        <w:rPr>
          <w:rFonts w:hint="eastAsia"/>
          <w:kern w:val="0"/>
        </w:rPr>
        <w:t>拟建项目为生态环境修复整治工程，项目建成后，自身无水污染排放源。</w:t>
      </w:r>
      <w:r>
        <w:rPr>
          <w:kern w:val="0"/>
        </w:rPr>
        <w:t>项目</w:t>
      </w:r>
      <w:r>
        <w:rPr>
          <w:rFonts w:hint="eastAsia"/>
          <w:kern w:val="0"/>
        </w:rPr>
        <w:t>地表水</w:t>
      </w:r>
      <w:r>
        <w:rPr>
          <w:kern w:val="0"/>
        </w:rPr>
        <w:t>影响为</w:t>
      </w:r>
      <w:r>
        <w:rPr>
          <w:rFonts w:hint="eastAsia"/>
          <w:kern w:val="0"/>
        </w:rPr>
        <w:t>水文要素影响型建设项目。</w:t>
      </w:r>
      <w:r>
        <w:rPr>
          <w:kern w:val="0"/>
        </w:rPr>
        <w:t>根据《环境影响评价技术导则 地表水环境》（HJ2.3-2018）的规定，水文要素影响型建设项目评价等级划分根据水温、径流与受影响地表水域等三类水文要素的影响程度进行判定，见</w:t>
      </w:r>
      <w:r>
        <w:rPr>
          <w:rFonts w:hint="eastAsia"/>
          <w:kern w:val="0"/>
        </w:rPr>
        <w:t>下表</w:t>
      </w:r>
      <w:r>
        <w:rPr>
          <w:kern w:val="0"/>
        </w:rPr>
        <w:t>。</w:t>
      </w:r>
    </w:p>
    <w:p w14:paraId="4281FDDA">
      <w:pPr>
        <w:pStyle w:val="85"/>
        <w:ind w:firstLine="480"/>
        <w:rPr>
          <w:kern w:val="0"/>
        </w:rPr>
        <w:sectPr>
          <w:pgSz w:w="11906" w:h="16838"/>
          <w:pgMar w:top="2007" w:right="1797" w:bottom="1724" w:left="1797" w:header="1417" w:footer="1162" w:gutter="0"/>
          <w:pgNumType w:fmt="numberInDash"/>
          <w:cols w:space="425" w:num="1"/>
          <w:docGrid w:type="lines" w:linePitch="312" w:charSpace="0"/>
        </w:sectPr>
      </w:pPr>
    </w:p>
    <w:p w14:paraId="4080C913">
      <w:pPr>
        <w:pStyle w:val="17"/>
        <w:keepNext/>
        <w:tabs>
          <w:tab w:val="left" w:pos="1095"/>
        </w:tabs>
        <w:spacing w:line="520" w:lineRule="exact"/>
        <w:jc w:val="center"/>
        <w:rPr>
          <w:rFonts w:ascii="Times New Roman" w:hAnsi="Times New Roman"/>
          <w:kern w:val="0"/>
          <w:sz w:val="24"/>
          <w:szCs w:val="24"/>
        </w:rPr>
      </w:pPr>
      <w:r>
        <w:rPr>
          <w:rFonts w:ascii="Times New Roman" w:hAnsi="Times New Roman"/>
          <w:kern w:val="0"/>
          <w:sz w:val="24"/>
          <w:szCs w:val="24"/>
        </w:rPr>
        <w:t>表</w:t>
      </w:r>
      <w:r>
        <w:rPr>
          <w:rFonts w:ascii="Times New Roman" w:hAnsi="Times New Roman"/>
          <w:kern w:val="0"/>
          <w:sz w:val="24"/>
          <w:szCs w:val="24"/>
        </w:rPr>
        <w:fldChar w:fldCharType="begin"/>
      </w:r>
      <w:r>
        <w:rPr>
          <w:rFonts w:ascii="Times New Roman" w:hAnsi="Times New Roman"/>
          <w:kern w:val="0"/>
          <w:sz w:val="24"/>
          <w:szCs w:val="24"/>
        </w:rPr>
        <w:instrText xml:space="preserve"> STYLEREF 1 \s </w:instrText>
      </w:r>
      <w:r>
        <w:rPr>
          <w:rFonts w:ascii="Times New Roman" w:hAnsi="Times New Roman"/>
          <w:kern w:val="0"/>
          <w:sz w:val="24"/>
          <w:szCs w:val="24"/>
        </w:rPr>
        <w:fldChar w:fldCharType="separate"/>
      </w:r>
      <w:r>
        <w:rPr>
          <w:rFonts w:ascii="Times New Roman" w:hAnsi="Times New Roman"/>
          <w:kern w:val="0"/>
          <w:sz w:val="24"/>
          <w:szCs w:val="24"/>
        </w:rPr>
        <w:t>1</w:t>
      </w:r>
      <w:r>
        <w:rPr>
          <w:rFonts w:ascii="Times New Roman" w:hAnsi="Times New Roman"/>
          <w:kern w:val="0"/>
          <w:sz w:val="24"/>
          <w:szCs w:val="24"/>
        </w:rPr>
        <w:fldChar w:fldCharType="end"/>
      </w:r>
      <w:r>
        <w:rPr>
          <w:rFonts w:ascii="Times New Roman" w:hAnsi="Times New Roman"/>
          <w:kern w:val="0"/>
          <w:sz w:val="24"/>
          <w:szCs w:val="24"/>
        </w:rPr>
        <w:noBreakHyphen/>
      </w:r>
      <w:r>
        <w:rPr>
          <w:rFonts w:ascii="Times New Roman" w:hAnsi="Times New Roman"/>
          <w:kern w:val="0"/>
          <w:sz w:val="24"/>
          <w:szCs w:val="24"/>
        </w:rPr>
        <w:fldChar w:fldCharType="begin"/>
      </w:r>
      <w:r>
        <w:rPr>
          <w:rFonts w:ascii="Times New Roman" w:hAnsi="Times New Roman"/>
          <w:kern w:val="0"/>
          <w:sz w:val="24"/>
          <w:szCs w:val="24"/>
        </w:rPr>
        <w:instrText xml:space="preserve"> SEQ 表 \* ARABIC \s 1 </w:instrText>
      </w:r>
      <w:r>
        <w:rPr>
          <w:rFonts w:ascii="Times New Roman" w:hAnsi="Times New Roman"/>
          <w:kern w:val="0"/>
          <w:sz w:val="24"/>
          <w:szCs w:val="24"/>
        </w:rPr>
        <w:fldChar w:fldCharType="separate"/>
      </w:r>
      <w:r>
        <w:rPr>
          <w:rFonts w:ascii="Times New Roman" w:hAnsi="Times New Roman"/>
          <w:kern w:val="0"/>
          <w:sz w:val="24"/>
          <w:szCs w:val="24"/>
        </w:rPr>
        <w:t>5</w:t>
      </w:r>
      <w:r>
        <w:rPr>
          <w:rFonts w:ascii="Times New Roman" w:hAnsi="Times New Roman"/>
          <w:kern w:val="0"/>
          <w:sz w:val="24"/>
          <w:szCs w:val="24"/>
        </w:rPr>
        <w:fldChar w:fldCharType="end"/>
      </w:r>
      <w:r>
        <w:rPr>
          <w:rFonts w:ascii="Times New Roman" w:hAnsi="Times New Roman"/>
          <w:kern w:val="0"/>
          <w:sz w:val="24"/>
          <w:szCs w:val="24"/>
        </w:rPr>
        <w:t xml:space="preserve">  水文要素影响型建设项目评价等级判定</w:t>
      </w:r>
    </w:p>
    <w:tbl>
      <w:tblPr>
        <w:tblStyle w:val="6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720"/>
        <w:gridCol w:w="1217"/>
        <w:gridCol w:w="1217"/>
        <w:gridCol w:w="1218"/>
        <w:gridCol w:w="1218"/>
        <w:gridCol w:w="1218"/>
      </w:tblGrid>
      <w:tr w14:paraId="410C4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Merge w:val="restart"/>
            <w:vAlign w:val="center"/>
          </w:tcPr>
          <w:p w14:paraId="454A743B">
            <w:pPr>
              <w:jc w:val="center"/>
              <w:rPr>
                <w:kern w:val="0"/>
                <w:szCs w:val="21"/>
              </w:rPr>
            </w:pPr>
            <w:r>
              <w:rPr>
                <w:bCs/>
                <w:kern w:val="0"/>
                <w:szCs w:val="21"/>
              </w:rPr>
              <w:t>评价等级</w:t>
            </w:r>
          </w:p>
        </w:tc>
        <w:tc>
          <w:tcPr>
            <w:tcW w:w="1720" w:type="dxa"/>
            <w:vAlign w:val="center"/>
          </w:tcPr>
          <w:p w14:paraId="5459E109">
            <w:pPr>
              <w:jc w:val="center"/>
              <w:rPr>
                <w:bCs/>
                <w:kern w:val="0"/>
                <w:szCs w:val="21"/>
              </w:rPr>
            </w:pPr>
            <w:r>
              <w:rPr>
                <w:bCs/>
                <w:kern w:val="0"/>
                <w:szCs w:val="21"/>
              </w:rPr>
              <w:t>水温</w:t>
            </w:r>
          </w:p>
        </w:tc>
        <w:tc>
          <w:tcPr>
            <w:tcW w:w="2434" w:type="dxa"/>
            <w:gridSpan w:val="2"/>
            <w:vAlign w:val="center"/>
          </w:tcPr>
          <w:p w14:paraId="171AFBCD">
            <w:pPr>
              <w:jc w:val="center"/>
              <w:rPr>
                <w:bCs/>
                <w:kern w:val="0"/>
                <w:szCs w:val="21"/>
              </w:rPr>
            </w:pPr>
            <w:r>
              <w:rPr>
                <w:bCs/>
                <w:kern w:val="0"/>
                <w:szCs w:val="21"/>
              </w:rPr>
              <w:t>径流</w:t>
            </w:r>
          </w:p>
        </w:tc>
        <w:tc>
          <w:tcPr>
            <w:tcW w:w="3654" w:type="dxa"/>
            <w:gridSpan w:val="3"/>
            <w:vAlign w:val="center"/>
          </w:tcPr>
          <w:p w14:paraId="013A9FAC">
            <w:pPr>
              <w:jc w:val="center"/>
              <w:rPr>
                <w:bCs/>
                <w:kern w:val="0"/>
                <w:szCs w:val="21"/>
              </w:rPr>
            </w:pPr>
            <w:r>
              <w:rPr>
                <w:bCs/>
                <w:kern w:val="0"/>
                <w:szCs w:val="21"/>
              </w:rPr>
              <w:t>受影响地表水域</w:t>
            </w:r>
          </w:p>
        </w:tc>
      </w:tr>
      <w:tr w14:paraId="76840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Merge w:val="continue"/>
            <w:vAlign w:val="center"/>
          </w:tcPr>
          <w:p w14:paraId="0EDEABC8">
            <w:pPr>
              <w:jc w:val="center"/>
              <w:rPr>
                <w:kern w:val="0"/>
                <w:szCs w:val="21"/>
              </w:rPr>
            </w:pPr>
          </w:p>
        </w:tc>
        <w:tc>
          <w:tcPr>
            <w:tcW w:w="1720" w:type="dxa"/>
            <w:vMerge w:val="restart"/>
            <w:vAlign w:val="center"/>
          </w:tcPr>
          <w:p w14:paraId="0F70E296">
            <w:pPr>
              <w:jc w:val="center"/>
              <w:rPr>
                <w:kern w:val="0"/>
                <w:szCs w:val="21"/>
              </w:rPr>
            </w:pPr>
            <w:r>
              <w:rPr>
                <w:kern w:val="0"/>
                <w:szCs w:val="21"/>
              </w:rPr>
              <w:t>年净流量与总库容百分比α/%</w:t>
            </w:r>
          </w:p>
        </w:tc>
        <w:tc>
          <w:tcPr>
            <w:tcW w:w="1217" w:type="dxa"/>
            <w:vMerge w:val="restart"/>
            <w:vAlign w:val="center"/>
          </w:tcPr>
          <w:p w14:paraId="78B1608B">
            <w:pPr>
              <w:jc w:val="center"/>
              <w:rPr>
                <w:kern w:val="0"/>
                <w:szCs w:val="21"/>
              </w:rPr>
            </w:pPr>
            <w:r>
              <w:rPr>
                <w:kern w:val="0"/>
                <w:szCs w:val="21"/>
              </w:rPr>
              <w:t>兴利库容与年径流量百</w:t>
            </w:r>
          </w:p>
          <w:p w14:paraId="47D19C59">
            <w:pPr>
              <w:jc w:val="center"/>
              <w:rPr>
                <w:kern w:val="0"/>
                <w:szCs w:val="21"/>
              </w:rPr>
            </w:pPr>
            <w:r>
              <w:rPr>
                <w:kern w:val="0"/>
                <w:szCs w:val="21"/>
              </w:rPr>
              <w:t>分比βl%</w:t>
            </w:r>
          </w:p>
        </w:tc>
        <w:tc>
          <w:tcPr>
            <w:tcW w:w="1217" w:type="dxa"/>
            <w:vMerge w:val="restart"/>
            <w:vAlign w:val="center"/>
          </w:tcPr>
          <w:p w14:paraId="4F67D2E1">
            <w:pPr>
              <w:jc w:val="center"/>
              <w:rPr>
                <w:kern w:val="0"/>
                <w:szCs w:val="21"/>
              </w:rPr>
            </w:pPr>
            <w:r>
              <w:rPr>
                <w:kern w:val="0"/>
                <w:szCs w:val="21"/>
              </w:rPr>
              <w:t>取水量占多年平均径流量百分比γl%</w:t>
            </w:r>
          </w:p>
        </w:tc>
        <w:tc>
          <w:tcPr>
            <w:tcW w:w="2436" w:type="dxa"/>
            <w:gridSpan w:val="2"/>
            <w:vAlign w:val="center"/>
          </w:tcPr>
          <w:p w14:paraId="5D11E5B1">
            <w:pPr>
              <w:jc w:val="center"/>
              <w:rPr>
                <w:kern w:val="0"/>
                <w:szCs w:val="21"/>
              </w:rPr>
            </w:pPr>
            <w:r>
              <w:rPr>
                <w:kern w:val="0"/>
                <w:szCs w:val="21"/>
              </w:rPr>
              <w:t>工程垂直投影面积及外扩范围A</w:t>
            </w:r>
            <w:r>
              <w:rPr>
                <w:kern w:val="0"/>
                <w:szCs w:val="21"/>
                <w:vertAlign w:val="subscript"/>
              </w:rPr>
              <w:t>1</w:t>
            </w:r>
            <w:r>
              <w:rPr>
                <w:kern w:val="0"/>
                <w:szCs w:val="21"/>
              </w:rPr>
              <w:t>/km</w:t>
            </w:r>
            <w:r>
              <w:rPr>
                <w:kern w:val="0"/>
                <w:szCs w:val="21"/>
                <w:vertAlign w:val="superscript"/>
              </w:rPr>
              <w:t>2</w:t>
            </w:r>
            <w:r>
              <w:rPr>
                <w:kern w:val="0"/>
                <w:szCs w:val="21"/>
              </w:rPr>
              <w:t>；工程扰动水底面积A</w:t>
            </w:r>
            <w:r>
              <w:rPr>
                <w:kern w:val="0"/>
                <w:szCs w:val="21"/>
                <w:vertAlign w:val="subscript"/>
              </w:rPr>
              <w:t>2</w:t>
            </w:r>
            <w:r>
              <w:rPr>
                <w:kern w:val="0"/>
                <w:szCs w:val="21"/>
              </w:rPr>
              <w:t>/km</w:t>
            </w:r>
            <w:r>
              <w:rPr>
                <w:kern w:val="0"/>
                <w:szCs w:val="21"/>
                <w:vertAlign w:val="superscript"/>
              </w:rPr>
              <w:t>2</w:t>
            </w:r>
            <w:r>
              <w:rPr>
                <w:kern w:val="0"/>
                <w:szCs w:val="21"/>
              </w:rPr>
              <w:t>；过水断面宽度占用比例或占用水域面积比例R/%</w:t>
            </w:r>
          </w:p>
        </w:tc>
        <w:tc>
          <w:tcPr>
            <w:tcW w:w="1218" w:type="dxa"/>
            <w:vAlign w:val="center"/>
          </w:tcPr>
          <w:p w14:paraId="12A59CFB">
            <w:pPr>
              <w:jc w:val="center"/>
              <w:rPr>
                <w:kern w:val="0"/>
                <w:szCs w:val="21"/>
              </w:rPr>
            </w:pPr>
            <w:r>
              <w:rPr>
                <w:kern w:val="0"/>
                <w:szCs w:val="21"/>
              </w:rPr>
              <w:t>工程垂直投影面积及外扩范围A</w:t>
            </w:r>
            <w:r>
              <w:rPr>
                <w:kern w:val="0"/>
                <w:szCs w:val="21"/>
                <w:vertAlign w:val="subscript"/>
              </w:rPr>
              <w:t>1</w:t>
            </w:r>
            <w:r>
              <w:rPr>
                <w:kern w:val="0"/>
                <w:szCs w:val="21"/>
              </w:rPr>
              <w:t>/km</w:t>
            </w:r>
            <w:r>
              <w:rPr>
                <w:kern w:val="0"/>
                <w:szCs w:val="21"/>
                <w:vertAlign w:val="superscript"/>
              </w:rPr>
              <w:t>2</w:t>
            </w:r>
            <w:r>
              <w:rPr>
                <w:kern w:val="0"/>
                <w:szCs w:val="21"/>
              </w:rPr>
              <w:t>；工程扰动水底面积A</w:t>
            </w:r>
            <w:r>
              <w:rPr>
                <w:kern w:val="0"/>
                <w:szCs w:val="21"/>
                <w:vertAlign w:val="subscript"/>
              </w:rPr>
              <w:t>2</w:t>
            </w:r>
            <w:r>
              <w:rPr>
                <w:kern w:val="0"/>
                <w:szCs w:val="21"/>
              </w:rPr>
              <w:t>/km</w:t>
            </w:r>
            <w:r>
              <w:rPr>
                <w:kern w:val="0"/>
                <w:szCs w:val="21"/>
                <w:vertAlign w:val="superscript"/>
              </w:rPr>
              <w:t>2</w:t>
            </w:r>
          </w:p>
        </w:tc>
      </w:tr>
      <w:tr w14:paraId="4F6C8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Merge w:val="continue"/>
            <w:vAlign w:val="center"/>
          </w:tcPr>
          <w:p w14:paraId="434C70DD">
            <w:pPr>
              <w:jc w:val="center"/>
              <w:rPr>
                <w:kern w:val="0"/>
                <w:szCs w:val="21"/>
              </w:rPr>
            </w:pPr>
          </w:p>
        </w:tc>
        <w:tc>
          <w:tcPr>
            <w:tcW w:w="1720" w:type="dxa"/>
            <w:vMerge w:val="continue"/>
            <w:vAlign w:val="center"/>
          </w:tcPr>
          <w:p w14:paraId="6692B16A">
            <w:pPr>
              <w:jc w:val="center"/>
              <w:rPr>
                <w:kern w:val="0"/>
                <w:szCs w:val="21"/>
              </w:rPr>
            </w:pPr>
          </w:p>
        </w:tc>
        <w:tc>
          <w:tcPr>
            <w:tcW w:w="1217" w:type="dxa"/>
            <w:vMerge w:val="continue"/>
            <w:vAlign w:val="center"/>
          </w:tcPr>
          <w:p w14:paraId="24AD1543">
            <w:pPr>
              <w:jc w:val="center"/>
              <w:rPr>
                <w:kern w:val="0"/>
                <w:szCs w:val="21"/>
              </w:rPr>
            </w:pPr>
          </w:p>
        </w:tc>
        <w:tc>
          <w:tcPr>
            <w:tcW w:w="1217" w:type="dxa"/>
            <w:vMerge w:val="continue"/>
            <w:vAlign w:val="center"/>
          </w:tcPr>
          <w:p w14:paraId="1F157872">
            <w:pPr>
              <w:jc w:val="center"/>
              <w:rPr>
                <w:kern w:val="0"/>
                <w:szCs w:val="21"/>
              </w:rPr>
            </w:pPr>
          </w:p>
        </w:tc>
        <w:tc>
          <w:tcPr>
            <w:tcW w:w="1218" w:type="dxa"/>
            <w:vAlign w:val="center"/>
          </w:tcPr>
          <w:p w14:paraId="15BA5D5F">
            <w:pPr>
              <w:jc w:val="center"/>
              <w:rPr>
                <w:kern w:val="0"/>
                <w:szCs w:val="21"/>
              </w:rPr>
            </w:pPr>
            <w:r>
              <w:rPr>
                <w:kern w:val="0"/>
                <w:szCs w:val="21"/>
              </w:rPr>
              <w:t>河流</w:t>
            </w:r>
          </w:p>
        </w:tc>
        <w:tc>
          <w:tcPr>
            <w:tcW w:w="1218" w:type="dxa"/>
            <w:vAlign w:val="center"/>
          </w:tcPr>
          <w:p w14:paraId="299CC294">
            <w:pPr>
              <w:jc w:val="center"/>
              <w:rPr>
                <w:kern w:val="0"/>
                <w:szCs w:val="21"/>
              </w:rPr>
            </w:pPr>
            <w:r>
              <w:rPr>
                <w:kern w:val="0"/>
                <w:szCs w:val="21"/>
              </w:rPr>
              <w:t>湖库</w:t>
            </w:r>
          </w:p>
        </w:tc>
        <w:tc>
          <w:tcPr>
            <w:tcW w:w="1218" w:type="dxa"/>
            <w:vAlign w:val="center"/>
          </w:tcPr>
          <w:p w14:paraId="7DE18306">
            <w:pPr>
              <w:jc w:val="center"/>
              <w:rPr>
                <w:kern w:val="0"/>
                <w:szCs w:val="21"/>
              </w:rPr>
            </w:pPr>
            <w:r>
              <w:rPr>
                <w:kern w:val="0"/>
                <w:szCs w:val="21"/>
              </w:rPr>
              <w:t>入海河口、近岸海域</w:t>
            </w:r>
          </w:p>
        </w:tc>
      </w:tr>
      <w:tr w14:paraId="47777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Align w:val="center"/>
          </w:tcPr>
          <w:p w14:paraId="11719A93">
            <w:pPr>
              <w:jc w:val="center"/>
              <w:rPr>
                <w:kern w:val="0"/>
                <w:szCs w:val="21"/>
              </w:rPr>
            </w:pPr>
            <w:r>
              <w:rPr>
                <w:kern w:val="0"/>
                <w:szCs w:val="21"/>
              </w:rPr>
              <w:t>一级</w:t>
            </w:r>
          </w:p>
        </w:tc>
        <w:tc>
          <w:tcPr>
            <w:tcW w:w="1720" w:type="dxa"/>
            <w:vAlign w:val="center"/>
          </w:tcPr>
          <w:p w14:paraId="4E43AF5A">
            <w:pPr>
              <w:jc w:val="center"/>
              <w:rPr>
                <w:kern w:val="0"/>
                <w:szCs w:val="21"/>
              </w:rPr>
            </w:pPr>
            <w:r>
              <w:rPr>
                <w:kern w:val="0"/>
                <w:szCs w:val="21"/>
              </w:rPr>
              <w:t>α≤10；或稳定分层</w:t>
            </w:r>
          </w:p>
        </w:tc>
        <w:tc>
          <w:tcPr>
            <w:tcW w:w="1217" w:type="dxa"/>
            <w:vAlign w:val="center"/>
          </w:tcPr>
          <w:p w14:paraId="15AAE125">
            <w:pPr>
              <w:jc w:val="center"/>
              <w:rPr>
                <w:kern w:val="0"/>
                <w:szCs w:val="21"/>
              </w:rPr>
            </w:pPr>
            <w:r>
              <w:rPr>
                <w:kern w:val="0"/>
                <w:szCs w:val="21"/>
              </w:rPr>
              <w:t>β≥20；或完全年调节与多年调节</w:t>
            </w:r>
          </w:p>
        </w:tc>
        <w:tc>
          <w:tcPr>
            <w:tcW w:w="1217" w:type="dxa"/>
            <w:vAlign w:val="center"/>
          </w:tcPr>
          <w:p w14:paraId="578C0CED">
            <w:pPr>
              <w:jc w:val="center"/>
              <w:rPr>
                <w:kern w:val="0"/>
                <w:szCs w:val="21"/>
              </w:rPr>
            </w:pPr>
            <w:r>
              <w:rPr>
                <w:kern w:val="0"/>
                <w:szCs w:val="21"/>
              </w:rPr>
              <w:t>γ≥30</w:t>
            </w:r>
          </w:p>
        </w:tc>
        <w:tc>
          <w:tcPr>
            <w:tcW w:w="1218" w:type="dxa"/>
            <w:vAlign w:val="center"/>
          </w:tcPr>
          <w:p w14:paraId="32D8BAB0">
            <w:pPr>
              <w:jc w:val="center"/>
              <w:rPr>
                <w:kern w:val="0"/>
                <w:szCs w:val="21"/>
              </w:rPr>
            </w:pPr>
            <w:r>
              <w:rPr>
                <w:kern w:val="0"/>
                <w:szCs w:val="21"/>
              </w:rPr>
              <w:t>A</w:t>
            </w:r>
            <w:r>
              <w:rPr>
                <w:kern w:val="0"/>
                <w:szCs w:val="21"/>
                <w:vertAlign w:val="subscript"/>
              </w:rPr>
              <w:t>1</w:t>
            </w:r>
            <w:r>
              <w:rPr>
                <w:kern w:val="0"/>
                <w:szCs w:val="21"/>
              </w:rPr>
              <w:t>≥0.3；或A</w:t>
            </w:r>
            <w:r>
              <w:rPr>
                <w:kern w:val="0"/>
                <w:szCs w:val="21"/>
                <w:vertAlign w:val="subscript"/>
              </w:rPr>
              <w:t>2</w:t>
            </w:r>
            <w:r>
              <w:rPr>
                <w:kern w:val="0"/>
                <w:szCs w:val="21"/>
              </w:rPr>
              <w:t>≥1.5；或R≥10</w:t>
            </w:r>
          </w:p>
        </w:tc>
        <w:tc>
          <w:tcPr>
            <w:tcW w:w="1218" w:type="dxa"/>
            <w:vAlign w:val="center"/>
          </w:tcPr>
          <w:p w14:paraId="3F7EBC91">
            <w:pPr>
              <w:jc w:val="center"/>
              <w:rPr>
                <w:kern w:val="0"/>
                <w:szCs w:val="21"/>
              </w:rPr>
            </w:pPr>
            <w:r>
              <w:rPr>
                <w:kern w:val="0"/>
                <w:szCs w:val="21"/>
              </w:rPr>
              <w:t>A</w:t>
            </w:r>
            <w:r>
              <w:rPr>
                <w:kern w:val="0"/>
                <w:szCs w:val="21"/>
                <w:vertAlign w:val="subscript"/>
              </w:rPr>
              <w:t>1</w:t>
            </w:r>
            <w:r>
              <w:rPr>
                <w:kern w:val="0"/>
                <w:szCs w:val="21"/>
              </w:rPr>
              <w:t>≥0.3；或A</w:t>
            </w:r>
            <w:r>
              <w:rPr>
                <w:kern w:val="0"/>
                <w:szCs w:val="21"/>
                <w:vertAlign w:val="subscript"/>
              </w:rPr>
              <w:t>2</w:t>
            </w:r>
            <w:r>
              <w:rPr>
                <w:kern w:val="0"/>
                <w:szCs w:val="21"/>
              </w:rPr>
              <w:t>≥1.5；或R≥20</w:t>
            </w:r>
          </w:p>
        </w:tc>
        <w:tc>
          <w:tcPr>
            <w:tcW w:w="1218" w:type="dxa"/>
            <w:vAlign w:val="center"/>
          </w:tcPr>
          <w:p w14:paraId="7C14DD37">
            <w:pPr>
              <w:jc w:val="center"/>
              <w:rPr>
                <w:kern w:val="0"/>
                <w:szCs w:val="21"/>
              </w:rPr>
            </w:pPr>
            <w:r>
              <w:rPr>
                <w:kern w:val="0"/>
                <w:szCs w:val="21"/>
              </w:rPr>
              <w:t>A</w:t>
            </w:r>
            <w:r>
              <w:rPr>
                <w:kern w:val="0"/>
                <w:szCs w:val="21"/>
                <w:vertAlign w:val="subscript"/>
              </w:rPr>
              <w:t>1</w:t>
            </w:r>
            <w:r>
              <w:rPr>
                <w:kern w:val="0"/>
                <w:szCs w:val="21"/>
              </w:rPr>
              <w:t>≥0.5；或A</w:t>
            </w:r>
            <w:r>
              <w:rPr>
                <w:kern w:val="0"/>
                <w:szCs w:val="21"/>
                <w:vertAlign w:val="subscript"/>
              </w:rPr>
              <w:t>2</w:t>
            </w:r>
            <w:r>
              <w:rPr>
                <w:kern w:val="0"/>
                <w:szCs w:val="21"/>
              </w:rPr>
              <w:t>≥3</w:t>
            </w:r>
          </w:p>
        </w:tc>
      </w:tr>
      <w:tr w14:paraId="02A84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Align w:val="center"/>
          </w:tcPr>
          <w:p w14:paraId="4E5C1579">
            <w:pPr>
              <w:jc w:val="center"/>
              <w:rPr>
                <w:kern w:val="0"/>
                <w:szCs w:val="21"/>
              </w:rPr>
            </w:pPr>
            <w:r>
              <w:rPr>
                <w:kern w:val="0"/>
                <w:szCs w:val="21"/>
              </w:rPr>
              <w:t>二级</w:t>
            </w:r>
          </w:p>
        </w:tc>
        <w:tc>
          <w:tcPr>
            <w:tcW w:w="1720" w:type="dxa"/>
            <w:vAlign w:val="center"/>
          </w:tcPr>
          <w:p w14:paraId="3DB0B500">
            <w:pPr>
              <w:jc w:val="center"/>
              <w:rPr>
                <w:kern w:val="0"/>
                <w:szCs w:val="21"/>
              </w:rPr>
            </w:pPr>
            <w:r>
              <w:rPr>
                <w:rFonts w:eastAsia="TimesNewRomanPSMT"/>
                <w:kern w:val="0"/>
                <w:szCs w:val="21"/>
              </w:rPr>
              <w:t>20</w:t>
            </w:r>
            <w:r>
              <w:rPr>
                <w:kern w:val="0"/>
                <w:szCs w:val="21"/>
              </w:rPr>
              <w:t>＞α大于</w:t>
            </w:r>
            <w:r>
              <w:rPr>
                <w:rFonts w:eastAsia="TimesNewRomanPSMT"/>
                <w:kern w:val="0"/>
                <w:szCs w:val="21"/>
              </w:rPr>
              <w:t>10</w:t>
            </w:r>
            <w:r>
              <w:rPr>
                <w:kern w:val="0"/>
                <w:szCs w:val="21"/>
              </w:rPr>
              <w:t>；或不稳定分层</w:t>
            </w:r>
          </w:p>
        </w:tc>
        <w:tc>
          <w:tcPr>
            <w:tcW w:w="1217" w:type="dxa"/>
            <w:vAlign w:val="center"/>
          </w:tcPr>
          <w:p w14:paraId="3F1C8602">
            <w:pPr>
              <w:jc w:val="center"/>
              <w:rPr>
                <w:kern w:val="0"/>
                <w:szCs w:val="21"/>
              </w:rPr>
            </w:pPr>
            <w:r>
              <w:rPr>
                <w:rFonts w:eastAsia="TimesNewRomanPSMT"/>
                <w:kern w:val="0"/>
                <w:szCs w:val="21"/>
              </w:rPr>
              <w:t>20</w:t>
            </w:r>
            <w:r>
              <w:rPr>
                <w:kern w:val="0"/>
                <w:szCs w:val="21"/>
              </w:rPr>
              <w:t>＞β＞</w:t>
            </w:r>
            <w:r>
              <w:rPr>
                <w:rFonts w:eastAsia="TimesNewRomanPSMT"/>
                <w:kern w:val="0"/>
                <w:szCs w:val="21"/>
              </w:rPr>
              <w:t>2</w:t>
            </w:r>
            <w:r>
              <w:rPr>
                <w:kern w:val="0"/>
                <w:szCs w:val="21"/>
              </w:rPr>
              <w:t>；或季调节与不完全年调节</w:t>
            </w:r>
          </w:p>
        </w:tc>
        <w:tc>
          <w:tcPr>
            <w:tcW w:w="1217" w:type="dxa"/>
            <w:vAlign w:val="center"/>
          </w:tcPr>
          <w:p w14:paraId="444DDFBB">
            <w:pPr>
              <w:jc w:val="center"/>
              <w:rPr>
                <w:kern w:val="0"/>
                <w:szCs w:val="21"/>
              </w:rPr>
            </w:pPr>
            <w:r>
              <w:rPr>
                <w:rFonts w:eastAsia="TimesNewRomanPSMT"/>
                <w:kern w:val="0"/>
                <w:szCs w:val="21"/>
              </w:rPr>
              <w:t>30</w:t>
            </w:r>
            <w:r>
              <w:rPr>
                <w:kern w:val="0"/>
                <w:szCs w:val="21"/>
              </w:rPr>
              <w:t>＞γ＞</w:t>
            </w:r>
            <w:r>
              <w:rPr>
                <w:rFonts w:eastAsia="TimesNewRomanPSMT"/>
                <w:kern w:val="0"/>
                <w:szCs w:val="21"/>
              </w:rPr>
              <w:t>10</w:t>
            </w:r>
          </w:p>
        </w:tc>
        <w:tc>
          <w:tcPr>
            <w:tcW w:w="1218" w:type="dxa"/>
            <w:vAlign w:val="center"/>
          </w:tcPr>
          <w:p w14:paraId="7A8CDD13">
            <w:pPr>
              <w:jc w:val="center"/>
              <w:rPr>
                <w:kern w:val="0"/>
                <w:szCs w:val="21"/>
              </w:rPr>
            </w:pPr>
            <w:r>
              <w:rPr>
                <w:rFonts w:eastAsia="TimesNewRomanPS-BoldMT"/>
                <w:kern w:val="0"/>
                <w:szCs w:val="21"/>
              </w:rPr>
              <w:t>0.3</w:t>
            </w:r>
            <w:r>
              <w:rPr>
                <w:kern w:val="0"/>
                <w:szCs w:val="21"/>
              </w:rPr>
              <w:t>＞</w:t>
            </w:r>
            <w:r>
              <w:rPr>
                <w:rFonts w:eastAsia="TimesNewRomanPS-BoldMT"/>
                <w:kern w:val="0"/>
                <w:szCs w:val="21"/>
              </w:rPr>
              <w:t>A1</w:t>
            </w:r>
            <w:r>
              <w:rPr>
                <w:kern w:val="0"/>
                <w:szCs w:val="21"/>
              </w:rPr>
              <w:t>＞</w:t>
            </w:r>
            <w:r>
              <w:rPr>
                <w:rFonts w:eastAsia="TimesNewRomanPS-BoldMT"/>
                <w:kern w:val="0"/>
                <w:szCs w:val="21"/>
              </w:rPr>
              <w:t>0.05</w:t>
            </w:r>
            <w:r>
              <w:rPr>
                <w:kern w:val="0"/>
                <w:szCs w:val="21"/>
              </w:rPr>
              <w:t>；或</w:t>
            </w:r>
            <w:r>
              <w:rPr>
                <w:rFonts w:eastAsia="TimesNewRomanPS-BoldMT"/>
                <w:kern w:val="0"/>
                <w:szCs w:val="21"/>
              </w:rPr>
              <w:t>1.5</w:t>
            </w:r>
            <w:r>
              <w:rPr>
                <w:kern w:val="0"/>
                <w:szCs w:val="21"/>
              </w:rPr>
              <w:t>＞</w:t>
            </w:r>
            <w:r>
              <w:rPr>
                <w:rFonts w:eastAsia="TimesNewRomanPS-BoldMT"/>
                <w:kern w:val="0"/>
                <w:szCs w:val="21"/>
              </w:rPr>
              <w:t>A2</w:t>
            </w:r>
            <w:r>
              <w:rPr>
                <w:kern w:val="0"/>
                <w:szCs w:val="21"/>
              </w:rPr>
              <w:t>＞</w:t>
            </w:r>
            <w:r>
              <w:rPr>
                <w:rFonts w:eastAsia="TimesNewRomanPS-BoldMT"/>
                <w:kern w:val="0"/>
                <w:szCs w:val="21"/>
              </w:rPr>
              <w:t>0.2</w:t>
            </w:r>
            <w:r>
              <w:rPr>
                <w:kern w:val="0"/>
                <w:szCs w:val="21"/>
              </w:rPr>
              <w:t>；或</w:t>
            </w:r>
            <w:r>
              <w:rPr>
                <w:rFonts w:eastAsia="TimesNewRomanPS-BoldMT"/>
                <w:kern w:val="0"/>
                <w:szCs w:val="21"/>
              </w:rPr>
              <w:t>10</w:t>
            </w:r>
            <w:r>
              <w:rPr>
                <w:kern w:val="0"/>
                <w:szCs w:val="21"/>
              </w:rPr>
              <w:t>＞</w:t>
            </w:r>
            <w:r>
              <w:rPr>
                <w:rFonts w:eastAsia="TimesNewRomanPS-BoldMT"/>
                <w:kern w:val="0"/>
                <w:szCs w:val="21"/>
              </w:rPr>
              <w:t>R</w:t>
            </w:r>
            <w:r>
              <w:rPr>
                <w:kern w:val="0"/>
                <w:szCs w:val="21"/>
              </w:rPr>
              <w:t>＞</w:t>
            </w:r>
            <w:r>
              <w:rPr>
                <w:rFonts w:eastAsia="TimesNewRomanPS-BoldMT"/>
                <w:kern w:val="0"/>
                <w:szCs w:val="21"/>
              </w:rPr>
              <w:t>5</w:t>
            </w:r>
          </w:p>
        </w:tc>
        <w:tc>
          <w:tcPr>
            <w:tcW w:w="1218" w:type="dxa"/>
            <w:vAlign w:val="center"/>
          </w:tcPr>
          <w:p w14:paraId="090A216F">
            <w:pPr>
              <w:jc w:val="center"/>
              <w:rPr>
                <w:kern w:val="0"/>
                <w:szCs w:val="21"/>
              </w:rPr>
            </w:pPr>
            <w:r>
              <w:rPr>
                <w:rFonts w:eastAsia="TimesNewRomanPSMT"/>
                <w:kern w:val="0"/>
                <w:szCs w:val="21"/>
              </w:rPr>
              <w:t>0.3</w:t>
            </w:r>
            <w:r>
              <w:rPr>
                <w:kern w:val="0"/>
                <w:szCs w:val="21"/>
              </w:rPr>
              <w:t>＞</w:t>
            </w:r>
            <w:r>
              <w:rPr>
                <w:rFonts w:eastAsia="TimesNewRomanPSMT"/>
                <w:kern w:val="0"/>
                <w:szCs w:val="21"/>
              </w:rPr>
              <w:t>A1</w:t>
            </w:r>
            <w:r>
              <w:rPr>
                <w:kern w:val="0"/>
                <w:szCs w:val="21"/>
              </w:rPr>
              <w:t>＞</w:t>
            </w:r>
            <w:r>
              <w:rPr>
                <w:rFonts w:eastAsia="TimesNewRomanPSMT"/>
                <w:kern w:val="0"/>
                <w:szCs w:val="21"/>
              </w:rPr>
              <w:t>0.05</w:t>
            </w:r>
            <w:r>
              <w:rPr>
                <w:kern w:val="0"/>
                <w:szCs w:val="21"/>
              </w:rPr>
              <w:t>；或</w:t>
            </w:r>
            <w:r>
              <w:rPr>
                <w:rFonts w:eastAsia="TimesNewRomanPSMT"/>
                <w:kern w:val="0"/>
                <w:szCs w:val="21"/>
              </w:rPr>
              <w:t>1.5</w:t>
            </w:r>
            <w:r>
              <w:rPr>
                <w:kern w:val="0"/>
                <w:szCs w:val="21"/>
              </w:rPr>
              <w:t>＞</w:t>
            </w:r>
            <w:r>
              <w:rPr>
                <w:rFonts w:eastAsia="TimesNewRomanPSMT"/>
                <w:kern w:val="0"/>
                <w:szCs w:val="21"/>
              </w:rPr>
              <w:t>A2</w:t>
            </w:r>
            <w:r>
              <w:rPr>
                <w:kern w:val="0"/>
                <w:szCs w:val="21"/>
              </w:rPr>
              <w:t>＞</w:t>
            </w:r>
            <w:r>
              <w:rPr>
                <w:rFonts w:eastAsia="TimesNewRomanPSMT"/>
                <w:kern w:val="0"/>
                <w:szCs w:val="21"/>
              </w:rPr>
              <w:t>0.2</w:t>
            </w:r>
            <w:r>
              <w:rPr>
                <w:kern w:val="0"/>
                <w:szCs w:val="21"/>
              </w:rPr>
              <w:t>；或</w:t>
            </w:r>
            <w:r>
              <w:rPr>
                <w:rFonts w:eastAsia="TimesNewRomanPSMT"/>
                <w:kern w:val="0"/>
                <w:szCs w:val="21"/>
              </w:rPr>
              <w:t>20</w:t>
            </w:r>
            <w:r>
              <w:rPr>
                <w:kern w:val="0"/>
                <w:szCs w:val="21"/>
              </w:rPr>
              <w:t>＞</w:t>
            </w:r>
            <w:r>
              <w:rPr>
                <w:rFonts w:eastAsia="TimesNewRomanPSMT"/>
                <w:kern w:val="0"/>
                <w:szCs w:val="21"/>
              </w:rPr>
              <w:t>R</w:t>
            </w:r>
            <w:r>
              <w:rPr>
                <w:kern w:val="0"/>
                <w:szCs w:val="21"/>
              </w:rPr>
              <w:t>＞</w:t>
            </w:r>
            <w:r>
              <w:rPr>
                <w:rFonts w:eastAsia="TimesNewRomanPSMT"/>
                <w:kern w:val="0"/>
                <w:szCs w:val="21"/>
              </w:rPr>
              <w:t>5</w:t>
            </w:r>
          </w:p>
        </w:tc>
        <w:tc>
          <w:tcPr>
            <w:tcW w:w="1218" w:type="dxa"/>
            <w:vAlign w:val="center"/>
          </w:tcPr>
          <w:p w14:paraId="64B158CB">
            <w:pPr>
              <w:jc w:val="center"/>
              <w:rPr>
                <w:kern w:val="0"/>
                <w:szCs w:val="21"/>
              </w:rPr>
            </w:pPr>
            <w:r>
              <w:rPr>
                <w:rFonts w:eastAsia="TimesNewRomanPSMT"/>
                <w:kern w:val="0"/>
                <w:szCs w:val="21"/>
              </w:rPr>
              <w:t>0.5</w:t>
            </w:r>
            <w:r>
              <w:rPr>
                <w:kern w:val="0"/>
                <w:szCs w:val="21"/>
              </w:rPr>
              <w:t>＞</w:t>
            </w:r>
            <w:r>
              <w:rPr>
                <w:rFonts w:eastAsia="TimesNewRomanPSMT"/>
                <w:kern w:val="0"/>
                <w:szCs w:val="21"/>
              </w:rPr>
              <w:t>A1</w:t>
            </w:r>
            <w:r>
              <w:rPr>
                <w:kern w:val="0"/>
                <w:szCs w:val="21"/>
              </w:rPr>
              <w:t>＞</w:t>
            </w:r>
            <w:r>
              <w:rPr>
                <w:rFonts w:eastAsia="TimesNewRomanPSMT"/>
                <w:kern w:val="0"/>
                <w:szCs w:val="21"/>
              </w:rPr>
              <w:t>0.15</w:t>
            </w:r>
            <w:r>
              <w:rPr>
                <w:kern w:val="0"/>
                <w:szCs w:val="21"/>
              </w:rPr>
              <w:t>；或</w:t>
            </w:r>
            <w:r>
              <w:rPr>
                <w:rFonts w:eastAsia="TimesNewRomanPSMT"/>
                <w:kern w:val="0"/>
                <w:szCs w:val="21"/>
              </w:rPr>
              <w:t>3</w:t>
            </w:r>
            <w:r>
              <w:rPr>
                <w:kern w:val="0"/>
                <w:szCs w:val="21"/>
              </w:rPr>
              <w:t>＞</w:t>
            </w:r>
            <w:r>
              <w:rPr>
                <w:rFonts w:eastAsia="TimesNewRomanPSMT"/>
                <w:kern w:val="0"/>
                <w:szCs w:val="21"/>
              </w:rPr>
              <w:t>A2</w:t>
            </w:r>
            <w:r>
              <w:rPr>
                <w:kern w:val="0"/>
                <w:szCs w:val="21"/>
              </w:rPr>
              <w:t>＞</w:t>
            </w:r>
            <w:r>
              <w:rPr>
                <w:rFonts w:eastAsia="TimesNewRomanPSMT"/>
                <w:kern w:val="0"/>
                <w:szCs w:val="21"/>
              </w:rPr>
              <w:t>0.5</w:t>
            </w:r>
          </w:p>
        </w:tc>
      </w:tr>
      <w:tr w14:paraId="2B358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Align w:val="center"/>
          </w:tcPr>
          <w:p w14:paraId="0D240016">
            <w:pPr>
              <w:jc w:val="center"/>
              <w:rPr>
                <w:kern w:val="0"/>
                <w:szCs w:val="21"/>
              </w:rPr>
            </w:pPr>
            <w:r>
              <w:rPr>
                <w:kern w:val="0"/>
                <w:szCs w:val="21"/>
              </w:rPr>
              <w:t>三级</w:t>
            </w:r>
          </w:p>
        </w:tc>
        <w:tc>
          <w:tcPr>
            <w:tcW w:w="1720" w:type="dxa"/>
            <w:vAlign w:val="center"/>
          </w:tcPr>
          <w:p w14:paraId="392411D4">
            <w:pPr>
              <w:jc w:val="center"/>
              <w:rPr>
                <w:kern w:val="0"/>
                <w:szCs w:val="21"/>
              </w:rPr>
            </w:pPr>
            <w:r>
              <w:rPr>
                <w:kern w:val="0"/>
                <w:szCs w:val="21"/>
              </w:rPr>
              <w:t>α≥</w:t>
            </w:r>
            <w:r>
              <w:rPr>
                <w:rFonts w:eastAsia="TimesNewRomanPSMT"/>
                <w:kern w:val="0"/>
                <w:szCs w:val="21"/>
              </w:rPr>
              <w:t>20</w:t>
            </w:r>
            <w:r>
              <w:rPr>
                <w:kern w:val="0"/>
                <w:szCs w:val="21"/>
              </w:rPr>
              <w:t>；或混合型</w:t>
            </w:r>
          </w:p>
        </w:tc>
        <w:tc>
          <w:tcPr>
            <w:tcW w:w="1217" w:type="dxa"/>
            <w:vAlign w:val="center"/>
          </w:tcPr>
          <w:p w14:paraId="37CCC793">
            <w:pPr>
              <w:jc w:val="center"/>
              <w:rPr>
                <w:kern w:val="0"/>
                <w:szCs w:val="21"/>
              </w:rPr>
            </w:pPr>
            <w:r>
              <w:rPr>
                <w:kern w:val="0"/>
                <w:szCs w:val="21"/>
              </w:rPr>
              <w:t>β≤</w:t>
            </w:r>
            <w:r>
              <w:rPr>
                <w:rFonts w:eastAsia="TimesNewRomanPSMT"/>
                <w:kern w:val="0"/>
                <w:szCs w:val="21"/>
              </w:rPr>
              <w:t>2</w:t>
            </w:r>
            <w:r>
              <w:rPr>
                <w:kern w:val="0"/>
                <w:szCs w:val="21"/>
              </w:rPr>
              <w:t>；或无调节</w:t>
            </w:r>
          </w:p>
        </w:tc>
        <w:tc>
          <w:tcPr>
            <w:tcW w:w="1217" w:type="dxa"/>
            <w:vAlign w:val="center"/>
          </w:tcPr>
          <w:p w14:paraId="46112D97">
            <w:pPr>
              <w:jc w:val="center"/>
              <w:rPr>
                <w:kern w:val="0"/>
                <w:szCs w:val="21"/>
              </w:rPr>
            </w:pPr>
            <w:r>
              <w:rPr>
                <w:kern w:val="0"/>
                <w:szCs w:val="21"/>
              </w:rPr>
              <w:t>γ≤</w:t>
            </w:r>
            <w:r>
              <w:rPr>
                <w:rFonts w:eastAsia="TimesNewRomanPSMT"/>
                <w:kern w:val="0"/>
                <w:szCs w:val="21"/>
              </w:rPr>
              <w:t>10</w:t>
            </w:r>
          </w:p>
        </w:tc>
        <w:tc>
          <w:tcPr>
            <w:tcW w:w="1218" w:type="dxa"/>
            <w:vAlign w:val="center"/>
          </w:tcPr>
          <w:p w14:paraId="1C0ED5DF">
            <w:pPr>
              <w:jc w:val="center"/>
              <w:rPr>
                <w:kern w:val="0"/>
                <w:szCs w:val="21"/>
              </w:rPr>
            </w:pPr>
            <w:r>
              <w:rPr>
                <w:rFonts w:eastAsia="TimesNewRomanPSMT"/>
                <w:kern w:val="0"/>
                <w:szCs w:val="21"/>
              </w:rPr>
              <w:t>A1</w:t>
            </w:r>
            <w:r>
              <w:rPr>
                <w:kern w:val="0"/>
                <w:szCs w:val="21"/>
              </w:rPr>
              <w:t>≤</w:t>
            </w:r>
            <w:r>
              <w:rPr>
                <w:rFonts w:eastAsia="TimesNewRomanPSMT"/>
                <w:kern w:val="0"/>
                <w:szCs w:val="21"/>
              </w:rPr>
              <w:t>0.05</w:t>
            </w:r>
            <w:r>
              <w:rPr>
                <w:kern w:val="0"/>
                <w:szCs w:val="21"/>
              </w:rPr>
              <w:t>；或</w:t>
            </w:r>
            <w:r>
              <w:rPr>
                <w:rFonts w:eastAsia="TimesNewRomanPSMT"/>
                <w:kern w:val="0"/>
                <w:szCs w:val="21"/>
              </w:rPr>
              <w:t>A2</w:t>
            </w:r>
            <w:r>
              <w:rPr>
                <w:kern w:val="0"/>
                <w:szCs w:val="21"/>
              </w:rPr>
              <w:t>≤</w:t>
            </w:r>
            <w:r>
              <w:rPr>
                <w:rFonts w:eastAsia="TimesNewRomanPSMT"/>
                <w:kern w:val="0"/>
                <w:szCs w:val="21"/>
              </w:rPr>
              <w:t>0.2</w:t>
            </w:r>
            <w:r>
              <w:rPr>
                <w:kern w:val="0"/>
                <w:szCs w:val="21"/>
              </w:rPr>
              <w:t>；或</w:t>
            </w:r>
            <w:r>
              <w:rPr>
                <w:rFonts w:eastAsia="TimesNewRomanPSMT"/>
                <w:kern w:val="0"/>
                <w:szCs w:val="21"/>
              </w:rPr>
              <w:t>R</w:t>
            </w:r>
            <w:r>
              <w:rPr>
                <w:kern w:val="0"/>
                <w:szCs w:val="21"/>
              </w:rPr>
              <w:t>≤</w:t>
            </w:r>
            <w:r>
              <w:rPr>
                <w:rFonts w:eastAsia="TimesNewRomanPSMT"/>
                <w:kern w:val="0"/>
                <w:szCs w:val="21"/>
              </w:rPr>
              <w:t>5</w:t>
            </w:r>
          </w:p>
        </w:tc>
        <w:tc>
          <w:tcPr>
            <w:tcW w:w="1218" w:type="dxa"/>
            <w:vAlign w:val="center"/>
          </w:tcPr>
          <w:p w14:paraId="002F8197">
            <w:pPr>
              <w:jc w:val="center"/>
              <w:rPr>
                <w:kern w:val="0"/>
                <w:szCs w:val="21"/>
              </w:rPr>
            </w:pPr>
            <w:r>
              <w:rPr>
                <w:rFonts w:eastAsia="TimesNewRomanPSMT"/>
                <w:kern w:val="0"/>
                <w:szCs w:val="21"/>
              </w:rPr>
              <w:t>A1</w:t>
            </w:r>
            <w:r>
              <w:rPr>
                <w:kern w:val="0"/>
                <w:szCs w:val="21"/>
              </w:rPr>
              <w:t>≤</w:t>
            </w:r>
            <w:r>
              <w:rPr>
                <w:rFonts w:eastAsia="TimesNewRomanPSMT"/>
                <w:kern w:val="0"/>
                <w:szCs w:val="21"/>
              </w:rPr>
              <w:t>0.05</w:t>
            </w:r>
            <w:r>
              <w:rPr>
                <w:kern w:val="0"/>
                <w:szCs w:val="21"/>
              </w:rPr>
              <w:t>；或</w:t>
            </w:r>
            <w:r>
              <w:rPr>
                <w:rFonts w:eastAsia="TimesNewRomanPSMT"/>
                <w:kern w:val="0"/>
                <w:szCs w:val="21"/>
              </w:rPr>
              <w:t>A2</w:t>
            </w:r>
            <w:r>
              <w:rPr>
                <w:kern w:val="0"/>
                <w:szCs w:val="21"/>
              </w:rPr>
              <w:t>≤</w:t>
            </w:r>
            <w:r>
              <w:rPr>
                <w:rFonts w:eastAsia="TimesNewRomanPSMT"/>
                <w:kern w:val="0"/>
                <w:szCs w:val="21"/>
              </w:rPr>
              <w:t>0.2</w:t>
            </w:r>
            <w:r>
              <w:rPr>
                <w:kern w:val="0"/>
                <w:szCs w:val="21"/>
              </w:rPr>
              <w:t>；或</w:t>
            </w:r>
            <w:r>
              <w:rPr>
                <w:rFonts w:eastAsia="TimesNewRomanPSMT"/>
                <w:kern w:val="0"/>
                <w:szCs w:val="21"/>
              </w:rPr>
              <w:t>R</w:t>
            </w:r>
            <w:r>
              <w:rPr>
                <w:kern w:val="0"/>
                <w:szCs w:val="21"/>
              </w:rPr>
              <w:t>≤</w:t>
            </w:r>
            <w:r>
              <w:rPr>
                <w:rFonts w:eastAsia="TimesNewRomanPSMT"/>
                <w:kern w:val="0"/>
                <w:szCs w:val="21"/>
              </w:rPr>
              <w:t>5</w:t>
            </w:r>
          </w:p>
        </w:tc>
        <w:tc>
          <w:tcPr>
            <w:tcW w:w="1218" w:type="dxa"/>
            <w:vAlign w:val="center"/>
          </w:tcPr>
          <w:p w14:paraId="398B2C76">
            <w:pPr>
              <w:jc w:val="center"/>
              <w:rPr>
                <w:kern w:val="0"/>
                <w:szCs w:val="21"/>
              </w:rPr>
            </w:pPr>
            <w:r>
              <w:rPr>
                <w:rFonts w:eastAsia="TimesNewRomanPSMT"/>
                <w:kern w:val="0"/>
                <w:szCs w:val="21"/>
              </w:rPr>
              <w:t>A1</w:t>
            </w:r>
            <w:r>
              <w:rPr>
                <w:kern w:val="0"/>
                <w:szCs w:val="21"/>
              </w:rPr>
              <w:t>≤</w:t>
            </w:r>
            <w:r>
              <w:rPr>
                <w:rFonts w:eastAsia="TimesNewRomanPSMT"/>
                <w:kern w:val="0"/>
                <w:szCs w:val="21"/>
              </w:rPr>
              <w:t>0.15</w:t>
            </w:r>
            <w:r>
              <w:rPr>
                <w:kern w:val="0"/>
                <w:szCs w:val="21"/>
              </w:rPr>
              <w:t>；或</w:t>
            </w:r>
            <w:r>
              <w:rPr>
                <w:rFonts w:eastAsia="TimesNewRomanPSMT"/>
                <w:kern w:val="0"/>
                <w:szCs w:val="21"/>
              </w:rPr>
              <w:t>A2</w:t>
            </w:r>
            <w:r>
              <w:rPr>
                <w:kern w:val="0"/>
                <w:szCs w:val="21"/>
              </w:rPr>
              <w:t>≤</w:t>
            </w:r>
            <w:r>
              <w:rPr>
                <w:rFonts w:eastAsia="TimesNewRomanPSMT"/>
                <w:kern w:val="0"/>
                <w:szCs w:val="21"/>
              </w:rPr>
              <w:t>0.5</w:t>
            </w:r>
          </w:p>
        </w:tc>
      </w:tr>
      <w:tr w14:paraId="1001B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7"/>
            <w:vAlign w:val="center"/>
          </w:tcPr>
          <w:p w14:paraId="3F14351B">
            <w:pPr>
              <w:jc w:val="left"/>
              <w:rPr>
                <w:kern w:val="0"/>
                <w:szCs w:val="21"/>
              </w:rPr>
            </w:pPr>
            <w:r>
              <w:rPr>
                <w:kern w:val="0"/>
                <w:szCs w:val="21"/>
              </w:rPr>
              <w:t>注1：影响范围涉及饮用水水源保护区、重点保护与珍稀水生生物的栖息地、重要水生生物的自然产卵场、自然保护区等保护目标，评价等级应不低于二级。</w:t>
            </w:r>
          </w:p>
          <w:p w14:paraId="05462441">
            <w:pPr>
              <w:jc w:val="left"/>
              <w:rPr>
                <w:kern w:val="0"/>
                <w:szCs w:val="21"/>
              </w:rPr>
            </w:pPr>
            <w:r>
              <w:rPr>
                <w:kern w:val="0"/>
                <w:szCs w:val="21"/>
              </w:rPr>
              <w:t>注2：跨流域调水、引水式电站、可能受到河流感潮河段影响，评价等级不低于二级。</w:t>
            </w:r>
          </w:p>
          <w:p w14:paraId="6EE9841D">
            <w:pPr>
              <w:jc w:val="left"/>
              <w:rPr>
                <w:kern w:val="0"/>
                <w:szCs w:val="21"/>
              </w:rPr>
            </w:pPr>
            <w:r>
              <w:rPr>
                <w:kern w:val="0"/>
                <w:szCs w:val="21"/>
              </w:rPr>
              <w:t>注3：造成入海河口（湾口）宽度束窄（束窄尺度达到原宽度的5%以上），评价等级应不低于二级。</w:t>
            </w:r>
          </w:p>
          <w:p w14:paraId="0F7E36B6">
            <w:pPr>
              <w:jc w:val="left"/>
              <w:rPr>
                <w:kern w:val="0"/>
                <w:szCs w:val="21"/>
              </w:rPr>
            </w:pPr>
            <w:r>
              <w:rPr>
                <w:kern w:val="0"/>
                <w:szCs w:val="21"/>
              </w:rPr>
              <w:t>注4：对不透水的单方向建筑尺度较长的水工建筑物（如防波堤、导流堤等），其与潮流或水流主流向切线垂直方向投影长度大于2km时，评价等级应不低于二级。</w:t>
            </w:r>
          </w:p>
          <w:p w14:paraId="7805A66D">
            <w:pPr>
              <w:jc w:val="left"/>
              <w:rPr>
                <w:kern w:val="0"/>
                <w:szCs w:val="21"/>
              </w:rPr>
            </w:pPr>
            <w:r>
              <w:rPr>
                <w:kern w:val="0"/>
                <w:szCs w:val="21"/>
              </w:rPr>
              <w:t>注5：允许在一类海域建设的项目，评价等级为一级。</w:t>
            </w:r>
          </w:p>
          <w:p w14:paraId="0BCE9A4A">
            <w:pPr>
              <w:jc w:val="left"/>
              <w:rPr>
                <w:kern w:val="0"/>
                <w:szCs w:val="21"/>
              </w:rPr>
            </w:pPr>
            <w:r>
              <w:rPr>
                <w:kern w:val="0"/>
                <w:szCs w:val="21"/>
              </w:rPr>
              <w:t>注6：同时存在多个水文要素影响的建设项目，分别判定各水文要素影响评价等级，并取其中最高等级作为水文要素影响型建设项目评价等级。</w:t>
            </w:r>
          </w:p>
        </w:tc>
      </w:tr>
    </w:tbl>
    <w:p w14:paraId="69BAE9D3">
      <w:pPr>
        <w:pStyle w:val="85"/>
        <w:ind w:firstLine="480"/>
        <w:rPr>
          <w:kern w:val="0"/>
        </w:rPr>
      </w:pPr>
      <w:r>
        <w:rPr>
          <w:kern w:val="0"/>
        </w:rPr>
        <w:t>拟建项目为河湖整治项目，对水温无影响；施工期通过分段施工、围堰施工的措施分流河道，对径流几乎不产生影响；运营期不涉及等级判定中的</w:t>
      </w:r>
      <w:bookmarkStart w:id="31" w:name="OLE_LINK21"/>
      <w:r>
        <w:rPr>
          <w:kern w:val="0"/>
        </w:rPr>
        <w:t>兴利库容与取水，故不再判定径流影响</w:t>
      </w:r>
      <w:bookmarkEnd w:id="31"/>
      <w:r>
        <w:rPr>
          <w:kern w:val="0"/>
        </w:rPr>
        <w:t>；本次仅根据项目对受影响地表水域进行判定。</w:t>
      </w:r>
    </w:p>
    <w:p w14:paraId="3E7631CC">
      <w:pPr>
        <w:pStyle w:val="85"/>
        <w:ind w:firstLine="480"/>
        <w:rPr>
          <w:kern w:val="0"/>
        </w:rPr>
      </w:pPr>
      <w:r>
        <w:rPr>
          <w:rFonts w:hint="eastAsia"/>
          <w:kern w:val="0"/>
        </w:rPr>
        <w:t>受影响</w:t>
      </w:r>
      <w:r>
        <w:rPr>
          <w:kern w:val="0"/>
        </w:rPr>
        <w:t>地表</w:t>
      </w:r>
      <w:r>
        <w:rPr>
          <w:rFonts w:hint="eastAsia"/>
          <w:kern w:val="0"/>
        </w:rPr>
        <w:t>水域</w:t>
      </w:r>
      <w:r>
        <w:rPr>
          <w:kern w:val="0"/>
        </w:rPr>
        <w:t>：</w:t>
      </w:r>
    </w:p>
    <w:p w14:paraId="00102822">
      <w:pPr>
        <w:pStyle w:val="85"/>
        <w:ind w:firstLine="480"/>
        <w:rPr>
          <w:kern w:val="0"/>
        </w:rPr>
      </w:pPr>
      <w:r>
        <w:rPr>
          <w:rFonts w:hint="eastAsia"/>
          <w:kern w:val="0"/>
        </w:rPr>
        <w:t>①工程垂直投影面积及外扩范围</w:t>
      </w:r>
    </w:p>
    <w:p w14:paraId="06556BE0">
      <w:pPr>
        <w:pStyle w:val="85"/>
        <w:ind w:firstLine="480"/>
        <w:rPr>
          <w:kern w:val="0"/>
        </w:rPr>
      </w:pPr>
      <w:r>
        <w:rPr>
          <w:rFonts w:hint="eastAsia"/>
          <w:kern w:val="0"/>
        </w:rPr>
        <w:t>工程完成后，除护坡外，无永久性建（构）筑物，根据工程平面布置，工程护坡面积为0</w:t>
      </w:r>
      <w:r>
        <w:rPr>
          <w:kern w:val="0"/>
        </w:rPr>
        <w:t>.025</w:t>
      </w:r>
      <w:r>
        <w:rPr>
          <w:rFonts w:hint="eastAsia"/>
          <w:kern w:val="0"/>
        </w:rPr>
        <w:t>km</w:t>
      </w:r>
      <w:r>
        <w:rPr>
          <w:kern w:val="0"/>
          <w:vertAlign w:val="superscript"/>
        </w:rPr>
        <w:t>2</w:t>
      </w:r>
      <w:r>
        <w:rPr>
          <w:rFonts w:hint="eastAsia"/>
          <w:kern w:val="0"/>
        </w:rPr>
        <w:t>，即A</w:t>
      </w:r>
      <w:r>
        <w:rPr>
          <w:kern w:val="0"/>
        </w:rPr>
        <w:t>1</w:t>
      </w:r>
      <w:r>
        <w:rPr>
          <w:rFonts w:hint="eastAsia"/>
          <w:kern w:val="0"/>
        </w:rPr>
        <w:t>≤0.</w:t>
      </w:r>
      <w:r>
        <w:rPr>
          <w:kern w:val="0"/>
        </w:rPr>
        <w:t>05</w:t>
      </w:r>
      <w:r>
        <w:rPr>
          <w:rFonts w:hint="eastAsia"/>
          <w:kern w:val="0"/>
        </w:rPr>
        <w:t>km</w:t>
      </w:r>
      <w:r>
        <w:rPr>
          <w:rFonts w:hint="eastAsia"/>
          <w:kern w:val="0"/>
          <w:vertAlign w:val="superscript"/>
        </w:rPr>
        <w:t>2</w:t>
      </w:r>
      <w:r>
        <w:rPr>
          <w:rFonts w:hint="eastAsia"/>
          <w:kern w:val="0"/>
        </w:rPr>
        <w:t>，本项目地表水水文要素影响型评价等级为三级评价。</w:t>
      </w:r>
    </w:p>
    <w:p w14:paraId="12AE1B47">
      <w:pPr>
        <w:pStyle w:val="85"/>
        <w:ind w:firstLine="480"/>
        <w:rPr>
          <w:kern w:val="0"/>
        </w:rPr>
      </w:pPr>
      <w:r>
        <w:rPr>
          <w:rFonts w:hint="eastAsia"/>
          <w:kern w:val="0"/>
        </w:rPr>
        <w:t>②工程扰动水底面积</w:t>
      </w:r>
    </w:p>
    <w:p w14:paraId="7B71882E">
      <w:pPr>
        <w:pStyle w:val="85"/>
        <w:ind w:firstLine="480"/>
        <w:rPr>
          <w:kern w:val="0"/>
        </w:rPr>
      </w:pPr>
      <w:r>
        <w:rPr>
          <w:rFonts w:hint="eastAsia"/>
          <w:kern w:val="0"/>
        </w:rPr>
        <w:t>本</w:t>
      </w:r>
      <w:r>
        <w:rPr>
          <w:kern w:val="0"/>
        </w:rPr>
        <w:t>工程建设内容为</w:t>
      </w:r>
      <w:r>
        <w:rPr>
          <w:rFonts w:hint="eastAsia"/>
          <w:kern w:val="0"/>
        </w:rPr>
        <w:t>河道基底修复及微地形梳理、构建恢复生态缓冲带、水生态构建及水生植物恢复等。</w:t>
      </w:r>
      <w:r>
        <w:rPr>
          <w:kern w:val="0"/>
        </w:rPr>
        <w:t>河道基底修复及微地形梳理、构建恢复生态缓冲带、水生态构建及水生植物恢复等。治理潮河干流长度10.81km，基底修复及微地形梳理10.81km；构建修复生态缓冲带13.83km，陆域植被恢复16.31公顷、水生态构建及水生植物恢复16.49公顷。</w:t>
      </w:r>
    </w:p>
    <w:p w14:paraId="61426E43">
      <w:pPr>
        <w:pStyle w:val="85"/>
        <w:ind w:firstLine="480"/>
        <w:rPr>
          <w:kern w:val="0"/>
        </w:rPr>
      </w:pPr>
      <w:r>
        <w:rPr>
          <w:rFonts w:hint="eastAsia"/>
          <w:kern w:val="0"/>
        </w:rPr>
        <w:t>其中，构建恢复生态缓冲带、水生态构建及水生植物恢复等基本不会对水底产生扰动；仅河道基底修复及微地形梳理可能对水底产生扰动，</w:t>
      </w:r>
      <w:r>
        <w:rPr>
          <w:kern w:val="0"/>
        </w:rPr>
        <w:t>基底修复及微地形梳理10.81km</w:t>
      </w:r>
      <w:r>
        <w:rPr>
          <w:rFonts w:hint="eastAsia"/>
          <w:kern w:val="0"/>
        </w:rPr>
        <w:t>，共0</w:t>
      </w:r>
      <w:r>
        <w:rPr>
          <w:kern w:val="0"/>
        </w:rPr>
        <w:t>.185</w:t>
      </w:r>
      <w:r>
        <w:rPr>
          <w:rFonts w:hint="eastAsia"/>
          <w:kern w:val="0"/>
        </w:rPr>
        <w:t>km</w:t>
      </w:r>
      <w:r>
        <w:rPr>
          <w:kern w:val="0"/>
          <w:vertAlign w:val="superscript"/>
        </w:rPr>
        <w:t>2</w:t>
      </w:r>
      <w:r>
        <w:rPr>
          <w:rFonts w:hint="eastAsia"/>
          <w:kern w:val="0"/>
        </w:rPr>
        <w:t>；按最不利情况考虑扰动水底面积为0</w:t>
      </w:r>
      <w:r>
        <w:rPr>
          <w:kern w:val="0"/>
        </w:rPr>
        <w:t>.185</w:t>
      </w:r>
      <w:r>
        <w:rPr>
          <w:rFonts w:hint="eastAsia"/>
          <w:kern w:val="0"/>
        </w:rPr>
        <w:t>km</w:t>
      </w:r>
      <w:r>
        <w:rPr>
          <w:kern w:val="0"/>
          <w:vertAlign w:val="superscript"/>
        </w:rPr>
        <w:t>2</w:t>
      </w:r>
      <w:r>
        <w:rPr>
          <w:rFonts w:hint="eastAsia"/>
          <w:kern w:val="0"/>
        </w:rPr>
        <w:t>（因河水流量较小，不同季节水面面积会有变化，实际扰动水底面积远低于0</w:t>
      </w:r>
      <w:r>
        <w:rPr>
          <w:kern w:val="0"/>
        </w:rPr>
        <w:t>.185</w:t>
      </w:r>
      <w:r>
        <w:rPr>
          <w:rFonts w:hint="eastAsia"/>
          <w:kern w:val="0"/>
        </w:rPr>
        <w:t>km</w:t>
      </w:r>
      <w:r>
        <w:rPr>
          <w:kern w:val="0"/>
          <w:vertAlign w:val="superscript"/>
        </w:rPr>
        <w:t>2</w:t>
      </w:r>
      <w:r>
        <w:rPr>
          <w:rFonts w:hint="eastAsia"/>
          <w:kern w:val="0"/>
        </w:rPr>
        <w:t>），即A2≤0.2km</w:t>
      </w:r>
      <w:r>
        <w:rPr>
          <w:kern w:val="0"/>
          <w:vertAlign w:val="superscript"/>
        </w:rPr>
        <w:t>2</w:t>
      </w:r>
      <w:r>
        <w:rPr>
          <w:rFonts w:hint="eastAsia"/>
          <w:kern w:val="0"/>
        </w:rPr>
        <w:t>，</w:t>
      </w:r>
      <w:bookmarkStart w:id="32" w:name="_Hlk196641855"/>
      <w:r>
        <w:rPr>
          <w:rFonts w:hint="eastAsia"/>
          <w:kern w:val="0"/>
        </w:rPr>
        <w:t>本项目地表水水文要素影响型评价等级为三级评价</w:t>
      </w:r>
      <w:r>
        <w:rPr>
          <w:kern w:val="0"/>
        </w:rPr>
        <w:t>。</w:t>
      </w:r>
      <w:bookmarkEnd w:id="32"/>
    </w:p>
    <w:p w14:paraId="605011A0">
      <w:pPr>
        <w:pStyle w:val="85"/>
        <w:ind w:firstLine="480"/>
        <w:rPr>
          <w:kern w:val="0"/>
        </w:rPr>
      </w:pPr>
      <w:r>
        <w:rPr>
          <w:rFonts w:hint="eastAsia"/>
          <w:kern w:val="0"/>
        </w:rPr>
        <w:t>③过水断面宽度占用比例或占用水域面积比例</w:t>
      </w:r>
    </w:p>
    <w:p w14:paraId="5332665A">
      <w:pPr>
        <w:pStyle w:val="85"/>
        <w:ind w:firstLine="480"/>
        <w:rPr>
          <w:kern w:val="0"/>
        </w:rPr>
      </w:pPr>
      <w:r>
        <w:rPr>
          <w:rFonts w:hint="eastAsia"/>
          <w:kern w:val="0"/>
        </w:rPr>
        <w:t>工程完工后，不涉及过水断面占用及水域占用情况。</w:t>
      </w:r>
    </w:p>
    <w:p w14:paraId="78591566">
      <w:pPr>
        <w:pStyle w:val="85"/>
        <w:ind w:firstLine="480"/>
        <w:rPr>
          <w:kern w:val="0"/>
        </w:rPr>
      </w:pPr>
      <w:r>
        <w:rPr>
          <w:rFonts w:hint="eastAsia"/>
          <w:kern w:val="0"/>
        </w:rPr>
        <w:t>综上</w:t>
      </w:r>
      <w:r>
        <w:rPr>
          <w:kern w:val="0"/>
        </w:rPr>
        <w:t>，本项目</w:t>
      </w:r>
      <w:r>
        <w:rPr>
          <w:rFonts w:hint="eastAsia"/>
          <w:kern w:val="0"/>
        </w:rPr>
        <w:t>地表水水文要素影响型评价</w:t>
      </w:r>
      <w:r>
        <w:rPr>
          <w:kern w:val="0"/>
        </w:rPr>
        <w:t>等级为</w:t>
      </w:r>
      <w:r>
        <w:rPr>
          <w:rFonts w:hint="eastAsia"/>
          <w:kern w:val="0"/>
        </w:rPr>
        <w:t>三</w:t>
      </w:r>
      <w:r>
        <w:rPr>
          <w:kern w:val="0"/>
        </w:rPr>
        <w:t>级评价</w:t>
      </w:r>
      <w:r>
        <w:rPr>
          <w:rFonts w:hint="eastAsia"/>
          <w:kern w:val="0"/>
        </w:rPr>
        <w:t>。</w:t>
      </w:r>
    </w:p>
    <w:p w14:paraId="017FC7AE">
      <w:pPr>
        <w:pStyle w:val="5"/>
        <w:rPr>
          <w:kern w:val="0"/>
        </w:rPr>
      </w:pPr>
      <w:r>
        <w:rPr>
          <w:rFonts w:hint="eastAsia"/>
          <w:kern w:val="0"/>
        </w:rPr>
        <w:t>地下水</w:t>
      </w:r>
      <w:r>
        <w:rPr>
          <w:kern w:val="0"/>
        </w:rPr>
        <w:t>环境</w:t>
      </w:r>
    </w:p>
    <w:p w14:paraId="31450511">
      <w:pPr>
        <w:pStyle w:val="85"/>
        <w:ind w:firstLine="480"/>
        <w:rPr>
          <w:kern w:val="0"/>
        </w:rPr>
        <w:sectPr>
          <w:pgSz w:w="11906" w:h="16838"/>
          <w:pgMar w:top="2007" w:right="1797" w:bottom="1724" w:left="1797" w:header="1417" w:footer="1162" w:gutter="0"/>
          <w:pgNumType w:fmt="numberInDash"/>
          <w:cols w:space="425" w:num="1"/>
          <w:docGrid w:type="lines" w:linePitch="312" w:charSpace="0"/>
        </w:sectPr>
      </w:pPr>
      <w:r>
        <w:rPr>
          <w:kern w:val="0"/>
        </w:rPr>
        <w:t>建设项目地下水环境影响评价工作等级划分见</w:t>
      </w:r>
      <w:r>
        <w:rPr>
          <w:rFonts w:hint="eastAsia"/>
          <w:kern w:val="0"/>
        </w:rPr>
        <w:t>下表</w:t>
      </w:r>
      <w:r>
        <w:rPr>
          <w:kern w:val="0"/>
        </w:rPr>
        <w:t>。</w:t>
      </w:r>
    </w:p>
    <w:p w14:paraId="615F99D9">
      <w:pPr>
        <w:pStyle w:val="17"/>
        <w:keepNext/>
        <w:tabs>
          <w:tab w:val="left" w:pos="1095"/>
        </w:tabs>
        <w:spacing w:line="520" w:lineRule="exact"/>
        <w:jc w:val="center"/>
        <w:rPr>
          <w:rFonts w:ascii="Times New Roman" w:hAnsi="Times New Roman"/>
          <w:kern w:val="0"/>
          <w:sz w:val="24"/>
          <w:szCs w:val="24"/>
        </w:rPr>
      </w:pPr>
      <w:r>
        <w:rPr>
          <w:rFonts w:ascii="Times New Roman" w:hAnsi="Times New Roman"/>
          <w:kern w:val="0"/>
          <w:sz w:val="24"/>
          <w:szCs w:val="24"/>
        </w:rPr>
        <w:t>表</w:t>
      </w:r>
      <w:r>
        <w:rPr>
          <w:rFonts w:ascii="Times New Roman" w:hAnsi="Times New Roman"/>
          <w:kern w:val="0"/>
          <w:sz w:val="24"/>
          <w:szCs w:val="24"/>
        </w:rPr>
        <w:fldChar w:fldCharType="begin"/>
      </w:r>
      <w:r>
        <w:rPr>
          <w:rFonts w:ascii="Times New Roman" w:hAnsi="Times New Roman"/>
          <w:kern w:val="0"/>
          <w:sz w:val="24"/>
          <w:szCs w:val="24"/>
        </w:rPr>
        <w:instrText xml:space="preserve"> STYLEREF 1 \s </w:instrText>
      </w:r>
      <w:r>
        <w:rPr>
          <w:rFonts w:ascii="Times New Roman" w:hAnsi="Times New Roman"/>
          <w:kern w:val="0"/>
          <w:sz w:val="24"/>
          <w:szCs w:val="24"/>
        </w:rPr>
        <w:fldChar w:fldCharType="separate"/>
      </w:r>
      <w:r>
        <w:rPr>
          <w:rFonts w:ascii="Times New Roman" w:hAnsi="Times New Roman"/>
          <w:kern w:val="0"/>
          <w:sz w:val="24"/>
          <w:szCs w:val="24"/>
        </w:rPr>
        <w:t>1</w:t>
      </w:r>
      <w:r>
        <w:rPr>
          <w:rFonts w:ascii="Times New Roman" w:hAnsi="Times New Roman"/>
          <w:kern w:val="0"/>
          <w:sz w:val="24"/>
          <w:szCs w:val="24"/>
        </w:rPr>
        <w:fldChar w:fldCharType="end"/>
      </w:r>
      <w:r>
        <w:rPr>
          <w:rFonts w:ascii="Times New Roman" w:hAnsi="Times New Roman"/>
          <w:kern w:val="0"/>
          <w:sz w:val="24"/>
          <w:szCs w:val="24"/>
        </w:rPr>
        <w:noBreakHyphen/>
      </w:r>
      <w:r>
        <w:rPr>
          <w:rFonts w:ascii="Times New Roman" w:hAnsi="Times New Roman"/>
          <w:kern w:val="0"/>
          <w:sz w:val="24"/>
          <w:szCs w:val="24"/>
        </w:rPr>
        <w:fldChar w:fldCharType="begin"/>
      </w:r>
      <w:r>
        <w:rPr>
          <w:rFonts w:ascii="Times New Roman" w:hAnsi="Times New Roman"/>
          <w:kern w:val="0"/>
          <w:sz w:val="24"/>
          <w:szCs w:val="24"/>
        </w:rPr>
        <w:instrText xml:space="preserve"> SEQ 表 \* ARABIC \s 1 </w:instrText>
      </w:r>
      <w:r>
        <w:rPr>
          <w:rFonts w:ascii="Times New Roman" w:hAnsi="Times New Roman"/>
          <w:kern w:val="0"/>
          <w:sz w:val="24"/>
          <w:szCs w:val="24"/>
        </w:rPr>
        <w:fldChar w:fldCharType="separate"/>
      </w:r>
      <w:r>
        <w:rPr>
          <w:rFonts w:ascii="Times New Roman" w:hAnsi="Times New Roman"/>
          <w:kern w:val="0"/>
          <w:sz w:val="24"/>
          <w:szCs w:val="24"/>
        </w:rPr>
        <w:t>6</w:t>
      </w:r>
      <w:r>
        <w:rPr>
          <w:rFonts w:ascii="Times New Roman" w:hAnsi="Times New Roman"/>
          <w:kern w:val="0"/>
          <w:sz w:val="24"/>
          <w:szCs w:val="24"/>
        </w:rPr>
        <w:fldChar w:fldCharType="end"/>
      </w:r>
      <w:r>
        <w:rPr>
          <w:rFonts w:ascii="Times New Roman" w:hAnsi="Times New Roman"/>
          <w:kern w:val="0"/>
          <w:sz w:val="24"/>
          <w:szCs w:val="24"/>
        </w:rPr>
        <w:t xml:space="preserve">  建设项目地下水评价工作等级分级表</w:t>
      </w:r>
    </w:p>
    <w:tbl>
      <w:tblPr>
        <w:tblStyle w:val="63"/>
        <w:tblW w:w="8320" w:type="dxa"/>
        <w:tblInd w:w="1" w:type="dxa"/>
        <w:tblLayout w:type="fixed"/>
        <w:tblCellMar>
          <w:top w:w="0" w:type="dxa"/>
          <w:left w:w="0" w:type="dxa"/>
          <w:bottom w:w="0" w:type="dxa"/>
          <w:right w:w="0" w:type="dxa"/>
        </w:tblCellMar>
      </w:tblPr>
      <w:tblGrid>
        <w:gridCol w:w="2649"/>
        <w:gridCol w:w="2000"/>
        <w:gridCol w:w="1898"/>
        <w:gridCol w:w="1773"/>
      </w:tblGrid>
      <w:tr w14:paraId="59FEF9AA">
        <w:tblPrEx>
          <w:tblCellMar>
            <w:top w:w="0" w:type="dxa"/>
            <w:left w:w="0" w:type="dxa"/>
            <w:bottom w:w="0" w:type="dxa"/>
            <w:right w:w="0" w:type="dxa"/>
          </w:tblCellMar>
        </w:tblPrEx>
        <w:trPr>
          <w:trHeight w:val="562" w:hRule="atLeast"/>
        </w:trPr>
        <w:tc>
          <w:tcPr>
            <w:tcW w:w="2649" w:type="dxa"/>
            <w:tcBorders>
              <w:top w:val="single" w:color="000000" w:sz="6" w:space="0"/>
              <w:left w:val="single" w:color="000000" w:sz="6" w:space="0"/>
              <w:bottom w:val="single" w:color="000000" w:sz="4" w:space="0"/>
              <w:right w:val="single" w:color="000000" w:sz="4" w:space="0"/>
            </w:tcBorders>
            <w:vAlign w:val="center"/>
          </w:tcPr>
          <w:p w14:paraId="63A237AC">
            <w:pPr>
              <w:snapToGrid w:val="0"/>
              <w:jc w:val="center"/>
              <w:rPr>
                <w:bCs/>
                <w:kern w:val="0"/>
                <w:position w:val="-1"/>
                <w:szCs w:val="21"/>
              </w:rPr>
            </w:pPr>
            <w:r>
              <w:rPr>
                <w:kern w:val="0"/>
              </w:rPr>
              <mc:AlternateContent>
                <mc:Choice Requires="wps">
                  <w:drawing>
                    <wp:anchor distT="0" distB="0" distL="114300" distR="114300" simplePos="0" relativeHeight="251662336" behindDoc="0" locked="0" layoutInCell="1" allowOverlap="1">
                      <wp:simplePos x="0" y="0"/>
                      <wp:positionH relativeFrom="column">
                        <wp:posOffset>-3810</wp:posOffset>
                      </wp:positionH>
                      <wp:positionV relativeFrom="paragraph">
                        <wp:posOffset>6985</wp:posOffset>
                      </wp:positionV>
                      <wp:extent cx="1678940" cy="440690"/>
                      <wp:effectExtent l="5715" t="6985" r="10795" b="9525"/>
                      <wp:wrapNone/>
                      <wp:docPr id="23" name="直接连接符 23"/>
                      <wp:cNvGraphicFramePr/>
                      <a:graphic xmlns:a="http://schemas.openxmlformats.org/drawingml/2006/main">
                        <a:graphicData uri="http://schemas.microsoft.com/office/word/2010/wordprocessingShape">
                          <wps:wsp>
                            <wps:cNvCnPr>
                              <a:cxnSpLocks noChangeShapeType="1"/>
                            </wps:cNvCnPr>
                            <wps:spPr bwMode="auto">
                              <a:xfrm>
                                <a:off x="0" y="0"/>
                                <a:ext cx="1678940" cy="44069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0.3pt;margin-top:0.55pt;height:34.7pt;width:132.2pt;z-index:251662336;mso-width-relative:page;mso-height-relative:page;" filled="f" stroked="t" coordsize="21600,21600" o:gfxdata="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VTf1fVAAAABgEAAA8AAAAAAAAAAQAgAAAAIgAAAGRycy9kb3ducmV2LnhtbFBLAQIUABQA&#10;AAAIAIdO4kDFeFuN8wEAALwDAAAOAAAAAAAAAAEAIAAAACQBAABkcnMvZTJvRG9jLnhtbFBLBQYA&#10;AAAABgAGAFkBAACJBQAAAAA=&#10;">
                      <v:fill on="f" focussize="0,0"/>
                      <v:stroke color="#000000" joinstyle="round"/>
                      <v:imagedata o:title=""/>
                      <o:lock v:ext="edit" aspectratio="f"/>
                    </v:line>
                  </w:pict>
                </mc:Fallback>
              </mc:AlternateContent>
            </w:r>
            <w:r>
              <w:rPr>
                <w:rFonts w:hint="eastAsia"/>
                <w:bCs/>
                <w:kern w:val="0"/>
                <w:position w:val="-1"/>
                <w:szCs w:val="21"/>
              </w:rPr>
              <w:t xml:space="preserve">        </w:t>
            </w:r>
            <w:r>
              <w:rPr>
                <w:bCs/>
                <w:kern w:val="0"/>
                <w:position w:val="-1"/>
                <w:szCs w:val="21"/>
              </w:rPr>
              <w:t>环境敏感程度</w:t>
            </w:r>
          </w:p>
          <w:p w14:paraId="613EB77F">
            <w:pPr>
              <w:spacing w:line="240" w:lineRule="exact"/>
              <w:jc w:val="center"/>
              <w:rPr>
                <w:bCs/>
                <w:kern w:val="0"/>
                <w:szCs w:val="21"/>
              </w:rPr>
            </w:pPr>
          </w:p>
          <w:p w14:paraId="3E126033">
            <w:pPr>
              <w:spacing w:line="240" w:lineRule="exact"/>
              <w:ind w:firstLine="420" w:firstLineChars="200"/>
              <w:rPr>
                <w:bCs/>
                <w:kern w:val="0"/>
                <w:szCs w:val="21"/>
              </w:rPr>
            </w:pPr>
            <w:r>
              <w:rPr>
                <w:bCs/>
                <w:kern w:val="0"/>
                <w:szCs w:val="21"/>
              </w:rPr>
              <w:t>项目类别</w:t>
            </w:r>
          </w:p>
        </w:tc>
        <w:tc>
          <w:tcPr>
            <w:tcW w:w="2000" w:type="dxa"/>
            <w:tcBorders>
              <w:top w:val="single" w:color="000000" w:sz="6" w:space="0"/>
              <w:left w:val="single" w:color="000000" w:sz="4" w:space="0"/>
              <w:bottom w:val="single" w:color="000000" w:sz="4" w:space="0"/>
              <w:right w:val="single" w:color="000000" w:sz="4" w:space="0"/>
            </w:tcBorders>
            <w:vAlign w:val="center"/>
          </w:tcPr>
          <w:p w14:paraId="62014EEE">
            <w:pPr>
              <w:spacing w:line="240" w:lineRule="exact"/>
              <w:jc w:val="center"/>
              <w:rPr>
                <w:bCs/>
                <w:kern w:val="0"/>
                <w:szCs w:val="21"/>
              </w:rPr>
            </w:pPr>
            <w:r>
              <w:rPr>
                <w:rFonts w:hint="eastAsia" w:ascii="宋体" w:hAnsi="宋体" w:cs="宋体"/>
                <w:bCs/>
                <w:kern w:val="0"/>
                <w:szCs w:val="21"/>
              </w:rPr>
              <w:t>Ⅰ</w:t>
            </w:r>
            <w:r>
              <w:rPr>
                <w:bCs/>
                <w:kern w:val="0"/>
                <w:szCs w:val="21"/>
              </w:rPr>
              <w:t>类项目</w:t>
            </w:r>
          </w:p>
        </w:tc>
        <w:tc>
          <w:tcPr>
            <w:tcW w:w="1898" w:type="dxa"/>
            <w:tcBorders>
              <w:top w:val="single" w:color="000000" w:sz="6" w:space="0"/>
              <w:left w:val="single" w:color="000000" w:sz="4" w:space="0"/>
              <w:bottom w:val="single" w:color="000000" w:sz="4" w:space="0"/>
              <w:right w:val="single" w:color="000000" w:sz="4" w:space="0"/>
            </w:tcBorders>
            <w:vAlign w:val="center"/>
          </w:tcPr>
          <w:p w14:paraId="673DE876">
            <w:pPr>
              <w:spacing w:line="240" w:lineRule="exact"/>
              <w:jc w:val="center"/>
              <w:rPr>
                <w:bCs/>
                <w:kern w:val="0"/>
                <w:szCs w:val="21"/>
              </w:rPr>
            </w:pPr>
            <w:r>
              <w:rPr>
                <w:rFonts w:hint="eastAsia" w:ascii="宋体" w:hAnsi="宋体" w:cs="宋体"/>
                <w:bCs/>
                <w:kern w:val="0"/>
                <w:szCs w:val="21"/>
              </w:rPr>
              <w:t>Ⅱ</w:t>
            </w:r>
            <w:r>
              <w:rPr>
                <w:bCs/>
                <w:kern w:val="0"/>
                <w:szCs w:val="21"/>
              </w:rPr>
              <w:t>类项目</w:t>
            </w:r>
          </w:p>
        </w:tc>
        <w:tc>
          <w:tcPr>
            <w:tcW w:w="1773" w:type="dxa"/>
            <w:tcBorders>
              <w:top w:val="single" w:color="000000" w:sz="6" w:space="0"/>
              <w:left w:val="single" w:color="000000" w:sz="4" w:space="0"/>
              <w:bottom w:val="single" w:color="000000" w:sz="4" w:space="0"/>
              <w:right w:val="single" w:color="000000" w:sz="6" w:space="0"/>
            </w:tcBorders>
            <w:vAlign w:val="center"/>
          </w:tcPr>
          <w:p w14:paraId="4D0BD534">
            <w:pPr>
              <w:spacing w:line="240" w:lineRule="exact"/>
              <w:jc w:val="center"/>
              <w:rPr>
                <w:bCs/>
                <w:kern w:val="0"/>
                <w:szCs w:val="21"/>
              </w:rPr>
            </w:pPr>
            <w:r>
              <w:rPr>
                <w:rFonts w:hint="eastAsia" w:ascii="宋体" w:hAnsi="宋体" w:cs="宋体"/>
                <w:bCs/>
                <w:kern w:val="0"/>
                <w:szCs w:val="21"/>
              </w:rPr>
              <w:t>Ⅲ</w:t>
            </w:r>
            <w:r>
              <w:rPr>
                <w:bCs/>
                <w:kern w:val="0"/>
                <w:szCs w:val="21"/>
              </w:rPr>
              <w:t>类项目</w:t>
            </w:r>
          </w:p>
        </w:tc>
      </w:tr>
      <w:tr w14:paraId="4E738330">
        <w:tblPrEx>
          <w:tblCellMar>
            <w:top w:w="0" w:type="dxa"/>
            <w:left w:w="0" w:type="dxa"/>
            <w:bottom w:w="0" w:type="dxa"/>
            <w:right w:w="0" w:type="dxa"/>
          </w:tblCellMar>
        </w:tblPrEx>
        <w:trPr>
          <w:trHeight w:val="317" w:hRule="exact"/>
        </w:trPr>
        <w:tc>
          <w:tcPr>
            <w:tcW w:w="2649" w:type="dxa"/>
            <w:tcBorders>
              <w:top w:val="single" w:color="000000" w:sz="4" w:space="0"/>
              <w:left w:val="single" w:color="000000" w:sz="6" w:space="0"/>
              <w:bottom w:val="single" w:color="000000" w:sz="4" w:space="0"/>
              <w:right w:val="single" w:color="000000" w:sz="4" w:space="0"/>
            </w:tcBorders>
            <w:vAlign w:val="center"/>
          </w:tcPr>
          <w:p w14:paraId="25BCDD6E">
            <w:pPr>
              <w:spacing w:line="240" w:lineRule="exact"/>
              <w:jc w:val="center"/>
              <w:rPr>
                <w:kern w:val="0"/>
                <w:szCs w:val="21"/>
              </w:rPr>
            </w:pPr>
            <w:r>
              <w:rPr>
                <w:kern w:val="0"/>
                <w:szCs w:val="21"/>
              </w:rPr>
              <w:t>敏感</w:t>
            </w:r>
          </w:p>
        </w:tc>
        <w:tc>
          <w:tcPr>
            <w:tcW w:w="2000" w:type="dxa"/>
            <w:tcBorders>
              <w:top w:val="single" w:color="000000" w:sz="4" w:space="0"/>
              <w:left w:val="single" w:color="000000" w:sz="4" w:space="0"/>
              <w:bottom w:val="single" w:color="000000" w:sz="4" w:space="0"/>
              <w:right w:val="single" w:color="000000" w:sz="4" w:space="0"/>
            </w:tcBorders>
            <w:vAlign w:val="center"/>
          </w:tcPr>
          <w:p w14:paraId="5987834D">
            <w:pPr>
              <w:spacing w:line="240" w:lineRule="exact"/>
              <w:jc w:val="center"/>
              <w:rPr>
                <w:kern w:val="0"/>
                <w:szCs w:val="21"/>
              </w:rPr>
            </w:pPr>
            <w:r>
              <w:rPr>
                <w:kern w:val="0"/>
                <w:szCs w:val="21"/>
              </w:rPr>
              <w:t>一</w:t>
            </w:r>
          </w:p>
        </w:tc>
        <w:tc>
          <w:tcPr>
            <w:tcW w:w="1898" w:type="dxa"/>
            <w:tcBorders>
              <w:top w:val="single" w:color="000000" w:sz="4" w:space="0"/>
              <w:left w:val="single" w:color="000000" w:sz="4" w:space="0"/>
              <w:bottom w:val="single" w:color="000000" w:sz="4" w:space="0"/>
              <w:right w:val="single" w:color="000000" w:sz="4" w:space="0"/>
            </w:tcBorders>
            <w:vAlign w:val="center"/>
          </w:tcPr>
          <w:p w14:paraId="3EC4FF9C">
            <w:pPr>
              <w:spacing w:line="240" w:lineRule="exact"/>
              <w:jc w:val="center"/>
              <w:rPr>
                <w:kern w:val="0"/>
                <w:szCs w:val="21"/>
              </w:rPr>
            </w:pPr>
            <w:r>
              <w:rPr>
                <w:kern w:val="0"/>
                <w:szCs w:val="21"/>
              </w:rPr>
              <w:t>一</w:t>
            </w:r>
          </w:p>
        </w:tc>
        <w:tc>
          <w:tcPr>
            <w:tcW w:w="1773" w:type="dxa"/>
            <w:tcBorders>
              <w:top w:val="single" w:color="000000" w:sz="4" w:space="0"/>
              <w:left w:val="single" w:color="000000" w:sz="4" w:space="0"/>
              <w:bottom w:val="single" w:color="000000" w:sz="4" w:space="0"/>
              <w:right w:val="single" w:color="000000" w:sz="6" w:space="0"/>
            </w:tcBorders>
            <w:vAlign w:val="center"/>
          </w:tcPr>
          <w:p w14:paraId="268EC6F6">
            <w:pPr>
              <w:spacing w:line="240" w:lineRule="exact"/>
              <w:jc w:val="center"/>
              <w:rPr>
                <w:kern w:val="0"/>
                <w:szCs w:val="21"/>
              </w:rPr>
            </w:pPr>
            <w:r>
              <w:rPr>
                <w:kern w:val="0"/>
                <w:szCs w:val="21"/>
              </w:rPr>
              <w:t>二</w:t>
            </w:r>
          </w:p>
        </w:tc>
      </w:tr>
      <w:tr w14:paraId="456A2B8C">
        <w:tblPrEx>
          <w:tblCellMar>
            <w:top w:w="0" w:type="dxa"/>
            <w:left w:w="0" w:type="dxa"/>
            <w:bottom w:w="0" w:type="dxa"/>
            <w:right w:w="0" w:type="dxa"/>
          </w:tblCellMar>
        </w:tblPrEx>
        <w:trPr>
          <w:trHeight w:val="319" w:hRule="exact"/>
        </w:trPr>
        <w:tc>
          <w:tcPr>
            <w:tcW w:w="2649" w:type="dxa"/>
            <w:tcBorders>
              <w:top w:val="single" w:color="000000" w:sz="4" w:space="0"/>
              <w:left w:val="single" w:color="000000" w:sz="6" w:space="0"/>
              <w:bottom w:val="single" w:color="000000" w:sz="4" w:space="0"/>
              <w:right w:val="single" w:color="000000" w:sz="4" w:space="0"/>
            </w:tcBorders>
            <w:vAlign w:val="center"/>
          </w:tcPr>
          <w:p w14:paraId="407CAEA4">
            <w:pPr>
              <w:spacing w:line="240" w:lineRule="exact"/>
              <w:jc w:val="center"/>
              <w:rPr>
                <w:kern w:val="0"/>
                <w:szCs w:val="21"/>
              </w:rPr>
            </w:pPr>
            <w:r>
              <w:rPr>
                <w:kern w:val="0"/>
                <w:szCs w:val="21"/>
              </w:rPr>
              <w:t>较敏感</w:t>
            </w:r>
          </w:p>
        </w:tc>
        <w:tc>
          <w:tcPr>
            <w:tcW w:w="2000" w:type="dxa"/>
            <w:tcBorders>
              <w:top w:val="single" w:color="000000" w:sz="4" w:space="0"/>
              <w:left w:val="single" w:color="000000" w:sz="4" w:space="0"/>
              <w:bottom w:val="single" w:color="000000" w:sz="4" w:space="0"/>
              <w:right w:val="single" w:color="000000" w:sz="4" w:space="0"/>
            </w:tcBorders>
            <w:vAlign w:val="center"/>
          </w:tcPr>
          <w:p w14:paraId="0A449A21">
            <w:pPr>
              <w:spacing w:line="240" w:lineRule="exact"/>
              <w:jc w:val="center"/>
              <w:rPr>
                <w:kern w:val="0"/>
                <w:szCs w:val="21"/>
              </w:rPr>
            </w:pPr>
            <w:r>
              <w:rPr>
                <w:kern w:val="0"/>
                <w:szCs w:val="21"/>
              </w:rPr>
              <w:t>一</w:t>
            </w:r>
          </w:p>
        </w:tc>
        <w:tc>
          <w:tcPr>
            <w:tcW w:w="1898" w:type="dxa"/>
            <w:tcBorders>
              <w:top w:val="single" w:color="000000" w:sz="4" w:space="0"/>
              <w:left w:val="single" w:color="000000" w:sz="4" w:space="0"/>
              <w:bottom w:val="single" w:color="000000" w:sz="4" w:space="0"/>
              <w:right w:val="single" w:color="000000" w:sz="4" w:space="0"/>
            </w:tcBorders>
            <w:vAlign w:val="center"/>
          </w:tcPr>
          <w:p w14:paraId="04D9A195">
            <w:pPr>
              <w:spacing w:line="240" w:lineRule="exact"/>
              <w:jc w:val="center"/>
              <w:rPr>
                <w:kern w:val="0"/>
                <w:szCs w:val="21"/>
              </w:rPr>
            </w:pPr>
            <w:r>
              <w:rPr>
                <w:kern w:val="0"/>
                <w:szCs w:val="21"/>
              </w:rPr>
              <w:t>二</w:t>
            </w:r>
          </w:p>
        </w:tc>
        <w:tc>
          <w:tcPr>
            <w:tcW w:w="1773" w:type="dxa"/>
            <w:tcBorders>
              <w:top w:val="single" w:color="000000" w:sz="4" w:space="0"/>
              <w:left w:val="single" w:color="000000" w:sz="4" w:space="0"/>
              <w:bottom w:val="single" w:color="000000" w:sz="4" w:space="0"/>
              <w:right w:val="single" w:color="000000" w:sz="6" w:space="0"/>
            </w:tcBorders>
            <w:vAlign w:val="center"/>
          </w:tcPr>
          <w:p w14:paraId="2C189072">
            <w:pPr>
              <w:spacing w:line="240" w:lineRule="exact"/>
              <w:jc w:val="center"/>
              <w:rPr>
                <w:kern w:val="0"/>
                <w:szCs w:val="21"/>
              </w:rPr>
            </w:pPr>
            <w:r>
              <w:rPr>
                <w:kern w:val="0"/>
                <w:szCs w:val="21"/>
              </w:rPr>
              <w:t>三</w:t>
            </w:r>
          </w:p>
        </w:tc>
      </w:tr>
      <w:tr w14:paraId="454E63BB">
        <w:tblPrEx>
          <w:tblCellMar>
            <w:top w:w="0" w:type="dxa"/>
            <w:left w:w="0" w:type="dxa"/>
            <w:bottom w:w="0" w:type="dxa"/>
            <w:right w:w="0" w:type="dxa"/>
          </w:tblCellMar>
        </w:tblPrEx>
        <w:trPr>
          <w:trHeight w:val="319" w:hRule="exact"/>
        </w:trPr>
        <w:tc>
          <w:tcPr>
            <w:tcW w:w="2649" w:type="dxa"/>
            <w:tcBorders>
              <w:top w:val="single" w:color="000000" w:sz="4" w:space="0"/>
              <w:left w:val="single" w:color="000000" w:sz="6" w:space="0"/>
              <w:bottom w:val="single" w:color="000000" w:sz="6" w:space="0"/>
              <w:right w:val="single" w:color="000000" w:sz="4" w:space="0"/>
            </w:tcBorders>
            <w:vAlign w:val="center"/>
          </w:tcPr>
          <w:p w14:paraId="1515744D">
            <w:pPr>
              <w:spacing w:line="240" w:lineRule="exact"/>
              <w:jc w:val="center"/>
              <w:rPr>
                <w:kern w:val="0"/>
                <w:szCs w:val="21"/>
              </w:rPr>
            </w:pPr>
            <w:r>
              <w:rPr>
                <w:kern w:val="0"/>
                <w:szCs w:val="21"/>
              </w:rPr>
              <w:t>不敏感</w:t>
            </w:r>
          </w:p>
        </w:tc>
        <w:tc>
          <w:tcPr>
            <w:tcW w:w="2000" w:type="dxa"/>
            <w:tcBorders>
              <w:top w:val="single" w:color="000000" w:sz="4" w:space="0"/>
              <w:left w:val="single" w:color="000000" w:sz="4" w:space="0"/>
              <w:bottom w:val="single" w:color="000000" w:sz="6" w:space="0"/>
              <w:right w:val="single" w:color="000000" w:sz="4" w:space="0"/>
            </w:tcBorders>
            <w:vAlign w:val="center"/>
          </w:tcPr>
          <w:p w14:paraId="731B6AA9">
            <w:pPr>
              <w:spacing w:line="240" w:lineRule="exact"/>
              <w:jc w:val="center"/>
              <w:rPr>
                <w:kern w:val="0"/>
                <w:szCs w:val="21"/>
              </w:rPr>
            </w:pPr>
            <w:r>
              <w:rPr>
                <w:kern w:val="0"/>
                <w:szCs w:val="21"/>
              </w:rPr>
              <w:t>二</w:t>
            </w:r>
          </w:p>
        </w:tc>
        <w:tc>
          <w:tcPr>
            <w:tcW w:w="1898" w:type="dxa"/>
            <w:tcBorders>
              <w:top w:val="single" w:color="000000" w:sz="4" w:space="0"/>
              <w:left w:val="single" w:color="000000" w:sz="4" w:space="0"/>
              <w:bottom w:val="single" w:color="000000" w:sz="6" w:space="0"/>
              <w:right w:val="single" w:color="000000" w:sz="4" w:space="0"/>
            </w:tcBorders>
            <w:vAlign w:val="center"/>
          </w:tcPr>
          <w:p w14:paraId="7DD7DA8A">
            <w:pPr>
              <w:spacing w:line="240" w:lineRule="exact"/>
              <w:jc w:val="center"/>
              <w:rPr>
                <w:kern w:val="0"/>
                <w:szCs w:val="21"/>
              </w:rPr>
            </w:pPr>
            <w:r>
              <w:rPr>
                <w:kern w:val="0"/>
                <w:szCs w:val="21"/>
              </w:rPr>
              <w:t>三</w:t>
            </w:r>
          </w:p>
        </w:tc>
        <w:tc>
          <w:tcPr>
            <w:tcW w:w="1773" w:type="dxa"/>
            <w:tcBorders>
              <w:top w:val="single" w:color="000000" w:sz="4" w:space="0"/>
              <w:left w:val="single" w:color="000000" w:sz="4" w:space="0"/>
              <w:bottom w:val="single" w:color="000000" w:sz="6" w:space="0"/>
              <w:right w:val="single" w:color="000000" w:sz="6" w:space="0"/>
            </w:tcBorders>
            <w:vAlign w:val="center"/>
          </w:tcPr>
          <w:p w14:paraId="5CE7D7CB">
            <w:pPr>
              <w:spacing w:line="240" w:lineRule="exact"/>
              <w:jc w:val="center"/>
              <w:rPr>
                <w:kern w:val="0"/>
                <w:szCs w:val="21"/>
              </w:rPr>
            </w:pPr>
            <w:r>
              <w:rPr>
                <w:kern w:val="0"/>
                <w:szCs w:val="21"/>
              </w:rPr>
              <w:t>三</w:t>
            </w:r>
          </w:p>
        </w:tc>
      </w:tr>
    </w:tbl>
    <w:p w14:paraId="4C40D7D7">
      <w:pPr>
        <w:pStyle w:val="85"/>
        <w:ind w:firstLine="480"/>
        <w:rPr>
          <w:kern w:val="0"/>
        </w:rPr>
      </w:pPr>
      <w:r>
        <w:rPr>
          <w:rFonts w:hint="eastAsia"/>
          <w:kern w:val="0"/>
        </w:rPr>
        <w:t>根据《环境影响评价技术导则—地下水环境》（</w:t>
      </w:r>
      <w:r>
        <w:rPr>
          <w:kern w:val="0"/>
        </w:rPr>
        <w:t>HJ 610-2016</w:t>
      </w:r>
      <w:r>
        <w:rPr>
          <w:rFonts w:hint="eastAsia"/>
          <w:kern w:val="0"/>
        </w:rPr>
        <w:t>）附录</w:t>
      </w:r>
      <w:r>
        <w:rPr>
          <w:kern w:val="0"/>
        </w:rPr>
        <w:t>A</w:t>
      </w:r>
      <w:r>
        <w:rPr>
          <w:rFonts w:hint="eastAsia"/>
          <w:kern w:val="0"/>
        </w:rPr>
        <w:t>，</w:t>
      </w:r>
      <w:r>
        <w:rPr>
          <w:kern w:val="0"/>
        </w:rPr>
        <w:t>本项目属于“水利—河湖整治工程—涉及敏感区的—报告书”，</w:t>
      </w:r>
      <w:r>
        <w:rPr>
          <w:rFonts w:hint="eastAsia"/>
          <w:kern w:val="0"/>
        </w:rPr>
        <w:t>为Ⅲ</w:t>
      </w:r>
      <w:r>
        <w:rPr>
          <w:kern w:val="0"/>
        </w:rPr>
        <w:t>类建设项目</w:t>
      </w:r>
      <w:r>
        <w:rPr>
          <w:rFonts w:hint="eastAsia"/>
          <w:kern w:val="0"/>
        </w:rPr>
        <w:t>。项目</w:t>
      </w:r>
      <w:r>
        <w:rPr>
          <w:kern w:val="0"/>
        </w:rPr>
        <w:t>周边</w:t>
      </w:r>
      <w:r>
        <w:rPr>
          <w:rFonts w:hint="eastAsia"/>
          <w:kern w:val="0"/>
        </w:rPr>
        <w:t>有</w:t>
      </w:r>
      <w:r>
        <w:rPr>
          <w:kern w:val="0"/>
        </w:rPr>
        <w:t>村庄分布，</w:t>
      </w:r>
      <w:r>
        <w:rPr>
          <w:rFonts w:hint="eastAsia"/>
          <w:kern w:val="0"/>
        </w:rPr>
        <w:t>项目区域存在地下水分散式饮用水</w:t>
      </w:r>
      <w:r>
        <w:rPr>
          <w:kern w:val="0"/>
        </w:rPr>
        <w:t>水源地</w:t>
      </w:r>
      <w:r>
        <w:rPr>
          <w:rFonts w:hint="eastAsia"/>
          <w:kern w:val="0"/>
        </w:rPr>
        <w:t>，因此环境敏感程度为较敏感。</w:t>
      </w:r>
    </w:p>
    <w:p w14:paraId="6B3D19A5">
      <w:pPr>
        <w:pStyle w:val="85"/>
        <w:ind w:firstLine="480"/>
        <w:rPr>
          <w:kern w:val="0"/>
        </w:rPr>
      </w:pPr>
      <w:r>
        <w:rPr>
          <w:kern w:val="0"/>
        </w:rPr>
        <w:t>根据《环境影响评价技术导则 地下水环境》（HJ610-2016）</w:t>
      </w:r>
      <w:r>
        <w:rPr>
          <w:rFonts w:hint="eastAsia"/>
          <w:kern w:val="0"/>
        </w:rPr>
        <w:t>，本</w:t>
      </w:r>
      <w:r>
        <w:rPr>
          <w:kern w:val="0"/>
        </w:rPr>
        <w:t>工程地下水环境影响评价等级为三级。</w:t>
      </w:r>
    </w:p>
    <w:p w14:paraId="34C2CB6A">
      <w:pPr>
        <w:pStyle w:val="5"/>
        <w:rPr>
          <w:kern w:val="0"/>
        </w:rPr>
      </w:pPr>
      <w:r>
        <w:rPr>
          <w:rFonts w:hint="eastAsia"/>
          <w:kern w:val="0"/>
        </w:rPr>
        <w:t>声环境</w:t>
      </w:r>
    </w:p>
    <w:p w14:paraId="675E48E7">
      <w:pPr>
        <w:pStyle w:val="85"/>
        <w:ind w:firstLine="480"/>
        <w:rPr>
          <w:kern w:val="0"/>
        </w:rPr>
      </w:pPr>
      <w:r>
        <w:rPr>
          <w:rFonts w:hint="eastAsia"/>
          <w:kern w:val="0"/>
        </w:rPr>
        <w:t>（1）环境</w:t>
      </w:r>
      <w:r>
        <w:rPr>
          <w:kern w:val="0"/>
        </w:rPr>
        <w:t>特征</w:t>
      </w:r>
    </w:p>
    <w:p w14:paraId="1DBF6A68">
      <w:pPr>
        <w:pStyle w:val="85"/>
        <w:ind w:firstLine="480"/>
        <w:rPr>
          <w:kern w:val="0"/>
        </w:rPr>
      </w:pPr>
      <w:r>
        <w:rPr>
          <w:rFonts w:hint="eastAsia"/>
          <w:kern w:val="0"/>
        </w:rPr>
        <w:t>本工程所在区域</w:t>
      </w:r>
      <w:r>
        <w:rPr>
          <w:kern w:val="0"/>
        </w:rPr>
        <w:t>属于1类声功能区，</w:t>
      </w:r>
      <w:r>
        <w:rPr>
          <w:rFonts w:hint="eastAsia"/>
          <w:kern w:val="0"/>
        </w:rPr>
        <w:t>工程</w:t>
      </w:r>
      <w:r>
        <w:rPr>
          <w:kern w:val="0"/>
        </w:rPr>
        <w:t>区域</w:t>
      </w:r>
      <w:r>
        <w:rPr>
          <w:rFonts w:hint="eastAsia"/>
          <w:kern w:val="0"/>
        </w:rPr>
        <w:t>200</w:t>
      </w:r>
      <w:r>
        <w:rPr>
          <w:kern w:val="0"/>
        </w:rPr>
        <w:t>m范围内</w:t>
      </w:r>
      <w:r>
        <w:rPr>
          <w:rFonts w:hint="eastAsia"/>
          <w:kern w:val="0"/>
        </w:rPr>
        <w:t>敏感点为大河北小学、大河北村、西红旗村。</w:t>
      </w:r>
    </w:p>
    <w:p w14:paraId="6A04718B">
      <w:pPr>
        <w:pStyle w:val="85"/>
        <w:ind w:firstLine="480"/>
        <w:rPr>
          <w:kern w:val="0"/>
        </w:rPr>
      </w:pPr>
      <w:r>
        <w:rPr>
          <w:rFonts w:hint="eastAsia"/>
          <w:kern w:val="0"/>
        </w:rPr>
        <w:t>（2）对周边</w:t>
      </w:r>
      <w:r>
        <w:rPr>
          <w:kern w:val="0"/>
        </w:rPr>
        <w:t>声环境影响</w:t>
      </w:r>
    </w:p>
    <w:p w14:paraId="4784CB12">
      <w:pPr>
        <w:pStyle w:val="85"/>
        <w:ind w:firstLine="480"/>
        <w:rPr>
          <w:kern w:val="0"/>
        </w:rPr>
      </w:pPr>
      <w:r>
        <w:rPr>
          <w:rFonts w:hint="eastAsia"/>
          <w:kern w:val="0"/>
        </w:rPr>
        <w:t>项目将采取完善的噪声防范措施，环境敏感点噪声增加值小于3dB（A），且受影响的人口数量变化不大，对周围声环境影响很小。</w:t>
      </w:r>
    </w:p>
    <w:p w14:paraId="391A8461">
      <w:pPr>
        <w:pStyle w:val="85"/>
        <w:ind w:firstLine="480"/>
        <w:rPr>
          <w:kern w:val="0"/>
        </w:rPr>
      </w:pPr>
      <w:r>
        <w:rPr>
          <w:rFonts w:hint="eastAsia"/>
          <w:kern w:val="0"/>
        </w:rPr>
        <w:t>（3）评价</w:t>
      </w:r>
      <w:r>
        <w:rPr>
          <w:kern w:val="0"/>
        </w:rPr>
        <w:t>等级</w:t>
      </w:r>
    </w:p>
    <w:p w14:paraId="30027863">
      <w:pPr>
        <w:pStyle w:val="85"/>
        <w:ind w:firstLine="480"/>
        <w:rPr>
          <w:kern w:val="0"/>
        </w:rPr>
      </w:pPr>
      <w:r>
        <w:rPr>
          <w:rFonts w:hint="eastAsia"/>
          <w:kern w:val="0"/>
        </w:rPr>
        <w:t>根据《环境影响评价技术导则－声环境》（HJ2.4-2021）的划分依据，</w:t>
      </w:r>
      <w:r>
        <w:rPr>
          <w:kern w:val="0"/>
        </w:rPr>
        <w:t>确定声环境评价等级为</w:t>
      </w:r>
      <w:r>
        <w:rPr>
          <w:rFonts w:hint="eastAsia"/>
          <w:kern w:val="0"/>
        </w:rPr>
        <w:t>二</w:t>
      </w:r>
      <w:r>
        <w:rPr>
          <w:kern w:val="0"/>
        </w:rPr>
        <w:t>级。</w:t>
      </w:r>
    </w:p>
    <w:p w14:paraId="4FC13A69">
      <w:pPr>
        <w:pStyle w:val="5"/>
        <w:rPr>
          <w:kern w:val="0"/>
        </w:rPr>
      </w:pPr>
      <w:r>
        <w:rPr>
          <w:rFonts w:hint="eastAsia"/>
          <w:kern w:val="0"/>
        </w:rPr>
        <w:t>生态</w:t>
      </w:r>
      <w:r>
        <w:rPr>
          <w:kern w:val="0"/>
        </w:rPr>
        <w:t>环境</w:t>
      </w:r>
    </w:p>
    <w:p w14:paraId="18DECE23">
      <w:pPr>
        <w:pStyle w:val="85"/>
        <w:ind w:firstLine="480"/>
        <w:rPr>
          <w:kern w:val="0"/>
        </w:rPr>
      </w:pPr>
      <w:r>
        <w:rPr>
          <w:rFonts w:hint="eastAsia"/>
          <w:kern w:val="0"/>
        </w:rPr>
        <w:t>根据《环境影响评价技术导则  生态影响》（HJ 19-2022）规定，本项目生态影响评价等级判定情况见下表。</w:t>
      </w:r>
    </w:p>
    <w:p w14:paraId="3696E557">
      <w:pPr>
        <w:pStyle w:val="17"/>
        <w:keepNext/>
        <w:tabs>
          <w:tab w:val="left" w:pos="1095"/>
        </w:tabs>
        <w:spacing w:line="520" w:lineRule="exact"/>
        <w:jc w:val="center"/>
        <w:rPr>
          <w:kern w:val="0"/>
        </w:rPr>
      </w:pPr>
      <w:r>
        <w:rPr>
          <w:rFonts w:ascii="Times New Roman" w:hAnsi="Times New Roman"/>
          <w:kern w:val="0"/>
          <w:sz w:val="24"/>
          <w:szCs w:val="24"/>
        </w:rPr>
        <w:t>表</w:t>
      </w:r>
      <w:r>
        <w:rPr>
          <w:rFonts w:ascii="Times New Roman" w:hAnsi="Times New Roman"/>
          <w:kern w:val="0"/>
          <w:sz w:val="24"/>
          <w:szCs w:val="24"/>
        </w:rPr>
        <w:fldChar w:fldCharType="begin"/>
      </w:r>
      <w:r>
        <w:rPr>
          <w:rFonts w:ascii="Times New Roman" w:hAnsi="Times New Roman"/>
          <w:kern w:val="0"/>
          <w:sz w:val="24"/>
          <w:szCs w:val="24"/>
        </w:rPr>
        <w:instrText xml:space="preserve"> STYLEREF 1 \s </w:instrText>
      </w:r>
      <w:r>
        <w:rPr>
          <w:rFonts w:ascii="Times New Roman" w:hAnsi="Times New Roman"/>
          <w:kern w:val="0"/>
          <w:sz w:val="24"/>
          <w:szCs w:val="24"/>
        </w:rPr>
        <w:fldChar w:fldCharType="separate"/>
      </w:r>
      <w:r>
        <w:rPr>
          <w:rFonts w:ascii="Times New Roman" w:hAnsi="Times New Roman"/>
          <w:kern w:val="0"/>
          <w:sz w:val="24"/>
          <w:szCs w:val="24"/>
        </w:rPr>
        <w:t>1</w:t>
      </w:r>
      <w:r>
        <w:rPr>
          <w:rFonts w:ascii="Times New Roman" w:hAnsi="Times New Roman"/>
          <w:kern w:val="0"/>
          <w:sz w:val="24"/>
          <w:szCs w:val="24"/>
        </w:rPr>
        <w:fldChar w:fldCharType="end"/>
      </w:r>
      <w:r>
        <w:rPr>
          <w:rFonts w:ascii="Times New Roman" w:hAnsi="Times New Roman"/>
          <w:kern w:val="0"/>
          <w:sz w:val="24"/>
          <w:szCs w:val="24"/>
        </w:rPr>
        <w:noBreakHyphen/>
      </w:r>
      <w:r>
        <w:rPr>
          <w:rFonts w:ascii="Times New Roman" w:hAnsi="Times New Roman"/>
          <w:kern w:val="0"/>
          <w:sz w:val="24"/>
          <w:szCs w:val="24"/>
        </w:rPr>
        <w:fldChar w:fldCharType="begin"/>
      </w:r>
      <w:r>
        <w:rPr>
          <w:rFonts w:ascii="Times New Roman" w:hAnsi="Times New Roman"/>
          <w:kern w:val="0"/>
          <w:sz w:val="24"/>
          <w:szCs w:val="24"/>
        </w:rPr>
        <w:instrText xml:space="preserve"> SEQ 表 \* ARABIC \s 1 </w:instrText>
      </w:r>
      <w:r>
        <w:rPr>
          <w:rFonts w:ascii="Times New Roman" w:hAnsi="Times New Roman"/>
          <w:kern w:val="0"/>
          <w:sz w:val="24"/>
          <w:szCs w:val="24"/>
        </w:rPr>
        <w:fldChar w:fldCharType="separate"/>
      </w:r>
      <w:r>
        <w:rPr>
          <w:rFonts w:ascii="Times New Roman" w:hAnsi="Times New Roman"/>
          <w:kern w:val="0"/>
          <w:sz w:val="24"/>
          <w:szCs w:val="24"/>
        </w:rPr>
        <w:t>7</w:t>
      </w:r>
      <w:r>
        <w:rPr>
          <w:rFonts w:ascii="Times New Roman" w:hAnsi="Times New Roman"/>
          <w:kern w:val="0"/>
          <w:sz w:val="24"/>
          <w:szCs w:val="24"/>
        </w:rPr>
        <w:fldChar w:fldCharType="end"/>
      </w:r>
      <w:r>
        <w:rPr>
          <w:rFonts w:ascii="Times New Roman" w:hAnsi="Times New Roman"/>
          <w:kern w:val="0"/>
          <w:sz w:val="24"/>
          <w:szCs w:val="24"/>
        </w:rPr>
        <w:t xml:space="preserve">  </w:t>
      </w:r>
      <w:r>
        <w:rPr>
          <w:rFonts w:hint="eastAsia" w:ascii="Times New Roman" w:hAnsi="Times New Roman"/>
          <w:kern w:val="0"/>
          <w:sz w:val="24"/>
          <w:szCs w:val="24"/>
        </w:rPr>
        <w:t>评价等级判定</w:t>
      </w:r>
      <w:r>
        <w:rPr>
          <w:rFonts w:ascii="Times New Roman" w:hAnsi="Times New Roman"/>
          <w:kern w:val="0"/>
          <w:sz w:val="24"/>
          <w:szCs w:val="24"/>
        </w:rPr>
        <w:t>一览表</w:t>
      </w: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19"/>
        <w:gridCol w:w="4678"/>
        <w:gridCol w:w="1990"/>
        <w:gridCol w:w="788"/>
      </w:tblGrid>
      <w:tr w14:paraId="17317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tcPr>
          <w:p w14:paraId="55E8FF2A">
            <w:pPr>
              <w:pStyle w:val="307"/>
              <w:rPr>
                <w:b/>
                <w:bCs/>
                <w:kern w:val="0"/>
                <w:lang w:val="en-US"/>
              </w:rPr>
            </w:pPr>
            <w:r>
              <w:rPr>
                <w:rFonts w:hint="eastAsia"/>
                <w:b/>
                <w:bCs/>
                <w:kern w:val="0"/>
                <w:lang w:val="en-US"/>
              </w:rPr>
              <w:t>类别</w:t>
            </w:r>
          </w:p>
        </w:tc>
        <w:tc>
          <w:tcPr>
            <w:tcW w:w="419" w:type="dxa"/>
            <w:tcMar>
              <w:left w:w="28" w:type="dxa"/>
              <w:right w:w="28" w:type="dxa"/>
            </w:tcMar>
            <w:vAlign w:val="center"/>
          </w:tcPr>
          <w:p w14:paraId="6691CFD0">
            <w:pPr>
              <w:pStyle w:val="307"/>
              <w:rPr>
                <w:b/>
                <w:bCs/>
                <w:kern w:val="0"/>
                <w:lang w:val="en-US"/>
              </w:rPr>
            </w:pPr>
            <w:r>
              <w:rPr>
                <w:rFonts w:hint="eastAsia"/>
                <w:b/>
                <w:bCs/>
                <w:kern w:val="0"/>
                <w:lang w:val="en-US"/>
              </w:rPr>
              <w:t>编号</w:t>
            </w:r>
          </w:p>
        </w:tc>
        <w:tc>
          <w:tcPr>
            <w:tcW w:w="4678" w:type="dxa"/>
            <w:tcMar>
              <w:left w:w="28" w:type="dxa"/>
              <w:right w:w="28" w:type="dxa"/>
            </w:tcMar>
            <w:vAlign w:val="center"/>
          </w:tcPr>
          <w:p w14:paraId="02DE4B70">
            <w:pPr>
              <w:pStyle w:val="307"/>
              <w:rPr>
                <w:b/>
                <w:bCs/>
                <w:kern w:val="0"/>
                <w:lang w:val="en-US"/>
              </w:rPr>
            </w:pPr>
            <w:r>
              <w:rPr>
                <w:rFonts w:hint="eastAsia"/>
                <w:b/>
                <w:bCs/>
                <w:kern w:val="0"/>
                <w:lang w:val="en-US"/>
              </w:rPr>
              <w:t>判定依据</w:t>
            </w:r>
          </w:p>
        </w:tc>
        <w:tc>
          <w:tcPr>
            <w:tcW w:w="1990" w:type="dxa"/>
            <w:tcMar>
              <w:left w:w="28" w:type="dxa"/>
              <w:right w:w="28" w:type="dxa"/>
            </w:tcMar>
            <w:vAlign w:val="center"/>
          </w:tcPr>
          <w:p w14:paraId="2500B83E">
            <w:pPr>
              <w:pStyle w:val="307"/>
              <w:rPr>
                <w:b/>
                <w:bCs/>
                <w:kern w:val="0"/>
                <w:lang w:val="en-US"/>
              </w:rPr>
            </w:pPr>
            <w:r>
              <w:rPr>
                <w:rFonts w:hint="eastAsia"/>
                <w:b/>
                <w:bCs/>
                <w:kern w:val="0"/>
                <w:lang w:val="en-US"/>
              </w:rPr>
              <w:t>项目情况</w:t>
            </w:r>
          </w:p>
        </w:tc>
        <w:tc>
          <w:tcPr>
            <w:tcW w:w="788" w:type="dxa"/>
            <w:tcMar>
              <w:left w:w="28" w:type="dxa"/>
              <w:right w:w="28" w:type="dxa"/>
            </w:tcMar>
            <w:vAlign w:val="center"/>
          </w:tcPr>
          <w:p w14:paraId="27A8F0FA">
            <w:pPr>
              <w:pStyle w:val="307"/>
              <w:rPr>
                <w:b/>
                <w:bCs/>
                <w:kern w:val="0"/>
                <w:lang w:val="en-US"/>
              </w:rPr>
            </w:pPr>
            <w:r>
              <w:rPr>
                <w:rFonts w:hint="eastAsia"/>
                <w:b/>
                <w:bCs/>
                <w:kern w:val="0"/>
                <w:lang w:val="en-US"/>
              </w:rPr>
              <w:t>判定</w:t>
            </w:r>
          </w:p>
        </w:tc>
      </w:tr>
      <w:tr w14:paraId="5CC43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restart"/>
            <w:vAlign w:val="center"/>
          </w:tcPr>
          <w:p w14:paraId="5FD9F3CF">
            <w:pPr>
              <w:pStyle w:val="307"/>
              <w:rPr>
                <w:kern w:val="0"/>
                <w:lang w:val="en-US"/>
              </w:rPr>
            </w:pPr>
            <w:r>
              <w:rPr>
                <w:rFonts w:hint="eastAsia"/>
                <w:kern w:val="0"/>
                <w:lang w:val="en-US"/>
              </w:rPr>
              <w:t>判定原则</w:t>
            </w:r>
          </w:p>
        </w:tc>
        <w:tc>
          <w:tcPr>
            <w:tcW w:w="419" w:type="dxa"/>
            <w:tcMar>
              <w:left w:w="28" w:type="dxa"/>
              <w:right w:w="28" w:type="dxa"/>
            </w:tcMar>
            <w:vAlign w:val="center"/>
          </w:tcPr>
          <w:p w14:paraId="476B2F08">
            <w:pPr>
              <w:pStyle w:val="307"/>
              <w:rPr>
                <w:kern w:val="0"/>
                <w:lang w:val="en-US"/>
              </w:rPr>
            </w:pPr>
            <w:r>
              <w:rPr>
                <w:kern w:val="0"/>
                <w:lang w:val="en-US"/>
              </w:rPr>
              <w:t>a</w:t>
            </w:r>
          </w:p>
        </w:tc>
        <w:tc>
          <w:tcPr>
            <w:tcW w:w="4678" w:type="dxa"/>
            <w:tcMar>
              <w:left w:w="28" w:type="dxa"/>
              <w:right w:w="28" w:type="dxa"/>
            </w:tcMar>
            <w:vAlign w:val="center"/>
          </w:tcPr>
          <w:p w14:paraId="75F80FC8">
            <w:pPr>
              <w:pStyle w:val="307"/>
              <w:rPr>
                <w:kern w:val="0"/>
                <w:lang w:val="en-US"/>
              </w:rPr>
            </w:pPr>
            <w:r>
              <w:rPr>
                <w:kern w:val="0"/>
                <w:lang w:val="en-US"/>
              </w:rPr>
              <w:t>涉及国家公园、自然保护区</w:t>
            </w:r>
            <w:r>
              <w:rPr>
                <w:rFonts w:hint="eastAsia"/>
                <w:kern w:val="0"/>
                <w:lang w:val="en-US"/>
              </w:rPr>
              <w:t>、</w:t>
            </w:r>
            <w:r>
              <w:rPr>
                <w:kern w:val="0"/>
                <w:lang w:val="en-US"/>
              </w:rPr>
              <w:t>世界</w:t>
            </w:r>
            <w:r>
              <w:rPr>
                <w:rFonts w:hint="eastAsia"/>
                <w:kern w:val="0"/>
                <w:lang w:val="en-US"/>
              </w:rPr>
              <w:t>自然</w:t>
            </w:r>
            <w:r>
              <w:rPr>
                <w:kern w:val="0"/>
                <w:lang w:val="en-US"/>
              </w:rPr>
              <w:t>遗产</w:t>
            </w:r>
            <w:r>
              <w:rPr>
                <w:rFonts w:hint="eastAsia"/>
                <w:kern w:val="0"/>
                <w:lang w:val="en-US"/>
              </w:rPr>
              <w:t>、</w:t>
            </w:r>
            <w:r>
              <w:rPr>
                <w:kern w:val="0"/>
                <w:lang w:val="en-US"/>
              </w:rPr>
              <w:t>重要生境时，评价等级为一级；</w:t>
            </w:r>
          </w:p>
        </w:tc>
        <w:tc>
          <w:tcPr>
            <w:tcW w:w="1990" w:type="dxa"/>
            <w:tcMar>
              <w:left w:w="28" w:type="dxa"/>
              <w:right w:w="28" w:type="dxa"/>
            </w:tcMar>
            <w:vAlign w:val="center"/>
          </w:tcPr>
          <w:p w14:paraId="48826F9B">
            <w:pPr>
              <w:pStyle w:val="307"/>
              <w:rPr>
                <w:kern w:val="0"/>
                <w:lang w:val="en-US"/>
              </w:rPr>
            </w:pPr>
            <w:r>
              <w:rPr>
                <w:rFonts w:hint="eastAsia"/>
                <w:kern w:val="0"/>
                <w:lang w:val="en-US"/>
              </w:rPr>
              <w:t>不涉及</w:t>
            </w:r>
          </w:p>
        </w:tc>
        <w:tc>
          <w:tcPr>
            <w:tcW w:w="788" w:type="dxa"/>
            <w:tcMar>
              <w:left w:w="28" w:type="dxa"/>
              <w:right w:w="28" w:type="dxa"/>
            </w:tcMar>
            <w:vAlign w:val="center"/>
          </w:tcPr>
          <w:p w14:paraId="4F006234">
            <w:pPr>
              <w:pStyle w:val="307"/>
              <w:rPr>
                <w:kern w:val="0"/>
                <w:lang w:val="en-US"/>
              </w:rPr>
            </w:pPr>
            <w:r>
              <w:rPr>
                <w:rFonts w:hint="eastAsia"/>
                <w:kern w:val="0"/>
                <w:lang w:val="en-US"/>
              </w:rPr>
              <w:t>/</w:t>
            </w:r>
          </w:p>
        </w:tc>
      </w:tr>
      <w:tr w14:paraId="4A5B6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tcPr>
          <w:p w14:paraId="6E7F4AEC">
            <w:pPr>
              <w:pStyle w:val="307"/>
              <w:rPr>
                <w:kern w:val="0"/>
                <w:lang w:val="en-US"/>
              </w:rPr>
            </w:pPr>
          </w:p>
        </w:tc>
        <w:tc>
          <w:tcPr>
            <w:tcW w:w="419" w:type="dxa"/>
            <w:tcMar>
              <w:left w:w="28" w:type="dxa"/>
              <w:right w:w="28" w:type="dxa"/>
            </w:tcMar>
            <w:vAlign w:val="center"/>
          </w:tcPr>
          <w:p w14:paraId="246A41F6">
            <w:pPr>
              <w:pStyle w:val="307"/>
              <w:rPr>
                <w:kern w:val="0"/>
                <w:lang w:val="en-US"/>
              </w:rPr>
            </w:pPr>
            <w:r>
              <w:rPr>
                <w:kern w:val="0"/>
                <w:lang w:val="en-US"/>
              </w:rPr>
              <w:t>b</w:t>
            </w:r>
          </w:p>
        </w:tc>
        <w:tc>
          <w:tcPr>
            <w:tcW w:w="4678" w:type="dxa"/>
            <w:tcMar>
              <w:left w:w="28" w:type="dxa"/>
              <w:right w:w="28" w:type="dxa"/>
            </w:tcMar>
            <w:vAlign w:val="center"/>
          </w:tcPr>
          <w:p w14:paraId="1B714885">
            <w:pPr>
              <w:pStyle w:val="307"/>
              <w:rPr>
                <w:kern w:val="0"/>
                <w:lang w:val="en-US"/>
              </w:rPr>
            </w:pPr>
            <w:r>
              <w:rPr>
                <w:kern w:val="0"/>
                <w:lang w:val="en-US"/>
              </w:rPr>
              <w:t>涉及自然公园时，评价等级为二级；</w:t>
            </w:r>
          </w:p>
        </w:tc>
        <w:tc>
          <w:tcPr>
            <w:tcW w:w="1990" w:type="dxa"/>
            <w:tcMar>
              <w:left w:w="28" w:type="dxa"/>
              <w:right w:w="28" w:type="dxa"/>
            </w:tcMar>
            <w:vAlign w:val="center"/>
          </w:tcPr>
          <w:p w14:paraId="63F7DB19">
            <w:pPr>
              <w:pStyle w:val="307"/>
              <w:rPr>
                <w:kern w:val="0"/>
                <w:lang w:val="en-US"/>
              </w:rPr>
            </w:pPr>
            <w:r>
              <w:rPr>
                <w:rFonts w:hint="eastAsia"/>
                <w:kern w:val="0"/>
                <w:lang w:val="en-US"/>
              </w:rPr>
              <w:t>涉及河北滦平潮河国家湿地公园</w:t>
            </w:r>
          </w:p>
        </w:tc>
        <w:tc>
          <w:tcPr>
            <w:tcW w:w="788" w:type="dxa"/>
            <w:tcMar>
              <w:left w:w="28" w:type="dxa"/>
              <w:right w:w="28" w:type="dxa"/>
            </w:tcMar>
            <w:vAlign w:val="center"/>
          </w:tcPr>
          <w:p w14:paraId="369D448B">
            <w:pPr>
              <w:pStyle w:val="307"/>
              <w:rPr>
                <w:kern w:val="0"/>
                <w:lang w:val="en-US"/>
              </w:rPr>
            </w:pPr>
            <w:r>
              <w:rPr>
                <w:rFonts w:hint="eastAsia"/>
                <w:kern w:val="0"/>
                <w:lang w:val="en-US"/>
              </w:rPr>
              <w:t>二级</w:t>
            </w:r>
          </w:p>
        </w:tc>
      </w:tr>
      <w:tr w14:paraId="178A5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tcPr>
          <w:p w14:paraId="2FD82368">
            <w:pPr>
              <w:pStyle w:val="307"/>
              <w:rPr>
                <w:kern w:val="0"/>
                <w:lang w:val="en-US"/>
              </w:rPr>
            </w:pPr>
          </w:p>
        </w:tc>
        <w:tc>
          <w:tcPr>
            <w:tcW w:w="419" w:type="dxa"/>
            <w:tcMar>
              <w:left w:w="28" w:type="dxa"/>
              <w:right w:w="28" w:type="dxa"/>
            </w:tcMar>
            <w:vAlign w:val="center"/>
          </w:tcPr>
          <w:p w14:paraId="11D310AB">
            <w:pPr>
              <w:pStyle w:val="307"/>
              <w:rPr>
                <w:kern w:val="0"/>
                <w:lang w:val="en-US"/>
              </w:rPr>
            </w:pPr>
            <w:r>
              <w:rPr>
                <w:kern w:val="0"/>
                <w:lang w:val="en-US"/>
              </w:rPr>
              <w:t>c</w:t>
            </w:r>
          </w:p>
        </w:tc>
        <w:tc>
          <w:tcPr>
            <w:tcW w:w="4678" w:type="dxa"/>
            <w:tcMar>
              <w:left w:w="28" w:type="dxa"/>
              <w:right w:w="28" w:type="dxa"/>
            </w:tcMar>
            <w:vAlign w:val="center"/>
          </w:tcPr>
          <w:p w14:paraId="69333953">
            <w:pPr>
              <w:pStyle w:val="307"/>
              <w:rPr>
                <w:kern w:val="0"/>
                <w:lang w:val="en-US"/>
              </w:rPr>
            </w:pPr>
            <w:r>
              <w:rPr>
                <w:kern w:val="0"/>
                <w:lang w:val="en-US"/>
              </w:rPr>
              <w:t>涉及生态保护红线时，评价等级不低于二级；</w:t>
            </w:r>
          </w:p>
        </w:tc>
        <w:tc>
          <w:tcPr>
            <w:tcW w:w="1990" w:type="dxa"/>
            <w:tcMar>
              <w:left w:w="28" w:type="dxa"/>
              <w:right w:w="28" w:type="dxa"/>
            </w:tcMar>
            <w:vAlign w:val="center"/>
          </w:tcPr>
          <w:p w14:paraId="6D2B10BF">
            <w:pPr>
              <w:pStyle w:val="307"/>
              <w:rPr>
                <w:kern w:val="0"/>
                <w:lang w:val="en-US"/>
              </w:rPr>
            </w:pPr>
            <w:r>
              <w:rPr>
                <w:rFonts w:hint="eastAsia"/>
                <w:kern w:val="0"/>
                <w:lang w:val="en-US"/>
              </w:rPr>
              <w:t>涉及</w:t>
            </w:r>
            <w:bookmarkStart w:id="33" w:name="_Hlk196741775"/>
            <w:r>
              <w:rPr>
                <w:rFonts w:hint="eastAsia"/>
                <w:kern w:val="0"/>
                <w:lang w:val="en-US"/>
              </w:rPr>
              <w:t>燕山水源涵养-生物多样性维护生态保护红线</w:t>
            </w:r>
            <w:bookmarkEnd w:id="33"/>
          </w:p>
        </w:tc>
        <w:tc>
          <w:tcPr>
            <w:tcW w:w="788" w:type="dxa"/>
            <w:tcMar>
              <w:left w:w="28" w:type="dxa"/>
              <w:right w:w="28" w:type="dxa"/>
            </w:tcMar>
            <w:vAlign w:val="center"/>
          </w:tcPr>
          <w:p w14:paraId="282E694C">
            <w:pPr>
              <w:pStyle w:val="307"/>
              <w:rPr>
                <w:kern w:val="0"/>
                <w:lang w:val="en-US"/>
              </w:rPr>
            </w:pPr>
            <w:r>
              <w:rPr>
                <w:rFonts w:hint="eastAsia"/>
                <w:kern w:val="0"/>
                <w:lang w:val="en-US"/>
              </w:rPr>
              <w:t>二级</w:t>
            </w:r>
          </w:p>
        </w:tc>
      </w:tr>
      <w:tr w14:paraId="4E9EF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tcPr>
          <w:p w14:paraId="303DC67D">
            <w:pPr>
              <w:pStyle w:val="307"/>
              <w:rPr>
                <w:kern w:val="0"/>
                <w:lang w:val="en-US"/>
              </w:rPr>
            </w:pPr>
          </w:p>
        </w:tc>
        <w:tc>
          <w:tcPr>
            <w:tcW w:w="419" w:type="dxa"/>
            <w:tcMar>
              <w:left w:w="28" w:type="dxa"/>
              <w:right w:w="28" w:type="dxa"/>
            </w:tcMar>
            <w:vAlign w:val="center"/>
          </w:tcPr>
          <w:p w14:paraId="4CF47A68">
            <w:pPr>
              <w:pStyle w:val="307"/>
              <w:rPr>
                <w:kern w:val="0"/>
                <w:lang w:val="en-US"/>
              </w:rPr>
            </w:pPr>
            <w:r>
              <w:rPr>
                <w:kern w:val="0"/>
                <w:lang w:val="en-US"/>
              </w:rPr>
              <w:t>d</w:t>
            </w:r>
          </w:p>
        </w:tc>
        <w:tc>
          <w:tcPr>
            <w:tcW w:w="4678" w:type="dxa"/>
            <w:tcMar>
              <w:left w:w="28" w:type="dxa"/>
              <w:right w:w="28" w:type="dxa"/>
            </w:tcMar>
            <w:vAlign w:val="center"/>
          </w:tcPr>
          <w:p w14:paraId="5A08CF2E">
            <w:pPr>
              <w:pStyle w:val="307"/>
              <w:rPr>
                <w:kern w:val="0"/>
                <w:lang w:val="en-US"/>
              </w:rPr>
            </w:pPr>
            <w:r>
              <w:rPr>
                <w:kern w:val="0"/>
                <w:lang w:val="en-US"/>
              </w:rPr>
              <w:t>根据HJ 2.3判断属于水文要素影响型且地表水评价等级不低</w:t>
            </w:r>
            <w:r>
              <w:rPr>
                <w:rFonts w:hint="eastAsia"/>
                <w:kern w:val="0"/>
                <w:lang w:val="en-US"/>
              </w:rPr>
              <w:t>于</w:t>
            </w:r>
            <w:r>
              <w:rPr>
                <w:kern w:val="0"/>
                <w:lang w:val="en-US"/>
              </w:rPr>
              <w:t>二级，生态影响评价等级不低于二级；</w:t>
            </w:r>
          </w:p>
        </w:tc>
        <w:tc>
          <w:tcPr>
            <w:tcW w:w="1990" w:type="dxa"/>
            <w:tcMar>
              <w:left w:w="28" w:type="dxa"/>
              <w:right w:w="28" w:type="dxa"/>
            </w:tcMar>
            <w:vAlign w:val="center"/>
          </w:tcPr>
          <w:p w14:paraId="1F010B07">
            <w:pPr>
              <w:pStyle w:val="307"/>
              <w:rPr>
                <w:kern w:val="0"/>
                <w:lang w:val="en-US"/>
              </w:rPr>
            </w:pPr>
            <w:r>
              <w:rPr>
                <w:rFonts w:hint="eastAsia"/>
                <w:kern w:val="0"/>
                <w:lang w:val="en-US"/>
              </w:rPr>
              <w:t>不属于</w:t>
            </w:r>
          </w:p>
        </w:tc>
        <w:tc>
          <w:tcPr>
            <w:tcW w:w="788" w:type="dxa"/>
            <w:tcMar>
              <w:left w:w="28" w:type="dxa"/>
              <w:right w:w="28" w:type="dxa"/>
            </w:tcMar>
            <w:vAlign w:val="center"/>
          </w:tcPr>
          <w:p w14:paraId="0610D3ED">
            <w:pPr>
              <w:pStyle w:val="307"/>
              <w:rPr>
                <w:kern w:val="0"/>
                <w:lang w:val="en-US"/>
              </w:rPr>
            </w:pPr>
            <w:r>
              <w:rPr>
                <w:rFonts w:hint="eastAsia"/>
                <w:kern w:val="0"/>
                <w:lang w:val="en-US"/>
              </w:rPr>
              <w:t>/</w:t>
            </w:r>
          </w:p>
        </w:tc>
      </w:tr>
      <w:tr w14:paraId="21D7D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tcPr>
          <w:p w14:paraId="4279A04B">
            <w:pPr>
              <w:pStyle w:val="307"/>
              <w:rPr>
                <w:kern w:val="0"/>
                <w:lang w:val="en-US"/>
              </w:rPr>
            </w:pPr>
          </w:p>
        </w:tc>
        <w:tc>
          <w:tcPr>
            <w:tcW w:w="419" w:type="dxa"/>
            <w:tcMar>
              <w:left w:w="28" w:type="dxa"/>
              <w:right w:w="28" w:type="dxa"/>
            </w:tcMar>
            <w:vAlign w:val="center"/>
          </w:tcPr>
          <w:p w14:paraId="4F074745">
            <w:pPr>
              <w:pStyle w:val="307"/>
              <w:rPr>
                <w:kern w:val="0"/>
                <w:lang w:val="en-US"/>
              </w:rPr>
            </w:pPr>
            <w:r>
              <w:rPr>
                <w:kern w:val="0"/>
                <w:lang w:val="en-US"/>
              </w:rPr>
              <w:t>e</w:t>
            </w:r>
          </w:p>
        </w:tc>
        <w:tc>
          <w:tcPr>
            <w:tcW w:w="4678" w:type="dxa"/>
            <w:tcMar>
              <w:left w:w="28" w:type="dxa"/>
              <w:right w:w="28" w:type="dxa"/>
            </w:tcMar>
            <w:vAlign w:val="center"/>
          </w:tcPr>
          <w:p w14:paraId="6545FCBA">
            <w:pPr>
              <w:pStyle w:val="307"/>
              <w:rPr>
                <w:kern w:val="0"/>
                <w:lang w:val="en-US"/>
              </w:rPr>
            </w:pPr>
            <w:r>
              <w:rPr>
                <w:kern w:val="0"/>
                <w:lang w:val="en-US"/>
              </w:rPr>
              <w:t>根据HJ 610、HJ 964判断地下水水位或土壤影响范围内分布有天然林、公益林、湿地等生态保护目标的建设项目，生态影响评价等级不低于二级；</w:t>
            </w:r>
          </w:p>
        </w:tc>
        <w:tc>
          <w:tcPr>
            <w:tcW w:w="1990" w:type="dxa"/>
            <w:tcMar>
              <w:left w:w="28" w:type="dxa"/>
              <w:right w:w="28" w:type="dxa"/>
            </w:tcMar>
            <w:vAlign w:val="center"/>
          </w:tcPr>
          <w:p w14:paraId="48FD6388">
            <w:pPr>
              <w:pStyle w:val="307"/>
              <w:rPr>
                <w:kern w:val="0"/>
                <w:lang w:val="en-US"/>
              </w:rPr>
            </w:pPr>
            <w:r>
              <w:rPr>
                <w:rFonts w:hint="eastAsia"/>
                <w:kern w:val="0"/>
                <w:lang w:val="en-US"/>
              </w:rPr>
              <w:t>涉及</w:t>
            </w:r>
          </w:p>
        </w:tc>
        <w:tc>
          <w:tcPr>
            <w:tcW w:w="788" w:type="dxa"/>
            <w:tcMar>
              <w:left w:w="28" w:type="dxa"/>
              <w:right w:w="28" w:type="dxa"/>
            </w:tcMar>
            <w:vAlign w:val="center"/>
          </w:tcPr>
          <w:p w14:paraId="3BE02AD4">
            <w:pPr>
              <w:pStyle w:val="307"/>
              <w:rPr>
                <w:kern w:val="0"/>
                <w:lang w:val="en-US"/>
              </w:rPr>
            </w:pPr>
            <w:r>
              <w:rPr>
                <w:rFonts w:hint="eastAsia"/>
                <w:kern w:val="0"/>
                <w:lang w:val="en-US"/>
              </w:rPr>
              <w:t>二级</w:t>
            </w:r>
          </w:p>
        </w:tc>
      </w:tr>
      <w:tr w14:paraId="25922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tcPr>
          <w:p w14:paraId="70BA9029">
            <w:pPr>
              <w:pStyle w:val="307"/>
              <w:rPr>
                <w:kern w:val="0"/>
                <w:lang w:val="en-US"/>
              </w:rPr>
            </w:pPr>
          </w:p>
        </w:tc>
        <w:tc>
          <w:tcPr>
            <w:tcW w:w="419" w:type="dxa"/>
            <w:tcMar>
              <w:left w:w="28" w:type="dxa"/>
              <w:right w:w="28" w:type="dxa"/>
            </w:tcMar>
            <w:vAlign w:val="center"/>
          </w:tcPr>
          <w:p w14:paraId="40396AC2">
            <w:pPr>
              <w:pStyle w:val="307"/>
              <w:rPr>
                <w:kern w:val="0"/>
                <w:lang w:val="en-US"/>
              </w:rPr>
            </w:pPr>
            <w:r>
              <w:rPr>
                <w:kern w:val="0"/>
                <w:lang w:val="en-US"/>
              </w:rPr>
              <w:t>f</w:t>
            </w:r>
          </w:p>
        </w:tc>
        <w:tc>
          <w:tcPr>
            <w:tcW w:w="4678" w:type="dxa"/>
            <w:tcMar>
              <w:left w:w="28" w:type="dxa"/>
              <w:right w:w="28" w:type="dxa"/>
            </w:tcMar>
            <w:vAlign w:val="center"/>
          </w:tcPr>
          <w:p w14:paraId="75C163AC">
            <w:pPr>
              <w:pStyle w:val="307"/>
              <w:rPr>
                <w:kern w:val="0"/>
                <w:lang w:val="en-US"/>
              </w:rPr>
            </w:pPr>
            <w:r>
              <w:rPr>
                <w:kern w:val="0"/>
                <w:lang w:val="en-US"/>
              </w:rPr>
              <w:t>当工程占地面积大于20km</w:t>
            </w:r>
            <w:r>
              <w:rPr>
                <w:kern w:val="0"/>
                <w:vertAlign w:val="superscript"/>
                <w:lang w:val="en-US"/>
              </w:rPr>
              <w:t>2</w:t>
            </w:r>
            <w:r>
              <w:rPr>
                <w:kern w:val="0"/>
                <w:lang w:val="en-US"/>
              </w:rPr>
              <w:t>时（包括永久和临时占用陆域和水域），评价等级不低于二级；改扩建项目的占地范围以新增占地（包括陆域和水域）确定；</w:t>
            </w:r>
          </w:p>
        </w:tc>
        <w:tc>
          <w:tcPr>
            <w:tcW w:w="1990" w:type="dxa"/>
            <w:tcMar>
              <w:left w:w="28" w:type="dxa"/>
              <w:right w:w="28" w:type="dxa"/>
            </w:tcMar>
            <w:vAlign w:val="center"/>
          </w:tcPr>
          <w:p w14:paraId="1719BD77">
            <w:pPr>
              <w:pStyle w:val="307"/>
              <w:rPr>
                <w:kern w:val="0"/>
                <w:lang w:val="en-US"/>
              </w:rPr>
            </w:pPr>
            <w:r>
              <w:rPr>
                <w:rFonts w:hint="eastAsia"/>
                <w:kern w:val="0"/>
                <w:lang w:val="en-US"/>
              </w:rPr>
              <w:t>不属于</w:t>
            </w:r>
          </w:p>
        </w:tc>
        <w:tc>
          <w:tcPr>
            <w:tcW w:w="788" w:type="dxa"/>
            <w:tcMar>
              <w:left w:w="28" w:type="dxa"/>
              <w:right w:w="28" w:type="dxa"/>
            </w:tcMar>
            <w:vAlign w:val="center"/>
          </w:tcPr>
          <w:p w14:paraId="51863AFF">
            <w:pPr>
              <w:pStyle w:val="307"/>
              <w:rPr>
                <w:kern w:val="0"/>
                <w:lang w:val="en-US"/>
              </w:rPr>
            </w:pPr>
            <w:r>
              <w:rPr>
                <w:rFonts w:hint="eastAsia"/>
                <w:kern w:val="0"/>
                <w:lang w:val="en-US"/>
              </w:rPr>
              <w:t>/</w:t>
            </w:r>
          </w:p>
        </w:tc>
      </w:tr>
      <w:tr w14:paraId="26669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tcPr>
          <w:p w14:paraId="740A7F6D">
            <w:pPr>
              <w:pStyle w:val="307"/>
              <w:rPr>
                <w:kern w:val="0"/>
                <w:lang w:val="en-US"/>
              </w:rPr>
            </w:pPr>
          </w:p>
        </w:tc>
        <w:tc>
          <w:tcPr>
            <w:tcW w:w="419" w:type="dxa"/>
            <w:tcMar>
              <w:left w:w="28" w:type="dxa"/>
              <w:right w:w="28" w:type="dxa"/>
            </w:tcMar>
            <w:vAlign w:val="center"/>
          </w:tcPr>
          <w:p w14:paraId="51C77547">
            <w:pPr>
              <w:pStyle w:val="307"/>
              <w:rPr>
                <w:kern w:val="0"/>
                <w:lang w:val="en-US"/>
              </w:rPr>
            </w:pPr>
            <w:r>
              <w:rPr>
                <w:kern w:val="0"/>
                <w:lang w:val="en-US"/>
              </w:rPr>
              <w:t>g</w:t>
            </w:r>
          </w:p>
        </w:tc>
        <w:tc>
          <w:tcPr>
            <w:tcW w:w="4678" w:type="dxa"/>
            <w:tcMar>
              <w:left w:w="28" w:type="dxa"/>
              <w:right w:w="28" w:type="dxa"/>
            </w:tcMar>
            <w:vAlign w:val="center"/>
          </w:tcPr>
          <w:p w14:paraId="6BEB0838">
            <w:pPr>
              <w:pStyle w:val="307"/>
              <w:rPr>
                <w:kern w:val="0"/>
                <w:lang w:val="en-US"/>
              </w:rPr>
            </w:pPr>
            <w:r>
              <w:rPr>
                <w:kern w:val="0"/>
                <w:lang w:val="en-US"/>
              </w:rPr>
              <w:t>除本条a、b、c、d、e、f以外的情况，评价等级为三级；</w:t>
            </w:r>
          </w:p>
        </w:tc>
        <w:tc>
          <w:tcPr>
            <w:tcW w:w="1990" w:type="dxa"/>
            <w:tcMar>
              <w:left w:w="28" w:type="dxa"/>
              <w:right w:w="28" w:type="dxa"/>
            </w:tcMar>
            <w:vAlign w:val="center"/>
          </w:tcPr>
          <w:p w14:paraId="32A74DF9">
            <w:pPr>
              <w:pStyle w:val="307"/>
              <w:rPr>
                <w:kern w:val="0"/>
                <w:lang w:val="en-US"/>
              </w:rPr>
            </w:pPr>
            <w:r>
              <w:rPr>
                <w:rFonts w:hint="eastAsia"/>
                <w:kern w:val="0"/>
                <w:lang w:val="en-US"/>
              </w:rPr>
              <w:t>不</w:t>
            </w:r>
            <w:r>
              <w:rPr>
                <w:kern w:val="0"/>
                <w:lang w:val="en-US"/>
              </w:rPr>
              <w:t>属于除a、b、c、d、e、f以外的情况</w:t>
            </w:r>
          </w:p>
        </w:tc>
        <w:tc>
          <w:tcPr>
            <w:tcW w:w="788" w:type="dxa"/>
            <w:tcMar>
              <w:left w:w="28" w:type="dxa"/>
              <w:right w:w="28" w:type="dxa"/>
            </w:tcMar>
            <w:vAlign w:val="center"/>
          </w:tcPr>
          <w:p w14:paraId="57670639">
            <w:pPr>
              <w:pStyle w:val="307"/>
              <w:rPr>
                <w:kern w:val="0"/>
                <w:lang w:val="en-US"/>
              </w:rPr>
            </w:pPr>
            <w:r>
              <w:rPr>
                <w:rFonts w:hint="eastAsia"/>
                <w:kern w:val="0"/>
                <w:lang w:val="en-US"/>
              </w:rPr>
              <w:t>/</w:t>
            </w:r>
          </w:p>
        </w:tc>
      </w:tr>
      <w:tr w14:paraId="67887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tcPr>
          <w:p w14:paraId="49D9E1F8">
            <w:pPr>
              <w:pStyle w:val="307"/>
              <w:rPr>
                <w:kern w:val="0"/>
                <w:lang w:val="en-US"/>
              </w:rPr>
            </w:pPr>
          </w:p>
        </w:tc>
        <w:tc>
          <w:tcPr>
            <w:tcW w:w="419" w:type="dxa"/>
            <w:tcMar>
              <w:left w:w="28" w:type="dxa"/>
              <w:right w:w="28" w:type="dxa"/>
            </w:tcMar>
            <w:vAlign w:val="center"/>
          </w:tcPr>
          <w:p w14:paraId="46BEBD69">
            <w:pPr>
              <w:pStyle w:val="307"/>
              <w:rPr>
                <w:kern w:val="0"/>
                <w:lang w:val="en-US"/>
              </w:rPr>
            </w:pPr>
            <w:r>
              <w:rPr>
                <w:kern w:val="0"/>
                <w:lang w:val="en-US"/>
              </w:rPr>
              <w:t>h</w:t>
            </w:r>
          </w:p>
        </w:tc>
        <w:tc>
          <w:tcPr>
            <w:tcW w:w="4678" w:type="dxa"/>
            <w:tcMar>
              <w:left w:w="28" w:type="dxa"/>
              <w:right w:w="28" w:type="dxa"/>
            </w:tcMar>
            <w:vAlign w:val="center"/>
          </w:tcPr>
          <w:p w14:paraId="1E754894">
            <w:pPr>
              <w:pStyle w:val="307"/>
              <w:rPr>
                <w:kern w:val="0"/>
                <w:lang w:val="en-US"/>
              </w:rPr>
            </w:pPr>
            <w:r>
              <w:rPr>
                <w:kern w:val="0"/>
                <w:lang w:val="en-US"/>
              </w:rPr>
              <w:t>当评价等级判定同时符合上述多重情况</w:t>
            </w:r>
            <w:r>
              <w:rPr>
                <w:rFonts w:hint="eastAsia"/>
                <w:kern w:val="0"/>
                <w:lang w:val="en-US"/>
              </w:rPr>
              <w:t>时</w:t>
            </w:r>
            <w:r>
              <w:rPr>
                <w:kern w:val="0"/>
                <w:lang w:val="en-US"/>
              </w:rPr>
              <w:t>，应采用其中最高的评价等级</w:t>
            </w:r>
          </w:p>
        </w:tc>
        <w:tc>
          <w:tcPr>
            <w:tcW w:w="1990" w:type="dxa"/>
            <w:tcMar>
              <w:left w:w="28" w:type="dxa"/>
              <w:right w:w="28" w:type="dxa"/>
            </w:tcMar>
            <w:vAlign w:val="center"/>
          </w:tcPr>
          <w:p w14:paraId="146E0AAB">
            <w:pPr>
              <w:pStyle w:val="307"/>
              <w:rPr>
                <w:kern w:val="0"/>
                <w:lang w:val="en-US"/>
              </w:rPr>
            </w:pPr>
            <w:r>
              <w:rPr>
                <w:kern w:val="0"/>
                <w:lang w:val="en-US"/>
              </w:rPr>
              <w:t>属于</w:t>
            </w:r>
            <w:r>
              <w:rPr>
                <w:rFonts w:hint="eastAsia"/>
                <w:kern w:val="0"/>
                <w:lang w:val="en-US"/>
              </w:rPr>
              <w:t>b、c、d、e</w:t>
            </w:r>
            <w:r>
              <w:rPr>
                <w:kern w:val="0"/>
                <w:lang w:val="en-US"/>
              </w:rPr>
              <w:t>类</w:t>
            </w:r>
            <w:r>
              <w:rPr>
                <w:rFonts w:hint="eastAsia"/>
                <w:kern w:val="0"/>
                <w:lang w:val="en-US"/>
              </w:rPr>
              <w:t>，最高评价等级为二级</w:t>
            </w:r>
          </w:p>
        </w:tc>
        <w:tc>
          <w:tcPr>
            <w:tcW w:w="788" w:type="dxa"/>
            <w:tcMar>
              <w:left w:w="28" w:type="dxa"/>
              <w:right w:w="28" w:type="dxa"/>
            </w:tcMar>
            <w:vAlign w:val="center"/>
          </w:tcPr>
          <w:p w14:paraId="5C9BFEBD">
            <w:pPr>
              <w:pStyle w:val="307"/>
              <w:rPr>
                <w:kern w:val="0"/>
                <w:lang w:val="en-US"/>
              </w:rPr>
            </w:pPr>
            <w:r>
              <w:rPr>
                <w:rFonts w:hint="eastAsia"/>
                <w:kern w:val="0"/>
                <w:lang w:val="en-US"/>
              </w:rPr>
              <w:t>二级</w:t>
            </w:r>
          </w:p>
        </w:tc>
      </w:tr>
      <w:tr w14:paraId="2D1C5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restart"/>
            <w:vAlign w:val="center"/>
          </w:tcPr>
          <w:p w14:paraId="784FCDA9">
            <w:pPr>
              <w:pStyle w:val="307"/>
              <w:rPr>
                <w:kern w:val="0"/>
                <w:lang w:val="en-US"/>
              </w:rPr>
            </w:pPr>
            <w:r>
              <w:rPr>
                <w:rFonts w:hint="eastAsia"/>
                <w:kern w:val="0"/>
                <w:lang w:val="en-US"/>
              </w:rPr>
              <w:t>等级调整</w:t>
            </w:r>
          </w:p>
        </w:tc>
        <w:tc>
          <w:tcPr>
            <w:tcW w:w="419" w:type="dxa"/>
            <w:tcMar>
              <w:left w:w="28" w:type="dxa"/>
              <w:right w:w="28" w:type="dxa"/>
            </w:tcMar>
            <w:vAlign w:val="center"/>
          </w:tcPr>
          <w:p w14:paraId="2891C854">
            <w:pPr>
              <w:pStyle w:val="307"/>
              <w:rPr>
                <w:kern w:val="0"/>
                <w:lang w:val="en-US"/>
              </w:rPr>
            </w:pPr>
            <w:r>
              <w:rPr>
                <w:rFonts w:hint="eastAsia"/>
                <w:kern w:val="0"/>
                <w:lang w:val="en-US"/>
              </w:rPr>
              <w:t>1</w:t>
            </w:r>
          </w:p>
        </w:tc>
        <w:tc>
          <w:tcPr>
            <w:tcW w:w="4678" w:type="dxa"/>
            <w:tcMar>
              <w:left w:w="28" w:type="dxa"/>
              <w:right w:w="28" w:type="dxa"/>
            </w:tcMar>
            <w:vAlign w:val="center"/>
          </w:tcPr>
          <w:p w14:paraId="7BBF02C6">
            <w:pPr>
              <w:pStyle w:val="307"/>
              <w:rPr>
                <w:kern w:val="0"/>
                <w:lang w:val="en-US"/>
              </w:rPr>
            </w:pPr>
            <w:r>
              <w:rPr>
                <w:rFonts w:hint="eastAsia"/>
                <w:kern w:val="0"/>
                <w:lang w:val="en-US"/>
              </w:rPr>
              <w:t>建设项目涉及经论证对保护生物多样性具有重要意义的区域时，可适当上调评价等级。</w:t>
            </w:r>
          </w:p>
        </w:tc>
        <w:tc>
          <w:tcPr>
            <w:tcW w:w="1990" w:type="dxa"/>
            <w:tcMar>
              <w:left w:w="28" w:type="dxa"/>
              <w:right w:w="28" w:type="dxa"/>
            </w:tcMar>
            <w:vAlign w:val="center"/>
          </w:tcPr>
          <w:p w14:paraId="69DA51F9">
            <w:pPr>
              <w:pStyle w:val="307"/>
              <w:rPr>
                <w:kern w:val="0"/>
                <w:lang w:val="en-US"/>
              </w:rPr>
            </w:pPr>
            <w:r>
              <w:rPr>
                <w:rFonts w:hint="eastAsia"/>
                <w:kern w:val="0"/>
                <w:lang w:val="en-US"/>
              </w:rPr>
              <w:t>不涉及该情形</w:t>
            </w:r>
          </w:p>
        </w:tc>
        <w:tc>
          <w:tcPr>
            <w:tcW w:w="788" w:type="dxa"/>
            <w:tcMar>
              <w:left w:w="28" w:type="dxa"/>
              <w:right w:w="28" w:type="dxa"/>
            </w:tcMar>
            <w:vAlign w:val="center"/>
          </w:tcPr>
          <w:p w14:paraId="7787BAF5">
            <w:pPr>
              <w:pStyle w:val="307"/>
              <w:rPr>
                <w:kern w:val="0"/>
                <w:lang w:val="en-US"/>
              </w:rPr>
            </w:pPr>
            <w:r>
              <w:rPr>
                <w:rFonts w:hint="eastAsia"/>
                <w:kern w:val="0"/>
                <w:lang w:val="en-US"/>
              </w:rPr>
              <w:t>/</w:t>
            </w:r>
          </w:p>
        </w:tc>
      </w:tr>
      <w:tr w14:paraId="61F88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tcPr>
          <w:p w14:paraId="329E57A7">
            <w:pPr>
              <w:pStyle w:val="307"/>
              <w:rPr>
                <w:kern w:val="0"/>
                <w:lang w:val="en-US"/>
              </w:rPr>
            </w:pPr>
          </w:p>
        </w:tc>
        <w:tc>
          <w:tcPr>
            <w:tcW w:w="419" w:type="dxa"/>
            <w:tcMar>
              <w:left w:w="28" w:type="dxa"/>
              <w:right w:w="28" w:type="dxa"/>
            </w:tcMar>
            <w:vAlign w:val="center"/>
          </w:tcPr>
          <w:p w14:paraId="7F957057">
            <w:pPr>
              <w:pStyle w:val="307"/>
              <w:rPr>
                <w:kern w:val="0"/>
                <w:lang w:val="en-US"/>
              </w:rPr>
            </w:pPr>
            <w:r>
              <w:rPr>
                <w:rFonts w:hint="eastAsia"/>
                <w:kern w:val="0"/>
                <w:lang w:val="en-US"/>
              </w:rPr>
              <w:t>2</w:t>
            </w:r>
          </w:p>
        </w:tc>
        <w:tc>
          <w:tcPr>
            <w:tcW w:w="4678" w:type="dxa"/>
            <w:tcMar>
              <w:left w:w="28" w:type="dxa"/>
              <w:right w:w="28" w:type="dxa"/>
            </w:tcMar>
            <w:vAlign w:val="center"/>
          </w:tcPr>
          <w:p w14:paraId="2303AF2C">
            <w:pPr>
              <w:pStyle w:val="307"/>
              <w:rPr>
                <w:kern w:val="0"/>
                <w:lang w:val="en-US"/>
              </w:rPr>
            </w:pPr>
            <w:r>
              <w:rPr>
                <w:rFonts w:hint="eastAsia"/>
                <w:kern w:val="0"/>
                <w:lang w:val="en-US"/>
              </w:rPr>
              <w:t>在矿山开采可能导致矿区土地利用类型明显改变，或拦河闸坝建设可能明显改变水文情势等情况下，评价等级应上调一级。</w:t>
            </w:r>
          </w:p>
        </w:tc>
        <w:tc>
          <w:tcPr>
            <w:tcW w:w="1990" w:type="dxa"/>
            <w:tcMar>
              <w:left w:w="28" w:type="dxa"/>
              <w:right w:w="28" w:type="dxa"/>
            </w:tcMar>
            <w:vAlign w:val="center"/>
          </w:tcPr>
          <w:p w14:paraId="5F63DE4F">
            <w:pPr>
              <w:pStyle w:val="307"/>
              <w:rPr>
                <w:kern w:val="0"/>
                <w:lang w:val="en-US"/>
              </w:rPr>
            </w:pPr>
            <w:r>
              <w:rPr>
                <w:rFonts w:hint="eastAsia"/>
                <w:kern w:val="0"/>
                <w:lang w:val="en-US"/>
              </w:rPr>
              <w:t>不涉及该情形</w:t>
            </w:r>
          </w:p>
        </w:tc>
        <w:tc>
          <w:tcPr>
            <w:tcW w:w="788" w:type="dxa"/>
            <w:tcMar>
              <w:left w:w="28" w:type="dxa"/>
              <w:right w:w="28" w:type="dxa"/>
            </w:tcMar>
            <w:vAlign w:val="center"/>
          </w:tcPr>
          <w:p w14:paraId="155466CD">
            <w:pPr>
              <w:pStyle w:val="307"/>
              <w:rPr>
                <w:kern w:val="0"/>
                <w:lang w:val="en-US"/>
              </w:rPr>
            </w:pPr>
            <w:r>
              <w:rPr>
                <w:rFonts w:hint="eastAsia"/>
                <w:kern w:val="0"/>
                <w:lang w:val="en-US"/>
              </w:rPr>
              <w:t>/</w:t>
            </w:r>
          </w:p>
        </w:tc>
      </w:tr>
      <w:tr w14:paraId="1FD97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tcPr>
          <w:p w14:paraId="15962381">
            <w:pPr>
              <w:pStyle w:val="307"/>
              <w:rPr>
                <w:kern w:val="0"/>
                <w:lang w:val="en-US"/>
              </w:rPr>
            </w:pPr>
          </w:p>
        </w:tc>
        <w:tc>
          <w:tcPr>
            <w:tcW w:w="419" w:type="dxa"/>
            <w:tcMar>
              <w:left w:w="28" w:type="dxa"/>
              <w:right w:w="28" w:type="dxa"/>
            </w:tcMar>
            <w:vAlign w:val="center"/>
          </w:tcPr>
          <w:p w14:paraId="3BDCB84C">
            <w:pPr>
              <w:pStyle w:val="307"/>
              <w:rPr>
                <w:kern w:val="0"/>
                <w:lang w:val="en-US"/>
              </w:rPr>
            </w:pPr>
            <w:r>
              <w:rPr>
                <w:rFonts w:hint="eastAsia"/>
                <w:kern w:val="0"/>
                <w:lang w:val="en-US"/>
              </w:rPr>
              <w:t>3</w:t>
            </w:r>
          </w:p>
        </w:tc>
        <w:tc>
          <w:tcPr>
            <w:tcW w:w="4678" w:type="dxa"/>
            <w:tcMar>
              <w:left w:w="28" w:type="dxa"/>
              <w:right w:w="28" w:type="dxa"/>
            </w:tcMar>
            <w:vAlign w:val="center"/>
          </w:tcPr>
          <w:p w14:paraId="1D970A70">
            <w:pPr>
              <w:pStyle w:val="307"/>
              <w:rPr>
                <w:kern w:val="0"/>
                <w:lang w:val="en-US"/>
              </w:rPr>
            </w:pPr>
            <w:r>
              <w:rPr>
                <w:rFonts w:hint="eastAsia"/>
                <w:kern w:val="0"/>
                <w:lang w:val="en-US"/>
              </w:rPr>
              <w:t>线性工程可分段确定评价等级。线性工程地下穿越或地表跨越生态敏感区，在生态敏感区范围内无永久、临时占地时，评价等级可下调一级。</w:t>
            </w:r>
          </w:p>
        </w:tc>
        <w:tc>
          <w:tcPr>
            <w:tcW w:w="1990" w:type="dxa"/>
            <w:tcMar>
              <w:left w:w="28" w:type="dxa"/>
              <w:right w:w="28" w:type="dxa"/>
            </w:tcMar>
            <w:vAlign w:val="center"/>
          </w:tcPr>
          <w:p w14:paraId="46782176">
            <w:pPr>
              <w:pStyle w:val="307"/>
              <w:rPr>
                <w:kern w:val="0"/>
                <w:lang w:val="en-US"/>
              </w:rPr>
            </w:pPr>
            <w:r>
              <w:rPr>
                <w:rFonts w:hint="eastAsia"/>
                <w:kern w:val="0"/>
                <w:lang w:val="en-US"/>
              </w:rPr>
              <w:t>不涉及该情形</w:t>
            </w:r>
          </w:p>
        </w:tc>
        <w:tc>
          <w:tcPr>
            <w:tcW w:w="788" w:type="dxa"/>
            <w:tcMar>
              <w:left w:w="28" w:type="dxa"/>
              <w:right w:w="28" w:type="dxa"/>
            </w:tcMar>
            <w:vAlign w:val="center"/>
          </w:tcPr>
          <w:p w14:paraId="09A87D3E">
            <w:pPr>
              <w:pStyle w:val="307"/>
              <w:rPr>
                <w:kern w:val="0"/>
                <w:lang w:val="en-US"/>
              </w:rPr>
            </w:pPr>
            <w:r>
              <w:rPr>
                <w:rFonts w:hint="eastAsia"/>
                <w:kern w:val="0"/>
                <w:lang w:val="en-US"/>
              </w:rPr>
              <w:t>/</w:t>
            </w:r>
          </w:p>
        </w:tc>
      </w:tr>
      <w:tr w14:paraId="5EECB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tcPr>
          <w:p w14:paraId="73D26B57">
            <w:pPr>
              <w:pStyle w:val="307"/>
              <w:rPr>
                <w:kern w:val="0"/>
                <w:lang w:val="en-US"/>
              </w:rPr>
            </w:pPr>
          </w:p>
        </w:tc>
        <w:tc>
          <w:tcPr>
            <w:tcW w:w="419" w:type="dxa"/>
            <w:tcMar>
              <w:left w:w="28" w:type="dxa"/>
              <w:right w:w="28" w:type="dxa"/>
            </w:tcMar>
            <w:vAlign w:val="center"/>
          </w:tcPr>
          <w:p w14:paraId="6A6CD938">
            <w:pPr>
              <w:pStyle w:val="307"/>
              <w:rPr>
                <w:kern w:val="0"/>
                <w:lang w:val="en-US"/>
              </w:rPr>
            </w:pPr>
            <w:r>
              <w:rPr>
                <w:rFonts w:hint="eastAsia"/>
                <w:kern w:val="0"/>
                <w:lang w:val="en-US"/>
              </w:rPr>
              <w:t>4</w:t>
            </w:r>
          </w:p>
        </w:tc>
        <w:tc>
          <w:tcPr>
            <w:tcW w:w="4678" w:type="dxa"/>
            <w:tcMar>
              <w:left w:w="28" w:type="dxa"/>
              <w:right w:w="28" w:type="dxa"/>
            </w:tcMar>
            <w:vAlign w:val="center"/>
          </w:tcPr>
          <w:p w14:paraId="6CD639D8">
            <w:pPr>
              <w:pStyle w:val="307"/>
              <w:rPr>
                <w:kern w:val="0"/>
                <w:lang w:val="en-US"/>
              </w:rPr>
            </w:pPr>
            <w:r>
              <w:rPr>
                <w:rFonts w:hint="eastAsia"/>
                <w:kern w:val="0"/>
                <w:lang w:val="en-US"/>
              </w:rPr>
              <w:t>符合生态环境分区管控要求且位于原厂界（或永久用地）范围内的污染影响类改扩建项目，位于已批准规划环评的产业园区内且符合规划环评要求、不涉及生态敏感区的污染影响类建设项目，可不确定评价等级，直接进行生态影响简单分析。</w:t>
            </w:r>
          </w:p>
        </w:tc>
        <w:tc>
          <w:tcPr>
            <w:tcW w:w="1990" w:type="dxa"/>
            <w:tcMar>
              <w:left w:w="28" w:type="dxa"/>
              <w:right w:w="28" w:type="dxa"/>
            </w:tcMar>
            <w:vAlign w:val="center"/>
          </w:tcPr>
          <w:p w14:paraId="71760103">
            <w:pPr>
              <w:pStyle w:val="307"/>
              <w:rPr>
                <w:kern w:val="0"/>
                <w:lang w:val="en-US"/>
              </w:rPr>
            </w:pPr>
            <w:r>
              <w:rPr>
                <w:rFonts w:hint="eastAsia"/>
                <w:kern w:val="0"/>
                <w:lang w:val="en-US"/>
              </w:rPr>
              <w:t>不涉及该情形</w:t>
            </w:r>
          </w:p>
        </w:tc>
        <w:tc>
          <w:tcPr>
            <w:tcW w:w="788" w:type="dxa"/>
            <w:tcMar>
              <w:left w:w="28" w:type="dxa"/>
              <w:right w:w="28" w:type="dxa"/>
            </w:tcMar>
            <w:vAlign w:val="center"/>
          </w:tcPr>
          <w:p w14:paraId="5711BF82">
            <w:pPr>
              <w:pStyle w:val="307"/>
              <w:rPr>
                <w:kern w:val="0"/>
                <w:lang w:val="en-US"/>
              </w:rPr>
            </w:pPr>
            <w:r>
              <w:rPr>
                <w:rFonts w:hint="eastAsia"/>
                <w:kern w:val="0"/>
                <w:lang w:val="en-US"/>
              </w:rPr>
              <w:t>/</w:t>
            </w:r>
          </w:p>
        </w:tc>
      </w:tr>
      <w:tr w14:paraId="58F12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tcPr>
          <w:p w14:paraId="3AF3AF20">
            <w:pPr>
              <w:pStyle w:val="307"/>
              <w:rPr>
                <w:kern w:val="0"/>
                <w:lang w:val="en-US"/>
              </w:rPr>
            </w:pPr>
            <w:r>
              <w:rPr>
                <w:rFonts w:hint="eastAsia"/>
                <w:kern w:val="0"/>
                <w:lang w:val="en-US"/>
              </w:rPr>
              <w:t>等级判定</w:t>
            </w:r>
          </w:p>
        </w:tc>
        <w:tc>
          <w:tcPr>
            <w:tcW w:w="7087" w:type="dxa"/>
            <w:gridSpan w:val="3"/>
            <w:tcMar>
              <w:left w:w="28" w:type="dxa"/>
              <w:right w:w="28" w:type="dxa"/>
            </w:tcMar>
            <w:vAlign w:val="center"/>
          </w:tcPr>
          <w:p w14:paraId="3192218A">
            <w:pPr>
              <w:pStyle w:val="307"/>
              <w:rPr>
                <w:kern w:val="0"/>
                <w:lang w:val="en-US"/>
              </w:rPr>
            </w:pPr>
            <w:r>
              <w:rPr>
                <w:rFonts w:hint="eastAsia"/>
                <w:kern w:val="0"/>
                <w:lang w:val="en-US"/>
              </w:rPr>
              <w:t>项目涉及</w:t>
            </w:r>
            <w:r>
              <w:rPr>
                <w:kern w:val="0"/>
                <w:lang w:val="en-US"/>
              </w:rPr>
              <w:t>自然</w:t>
            </w:r>
            <w:r>
              <w:rPr>
                <w:rFonts w:hint="eastAsia"/>
                <w:kern w:val="0"/>
                <w:lang w:val="en-US"/>
              </w:rPr>
              <w:t>公园、生态保护红线，不涉及等级调整情形</w:t>
            </w:r>
          </w:p>
        </w:tc>
        <w:tc>
          <w:tcPr>
            <w:tcW w:w="788" w:type="dxa"/>
            <w:tcMar>
              <w:left w:w="28" w:type="dxa"/>
              <w:right w:w="28" w:type="dxa"/>
            </w:tcMar>
            <w:vAlign w:val="center"/>
          </w:tcPr>
          <w:p w14:paraId="4E1D667A">
            <w:pPr>
              <w:pStyle w:val="307"/>
              <w:rPr>
                <w:kern w:val="0"/>
                <w:lang w:val="en-US"/>
              </w:rPr>
            </w:pPr>
            <w:r>
              <w:rPr>
                <w:rFonts w:hint="eastAsia"/>
                <w:kern w:val="0"/>
                <w:lang w:val="en-US"/>
              </w:rPr>
              <w:t>二级</w:t>
            </w:r>
          </w:p>
        </w:tc>
      </w:tr>
    </w:tbl>
    <w:p w14:paraId="37026FE1">
      <w:pPr>
        <w:pStyle w:val="85"/>
        <w:ind w:firstLine="480"/>
        <w:rPr>
          <w:kern w:val="0"/>
        </w:rPr>
      </w:pPr>
      <w:r>
        <w:rPr>
          <w:rFonts w:hint="eastAsia"/>
          <w:kern w:val="0"/>
        </w:rPr>
        <w:t>本项目为湿地生态修复类项目，因项目涉及河北滦平潮河国家湿地公园、燕山水源涵养-生物多样性维护生态保护红线，</w:t>
      </w:r>
      <w:r>
        <w:rPr>
          <w:rFonts w:hint="eastAsia"/>
          <w:b/>
          <w:bCs/>
          <w:kern w:val="0"/>
        </w:rPr>
        <w:t>生态影响评价等级确定为二级</w:t>
      </w:r>
      <w:r>
        <w:rPr>
          <w:rFonts w:hint="eastAsia"/>
          <w:kern w:val="0"/>
        </w:rPr>
        <w:t>。</w:t>
      </w:r>
    </w:p>
    <w:p w14:paraId="10B83FB4">
      <w:pPr>
        <w:pStyle w:val="5"/>
      </w:pPr>
      <w:r>
        <w:rPr>
          <w:rFonts w:hint="eastAsia"/>
        </w:rPr>
        <w:t>土壤</w:t>
      </w:r>
      <w:r>
        <w:t>环境</w:t>
      </w:r>
    </w:p>
    <w:p w14:paraId="4262911F">
      <w:pPr>
        <w:pStyle w:val="85"/>
        <w:ind w:firstLine="480"/>
        <w:rPr>
          <w:kern w:val="0"/>
        </w:rPr>
      </w:pPr>
      <w:r>
        <w:rPr>
          <w:rFonts w:hint="eastAsia"/>
          <w:kern w:val="0"/>
        </w:rPr>
        <w:t>本项目可能</w:t>
      </w:r>
      <w:r>
        <w:rPr>
          <w:kern w:val="0"/>
        </w:rPr>
        <w:t>导致土壤性质发生变化，</w:t>
      </w:r>
      <w:r>
        <w:rPr>
          <w:rFonts w:hint="eastAsia"/>
          <w:kern w:val="0"/>
        </w:rPr>
        <w:t>为土壤</w:t>
      </w:r>
      <w:r>
        <w:rPr>
          <w:kern w:val="0"/>
        </w:rPr>
        <w:t>生态影响型</w:t>
      </w:r>
      <w:r>
        <w:rPr>
          <w:rFonts w:hint="eastAsia"/>
          <w:kern w:val="0"/>
        </w:rPr>
        <w:t>建设</w:t>
      </w:r>
      <w:r>
        <w:rPr>
          <w:kern w:val="0"/>
        </w:rPr>
        <w:t>项目</w:t>
      </w:r>
      <w:r>
        <w:rPr>
          <w:rFonts w:hint="eastAsia"/>
          <w:kern w:val="0"/>
        </w:rPr>
        <w:t>。</w:t>
      </w:r>
    </w:p>
    <w:p w14:paraId="7848B85C">
      <w:pPr>
        <w:pStyle w:val="85"/>
        <w:ind w:firstLine="480"/>
        <w:rPr>
          <w:kern w:val="0"/>
        </w:rPr>
      </w:pPr>
      <w:r>
        <w:rPr>
          <w:kern w:val="0"/>
        </w:rPr>
        <w:t>根据《环境影响评价技术导则 土壤环境（试行）》（HJ964-2018），土壤环境评价工作等级划分为一级、二级、三级。根据建设项目土壤环境影响评价项目类别与敏感程度，确定项目生态影响型土壤影响评价的工作等级。</w:t>
      </w:r>
    </w:p>
    <w:p w14:paraId="0F559D22">
      <w:pPr>
        <w:pStyle w:val="85"/>
        <w:ind w:firstLine="480"/>
      </w:pPr>
      <w:r>
        <w:rPr>
          <w:rFonts w:hint="eastAsia"/>
        </w:rPr>
        <w:t>①</w:t>
      </w:r>
      <w:r>
        <w:t>项目类别</w:t>
      </w:r>
    </w:p>
    <w:p w14:paraId="6279D43A">
      <w:pPr>
        <w:pStyle w:val="85"/>
        <w:ind w:firstLine="480"/>
      </w:pPr>
      <w:r>
        <w:t>对照《环境影响评价技术导则 土壤环境（试行）》（HJ964-2018）附录A，</w:t>
      </w:r>
      <w:r>
        <w:rPr>
          <w:rFonts w:hint="eastAsia"/>
        </w:rPr>
        <w:t>“水利</w:t>
      </w:r>
      <w:r>
        <w:t>-</w:t>
      </w:r>
      <w:r>
        <w:rPr>
          <w:rFonts w:hint="eastAsia"/>
        </w:rPr>
        <w:t>其他”</w:t>
      </w:r>
      <w:r>
        <w:t>属于</w:t>
      </w:r>
      <w:r>
        <w:rPr>
          <w:rFonts w:hint="eastAsia"/>
        </w:rPr>
        <w:t>Ⅲ类</w:t>
      </w:r>
      <w:r>
        <w:t>项目。</w:t>
      </w:r>
    </w:p>
    <w:p w14:paraId="76CF9BB8">
      <w:pPr>
        <w:pStyle w:val="85"/>
        <w:ind w:firstLine="480"/>
      </w:pPr>
      <w:r>
        <w:rPr>
          <w:rFonts w:hint="eastAsia"/>
        </w:rPr>
        <w:t>②</w:t>
      </w:r>
      <w:r>
        <w:t>生态影响型敏感程度</w:t>
      </w:r>
    </w:p>
    <w:p w14:paraId="1595DC34">
      <w:pPr>
        <w:pStyle w:val="17"/>
        <w:keepNext/>
        <w:tabs>
          <w:tab w:val="left" w:pos="1095"/>
        </w:tabs>
        <w:spacing w:line="520" w:lineRule="exact"/>
        <w:jc w:val="center"/>
        <w:rPr>
          <w:rFonts w:ascii="Times New Roman" w:hAnsi="Times New Roman"/>
          <w:kern w:val="0"/>
          <w:sz w:val="24"/>
          <w:szCs w:val="24"/>
        </w:rPr>
      </w:pPr>
      <w:r>
        <w:rPr>
          <w:rFonts w:ascii="Times New Roman" w:hAnsi="Times New Roman"/>
          <w:kern w:val="0"/>
          <w:sz w:val="24"/>
          <w:szCs w:val="24"/>
        </w:rPr>
        <w:t>表</w:t>
      </w:r>
      <w:r>
        <w:rPr>
          <w:rFonts w:ascii="Times New Roman" w:hAnsi="Times New Roman"/>
          <w:kern w:val="0"/>
          <w:sz w:val="24"/>
          <w:szCs w:val="24"/>
        </w:rPr>
        <w:fldChar w:fldCharType="begin"/>
      </w:r>
      <w:r>
        <w:rPr>
          <w:rFonts w:ascii="Times New Roman" w:hAnsi="Times New Roman"/>
          <w:kern w:val="0"/>
          <w:sz w:val="24"/>
          <w:szCs w:val="24"/>
        </w:rPr>
        <w:instrText xml:space="preserve"> STYLEREF 1 \s </w:instrText>
      </w:r>
      <w:r>
        <w:rPr>
          <w:rFonts w:ascii="Times New Roman" w:hAnsi="Times New Roman"/>
          <w:kern w:val="0"/>
          <w:sz w:val="24"/>
          <w:szCs w:val="24"/>
        </w:rPr>
        <w:fldChar w:fldCharType="separate"/>
      </w:r>
      <w:r>
        <w:rPr>
          <w:rFonts w:ascii="Times New Roman" w:hAnsi="Times New Roman"/>
          <w:kern w:val="0"/>
          <w:sz w:val="24"/>
          <w:szCs w:val="24"/>
        </w:rPr>
        <w:t>1</w:t>
      </w:r>
      <w:r>
        <w:rPr>
          <w:rFonts w:ascii="Times New Roman" w:hAnsi="Times New Roman"/>
          <w:kern w:val="0"/>
          <w:sz w:val="24"/>
          <w:szCs w:val="24"/>
        </w:rPr>
        <w:fldChar w:fldCharType="end"/>
      </w:r>
      <w:r>
        <w:rPr>
          <w:rFonts w:ascii="Times New Roman" w:hAnsi="Times New Roman"/>
          <w:kern w:val="0"/>
          <w:sz w:val="24"/>
          <w:szCs w:val="24"/>
        </w:rPr>
        <w:noBreakHyphen/>
      </w:r>
      <w:r>
        <w:rPr>
          <w:rFonts w:ascii="Times New Roman" w:hAnsi="Times New Roman"/>
          <w:kern w:val="0"/>
          <w:sz w:val="24"/>
          <w:szCs w:val="24"/>
        </w:rPr>
        <w:fldChar w:fldCharType="begin"/>
      </w:r>
      <w:r>
        <w:rPr>
          <w:rFonts w:ascii="Times New Roman" w:hAnsi="Times New Roman"/>
          <w:kern w:val="0"/>
          <w:sz w:val="24"/>
          <w:szCs w:val="24"/>
        </w:rPr>
        <w:instrText xml:space="preserve"> SEQ 表 \* ARABIC \s 1 </w:instrText>
      </w:r>
      <w:r>
        <w:rPr>
          <w:rFonts w:ascii="Times New Roman" w:hAnsi="Times New Roman"/>
          <w:kern w:val="0"/>
          <w:sz w:val="24"/>
          <w:szCs w:val="24"/>
        </w:rPr>
        <w:fldChar w:fldCharType="separate"/>
      </w:r>
      <w:r>
        <w:rPr>
          <w:rFonts w:ascii="Times New Roman" w:hAnsi="Times New Roman"/>
          <w:kern w:val="0"/>
          <w:sz w:val="24"/>
          <w:szCs w:val="24"/>
        </w:rPr>
        <w:t>8</w:t>
      </w:r>
      <w:r>
        <w:rPr>
          <w:rFonts w:ascii="Times New Roman" w:hAnsi="Times New Roman"/>
          <w:kern w:val="0"/>
          <w:sz w:val="24"/>
          <w:szCs w:val="24"/>
        </w:rPr>
        <w:fldChar w:fldCharType="end"/>
      </w:r>
      <w:r>
        <w:rPr>
          <w:rFonts w:ascii="Times New Roman" w:hAnsi="Times New Roman"/>
          <w:kern w:val="0"/>
          <w:sz w:val="24"/>
          <w:szCs w:val="24"/>
        </w:rPr>
        <w:t xml:space="preserve">  生态影响型敏感程度分级表</w:t>
      </w:r>
    </w:p>
    <w:tbl>
      <w:tblPr>
        <w:tblStyle w:val="6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4591"/>
        <w:gridCol w:w="1392"/>
        <w:gridCol w:w="1387"/>
      </w:tblGrid>
      <w:tr w14:paraId="279DF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pct"/>
            <w:vMerge w:val="restart"/>
            <w:vAlign w:val="center"/>
          </w:tcPr>
          <w:p w14:paraId="312D8232">
            <w:pPr>
              <w:jc w:val="center"/>
            </w:pPr>
            <w:r>
              <w:t>敏感程度</w:t>
            </w:r>
          </w:p>
        </w:tc>
        <w:tc>
          <w:tcPr>
            <w:tcW w:w="4321" w:type="pct"/>
            <w:gridSpan w:val="3"/>
            <w:vAlign w:val="center"/>
          </w:tcPr>
          <w:p w14:paraId="39E880B2">
            <w:pPr>
              <w:jc w:val="center"/>
            </w:pPr>
            <w:r>
              <w:t>判别依据</w:t>
            </w:r>
          </w:p>
        </w:tc>
      </w:tr>
      <w:tr w14:paraId="4F3C2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pct"/>
            <w:vMerge w:val="continue"/>
            <w:vAlign w:val="center"/>
          </w:tcPr>
          <w:p w14:paraId="736F5FEA">
            <w:pPr>
              <w:jc w:val="center"/>
            </w:pPr>
          </w:p>
        </w:tc>
        <w:tc>
          <w:tcPr>
            <w:tcW w:w="2692" w:type="pct"/>
            <w:vAlign w:val="center"/>
          </w:tcPr>
          <w:p w14:paraId="12BF7EC9">
            <w:pPr>
              <w:jc w:val="center"/>
            </w:pPr>
            <w:r>
              <w:t>盐化</w:t>
            </w:r>
          </w:p>
        </w:tc>
        <w:tc>
          <w:tcPr>
            <w:tcW w:w="816" w:type="pct"/>
            <w:vAlign w:val="center"/>
          </w:tcPr>
          <w:p w14:paraId="576F925A">
            <w:pPr>
              <w:jc w:val="center"/>
            </w:pPr>
            <w:r>
              <w:t>酸化</w:t>
            </w:r>
          </w:p>
        </w:tc>
        <w:tc>
          <w:tcPr>
            <w:tcW w:w="813" w:type="pct"/>
            <w:vAlign w:val="center"/>
          </w:tcPr>
          <w:p w14:paraId="6E4E5C69">
            <w:pPr>
              <w:jc w:val="center"/>
            </w:pPr>
            <w:r>
              <w:t>碱化</w:t>
            </w:r>
          </w:p>
        </w:tc>
      </w:tr>
      <w:tr w14:paraId="08425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pct"/>
            <w:vAlign w:val="center"/>
          </w:tcPr>
          <w:p w14:paraId="50B9BD87">
            <w:pPr>
              <w:jc w:val="center"/>
            </w:pPr>
            <w:r>
              <w:t>敏感</w:t>
            </w:r>
          </w:p>
        </w:tc>
        <w:tc>
          <w:tcPr>
            <w:tcW w:w="2692" w:type="pct"/>
            <w:vAlign w:val="center"/>
          </w:tcPr>
          <w:p w14:paraId="00A8CB00">
            <w:pPr>
              <w:autoSpaceDE w:val="0"/>
              <w:autoSpaceDN w:val="0"/>
              <w:jc w:val="left"/>
            </w:pPr>
            <w:r>
              <w:rPr>
                <w:kern w:val="0"/>
                <w:szCs w:val="21"/>
              </w:rPr>
              <w:t>建设项目所在地干燥度&gt;2.5且常年地下水水位平均埋深&lt;1.5m的地势平坦区域；或土壤含盐量&gt;4g/kg的区域</w:t>
            </w:r>
          </w:p>
        </w:tc>
        <w:tc>
          <w:tcPr>
            <w:tcW w:w="816" w:type="pct"/>
            <w:vAlign w:val="center"/>
          </w:tcPr>
          <w:p w14:paraId="66806224">
            <w:pPr>
              <w:jc w:val="center"/>
            </w:pPr>
            <w:r>
              <w:rPr>
                <w:kern w:val="0"/>
                <w:szCs w:val="21"/>
              </w:rPr>
              <w:t>pH≤4.5</w:t>
            </w:r>
          </w:p>
        </w:tc>
        <w:tc>
          <w:tcPr>
            <w:tcW w:w="813" w:type="pct"/>
            <w:vAlign w:val="center"/>
          </w:tcPr>
          <w:p w14:paraId="6641E02F">
            <w:pPr>
              <w:jc w:val="center"/>
            </w:pPr>
            <w:r>
              <w:rPr>
                <w:kern w:val="0"/>
                <w:szCs w:val="21"/>
              </w:rPr>
              <w:t>pH≥9.0</w:t>
            </w:r>
          </w:p>
        </w:tc>
      </w:tr>
      <w:tr w14:paraId="631EC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pct"/>
            <w:vAlign w:val="center"/>
          </w:tcPr>
          <w:p w14:paraId="756847FD">
            <w:pPr>
              <w:jc w:val="center"/>
            </w:pPr>
            <w:r>
              <w:t>较敏感</w:t>
            </w:r>
          </w:p>
        </w:tc>
        <w:tc>
          <w:tcPr>
            <w:tcW w:w="2692" w:type="pct"/>
            <w:vAlign w:val="center"/>
          </w:tcPr>
          <w:p w14:paraId="3C9EBD21">
            <w:pPr>
              <w:autoSpaceDE w:val="0"/>
              <w:autoSpaceDN w:val="0"/>
              <w:jc w:val="left"/>
            </w:pPr>
            <w:r>
              <w:rPr>
                <w:kern w:val="0"/>
                <w:szCs w:val="21"/>
              </w:rPr>
              <w:t>建设项目所在地干燥度&gt;2.5 且常年地下水水位平均埋深≥1.5m 的，或1.8&lt;干燥度≤2.5 且常年地下水水位平均埋深&lt;1.8m 的地势平坦区域；建设项目所在地干燥度&gt;2.5或常年地下水水位平均埋深&lt;1.5 的平原区域；或2g/kg&lt;土壤含盐量≤4g/kg的区域</w:t>
            </w:r>
          </w:p>
        </w:tc>
        <w:tc>
          <w:tcPr>
            <w:tcW w:w="816" w:type="pct"/>
            <w:vAlign w:val="center"/>
          </w:tcPr>
          <w:p w14:paraId="30CA7D85">
            <w:pPr>
              <w:autoSpaceDE w:val="0"/>
              <w:autoSpaceDN w:val="0"/>
              <w:jc w:val="left"/>
            </w:pPr>
            <w:r>
              <w:rPr>
                <w:kern w:val="0"/>
                <w:szCs w:val="21"/>
              </w:rPr>
              <w:t>4.5&lt;pH≤5.5</w:t>
            </w:r>
          </w:p>
        </w:tc>
        <w:tc>
          <w:tcPr>
            <w:tcW w:w="813" w:type="pct"/>
            <w:vAlign w:val="center"/>
          </w:tcPr>
          <w:p w14:paraId="633E2BAF">
            <w:pPr>
              <w:autoSpaceDE w:val="0"/>
              <w:autoSpaceDN w:val="0"/>
              <w:jc w:val="left"/>
            </w:pPr>
            <w:r>
              <w:rPr>
                <w:kern w:val="0"/>
                <w:szCs w:val="21"/>
              </w:rPr>
              <w:t>8.5≤pH&lt;9.0</w:t>
            </w:r>
          </w:p>
        </w:tc>
      </w:tr>
      <w:tr w14:paraId="560FC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pct"/>
            <w:vAlign w:val="center"/>
          </w:tcPr>
          <w:p w14:paraId="2EB77B43">
            <w:pPr>
              <w:jc w:val="center"/>
            </w:pPr>
            <w:r>
              <w:t>不敏感</w:t>
            </w:r>
          </w:p>
        </w:tc>
        <w:tc>
          <w:tcPr>
            <w:tcW w:w="2692" w:type="pct"/>
            <w:vAlign w:val="center"/>
          </w:tcPr>
          <w:p w14:paraId="50009294">
            <w:pPr>
              <w:jc w:val="center"/>
            </w:pPr>
            <w:r>
              <w:rPr>
                <w:kern w:val="0"/>
                <w:szCs w:val="21"/>
              </w:rPr>
              <w:t>其他</w:t>
            </w:r>
          </w:p>
        </w:tc>
        <w:tc>
          <w:tcPr>
            <w:tcW w:w="1629" w:type="pct"/>
            <w:gridSpan w:val="2"/>
            <w:vAlign w:val="center"/>
          </w:tcPr>
          <w:p w14:paraId="41041E6B">
            <w:pPr>
              <w:jc w:val="center"/>
            </w:pPr>
            <w:r>
              <w:rPr>
                <w:kern w:val="0"/>
                <w:szCs w:val="21"/>
              </w:rPr>
              <w:t>5.5&lt;pH&lt;8.5</w:t>
            </w:r>
          </w:p>
        </w:tc>
      </w:tr>
    </w:tbl>
    <w:p w14:paraId="4D107E9E">
      <w:pPr>
        <w:pStyle w:val="85"/>
        <w:ind w:firstLine="480"/>
        <w:rPr>
          <w:kern w:val="0"/>
        </w:rPr>
      </w:pPr>
      <w:r>
        <w:rPr>
          <w:kern w:val="0"/>
        </w:rPr>
        <w:t>根据</w:t>
      </w:r>
      <w:r>
        <w:rPr>
          <w:rFonts w:hint="eastAsia"/>
          <w:kern w:val="0"/>
        </w:rPr>
        <w:t>调查</w:t>
      </w:r>
      <w:r>
        <w:rPr>
          <w:kern w:val="0"/>
        </w:rPr>
        <w:t>可知，项目区干燥度1.3~1.5（来源：《</w:t>
      </w:r>
      <w:bookmarkStart w:id="34" w:name="OLE_LINK3"/>
      <w:r>
        <w:rPr>
          <w:kern w:val="0"/>
        </w:rPr>
        <w:t>河北省气候干湿状况变化特征分析</w:t>
      </w:r>
      <w:bookmarkEnd w:id="34"/>
      <w:r>
        <w:rPr>
          <w:kern w:val="0"/>
        </w:rPr>
        <w:t>》刘剑锋、刘学锋、刘芳圆、肖嗣荣等，发表于《地理与地理信息科学》第23卷第2期）；</w:t>
      </w:r>
      <w:r>
        <w:rPr>
          <w:rFonts w:hint="eastAsia"/>
          <w:kern w:val="0"/>
        </w:rPr>
        <w:t>地下水位平均埋深≥1</w:t>
      </w:r>
      <w:r>
        <w:rPr>
          <w:kern w:val="0"/>
        </w:rPr>
        <w:t>.6</w:t>
      </w:r>
      <w:r>
        <w:rPr>
          <w:rFonts w:hint="eastAsia"/>
          <w:kern w:val="0"/>
        </w:rPr>
        <w:t>m，</w:t>
      </w:r>
      <w:r>
        <w:rPr>
          <w:kern w:val="0"/>
        </w:rPr>
        <w:t>项目区土壤含盐量</w:t>
      </w:r>
      <w:r>
        <w:rPr>
          <w:rFonts w:hint="eastAsia"/>
          <w:kern w:val="0"/>
        </w:rPr>
        <w:t>均值</w:t>
      </w:r>
      <w:r>
        <w:rPr>
          <w:kern w:val="0"/>
        </w:rPr>
        <w:t>1.37g/kg</w:t>
      </w:r>
      <w:r>
        <w:rPr>
          <w:rFonts w:hint="eastAsia"/>
          <w:kern w:val="0"/>
        </w:rPr>
        <w:t>，属于“其他”区域；pH值均值为</w:t>
      </w:r>
      <w:r>
        <w:rPr>
          <w:kern w:val="0"/>
        </w:rPr>
        <w:t>7.73</w:t>
      </w:r>
      <w:r>
        <w:rPr>
          <w:rFonts w:hint="eastAsia"/>
          <w:kern w:val="0"/>
        </w:rPr>
        <w:t>，</w:t>
      </w:r>
      <w:r>
        <w:rPr>
          <w:kern w:val="0"/>
        </w:rPr>
        <w:t>5.5&lt;pH&lt;8.5；对照上表，</w:t>
      </w:r>
      <w:r>
        <w:rPr>
          <w:rFonts w:hint="eastAsia"/>
          <w:kern w:val="0"/>
        </w:rPr>
        <w:t>区域土壤</w:t>
      </w:r>
      <w:r>
        <w:rPr>
          <w:kern w:val="0"/>
        </w:rPr>
        <w:t>环境</w:t>
      </w:r>
      <w:r>
        <w:rPr>
          <w:rFonts w:hint="eastAsia"/>
          <w:kern w:val="0"/>
        </w:rPr>
        <w:t>生态</w:t>
      </w:r>
      <w:r>
        <w:rPr>
          <w:kern w:val="0"/>
        </w:rPr>
        <w:t>影响型</w:t>
      </w:r>
      <w:r>
        <w:rPr>
          <w:rFonts w:hint="eastAsia"/>
          <w:kern w:val="0"/>
        </w:rPr>
        <w:t>敏感</w:t>
      </w:r>
      <w:r>
        <w:rPr>
          <w:kern w:val="0"/>
        </w:rPr>
        <w:t>程度属于</w:t>
      </w:r>
      <w:r>
        <w:rPr>
          <w:rFonts w:hint="eastAsia"/>
          <w:kern w:val="0"/>
        </w:rPr>
        <w:t>不</w:t>
      </w:r>
      <w:r>
        <w:rPr>
          <w:kern w:val="0"/>
        </w:rPr>
        <w:t>敏感。</w:t>
      </w:r>
    </w:p>
    <w:p w14:paraId="7DEA7E72">
      <w:pPr>
        <w:pStyle w:val="85"/>
        <w:ind w:firstLine="480"/>
      </w:pPr>
      <w:r>
        <w:rPr>
          <w:rFonts w:hint="eastAsia"/>
        </w:rPr>
        <w:t>③</w:t>
      </w:r>
      <w:r>
        <w:t>评价等级</w:t>
      </w:r>
    </w:p>
    <w:p w14:paraId="2801C54A">
      <w:pPr>
        <w:pStyle w:val="85"/>
        <w:ind w:firstLine="480"/>
      </w:pPr>
      <w:r>
        <w:t>项目属于</w:t>
      </w:r>
      <w:r>
        <w:rPr>
          <w:rFonts w:hint="eastAsia"/>
        </w:rPr>
        <w:t>Ⅲ类</w:t>
      </w:r>
      <w:r>
        <w:t>项目，土壤环境敏感程度属于</w:t>
      </w:r>
      <w:r>
        <w:rPr>
          <w:rFonts w:hint="eastAsia"/>
        </w:rPr>
        <w:t>不</w:t>
      </w:r>
      <w:r>
        <w:t>敏感，综上确定项目采区土壤环境评价工作等级为</w:t>
      </w:r>
      <w:r>
        <w:rPr>
          <w:rFonts w:hint="eastAsia"/>
        </w:rPr>
        <w:t>：可不开展土壤环境影响评价工作</w:t>
      </w:r>
      <w:r>
        <w:t>。</w:t>
      </w:r>
    </w:p>
    <w:p w14:paraId="67E958D6">
      <w:pPr>
        <w:pStyle w:val="85"/>
        <w:ind w:firstLine="480"/>
      </w:pPr>
    </w:p>
    <w:p w14:paraId="66FA74AF">
      <w:pPr>
        <w:pStyle w:val="17"/>
        <w:keepNext/>
        <w:tabs>
          <w:tab w:val="left" w:pos="1095"/>
        </w:tabs>
        <w:spacing w:line="520" w:lineRule="exact"/>
        <w:jc w:val="center"/>
        <w:rPr>
          <w:rFonts w:ascii="Times New Roman" w:hAnsi="Times New Roman"/>
          <w:kern w:val="0"/>
          <w:sz w:val="24"/>
          <w:szCs w:val="24"/>
        </w:rPr>
      </w:pPr>
      <w:r>
        <w:rPr>
          <w:rFonts w:ascii="Times New Roman" w:hAnsi="Times New Roman"/>
          <w:kern w:val="0"/>
          <w:sz w:val="24"/>
          <w:szCs w:val="24"/>
        </w:rPr>
        <w:t>表</w:t>
      </w:r>
      <w:r>
        <w:rPr>
          <w:rFonts w:ascii="Times New Roman" w:hAnsi="Times New Roman"/>
          <w:kern w:val="0"/>
          <w:sz w:val="24"/>
          <w:szCs w:val="24"/>
        </w:rPr>
        <w:fldChar w:fldCharType="begin"/>
      </w:r>
      <w:r>
        <w:rPr>
          <w:rFonts w:ascii="Times New Roman" w:hAnsi="Times New Roman"/>
          <w:kern w:val="0"/>
          <w:sz w:val="24"/>
          <w:szCs w:val="24"/>
        </w:rPr>
        <w:instrText xml:space="preserve"> STYLEREF 1 \s </w:instrText>
      </w:r>
      <w:r>
        <w:rPr>
          <w:rFonts w:ascii="Times New Roman" w:hAnsi="Times New Roman"/>
          <w:kern w:val="0"/>
          <w:sz w:val="24"/>
          <w:szCs w:val="24"/>
        </w:rPr>
        <w:fldChar w:fldCharType="separate"/>
      </w:r>
      <w:r>
        <w:rPr>
          <w:rFonts w:ascii="Times New Roman" w:hAnsi="Times New Roman"/>
          <w:kern w:val="0"/>
          <w:sz w:val="24"/>
          <w:szCs w:val="24"/>
        </w:rPr>
        <w:t>1</w:t>
      </w:r>
      <w:r>
        <w:rPr>
          <w:rFonts w:ascii="Times New Roman" w:hAnsi="Times New Roman"/>
          <w:kern w:val="0"/>
          <w:sz w:val="24"/>
          <w:szCs w:val="24"/>
        </w:rPr>
        <w:fldChar w:fldCharType="end"/>
      </w:r>
      <w:r>
        <w:rPr>
          <w:rFonts w:ascii="Times New Roman" w:hAnsi="Times New Roman"/>
          <w:kern w:val="0"/>
          <w:sz w:val="24"/>
          <w:szCs w:val="24"/>
        </w:rPr>
        <w:noBreakHyphen/>
      </w:r>
      <w:r>
        <w:rPr>
          <w:rFonts w:ascii="Times New Roman" w:hAnsi="Times New Roman"/>
          <w:kern w:val="0"/>
          <w:sz w:val="24"/>
          <w:szCs w:val="24"/>
        </w:rPr>
        <w:fldChar w:fldCharType="begin"/>
      </w:r>
      <w:r>
        <w:rPr>
          <w:rFonts w:ascii="Times New Roman" w:hAnsi="Times New Roman"/>
          <w:kern w:val="0"/>
          <w:sz w:val="24"/>
          <w:szCs w:val="24"/>
        </w:rPr>
        <w:instrText xml:space="preserve"> SEQ 表 \* ARABIC \s 1 </w:instrText>
      </w:r>
      <w:r>
        <w:rPr>
          <w:rFonts w:ascii="Times New Roman" w:hAnsi="Times New Roman"/>
          <w:kern w:val="0"/>
          <w:sz w:val="24"/>
          <w:szCs w:val="24"/>
        </w:rPr>
        <w:fldChar w:fldCharType="separate"/>
      </w:r>
      <w:r>
        <w:rPr>
          <w:rFonts w:ascii="Times New Roman" w:hAnsi="Times New Roman"/>
          <w:kern w:val="0"/>
          <w:sz w:val="24"/>
          <w:szCs w:val="24"/>
        </w:rPr>
        <w:t>9</w:t>
      </w:r>
      <w:r>
        <w:rPr>
          <w:rFonts w:ascii="Times New Roman" w:hAnsi="Times New Roman"/>
          <w:kern w:val="0"/>
          <w:sz w:val="24"/>
          <w:szCs w:val="24"/>
        </w:rPr>
        <w:fldChar w:fldCharType="end"/>
      </w:r>
      <w:r>
        <w:rPr>
          <w:rFonts w:ascii="Times New Roman" w:hAnsi="Times New Roman"/>
          <w:kern w:val="0"/>
          <w:sz w:val="24"/>
          <w:szCs w:val="24"/>
        </w:rPr>
        <w:t xml:space="preserve">  生态影响型评价工作等级划分表</w:t>
      </w:r>
    </w:p>
    <w:tbl>
      <w:tblPr>
        <w:tblStyle w:val="6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2"/>
        <w:gridCol w:w="2132"/>
        <w:gridCol w:w="2132"/>
        <w:gridCol w:w="2132"/>
      </w:tblGrid>
      <w:tr w14:paraId="19C66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shd w:val="clear" w:color="auto" w:fill="auto"/>
            <w:vAlign w:val="center"/>
          </w:tcPr>
          <w:p w14:paraId="315B3E62">
            <w:pPr>
              <w:jc w:val="center"/>
              <w:rPr>
                <w:kern w:val="0"/>
                <w:szCs w:val="21"/>
              </w:rPr>
            </w:pPr>
            <w:r>
              <w:rPr>
                <w:kern w:val="0"/>
                <w:szCs w:val="21"/>
              </w:rPr>
              <w:t>项目</w:t>
            </w:r>
          </w:p>
        </w:tc>
        <w:tc>
          <w:tcPr>
            <w:tcW w:w="1250" w:type="pct"/>
            <w:shd w:val="clear" w:color="auto" w:fill="auto"/>
            <w:vAlign w:val="center"/>
          </w:tcPr>
          <w:p w14:paraId="14750328">
            <w:pPr>
              <w:jc w:val="center"/>
            </w:pPr>
            <w:r>
              <w:rPr>
                <w:rFonts w:hint="eastAsia" w:ascii="宋体" w:hAnsi="宋体" w:cs="宋体"/>
              </w:rPr>
              <w:t>Ⅰ</w:t>
            </w:r>
            <w:r>
              <w:t>类</w:t>
            </w:r>
          </w:p>
        </w:tc>
        <w:tc>
          <w:tcPr>
            <w:tcW w:w="1250" w:type="pct"/>
            <w:shd w:val="clear" w:color="auto" w:fill="auto"/>
            <w:vAlign w:val="center"/>
          </w:tcPr>
          <w:p w14:paraId="6806C8EE">
            <w:pPr>
              <w:jc w:val="center"/>
            </w:pPr>
            <w:r>
              <w:rPr>
                <w:rFonts w:hint="eastAsia" w:ascii="宋体" w:hAnsi="宋体" w:cs="宋体"/>
              </w:rPr>
              <w:t>Ⅱ</w:t>
            </w:r>
            <w:r>
              <w:t>类</w:t>
            </w:r>
          </w:p>
        </w:tc>
        <w:tc>
          <w:tcPr>
            <w:tcW w:w="1250" w:type="pct"/>
            <w:shd w:val="clear" w:color="auto" w:fill="auto"/>
            <w:vAlign w:val="center"/>
          </w:tcPr>
          <w:p w14:paraId="67574387">
            <w:pPr>
              <w:jc w:val="center"/>
            </w:pPr>
            <w:r>
              <w:rPr>
                <w:rFonts w:hint="eastAsia" w:ascii="宋体" w:hAnsi="宋体" w:cs="宋体"/>
              </w:rPr>
              <w:t>Ⅲ</w:t>
            </w:r>
            <w:r>
              <w:t>类</w:t>
            </w:r>
          </w:p>
        </w:tc>
      </w:tr>
      <w:tr w14:paraId="5F036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shd w:val="clear" w:color="auto" w:fill="auto"/>
            <w:vAlign w:val="center"/>
          </w:tcPr>
          <w:p w14:paraId="6CB2686F">
            <w:pPr>
              <w:widowControl/>
              <w:jc w:val="center"/>
              <w:rPr>
                <w:kern w:val="0"/>
                <w:szCs w:val="21"/>
              </w:rPr>
            </w:pPr>
            <w:r>
              <w:rPr>
                <w:kern w:val="0"/>
                <w:szCs w:val="21"/>
              </w:rPr>
              <w:t>敏感</w:t>
            </w:r>
          </w:p>
        </w:tc>
        <w:tc>
          <w:tcPr>
            <w:tcW w:w="1250" w:type="pct"/>
            <w:shd w:val="clear" w:color="auto" w:fill="auto"/>
            <w:vAlign w:val="center"/>
          </w:tcPr>
          <w:p w14:paraId="135D5FF7">
            <w:pPr>
              <w:widowControl/>
              <w:jc w:val="center"/>
              <w:rPr>
                <w:kern w:val="0"/>
                <w:szCs w:val="21"/>
              </w:rPr>
            </w:pPr>
            <w:r>
              <w:rPr>
                <w:kern w:val="0"/>
                <w:szCs w:val="21"/>
              </w:rPr>
              <w:t>一级</w:t>
            </w:r>
          </w:p>
        </w:tc>
        <w:tc>
          <w:tcPr>
            <w:tcW w:w="1250" w:type="pct"/>
            <w:shd w:val="clear" w:color="auto" w:fill="auto"/>
            <w:vAlign w:val="center"/>
          </w:tcPr>
          <w:p w14:paraId="0037411B">
            <w:pPr>
              <w:widowControl/>
              <w:jc w:val="center"/>
              <w:rPr>
                <w:kern w:val="0"/>
                <w:szCs w:val="21"/>
              </w:rPr>
            </w:pPr>
            <w:r>
              <w:rPr>
                <w:kern w:val="0"/>
                <w:szCs w:val="21"/>
              </w:rPr>
              <w:t>二级</w:t>
            </w:r>
          </w:p>
        </w:tc>
        <w:tc>
          <w:tcPr>
            <w:tcW w:w="1250" w:type="pct"/>
            <w:shd w:val="clear" w:color="auto" w:fill="auto"/>
            <w:vAlign w:val="center"/>
          </w:tcPr>
          <w:p w14:paraId="62C94907">
            <w:pPr>
              <w:widowControl/>
              <w:jc w:val="center"/>
              <w:rPr>
                <w:kern w:val="0"/>
                <w:szCs w:val="21"/>
              </w:rPr>
            </w:pPr>
            <w:r>
              <w:rPr>
                <w:kern w:val="0"/>
                <w:szCs w:val="21"/>
              </w:rPr>
              <w:t>三级</w:t>
            </w:r>
          </w:p>
        </w:tc>
      </w:tr>
      <w:tr w14:paraId="7331F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shd w:val="clear" w:color="auto" w:fill="auto"/>
            <w:vAlign w:val="center"/>
          </w:tcPr>
          <w:p w14:paraId="21D6A7AE">
            <w:pPr>
              <w:widowControl/>
              <w:jc w:val="center"/>
              <w:rPr>
                <w:kern w:val="0"/>
                <w:szCs w:val="21"/>
              </w:rPr>
            </w:pPr>
            <w:r>
              <w:rPr>
                <w:kern w:val="0"/>
                <w:szCs w:val="21"/>
              </w:rPr>
              <w:t>较敏感</w:t>
            </w:r>
          </w:p>
        </w:tc>
        <w:tc>
          <w:tcPr>
            <w:tcW w:w="1250" w:type="pct"/>
            <w:shd w:val="clear" w:color="auto" w:fill="auto"/>
            <w:vAlign w:val="center"/>
          </w:tcPr>
          <w:p w14:paraId="42EB7416">
            <w:pPr>
              <w:widowControl/>
              <w:jc w:val="center"/>
              <w:rPr>
                <w:kern w:val="0"/>
                <w:szCs w:val="21"/>
              </w:rPr>
            </w:pPr>
            <w:r>
              <w:rPr>
                <w:kern w:val="0"/>
                <w:szCs w:val="21"/>
              </w:rPr>
              <w:t>二级</w:t>
            </w:r>
          </w:p>
        </w:tc>
        <w:tc>
          <w:tcPr>
            <w:tcW w:w="1250" w:type="pct"/>
            <w:shd w:val="clear" w:color="auto" w:fill="auto"/>
            <w:vAlign w:val="center"/>
          </w:tcPr>
          <w:p w14:paraId="5DD13A78">
            <w:pPr>
              <w:autoSpaceDE w:val="0"/>
              <w:autoSpaceDN w:val="0"/>
              <w:adjustRightInd w:val="0"/>
              <w:jc w:val="center"/>
              <w:rPr>
                <w:kern w:val="0"/>
                <w:szCs w:val="21"/>
              </w:rPr>
            </w:pPr>
            <w:r>
              <w:rPr>
                <w:kern w:val="0"/>
                <w:szCs w:val="21"/>
              </w:rPr>
              <w:t>二级</w:t>
            </w:r>
          </w:p>
        </w:tc>
        <w:tc>
          <w:tcPr>
            <w:tcW w:w="1250" w:type="pct"/>
            <w:shd w:val="clear" w:color="auto" w:fill="auto"/>
            <w:vAlign w:val="center"/>
          </w:tcPr>
          <w:p w14:paraId="3EBCFC90">
            <w:pPr>
              <w:widowControl/>
              <w:jc w:val="center"/>
              <w:rPr>
                <w:kern w:val="0"/>
                <w:szCs w:val="21"/>
              </w:rPr>
            </w:pPr>
            <w:r>
              <w:rPr>
                <w:kern w:val="0"/>
                <w:szCs w:val="21"/>
              </w:rPr>
              <w:t>三级</w:t>
            </w:r>
          </w:p>
        </w:tc>
      </w:tr>
      <w:tr w14:paraId="1122C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shd w:val="clear" w:color="auto" w:fill="auto"/>
            <w:vAlign w:val="center"/>
          </w:tcPr>
          <w:p w14:paraId="5F64DB31">
            <w:pPr>
              <w:widowControl/>
              <w:jc w:val="center"/>
              <w:rPr>
                <w:kern w:val="0"/>
                <w:szCs w:val="21"/>
              </w:rPr>
            </w:pPr>
            <w:r>
              <w:rPr>
                <w:kern w:val="0"/>
                <w:szCs w:val="21"/>
              </w:rPr>
              <w:t>不敏感</w:t>
            </w:r>
          </w:p>
        </w:tc>
        <w:tc>
          <w:tcPr>
            <w:tcW w:w="1250" w:type="pct"/>
            <w:shd w:val="clear" w:color="auto" w:fill="auto"/>
            <w:vAlign w:val="center"/>
          </w:tcPr>
          <w:p w14:paraId="3B39D206">
            <w:pPr>
              <w:widowControl/>
              <w:jc w:val="center"/>
              <w:rPr>
                <w:kern w:val="0"/>
                <w:szCs w:val="21"/>
              </w:rPr>
            </w:pPr>
            <w:r>
              <w:rPr>
                <w:kern w:val="0"/>
                <w:szCs w:val="21"/>
              </w:rPr>
              <w:t>二级</w:t>
            </w:r>
          </w:p>
        </w:tc>
        <w:tc>
          <w:tcPr>
            <w:tcW w:w="1250" w:type="pct"/>
            <w:shd w:val="clear" w:color="auto" w:fill="auto"/>
            <w:vAlign w:val="center"/>
          </w:tcPr>
          <w:p w14:paraId="343B073F">
            <w:pPr>
              <w:autoSpaceDE w:val="0"/>
              <w:autoSpaceDN w:val="0"/>
              <w:adjustRightInd w:val="0"/>
              <w:jc w:val="center"/>
              <w:rPr>
                <w:kern w:val="0"/>
                <w:szCs w:val="21"/>
              </w:rPr>
            </w:pPr>
            <w:r>
              <w:rPr>
                <w:kern w:val="0"/>
                <w:szCs w:val="21"/>
              </w:rPr>
              <w:t>三级</w:t>
            </w:r>
          </w:p>
        </w:tc>
        <w:tc>
          <w:tcPr>
            <w:tcW w:w="1250" w:type="pct"/>
            <w:shd w:val="clear" w:color="auto" w:fill="auto"/>
            <w:vAlign w:val="center"/>
          </w:tcPr>
          <w:p w14:paraId="5791D846">
            <w:pPr>
              <w:widowControl/>
              <w:jc w:val="center"/>
              <w:rPr>
                <w:kern w:val="0"/>
                <w:szCs w:val="21"/>
              </w:rPr>
            </w:pPr>
            <w:r>
              <w:rPr>
                <w:kern w:val="0"/>
                <w:szCs w:val="21"/>
              </w:rPr>
              <w:t>——</w:t>
            </w:r>
          </w:p>
        </w:tc>
      </w:tr>
      <w:tr w14:paraId="4B705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shd w:val="clear" w:color="auto" w:fill="auto"/>
            <w:vAlign w:val="center"/>
          </w:tcPr>
          <w:p w14:paraId="7F3FBE31">
            <w:pPr>
              <w:widowControl/>
              <w:jc w:val="center"/>
              <w:rPr>
                <w:kern w:val="0"/>
                <w:szCs w:val="21"/>
              </w:rPr>
            </w:pPr>
            <w:r>
              <w:rPr>
                <w:kern w:val="0"/>
                <w:szCs w:val="21"/>
              </w:rPr>
              <w:t>注：“--”表示可不开展土壤环境影响评价工作。</w:t>
            </w:r>
          </w:p>
        </w:tc>
      </w:tr>
    </w:tbl>
    <w:p w14:paraId="6CCB3331">
      <w:pPr>
        <w:pStyle w:val="4"/>
        <w:rPr>
          <w:kern w:val="0"/>
        </w:rPr>
      </w:pPr>
      <w:r>
        <w:rPr>
          <w:rFonts w:hint="eastAsia"/>
          <w:kern w:val="0"/>
        </w:rPr>
        <w:t>评价</w:t>
      </w:r>
      <w:r>
        <w:rPr>
          <w:kern w:val="0"/>
        </w:rPr>
        <w:t>范围</w:t>
      </w:r>
    </w:p>
    <w:p w14:paraId="4A77C11B">
      <w:pPr>
        <w:pStyle w:val="85"/>
        <w:ind w:firstLine="480"/>
        <w:rPr>
          <w:kern w:val="0"/>
        </w:rPr>
      </w:pPr>
      <w:r>
        <w:rPr>
          <w:rFonts w:hint="eastAsia"/>
          <w:kern w:val="0"/>
        </w:rPr>
        <w:t>根据已确定的各环境影响因素的评价等级，确定本项目各环境要素评价范围，详见</w:t>
      </w:r>
      <w:r>
        <w:rPr>
          <w:kern w:val="0"/>
        </w:rPr>
        <w:fldChar w:fldCharType="begin"/>
      </w:r>
      <w:r>
        <w:rPr>
          <w:kern w:val="0"/>
        </w:rPr>
        <w:instrText xml:space="preserve"> </w:instrText>
      </w:r>
      <w:r>
        <w:rPr>
          <w:rFonts w:hint="eastAsia"/>
          <w:kern w:val="0"/>
        </w:rPr>
        <w:instrText xml:space="preserve">REF _Ref73985585 \h</w:instrText>
      </w:r>
      <w:r>
        <w:rPr>
          <w:kern w:val="0"/>
        </w:rPr>
        <w:instrText xml:space="preserve">  \* MERGEFORMAT </w:instrText>
      </w:r>
      <w:r>
        <w:rPr>
          <w:kern w:val="0"/>
        </w:rPr>
        <w:fldChar w:fldCharType="separate"/>
      </w:r>
      <w:r>
        <w:rPr>
          <w:kern w:val="0"/>
        </w:rPr>
        <w:t>表1</w:t>
      </w:r>
      <w:r>
        <w:rPr>
          <w:kern w:val="0"/>
        </w:rPr>
        <w:noBreakHyphen/>
      </w:r>
      <w:r>
        <w:rPr>
          <w:kern w:val="0"/>
        </w:rPr>
        <w:t>10</w:t>
      </w:r>
      <w:r>
        <w:rPr>
          <w:kern w:val="0"/>
        </w:rPr>
        <w:fldChar w:fldCharType="end"/>
      </w:r>
      <w:r>
        <w:rPr>
          <w:rFonts w:hint="eastAsia"/>
          <w:kern w:val="0"/>
        </w:rPr>
        <w:t>。</w:t>
      </w:r>
    </w:p>
    <w:p w14:paraId="6F380EA2">
      <w:pPr>
        <w:pStyle w:val="17"/>
        <w:keepNext/>
        <w:tabs>
          <w:tab w:val="left" w:pos="1095"/>
        </w:tabs>
        <w:spacing w:line="520" w:lineRule="exact"/>
        <w:jc w:val="center"/>
        <w:rPr>
          <w:kern w:val="0"/>
        </w:rPr>
      </w:pPr>
      <w:bookmarkStart w:id="35" w:name="_Ref73985585"/>
      <w:r>
        <w:rPr>
          <w:rFonts w:ascii="Times New Roman" w:hAnsi="Times New Roman"/>
          <w:kern w:val="0"/>
          <w:sz w:val="24"/>
          <w:szCs w:val="24"/>
        </w:rPr>
        <w:t>表</w:t>
      </w:r>
      <w:r>
        <w:rPr>
          <w:rFonts w:ascii="Times New Roman" w:hAnsi="Times New Roman"/>
          <w:kern w:val="0"/>
          <w:sz w:val="24"/>
          <w:szCs w:val="24"/>
        </w:rPr>
        <w:fldChar w:fldCharType="begin"/>
      </w:r>
      <w:r>
        <w:rPr>
          <w:rFonts w:ascii="Times New Roman" w:hAnsi="Times New Roman"/>
          <w:kern w:val="0"/>
          <w:sz w:val="24"/>
          <w:szCs w:val="24"/>
        </w:rPr>
        <w:instrText xml:space="preserve"> STYLEREF 1 \s </w:instrText>
      </w:r>
      <w:r>
        <w:rPr>
          <w:rFonts w:ascii="Times New Roman" w:hAnsi="Times New Roman"/>
          <w:kern w:val="0"/>
          <w:sz w:val="24"/>
          <w:szCs w:val="24"/>
        </w:rPr>
        <w:fldChar w:fldCharType="separate"/>
      </w:r>
      <w:r>
        <w:rPr>
          <w:rFonts w:ascii="Times New Roman" w:hAnsi="Times New Roman"/>
          <w:kern w:val="0"/>
          <w:sz w:val="24"/>
          <w:szCs w:val="24"/>
        </w:rPr>
        <w:t>1</w:t>
      </w:r>
      <w:r>
        <w:rPr>
          <w:rFonts w:ascii="Times New Roman" w:hAnsi="Times New Roman"/>
          <w:kern w:val="0"/>
          <w:sz w:val="24"/>
          <w:szCs w:val="24"/>
        </w:rPr>
        <w:fldChar w:fldCharType="end"/>
      </w:r>
      <w:r>
        <w:rPr>
          <w:rFonts w:ascii="Times New Roman" w:hAnsi="Times New Roman"/>
          <w:kern w:val="0"/>
          <w:sz w:val="24"/>
          <w:szCs w:val="24"/>
        </w:rPr>
        <w:noBreakHyphen/>
      </w:r>
      <w:r>
        <w:rPr>
          <w:rFonts w:ascii="Times New Roman" w:hAnsi="Times New Roman"/>
          <w:kern w:val="0"/>
          <w:sz w:val="24"/>
          <w:szCs w:val="24"/>
        </w:rPr>
        <w:fldChar w:fldCharType="begin"/>
      </w:r>
      <w:r>
        <w:rPr>
          <w:rFonts w:ascii="Times New Roman" w:hAnsi="Times New Roman"/>
          <w:kern w:val="0"/>
          <w:sz w:val="24"/>
          <w:szCs w:val="24"/>
        </w:rPr>
        <w:instrText xml:space="preserve"> SEQ 表 \* ARABIC \s 1 </w:instrText>
      </w:r>
      <w:r>
        <w:rPr>
          <w:rFonts w:ascii="Times New Roman" w:hAnsi="Times New Roman"/>
          <w:kern w:val="0"/>
          <w:sz w:val="24"/>
          <w:szCs w:val="24"/>
        </w:rPr>
        <w:fldChar w:fldCharType="separate"/>
      </w:r>
      <w:r>
        <w:rPr>
          <w:rFonts w:ascii="Times New Roman" w:hAnsi="Times New Roman"/>
          <w:kern w:val="0"/>
          <w:sz w:val="24"/>
          <w:szCs w:val="24"/>
        </w:rPr>
        <w:t>10</w:t>
      </w:r>
      <w:r>
        <w:rPr>
          <w:rFonts w:ascii="Times New Roman" w:hAnsi="Times New Roman"/>
          <w:kern w:val="0"/>
          <w:sz w:val="24"/>
          <w:szCs w:val="24"/>
        </w:rPr>
        <w:fldChar w:fldCharType="end"/>
      </w:r>
      <w:bookmarkEnd w:id="35"/>
      <w:r>
        <w:rPr>
          <w:rFonts w:ascii="Times New Roman" w:hAnsi="Times New Roman"/>
          <w:kern w:val="0"/>
          <w:sz w:val="24"/>
          <w:szCs w:val="24"/>
        </w:rPr>
        <w:t xml:space="preserve">  </w:t>
      </w:r>
      <w:r>
        <w:rPr>
          <w:rFonts w:hint="eastAsia" w:ascii="Times New Roman" w:hAnsi="Times New Roman"/>
          <w:kern w:val="0"/>
          <w:sz w:val="24"/>
          <w:szCs w:val="24"/>
        </w:rPr>
        <w:t>评价范围</w:t>
      </w:r>
      <w:r>
        <w:rPr>
          <w:rFonts w:ascii="Times New Roman" w:hAnsi="Times New Roman"/>
          <w:kern w:val="0"/>
          <w:sz w:val="24"/>
          <w:szCs w:val="24"/>
        </w:rPr>
        <w:t>一览表</w:t>
      </w:r>
    </w:p>
    <w:tbl>
      <w:tblPr>
        <w:tblStyle w:val="6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1098"/>
        <w:gridCol w:w="1098"/>
        <w:gridCol w:w="5670"/>
      </w:tblGrid>
      <w:tr w14:paraId="2F7EC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14:paraId="54965749">
            <w:pPr>
              <w:spacing w:line="280" w:lineRule="exact"/>
              <w:jc w:val="center"/>
              <w:rPr>
                <w:kern w:val="0"/>
                <w:szCs w:val="21"/>
              </w:rPr>
            </w:pPr>
            <w:r>
              <w:rPr>
                <w:rFonts w:hint="eastAsia"/>
                <w:kern w:val="0"/>
                <w:szCs w:val="21"/>
              </w:rPr>
              <w:t>序号</w:t>
            </w:r>
          </w:p>
        </w:tc>
        <w:tc>
          <w:tcPr>
            <w:tcW w:w="644" w:type="pct"/>
            <w:vAlign w:val="center"/>
          </w:tcPr>
          <w:p w14:paraId="269F5DDE">
            <w:pPr>
              <w:spacing w:line="280" w:lineRule="exact"/>
              <w:jc w:val="center"/>
              <w:rPr>
                <w:kern w:val="0"/>
                <w:szCs w:val="21"/>
              </w:rPr>
            </w:pPr>
            <w:r>
              <w:rPr>
                <w:rFonts w:hint="eastAsia"/>
                <w:kern w:val="0"/>
                <w:szCs w:val="21"/>
              </w:rPr>
              <w:t>环境</w:t>
            </w:r>
            <w:r>
              <w:rPr>
                <w:kern w:val="0"/>
                <w:szCs w:val="21"/>
              </w:rPr>
              <w:t>要素</w:t>
            </w:r>
          </w:p>
        </w:tc>
        <w:tc>
          <w:tcPr>
            <w:tcW w:w="644" w:type="pct"/>
            <w:vAlign w:val="center"/>
          </w:tcPr>
          <w:p w14:paraId="4AE0D907">
            <w:pPr>
              <w:spacing w:line="280" w:lineRule="exact"/>
              <w:jc w:val="center"/>
              <w:rPr>
                <w:kern w:val="0"/>
                <w:szCs w:val="21"/>
              </w:rPr>
            </w:pPr>
            <w:r>
              <w:rPr>
                <w:rFonts w:hint="eastAsia"/>
                <w:kern w:val="0"/>
                <w:szCs w:val="21"/>
              </w:rPr>
              <w:t>评价</w:t>
            </w:r>
            <w:r>
              <w:rPr>
                <w:kern w:val="0"/>
                <w:szCs w:val="21"/>
              </w:rPr>
              <w:t>等级</w:t>
            </w:r>
          </w:p>
        </w:tc>
        <w:tc>
          <w:tcPr>
            <w:tcW w:w="3324" w:type="pct"/>
            <w:vAlign w:val="center"/>
          </w:tcPr>
          <w:p w14:paraId="2EF2B10B">
            <w:pPr>
              <w:spacing w:line="280" w:lineRule="exact"/>
              <w:jc w:val="center"/>
              <w:rPr>
                <w:kern w:val="0"/>
                <w:szCs w:val="21"/>
              </w:rPr>
            </w:pPr>
            <w:r>
              <w:rPr>
                <w:rFonts w:hint="eastAsia"/>
                <w:kern w:val="0"/>
                <w:szCs w:val="21"/>
              </w:rPr>
              <w:t>评价范围</w:t>
            </w:r>
          </w:p>
        </w:tc>
      </w:tr>
      <w:tr w14:paraId="23CB6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14:paraId="2CE9F1E9">
            <w:pPr>
              <w:spacing w:line="280" w:lineRule="exact"/>
              <w:jc w:val="center"/>
              <w:rPr>
                <w:kern w:val="0"/>
                <w:szCs w:val="21"/>
              </w:rPr>
            </w:pPr>
            <w:r>
              <w:rPr>
                <w:rFonts w:hint="eastAsia"/>
                <w:kern w:val="0"/>
                <w:szCs w:val="21"/>
              </w:rPr>
              <w:t>1</w:t>
            </w:r>
          </w:p>
        </w:tc>
        <w:tc>
          <w:tcPr>
            <w:tcW w:w="644" w:type="pct"/>
            <w:vAlign w:val="center"/>
          </w:tcPr>
          <w:p w14:paraId="25F23889">
            <w:pPr>
              <w:spacing w:line="280" w:lineRule="exact"/>
              <w:jc w:val="center"/>
              <w:rPr>
                <w:kern w:val="0"/>
                <w:szCs w:val="21"/>
              </w:rPr>
            </w:pPr>
            <w:r>
              <w:rPr>
                <w:rFonts w:hint="eastAsia"/>
                <w:kern w:val="0"/>
                <w:szCs w:val="21"/>
              </w:rPr>
              <w:t>环境</w:t>
            </w:r>
            <w:r>
              <w:rPr>
                <w:kern w:val="0"/>
                <w:szCs w:val="21"/>
              </w:rPr>
              <w:t>空气</w:t>
            </w:r>
          </w:p>
        </w:tc>
        <w:tc>
          <w:tcPr>
            <w:tcW w:w="644" w:type="pct"/>
            <w:vAlign w:val="center"/>
          </w:tcPr>
          <w:p w14:paraId="586F9EC8">
            <w:pPr>
              <w:spacing w:line="280" w:lineRule="exact"/>
              <w:jc w:val="center"/>
              <w:rPr>
                <w:kern w:val="0"/>
                <w:szCs w:val="21"/>
              </w:rPr>
            </w:pPr>
            <w:r>
              <w:rPr>
                <w:rFonts w:hint="eastAsia"/>
                <w:kern w:val="0"/>
                <w:szCs w:val="21"/>
              </w:rPr>
              <w:t>三级</w:t>
            </w:r>
          </w:p>
        </w:tc>
        <w:tc>
          <w:tcPr>
            <w:tcW w:w="3324" w:type="pct"/>
            <w:vAlign w:val="center"/>
          </w:tcPr>
          <w:p w14:paraId="0839930F">
            <w:pPr>
              <w:spacing w:line="280" w:lineRule="exact"/>
              <w:jc w:val="center"/>
              <w:rPr>
                <w:kern w:val="0"/>
                <w:szCs w:val="21"/>
              </w:rPr>
            </w:pPr>
            <w:r>
              <w:rPr>
                <w:rFonts w:hint="eastAsia"/>
                <w:kern w:val="0"/>
                <w:szCs w:val="21"/>
              </w:rPr>
              <w:t>—</w:t>
            </w:r>
          </w:p>
        </w:tc>
      </w:tr>
      <w:tr w14:paraId="7834A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14:paraId="4E1FC9EC">
            <w:pPr>
              <w:spacing w:line="280" w:lineRule="exact"/>
              <w:jc w:val="center"/>
              <w:rPr>
                <w:kern w:val="0"/>
                <w:szCs w:val="21"/>
              </w:rPr>
            </w:pPr>
            <w:r>
              <w:rPr>
                <w:rFonts w:hint="eastAsia"/>
                <w:kern w:val="0"/>
                <w:szCs w:val="21"/>
              </w:rPr>
              <w:t>2</w:t>
            </w:r>
          </w:p>
        </w:tc>
        <w:tc>
          <w:tcPr>
            <w:tcW w:w="644" w:type="pct"/>
            <w:vAlign w:val="center"/>
          </w:tcPr>
          <w:p w14:paraId="3492312F">
            <w:pPr>
              <w:spacing w:line="280" w:lineRule="exact"/>
              <w:jc w:val="center"/>
              <w:rPr>
                <w:kern w:val="0"/>
                <w:szCs w:val="21"/>
              </w:rPr>
            </w:pPr>
            <w:r>
              <w:rPr>
                <w:rFonts w:hint="eastAsia"/>
                <w:kern w:val="0"/>
                <w:szCs w:val="21"/>
              </w:rPr>
              <w:t>地表水</w:t>
            </w:r>
          </w:p>
        </w:tc>
        <w:tc>
          <w:tcPr>
            <w:tcW w:w="644" w:type="pct"/>
            <w:vAlign w:val="center"/>
          </w:tcPr>
          <w:p w14:paraId="6775B8BB">
            <w:pPr>
              <w:spacing w:line="280" w:lineRule="exact"/>
              <w:jc w:val="center"/>
              <w:rPr>
                <w:kern w:val="0"/>
                <w:szCs w:val="21"/>
              </w:rPr>
            </w:pPr>
            <w:r>
              <w:rPr>
                <w:rFonts w:hint="eastAsia"/>
                <w:kern w:val="0"/>
                <w:szCs w:val="21"/>
              </w:rPr>
              <w:t>二级</w:t>
            </w:r>
          </w:p>
        </w:tc>
        <w:tc>
          <w:tcPr>
            <w:tcW w:w="3324" w:type="pct"/>
            <w:vAlign w:val="center"/>
          </w:tcPr>
          <w:p w14:paraId="2A3CC3EA">
            <w:pPr>
              <w:spacing w:line="280" w:lineRule="exact"/>
              <w:jc w:val="center"/>
              <w:rPr>
                <w:kern w:val="0"/>
                <w:szCs w:val="21"/>
              </w:rPr>
            </w:pPr>
            <w:r>
              <w:rPr>
                <w:rFonts w:hint="eastAsia"/>
                <w:kern w:val="0"/>
                <w:szCs w:val="21"/>
              </w:rPr>
              <w:t>本项目起点至终点河段</w:t>
            </w:r>
          </w:p>
        </w:tc>
      </w:tr>
      <w:tr w14:paraId="6ECF2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14:paraId="5061A0A4">
            <w:pPr>
              <w:spacing w:line="280" w:lineRule="exact"/>
              <w:jc w:val="center"/>
              <w:rPr>
                <w:kern w:val="0"/>
                <w:szCs w:val="21"/>
              </w:rPr>
            </w:pPr>
            <w:r>
              <w:rPr>
                <w:rFonts w:hint="eastAsia"/>
                <w:kern w:val="0"/>
                <w:szCs w:val="21"/>
              </w:rPr>
              <w:t>3</w:t>
            </w:r>
          </w:p>
        </w:tc>
        <w:tc>
          <w:tcPr>
            <w:tcW w:w="644" w:type="pct"/>
            <w:vAlign w:val="center"/>
          </w:tcPr>
          <w:p w14:paraId="4C5CA312">
            <w:pPr>
              <w:spacing w:line="280" w:lineRule="exact"/>
              <w:jc w:val="center"/>
              <w:rPr>
                <w:kern w:val="0"/>
                <w:szCs w:val="21"/>
              </w:rPr>
            </w:pPr>
            <w:r>
              <w:rPr>
                <w:rFonts w:hint="eastAsia"/>
                <w:kern w:val="0"/>
                <w:szCs w:val="21"/>
              </w:rPr>
              <w:t>地下水</w:t>
            </w:r>
          </w:p>
        </w:tc>
        <w:tc>
          <w:tcPr>
            <w:tcW w:w="644" w:type="pct"/>
            <w:vAlign w:val="center"/>
          </w:tcPr>
          <w:p w14:paraId="18E8CE2C">
            <w:pPr>
              <w:spacing w:line="280" w:lineRule="exact"/>
              <w:jc w:val="center"/>
              <w:rPr>
                <w:kern w:val="0"/>
                <w:szCs w:val="21"/>
              </w:rPr>
            </w:pPr>
            <w:r>
              <w:rPr>
                <w:rFonts w:hint="eastAsia"/>
                <w:kern w:val="0"/>
                <w:szCs w:val="21"/>
              </w:rPr>
              <w:t>三级</w:t>
            </w:r>
          </w:p>
        </w:tc>
        <w:tc>
          <w:tcPr>
            <w:tcW w:w="3324" w:type="pct"/>
            <w:vAlign w:val="center"/>
          </w:tcPr>
          <w:p w14:paraId="363A1F4A">
            <w:pPr>
              <w:spacing w:line="280" w:lineRule="exact"/>
              <w:jc w:val="center"/>
              <w:rPr>
                <w:kern w:val="0"/>
                <w:szCs w:val="21"/>
              </w:rPr>
            </w:pPr>
            <w:r>
              <w:rPr>
                <w:rFonts w:hint="eastAsia"/>
                <w:kern w:val="0"/>
                <w:szCs w:val="21"/>
              </w:rPr>
              <w:t>以项目区四周沟谷划定评价范围，评价面积约7</w:t>
            </w:r>
            <w:r>
              <w:rPr>
                <w:kern w:val="0"/>
                <w:szCs w:val="21"/>
              </w:rPr>
              <w:t>.7</w:t>
            </w:r>
            <w:r>
              <w:rPr>
                <w:rFonts w:hint="eastAsia"/>
                <w:kern w:val="0"/>
                <w:szCs w:val="21"/>
              </w:rPr>
              <w:t>km</w:t>
            </w:r>
            <w:r>
              <w:rPr>
                <w:rFonts w:hint="eastAsia"/>
                <w:kern w:val="0"/>
                <w:szCs w:val="21"/>
                <w:vertAlign w:val="superscript"/>
              </w:rPr>
              <w:t>2</w:t>
            </w:r>
            <w:r>
              <w:rPr>
                <w:rFonts w:hint="eastAsia"/>
                <w:kern w:val="0"/>
                <w:szCs w:val="21"/>
              </w:rPr>
              <w:t>。</w:t>
            </w:r>
          </w:p>
        </w:tc>
      </w:tr>
      <w:tr w14:paraId="5C12B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14:paraId="09BA737F">
            <w:pPr>
              <w:spacing w:line="280" w:lineRule="exact"/>
              <w:jc w:val="center"/>
              <w:rPr>
                <w:kern w:val="0"/>
                <w:szCs w:val="21"/>
              </w:rPr>
            </w:pPr>
            <w:r>
              <w:rPr>
                <w:kern w:val="0"/>
                <w:szCs w:val="21"/>
              </w:rPr>
              <w:t>4</w:t>
            </w:r>
          </w:p>
        </w:tc>
        <w:tc>
          <w:tcPr>
            <w:tcW w:w="644" w:type="pct"/>
            <w:vAlign w:val="center"/>
          </w:tcPr>
          <w:p w14:paraId="50ED7640">
            <w:pPr>
              <w:spacing w:line="280" w:lineRule="exact"/>
              <w:jc w:val="center"/>
              <w:rPr>
                <w:kern w:val="0"/>
                <w:szCs w:val="21"/>
              </w:rPr>
            </w:pPr>
            <w:r>
              <w:rPr>
                <w:rFonts w:hint="eastAsia"/>
                <w:kern w:val="0"/>
                <w:szCs w:val="21"/>
              </w:rPr>
              <w:t>声环境</w:t>
            </w:r>
          </w:p>
        </w:tc>
        <w:tc>
          <w:tcPr>
            <w:tcW w:w="644" w:type="pct"/>
            <w:vAlign w:val="center"/>
          </w:tcPr>
          <w:p w14:paraId="40DE480C">
            <w:pPr>
              <w:spacing w:line="280" w:lineRule="exact"/>
              <w:jc w:val="center"/>
              <w:rPr>
                <w:kern w:val="0"/>
                <w:szCs w:val="21"/>
              </w:rPr>
            </w:pPr>
            <w:r>
              <w:rPr>
                <w:rFonts w:hint="eastAsia"/>
                <w:kern w:val="0"/>
                <w:szCs w:val="21"/>
              </w:rPr>
              <w:t>二级</w:t>
            </w:r>
          </w:p>
        </w:tc>
        <w:tc>
          <w:tcPr>
            <w:tcW w:w="3324" w:type="pct"/>
            <w:vAlign w:val="center"/>
          </w:tcPr>
          <w:p w14:paraId="2A7EC330">
            <w:pPr>
              <w:spacing w:line="280" w:lineRule="exact"/>
              <w:jc w:val="center"/>
              <w:rPr>
                <w:kern w:val="0"/>
                <w:szCs w:val="21"/>
                <w:vertAlign w:val="superscript"/>
              </w:rPr>
            </w:pPr>
            <w:r>
              <w:rPr>
                <w:rFonts w:hint="eastAsia"/>
                <w:kern w:val="0"/>
                <w:szCs w:val="21"/>
              </w:rPr>
              <w:t>工程边界外200</w:t>
            </w:r>
            <w:r>
              <w:rPr>
                <w:kern w:val="0"/>
                <w:szCs w:val="21"/>
              </w:rPr>
              <w:t>m范围</w:t>
            </w:r>
          </w:p>
        </w:tc>
      </w:tr>
      <w:tr w14:paraId="5E2D7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14:paraId="67D06B71">
            <w:pPr>
              <w:spacing w:line="280" w:lineRule="exact"/>
              <w:jc w:val="center"/>
              <w:rPr>
                <w:kern w:val="0"/>
                <w:szCs w:val="21"/>
              </w:rPr>
            </w:pPr>
            <w:r>
              <w:rPr>
                <w:kern w:val="0"/>
                <w:szCs w:val="21"/>
              </w:rPr>
              <w:t>5</w:t>
            </w:r>
          </w:p>
        </w:tc>
        <w:tc>
          <w:tcPr>
            <w:tcW w:w="644" w:type="pct"/>
            <w:vAlign w:val="center"/>
          </w:tcPr>
          <w:p w14:paraId="41B6CF14">
            <w:pPr>
              <w:spacing w:line="280" w:lineRule="exact"/>
              <w:jc w:val="center"/>
              <w:rPr>
                <w:kern w:val="0"/>
                <w:szCs w:val="21"/>
              </w:rPr>
            </w:pPr>
            <w:r>
              <w:rPr>
                <w:rFonts w:hint="eastAsia"/>
                <w:kern w:val="0"/>
                <w:szCs w:val="21"/>
              </w:rPr>
              <w:t>生态</w:t>
            </w:r>
            <w:r>
              <w:rPr>
                <w:kern w:val="0"/>
                <w:szCs w:val="21"/>
              </w:rPr>
              <w:t>环境</w:t>
            </w:r>
          </w:p>
        </w:tc>
        <w:tc>
          <w:tcPr>
            <w:tcW w:w="644" w:type="pct"/>
            <w:vAlign w:val="center"/>
          </w:tcPr>
          <w:p w14:paraId="1D331ADE">
            <w:pPr>
              <w:spacing w:line="280" w:lineRule="exact"/>
              <w:jc w:val="center"/>
              <w:rPr>
                <w:kern w:val="0"/>
                <w:szCs w:val="21"/>
              </w:rPr>
            </w:pPr>
            <w:r>
              <w:rPr>
                <w:rFonts w:hint="eastAsia"/>
                <w:kern w:val="0"/>
                <w:szCs w:val="21"/>
              </w:rPr>
              <w:t>二级</w:t>
            </w:r>
          </w:p>
        </w:tc>
        <w:tc>
          <w:tcPr>
            <w:tcW w:w="3324" w:type="pct"/>
            <w:vAlign w:val="center"/>
          </w:tcPr>
          <w:p w14:paraId="4C9A8001">
            <w:pPr>
              <w:spacing w:line="280" w:lineRule="exact"/>
              <w:jc w:val="center"/>
              <w:rPr>
                <w:kern w:val="0"/>
                <w:szCs w:val="21"/>
              </w:rPr>
            </w:pPr>
            <w:r>
              <w:rPr>
                <w:rFonts w:hint="eastAsia"/>
                <w:kern w:val="0"/>
                <w:szCs w:val="21"/>
              </w:rPr>
              <w:t>治理河段涉及自然公园段以河道两侧及两端外延1000m范围，其他段以河道两侧及两端外延300m范围</w:t>
            </w:r>
          </w:p>
        </w:tc>
      </w:tr>
    </w:tbl>
    <w:p w14:paraId="173BFF94">
      <w:pPr>
        <w:pStyle w:val="3"/>
        <w:rPr>
          <w:kern w:val="0"/>
        </w:rPr>
      </w:pPr>
      <w:bookmarkStart w:id="36" w:name="_Toc198733147"/>
      <w:r>
        <w:rPr>
          <w:rFonts w:hint="eastAsia"/>
          <w:kern w:val="0"/>
        </w:rPr>
        <w:t>环境</w:t>
      </w:r>
      <w:r>
        <w:rPr>
          <w:kern w:val="0"/>
        </w:rPr>
        <w:t>保护目标</w:t>
      </w:r>
      <w:r>
        <w:rPr>
          <w:rFonts w:hint="eastAsia"/>
          <w:kern w:val="0"/>
        </w:rPr>
        <w:t>与</w:t>
      </w:r>
      <w:r>
        <w:rPr>
          <w:kern w:val="0"/>
        </w:rPr>
        <w:t>保护等级</w:t>
      </w:r>
      <w:bookmarkEnd w:id="36"/>
    </w:p>
    <w:p w14:paraId="729C611E">
      <w:pPr>
        <w:pStyle w:val="85"/>
        <w:ind w:firstLine="480"/>
        <w:rPr>
          <w:kern w:val="0"/>
        </w:rPr>
      </w:pPr>
      <w:bookmarkStart w:id="37" w:name="_Hlk98772164"/>
      <w:r>
        <w:rPr>
          <w:rFonts w:hint="eastAsia"/>
          <w:kern w:val="0"/>
        </w:rPr>
        <w:t>通过对项目区域现场踏勘调查，拟建工程有28.72</w:t>
      </w:r>
      <w:r>
        <w:rPr>
          <w:kern w:val="0"/>
        </w:rPr>
        <w:t>hm</w:t>
      </w:r>
      <w:r>
        <w:rPr>
          <w:kern w:val="0"/>
          <w:vertAlign w:val="superscript"/>
        </w:rPr>
        <w:t>2</w:t>
      </w:r>
      <w:r>
        <w:rPr>
          <w:rFonts w:hint="eastAsia"/>
          <w:kern w:val="0"/>
        </w:rPr>
        <w:t>的区域位于生态保护红线范围内；同时有24.36</w:t>
      </w:r>
      <w:r>
        <w:rPr>
          <w:kern w:val="0"/>
        </w:rPr>
        <w:t>hm</w:t>
      </w:r>
      <w:r>
        <w:rPr>
          <w:kern w:val="0"/>
          <w:vertAlign w:val="superscript"/>
        </w:rPr>
        <w:t>2</w:t>
      </w:r>
      <w:r>
        <w:rPr>
          <w:kern w:val="0"/>
        </w:rPr>
        <w:t>的区域</w:t>
      </w:r>
      <w:r>
        <w:rPr>
          <w:rFonts w:hint="eastAsia"/>
          <w:kern w:val="0"/>
        </w:rPr>
        <w:t>位于河北滦平潮河国家湿地公园范围内。</w:t>
      </w:r>
      <w:bookmarkEnd w:id="37"/>
      <w:r>
        <w:rPr>
          <w:rFonts w:hint="eastAsia"/>
          <w:kern w:val="0"/>
        </w:rPr>
        <w:t>根据区域环境特点和项目工程特点，确定周边居民区为环境空气保护目标；潮河为地表水环境保护目标；评价范围内含水层为地下水环境保护目标；将工程区域</w:t>
      </w:r>
      <w:r>
        <w:rPr>
          <w:kern w:val="0"/>
        </w:rPr>
        <w:t>200m</w:t>
      </w:r>
      <w:r>
        <w:rPr>
          <w:rFonts w:hint="eastAsia"/>
          <w:kern w:val="0"/>
        </w:rPr>
        <w:t>范围的敏感点作为声环境保护目标。河北滦平潮河国家湿地公园及燕山水源涵养-生物多样性维护生态保护红线及其中分布的重点保护野生动植物为生态保护目标。</w:t>
      </w:r>
    </w:p>
    <w:p w14:paraId="1930B366">
      <w:pPr>
        <w:pStyle w:val="85"/>
        <w:ind w:firstLine="480"/>
        <w:rPr>
          <w:kern w:val="0"/>
        </w:rPr>
        <w:sectPr>
          <w:pgSz w:w="11906" w:h="16838"/>
          <w:pgMar w:top="2007" w:right="1797" w:bottom="1724" w:left="1797" w:header="1417" w:footer="1162" w:gutter="0"/>
          <w:pgNumType w:fmt="numberInDash"/>
          <w:cols w:space="425" w:num="1"/>
          <w:docGrid w:type="lines" w:linePitch="312" w:charSpace="0"/>
        </w:sectPr>
      </w:pPr>
      <w:r>
        <w:rPr>
          <w:rFonts w:hint="eastAsia"/>
          <w:kern w:val="0"/>
        </w:rPr>
        <w:t>本项目环境保护目标见</w:t>
      </w:r>
      <w:r>
        <w:rPr>
          <w:kern w:val="0"/>
        </w:rPr>
        <w:fldChar w:fldCharType="begin"/>
      </w:r>
      <w:r>
        <w:rPr>
          <w:kern w:val="0"/>
        </w:rPr>
        <w:instrText xml:space="preserve"> REF _Ref470543559 \h  \* MERGEFORMAT </w:instrText>
      </w:r>
      <w:r>
        <w:rPr>
          <w:kern w:val="0"/>
        </w:rPr>
        <w:fldChar w:fldCharType="separate"/>
      </w:r>
      <w:r>
        <w:rPr>
          <w:rFonts w:hint="eastAsia"/>
          <w:kern w:val="0"/>
        </w:rPr>
        <w:t>表</w:t>
      </w:r>
      <w:r>
        <w:rPr>
          <w:kern w:val="0"/>
        </w:rPr>
        <w:t>1</w:t>
      </w:r>
      <w:r>
        <w:rPr>
          <w:kern w:val="0"/>
        </w:rPr>
        <w:noBreakHyphen/>
      </w:r>
      <w:r>
        <w:rPr>
          <w:kern w:val="0"/>
        </w:rPr>
        <w:t>11</w:t>
      </w:r>
      <w:r>
        <w:rPr>
          <w:kern w:val="0"/>
        </w:rPr>
        <w:fldChar w:fldCharType="end"/>
      </w:r>
      <w:r>
        <w:rPr>
          <w:rFonts w:hint="eastAsia"/>
          <w:kern w:val="0"/>
        </w:rPr>
        <w:t>、</w:t>
      </w:r>
      <w:r>
        <w:rPr>
          <w:kern w:val="0"/>
        </w:rPr>
        <w:fldChar w:fldCharType="begin"/>
      </w:r>
      <w:r>
        <w:rPr>
          <w:kern w:val="0"/>
        </w:rPr>
        <w:instrText xml:space="preserve"> </w:instrText>
      </w:r>
      <w:r>
        <w:rPr>
          <w:rFonts w:hint="eastAsia"/>
          <w:kern w:val="0"/>
        </w:rPr>
        <w:instrText xml:space="preserve">REF _Ref129888468 \h</w:instrText>
      </w:r>
      <w:r>
        <w:rPr>
          <w:kern w:val="0"/>
        </w:rPr>
        <w:instrText xml:space="preserve">  \* MERGEFORMAT </w:instrText>
      </w:r>
      <w:r>
        <w:rPr>
          <w:kern w:val="0"/>
        </w:rPr>
        <w:fldChar w:fldCharType="separate"/>
      </w:r>
      <w:r>
        <w:rPr>
          <w:rFonts w:hint="eastAsia" w:eastAsia="黑体"/>
          <w:bCs/>
          <w:kern w:val="0"/>
          <w:szCs w:val="32"/>
        </w:rPr>
        <w:t>表</w:t>
      </w:r>
      <w:r>
        <w:rPr>
          <w:rFonts w:eastAsia="黑体"/>
          <w:bCs/>
          <w:kern w:val="0"/>
          <w:szCs w:val="32"/>
        </w:rPr>
        <w:t>1</w:t>
      </w:r>
      <w:r>
        <w:rPr>
          <w:rFonts w:eastAsia="黑体"/>
          <w:bCs/>
          <w:kern w:val="0"/>
          <w:szCs w:val="32"/>
        </w:rPr>
        <w:noBreakHyphen/>
      </w:r>
      <w:r>
        <w:rPr>
          <w:rFonts w:eastAsia="黑体"/>
          <w:bCs/>
          <w:kern w:val="0"/>
          <w:szCs w:val="32"/>
        </w:rPr>
        <w:t>12</w:t>
      </w:r>
      <w:r>
        <w:rPr>
          <w:kern w:val="0"/>
        </w:rPr>
        <w:fldChar w:fldCharType="end"/>
      </w:r>
      <w:r>
        <w:rPr>
          <w:rFonts w:hint="eastAsia"/>
          <w:kern w:val="0"/>
        </w:rPr>
        <w:t>。</w:t>
      </w:r>
    </w:p>
    <w:p w14:paraId="580A0A6F">
      <w:pPr>
        <w:spacing w:line="540" w:lineRule="exact"/>
        <w:jc w:val="center"/>
        <w:rPr>
          <w:rFonts w:eastAsia="黑体"/>
          <w:kern w:val="0"/>
          <w:sz w:val="24"/>
        </w:rPr>
      </w:pPr>
      <w:bookmarkStart w:id="38" w:name="_Ref470543559"/>
      <w:r>
        <w:rPr>
          <w:rFonts w:hint="eastAsia" w:eastAsia="黑体"/>
          <w:bCs/>
          <w:kern w:val="0"/>
          <w:sz w:val="24"/>
          <w:szCs w:val="32"/>
        </w:rPr>
        <w:t>表</w:t>
      </w:r>
      <w:r>
        <w:rPr>
          <w:rFonts w:eastAsia="黑体"/>
          <w:bCs/>
          <w:kern w:val="0"/>
          <w:sz w:val="24"/>
          <w:szCs w:val="32"/>
        </w:rPr>
        <w:fldChar w:fldCharType="begin"/>
      </w:r>
      <w:r>
        <w:rPr>
          <w:rFonts w:eastAsia="黑体"/>
          <w:bCs/>
          <w:kern w:val="0"/>
          <w:sz w:val="24"/>
          <w:szCs w:val="32"/>
        </w:rPr>
        <w:instrText xml:space="preserve"> </w:instrText>
      </w:r>
      <w:r>
        <w:rPr>
          <w:rFonts w:hint="eastAsia" w:eastAsia="黑体"/>
          <w:bCs/>
          <w:kern w:val="0"/>
          <w:sz w:val="24"/>
          <w:szCs w:val="32"/>
        </w:rPr>
        <w:instrText xml:space="preserve">STYLEREF 1 \s</w:instrText>
      </w:r>
      <w:r>
        <w:rPr>
          <w:rFonts w:eastAsia="黑体"/>
          <w:bCs/>
          <w:kern w:val="0"/>
          <w:sz w:val="24"/>
          <w:szCs w:val="32"/>
        </w:rPr>
        <w:instrText xml:space="preserve"> </w:instrText>
      </w:r>
      <w:r>
        <w:rPr>
          <w:rFonts w:eastAsia="黑体"/>
          <w:bCs/>
          <w:kern w:val="0"/>
          <w:sz w:val="24"/>
          <w:szCs w:val="32"/>
        </w:rPr>
        <w:fldChar w:fldCharType="separate"/>
      </w:r>
      <w:r>
        <w:rPr>
          <w:rFonts w:eastAsia="黑体"/>
          <w:bCs/>
          <w:kern w:val="0"/>
          <w:sz w:val="24"/>
          <w:szCs w:val="32"/>
        </w:rPr>
        <w:t>1</w:t>
      </w:r>
      <w:r>
        <w:rPr>
          <w:rFonts w:eastAsia="黑体"/>
          <w:bCs/>
          <w:kern w:val="0"/>
          <w:sz w:val="24"/>
          <w:szCs w:val="32"/>
        </w:rPr>
        <w:fldChar w:fldCharType="end"/>
      </w:r>
      <w:r>
        <w:rPr>
          <w:rFonts w:eastAsia="黑体"/>
          <w:bCs/>
          <w:kern w:val="0"/>
          <w:sz w:val="24"/>
          <w:szCs w:val="32"/>
        </w:rPr>
        <w:noBreakHyphen/>
      </w:r>
      <w:r>
        <w:rPr>
          <w:rFonts w:eastAsia="黑体"/>
          <w:bCs/>
          <w:kern w:val="0"/>
          <w:sz w:val="24"/>
          <w:szCs w:val="32"/>
        </w:rPr>
        <w:fldChar w:fldCharType="begin"/>
      </w:r>
      <w:r>
        <w:rPr>
          <w:rFonts w:eastAsia="黑体"/>
          <w:bCs/>
          <w:kern w:val="0"/>
          <w:sz w:val="24"/>
          <w:szCs w:val="32"/>
        </w:rPr>
        <w:instrText xml:space="preserve"> </w:instrText>
      </w:r>
      <w:r>
        <w:rPr>
          <w:rFonts w:hint="eastAsia" w:eastAsia="黑体"/>
          <w:bCs/>
          <w:kern w:val="0"/>
          <w:sz w:val="24"/>
          <w:szCs w:val="32"/>
        </w:rPr>
        <w:instrText xml:space="preserve">SEQ 表 \* ARABIC \s 1</w:instrText>
      </w:r>
      <w:r>
        <w:rPr>
          <w:rFonts w:eastAsia="黑体"/>
          <w:bCs/>
          <w:kern w:val="0"/>
          <w:sz w:val="24"/>
          <w:szCs w:val="32"/>
        </w:rPr>
        <w:instrText xml:space="preserve"> </w:instrText>
      </w:r>
      <w:r>
        <w:rPr>
          <w:rFonts w:eastAsia="黑体"/>
          <w:bCs/>
          <w:kern w:val="0"/>
          <w:sz w:val="24"/>
          <w:szCs w:val="32"/>
        </w:rPr>
        <w:fldChar w:fldCharType="separate"/>
      </w:r>
      <w:r>
        <w:rPr>
          <w:rFonts w:eastAsia="黑体"/>
          <w:bCs/>
          <w:kern w:val="0"/>
          <w:sz w:val="24"/>
          <w:szCs w:val="32"/>
        </w:rPr>
        <w:t>11</w:t>
      </w:r>
      <w:r>
        <w:rPr>
          <w:rFonts w:eastAsia="黑体"/>
          <w:bCs/>
          <w:kern w:val="0"/>
          <w:sz w:val="24"/>
          <w:szCs w:val="32"/>
        </w:rPr>
        <w:fldChar w:fldCharType="end"/>
      </w:r>
      <w:bookmarkEnd w:id="38"/>
      <w:r>
        <w:rPr>
          <w:rFonts w:hint="eastAsia" w:eastAsia="黑体"/>
          <w:kern w:val="0"/>
          <w:sz w:val="24"/>
        </w:rPr>
        <w:t xml:space="preserve"> </w:t>
      </w:r>
      <w:r>
        <w:rPr>
          <w:rFonts w:eastAsia="黑体"/>
          <w:kern w:val="0"/>
          <w:sz w:val="24"/>
        </w:rPr>
        <w:t xml:space="preserve"> 环境保护目标及保护等级</w:t>
      </w:r>
    </w:p>
    <w:tbl>
      <w:tblPr>
        <w:tblStyle w:val="6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00"/>
        <w:gridCol w:w="1924"/>
        <w:gridCol w:w="1696"/>
        <w:gridCol w:w="1415"/>
        <w:gridCol w:w="735"/>
        <w:gridCol w:w="568"/>
        <w:gridCol w:w="615"/>
        <w:gridCol w:w="807"/>
        <w:gridCol w:w="1041"/>
        <w:gridCol w:w="2964"/>
        <w:gridCol w:w="952"/>
      </w:tblGrid>
      <w:tr w14:paraId="404F8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5" w:type="pct"/>
            <w:vMerge w:val="restart"/>
            <w:vAlign w:val="center"/>
          </w:tcPr>
          <w:p w14:paraId="143F255C">
            <w:pPr>
              <w:jc w:val="center"/>
              <w:rPr>
                <w:kern w:val="0"/>
                <w:szCs w:val="21"/>
              </w:rPr>
            </w:pPr>
            <w:r>
              <w:rPr>
                <w:kern w:val="0"/>
                <w:szCs w:val="21"/>
              </w:rPr>
              <w:t>环境要素</w:t>
            </w:r>
          </w:p>
        </w:tc>
        <w:tc>
          <w:tcPr>
            <w:tcW w:w="709" w:type="pct"/>
            <w:vMerge w:val="restart"/>
            <w:vAlign w:val="center"/>
          </w:tcPr>
          <w:p w14:paraId="5588F683">
            <w:pPr>
              <w:jc w:val="center"/>
              <w:rPr>
                <w:kern w:val="0"/>
                <w:szCs w:val="21"/>
              </w:rPr>
            </w:pPr>
            <w:r>
              <w:rPr>
                <w:kern w:val="0"/>
                <w:szCs w:val="21"/>
              </w:rPr>
              <w:t>保护目标</w:t>
            </w:r>
          </w:p>
        </w:tc>
        <w:tc>
          <w:tcPr>
            <w:tcW w:w="1191" w:type="pct"/>
            <w:gridSpan w:val="2"/>
            <w:vAlign w:val="center"/>
          </w:tcPr>
          <w:p w14:paraId="0265F35C">
            <w:pPr>
              <w:jc w:val="center"/>
              <w:rPr>
                <w:kern w:val="0"/>
                <w:szCs w:val="21"/>
              </w:rPr>
            </w:pPr>
            <w:r>
              <w:rPr>
                <w:rFonts w:hint="eastAsia"/>
                <w:kern w:val="0"/>
                <w:szCs w:val="21"/>
              </w:rPr>
              <w:t>坐标</w:t>
            </w:r>
          </w:p>
        </w:tc>
        <w:tc>
          <w:tcPr>
            <w:tcW w:w="283" w:type="pct"/>
            <w:vMerge w:val="restart"/>
            <w:vAlign w:val="center"/>
          </w:tcPr>
          <w:p w14:paraId="1C35B5E3">
            <w:pPr>
              <w:jc w:val="center"/>
              <w:rPr>
                <w:kern w:val="0"/>
                <w:szCs w:val="21"/>
              </w:rPr>
            </w:pPr>
            <w:r>
              <w:rPr>
                <w:rFonts w:hint="eastAsia"/>
                <w:kern w:val="0"/>
                <w:szCs w:val="21"/>
              </w:rPr>
              <w:t>保护</w:t>
            </w:r>
            <w:r>
              <w:rPr>
                <w:kern w:val="0"/>
                <w:szCs w:val="21"/>
              </w:rPr>
              <w:t>对象</w:t>
            </w:r>
          </w:p>
        </w:tc>
        <w:tc>
          <w:tcPr>
            <w:tcW w:w="219" w:type="pct"/>
            <w:vMerge w:val="restart"/>
            <w:vAlign w:val="center"/>
          </w:tcPr>
          <w:p w14:paraId="538F9869">
            <w:pPr>
              <w:jc w:val="center"/>
              <w:rPr>
                <w:kern w:val="0"/>
                <w:szCs w:val="21"/>
              </w:rPr>
            </w:pPr>
            <w:r>
              <w:rPr>
                <w:rFonts w:hint="eastAsia"/>
                <w:kern w:val="0"/>
                <w:szCs w:val="21"/>
              </w:rPr>
              <w:t>保护</w:t>
            </w:r>
            <w:r>
              <w:rPr>
                <w:kern w:val="0"/>
                <w:szCs w:val="21"/>
              </w:rPr>
              <w:t>内容</w:t>
            </w:r>
          </w:p>
        </w:tc>
        <w:tc>
          <w:tcPr>
            <w:tcW w:w="237" w:type="pct"/>
            <w:vMerge w:val="restart"/>
            <w:vAlign w:val="center"/>
          </w:tcPr>
          <w:p w14:paraId="46D6E7E9">
            <w:pPr>
              <w:jc w:val="center"/>
              <w:rPr>
                <w:kern w:val="0"/>
                <w:szCs w:val="21"/>
              </w:rPr>
            </w:pPr>
            <w:r>
              <w:rPr>
                <w:rFonts w:hint="eastAsia"/>
                <w:kern w:val="0"/>
                <w:szCs w:val="21"/>
              </w:rPr>
              <w:t>人口数</w:t>
            </w:r>
          </w:p>
        </w:tc>
        <w:tc>
          <w:tcPr>
            <w:tcW w:w="310" w:type="pct"/>
            <w:vMerge w:val="restart"/>
            <w:vAlign w:val="center"/>
          </w:tcPr>
          <w:p w14:paraId="3D8BA179">
            <w:pPr>
              <w:jc w:val="center"/>
              <w:rPr>
                <w:kern w:val="0"/>
                <w:szCs w:val="21"/>
              </w:rPr>
            </w:pPr>
            <w:r>
              <w:rPr>
                <w:kern w:val="0"/>
                <w:szCs w:val="21"/>
              </w:rPr>
              <w:t>相对</w:t>
            </w:r>
            <w:r>
              <w:rPr>
                <w:rFonts w:hint="eastAsia"/>
                <w:kern w:val="0"/>
                <w:szCs w:val="21"/>
              </w:rPr>
              <w:t>工程</w:t>
            </w:r>
            <w:r>
              <w:rPr>
                <w:kern w:val="0"/>
                <w:szCs w:val="21"/>
              </w:rPr>
              <w:t>方位</w:t>
            </w:r>
          </w:p>
        </w:tc>
        <w:tc>
          <w:tcPr>
            <w:tcW w:w="399" w:type="pct"/>
            <w:vMerge w:val="restart"/>
            <w:vAlign w:val="center"/>
          </w:tcPr>
          <w:p w14:paraId="30BE71E7">
            <w:pPr>
              <w:jc w:val="center"/>
              <w:rPr>
                <w:spacing w:val="-20"/>
                <w:kern w:val="0"/>
                <w:szCs w:val="21"/>
              </w:rPr>
            </w:pPr>
            <w:r>
              <w:rPr>
                <w:rFonts w:hint="eastAsia"/>
                <w:spacing w:val="-20"/>
                <w:kern w:val="0"/>
                <w:szCs w:val="21"/>
              </w:rPr>
              <w:t>距工程边界（</w:t>
            </w:r>
            <w:r>
              <w:rPr>
                <w:spacing w:val="-20"/>
                <w:kern w:val="0"/>
                <w:szCs w:val="21"/>
              </w:rPr>
              <w:t>m</w:t>
            </w:r>
            <w:r>
              <w:rPr>
                <w:rFonts w:hint="eastAsia"/>
                <w:spacing w:val="-20"/>
                <w:kern w:val="0"/>
                <w:szCs w:val="21"/>
              </w:rPr>
              <w:t>）</w:t>
            </w:r>
          </w:p>
        </w:tc>
        <w:tc>
          <w:tcPr>
            <w:tcW w:w="1132" w:type="pct"/>
            <w:vMerge w:val="restart"/>
            <w:vAlign w:val="center"/>
          </w:tcPr>
          <w:p w14:paraId="08FC24EF">
            <w:pPr>
              <w:jc w:val="center"/>
              <w:rPr>
                <w:kern w:val="0"/>
                <w:szCs w:val="21"/>
              </w:rPr>
            </w:pPr>
            <w:r>
              <w:rPr>
                <w:rFonts w:hint="eastAsia"/>
                <w:kern w:val="0"/>
                <w:szCs w:val="21"/>
              </w:rPr>
              <w:t>功能</w:t>
            </w:r>
            <w:r>
              <w:rPr>
                <w:kern w:val="0"/>
                <w:szCs w:val="21"/>
              </w:rPr>
              <w:t>要求</w:t>
            </w:r>
          </w:p>
        </w:tc>
        <w:tc>
          <w:tcPr>
            <w:tcW w:w="365" w:type="pct"/>
            <w:vMerge w:val="restart"/>
            <w:vAlign w:val="center"/>
          </w:tcPr>
          <w:p w14:paraId="4C219B4C">
            <w:pPr>
              <w:jc w:val="center"/>
              <w:rPr>
                <w:kern w:val="0"/>
                <w:szCs w:val="21"/>
              </w:rPr>
            </w:pPr>
            <w:r>
              <w:rPr>
                <w:rFonts w:hint="eastAsia"/>
                <w:kern w:val="0"/>
                <w:szCs w:val="21"/>
              </w:rPr>
              <w:t>效果</w:t>
            </w:r>
          </w:p>
        </w:tc>
      </w:tr>
      <w:tr w14:paraId="350FB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5" w:type="pct"/>
            <w:vMerge w:val="continue"/>
            <w:vAlign w:val="center"/>
          </w:tcPr>
          <w:p w14:paraId="471985F5">
            <w:pPr>
              <w:jc w:val="center"/>
              <w:rPr>
                <w:kern w:val="0"/>
                <w:szCs w:val="21"/>
              </w:rPr>
            </w:pPr>
          </w:p>
        </w:tc>
        <w:tc>
          <w:tcPr>
            <w:tcW w:w="709" w:type="pct"/>
            <w:vMerge w:val="continue"/>
            <w:vAlign w:val="center"/>
          </w:tcPr>
          <w:p w14:paraId="3934E537">
            <w:pPr>
              <w:jc w:val="center"/>
              <w:rPr>
                <w:kern w:val="0"/>
                <w:szCs w:val="21"/>
              </w:rPr>
            </w:pPr>
          </w:p>
        </w:tc>
        <w:tc>
          <w:tcPr>
            <w:tcW w:w="649" w:type="pct"/>
            <w:vAlign w:val="center"/>
          </w:tcPr>
          <w:p w14:paraId="3D4A4752">
            <w:pPr>
              <w:jc w:val="center"/>
              <w:rPr>
                <w:kern w:val="0"/>
                <w:szCs w:val="21"/>
              </w:rPr>
            </w:pPr>
            <w:r>
              <w:rPr>
                <w:rFonts w:hint="eastAsia"/>
                <w:kern w:val="0"/>
                <w:szCs w:val="21"/>
              </w:rPr>
              <w:t>经度</w:t>
            </w:r>
          </w:p>
        </w:tc>
        <w:tc>
          <w:tcPr>
            <w:tcW w:w="542" w:type="pct"/>
            <w:vAlign w:val="center"/>
          </w:tcPr>
          <w:p w14:paraId="659EF48C">
            <w:pPr>
              <w:jc w:val="center"/>
              <w:rPr>
                <w:kern w:val="0"/>
                <w:szCs w:val="21"/>
              </w:rPr>
            </w:pPr>
            <w:r>
              <w:rPr>
                <w:rFonts w:hint="eastAsia"/>
                <w:kern w:val="0"/>
                <w:szCs w:val="21"/>
              </w:rPr>
              <w:t>纬度</w:t>
            </w:r>
          </w:p>
        </w:tc>
        <w:tc>
          <w:tcPr>
            <w:tcW w:w="283" w:type="pct"/>
            <w:vMerge w:val="continue"/>
            <w:vAlign w:val="center"/>
          </w:tcPr>
          <w:p w14:paraId="1E187DF2">
            <w:pPr>
              <w:jc w:val="center"/>
              <w:rPr>
                <w:kern w:val="0"/>
                <w:szCs w:val="21"/>
              </w:rPr>
            </w:pPr>
          </w:p>
        </w:tc>
        <w:tc>
          <w:tcPr>
            <w:tcW w:w="219" w:type="pct"/>
            <w:vMerge w:val="continue"/>
            <w:vAlign w:val="center"/>
          </w:tcPr>
          <w:p w14:paraId="2CA473A6">
            <w:pPr>
              <w:jc w:val="center"/>
              <w:rPr>
                <w:kern w:val="0"/>
                <w:szCs w:val="21"/>
              </w:rPr>
            </w:pPr>
          </w:p>
        </w:tc>
        <w:tc>
          <w:tcPr>
            <w:tcW w:w="237" w:type="pct"/>
            <w:vMerge w:val="continue"/>
            <w:vAlign w:val="center"/>
          </w:tcPr>
          <w:p w14:paraId="3BF56CC4">
            <w:pPr>
              <w:jc w:val="center"/>
              <w:rPr>
                <w:kern w:val="0"/>
                <w:szCs w:val="21"/>
              </w:rPr>
            </w:pPr>
          </w:p>
        </w:tc>
        <w:tc>
          <w:tcPr>
            <w:tcW w:w="310" w:type="pct"/>
            <w:vMerge w:val="continue"/>
            <w:vAlign w:val="center"/>
          </w:tcPr>
          <w:p w14:paraId="515A5D4A">
            <w:pPr>
              <w:jc w:val="center"/>
              <w:rPr>
                <w:kern w:val="0"/>
                <w:szCs w:val="21"/>
              </w:rPr>
            </w:pPr>
          </w:p>
        </w:tc>
        <w:tc>
          <w:tcPr>
            <w:tcW w:w="399" w:type="pct"/>
            <w:vMerge w:val="continue"/>
            <w:vAlign w:val="center"/>
          </w:tcPr>
          <w:p w14:paraId="12B9C1AB">
            <w:pPr>
              <w:jc w:val="center"/>
              <w:rPr>
                <w:kern w:val="0"/>
                <w:szCs w:val="21"/>
              </w:rPr>
            </w:pPr>
          </w:p>
        </w:tc>
        <w:tc>
          <w:tcPr>
            <w:tcW w:w="1132" w:type="pct"/>
            <w:vMerge w:val="continue"/>
            <w:vAlign w:val="center"/>
          </w:tcPr>
          <w:p w14:paraId="69FA99C8">
            <w:pPr>
              <w:jc w:val="center"/>
              <w:rPr>
                <w:kern w:val="0"/>
                <w:szCs w:val="21"/>
              </w:rPr>
            </w:pPr>
          </w:p>
        </w:tc>
        <w:tc>
          <w:tcPr>
            <w:tcW w:w="365" w:type="pct"/>
            <w:vMerge w:val="continue"/>
            <w:vAlign w:val="center"/>
          </w:tcPr>
          <w:p w14:paraId="4DEA6ACB">
            <w:pPr>
              <w:jc w:val="center"/>
              <w:rPr>
                <w:kern w:val="0"/>
                <w:szCs w:val="21"/>
              </w:rPr>
            </w:pPr>
          </w:p>
        </w:tc>
      </w:tr>
      <w:tr w14:paraId="0403F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5" w:type="pct"/>
            <w:vMerge w:val="restart"/>
            <w:vAlign w:val="center"/>
          </w:tcPr>
          <w:p w14:paraId="3823C5C7">
            <w:pPr>
              <w:jc w:val="center"/>
              <w:rPr>
                <w:kern w:val="0"/>
                <w:szCs w:val="21"/>
              </w:rPr>
            </w:pPr>
            <w:r>
              <w:rPr>
                <w:kern w:val="0"/>
                <w:szCs w:val="21"/>
              </w:rPr>
              <w:t>环境</w:t>
            </w:r>
          </w:p>
          <w:p w14:paraId="4F674200">
            <w:pPr>
              <w:jc w:val="center"/>
              <w:rPr>
                <w:kern w:val="0"/>
                <w:szCs w:val="21"/>
              </w:rPr>
            </w:pPr>
            <w:r>
              <w:rPr>
                <w:kern w:val="0"/>
                <w:szCs w:val="21"/>
              </w:rPr>
              <w:t>空气</w:t>
            </w:r>
          </w:p>
        </w:tc>
        <w:tc>
          <w:tcPr>
            <w:tcW w:w="709" w:type="pct"/>
            <w:tcMar>
              <w:left w:w="0" w:type="dxa"/>
              <w:right w:w="0" w:type="dxa"/>
            </w:tcMar>
            <w:vAlign w:val="center"/>
          </w:tcPr>
          <w:p w14:paraId="475BEA9E">
            <w:pPr>
              <w:jc w:val="center"/>
              <w:rPr>
                <w:kern w:val="0"/>
                <w:szCs w:val="21"/>
              </w:rPr>
            </w:pPr>
            <w:r>
              <w:rPr>
                <w:rFonts w:hint="eastAsia"/>
                <w:kern w:val="0"/>
              </w:rPr>
              <w:t>大河北小学</w:t>
            </w:r>
          </w:p>
        </w:tc>
        <w:tc>
          <w:tcPr>
            <w:tcW w:w="649" w:type="pct"/>
            <w:vAlign w:val="center"/>
          </w:tcPr>
          <w:p w14:paraId="2C448977">
            <w:pPr>
              <w:jc w:val="center"/>
              <w:rPr>
                <w:kern w:val="0"/>
                <w:szCs w:val="21"/>
              </w:rPr>
            </w:pPr>
            <w:r>
              <w:rPr>
                <w:kern w:val="0"/>
                <w:szCs w:val="21"/>
              </w:rPr>
              <w:t>117°03′15″</w:t>
            </w:r>
          </w:p>
        </w:tc>
        <w:tc>
          <w:tcPr>
            <w:tcW w:w="542" w:type="pct"/>
            <w:vAlign w:val="center"/>
          </w:tcPr>
          <w:p w14:paraId="5C5A5A71">
            <w:pPr>
              <w:jc w:val="center"/>
              <w:rPr>
                <w:kern w:val="0"/>
                <w:szCs w:val="21"/>
              </w:rPr>
            </w:pPr>
            <w:r>
              <w:rPr>
                <w:kern w:val="0"/>
                <w:szCs w:val="21"/>
              </w:rPr>
              <w:t>40°54′40″</w:t>
            </w:r>
          </w:p>
        </w:tc>
        <w:tc>
          <w:tcPr>
            <w:tcW w:w="283" w:type="pct"/>
            <w:vAlign w:val="center"/>
          </w:tcPr>
          <w:p w14:paraId="114C9472">
            <w:pPr>
              <w:jc w:val="center"/>
              <w:rPr>
                <w:kern w:val="0"/>
                <w:szCs w:val="21"/>
              </w:rPr>
            </w:pPr>
            <w:r>
              <w:rPr>
                <w:rFonts w:hint="eastAsia"/>
                <w:kern w:val="0"/>
                <w:szCs w:val="21"/>
              </w:rPr>
              <w:t>小学</w:t>
            </w:r>
          </w:p>
        </w:tc>
        <w:tc>
          <w:tcPr>
            <w:tcW w:w="219" w:type="pct"/>
            <w:vAlign w:val="center"/>
          </w:tcPr>
          <w:p w14:paraId="41E78266">
            <w:pPr>
              <w:jc w:val="center"/>
              <w:rPr>
                <w:kern w:val="0"/>
                <w:szCs w:val="21"/>
              </w:rPr>
            </w:pPr>
            <w:r>
              <w:rPr>
                <w:rFonts w:hint="eastAsia"/>
                <w:kern w:val="0"/>
                <w:szCs w:val="21"/>
              </w:rPr>
              <w:t>师生</w:t>
            </w:r>
          </w:p>
        </w:tc>
        <w:tc>
          <w:tcPr>
            <w:tcW w:w="237" w:type="pct"/>
            <w:vAlign w:val="center"/>
          </w:tcPr>
          <w:p w14:paraId="69826A9A">
            <w:pPr>
              <w:jc w:val="center"/>
              <w:rPr>
                <w:kern w:val="0"/>
                <w:szCs w:val="21"/>
              </w:rPr>
            </w:pPr>
            <w:r>
              <w:rPr>
                <w:rFonts w:hint="eastAsia"/>
                <w:kern w:val="0"/>
                <w:szCs w:val="21"/>
              </w:rPr>
              <w:t>2</w:t>
            </w:r>
            <w:r>
              <w:rPr>
                <w:kern w:val="0"/>
                <w:szCs w:val="21"/>
              </w:rPr>
              <w:t>32</w:t>
            </w:r>
          </w:p>
        </w:tc>
        <w:tc>
          <w:tcPr>
            <w:tcW w:w="310" w:type="pct"/>
            <w:vAlign w:val="center"/>
          </w:tcPr>
          <w:p w14:paraId="4B409732">
            <w:pPr>
              <w:jc w:val="center"/>
              <w:rPr>
                <w:kern w:val="0"/>
                <w:szCs w:val="21"/>
              </w:rPr>
            </w:pPr>
            <w:r>
              <w:rPr>
                <w:rFonts w:hint="eastAsia"/>
                <w:kern w:val="0"/>
                <w:szCs w:val="21"/>
              </w:rPr>
              <w:t>北</w:t>
            </w:r>
          </w:p>
        </w:tc>
        <w:tc>
          <w:tcPr>
            <w:tcW w:w="399" w:type="pct"/>
            <w:vAlign w:val="center"/>
          </w:tcPr>
          <w:p w14:paraId="07F53FAB">
            <w:pPr>
              <w:jc w:val="center"/>
              <w:rPr>
                <w:kern w:val="0"/>
                <w:szCs w:val="21"/>
              </w:rPr>
            </w:pPr>
            <w:r>
              <w:rPr>
                <w:kern w:val="0"/>
                <w:szCs w:val="21"/>
              </w:rPr>
              <w:t>130</w:t>
            </w:r>
          </w:p>
        </w:tc>
        <w:tc>
          <w:tcPr>
            <w:tcW w:w="1132" w:type="pct"/>
            <w:vMerge w:val="restart"/>
            <w:vAlign w:val="center"/>
          </w:tcPr>
          <w:p w14:paraId="5103F4E3">
            <w:pPr>
              <w:jc w:val="center"/>
              <w:rPr>
                <w:kern w:val="0"/>
                <w:szCs w:val="21"/>
              </w:rPr>
            </w:pPr>
            <w:r>
              <w:rPr>
                <w:kern w:val="0"/>
                <w:szCs w:val="21"/>
              </w:rPr>
              <w:t>《环境空气质量标准》（GB3095-2012）二级标准</w:t>
            </w:r>
          </w:p>
        </w:tc>
        <w:tc>
          <w:tcPr>
            <w:tcW w:w="365" w:type="pct"/>
            <w:vMerge w:val="restart"/>
            <w:vAlign w:val="center"/>
          </w:tcPr>
          <w:p w14:paraId="1FD686F4">
            <w:pPr>
              <w:jc w:val="center"/>
              <w:rPr>
                <w:kern w:val="0"/>
                <w:szCs w:val="21"/>
              </w:rPr>
            </w:pPr>
            <w:r>
              <w:rPr>
                <w:rFonts w:hint="eastAsia"/>
                <w:kern w:val="0"/>
                <w:szCs w:val="21"/>
              </w:rPr>
              <w:t>不改变区域环境空气质量功能</w:t>
            </w:r>
          </w:p>
        </w:tc>
      </w:tr>
      <w:tr w14:paraId="2F064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5" w:type="pct"/>
            <w:vMerge w:val="continue"/>
            <w:vAlign w:val="center"/>
          </w:tcPr>
          <w:p w14:paraId="06170916">
            <w:pPr>
              <w:jc w:val="center"/>
              <w:rPr>
                <w:kern w:val="0"/>
                <w:szCs w:val="21"/>
              </w:rPr>
            </w:pPr>
          </w:p>
        </w:tc>
        <w:tc>
          <w:tcPr>
            <w:tcW w:w="709" w:type="pct"/>
            <w:tcMar>
              <w:left w:w="0" w:type="dxa"/>
              <w:right w:w="0" w:type="dxa"/>
            </w:tcMar>
            <w:vAlign w:val="center"/>
          </w:tcPr>
          <w:p w14:paraId="3CC44A63">
            <w:pPr>
              <w:jc w:val="center"/>
              <w:rPr>
                <w:kern w:val="0"/>
              </w:rPr>
            </w:pPr>
            <w:r>
              <w:rPr>
                <w:rFonts w:hint="eastAsia"/>
                <w:kern w:val="0"/>
              </w:rPr>
              <w:t>大河北村</w:t>
            </w:r>
          </w:p>
        </w:tc>
        <w:tc>
          <w:tcPr>
            <w:tcW w:w="649" w:type="pct"/>
            <w:vAlign w:val="center"/>
          </w:tcPr>
          <w:p w14:paraId="5166970C">
            <w:pPr>
              <w:jc w:val="center"/>
              <w:rPr>
                <w:kern w:val="0"/>
                <w:szCs w:val="21"/>
              </w:rPr>
            </w:pPr>
            <w:r>
              <w:rPr>
                <w:kern w:val="0"/>
                <w:szCs w:val="21"/>
              </w:rPr>
              <w:t>117°03′21″</w:t>
            </w:r>
          </w:p>
        </w:tc>
        <w:tc>
          <w:tcPr>
            <w:tcW w:w="542" w:type="pct"/>
            <w:vAlign w:val="center"/>
          </w:tcPr>
          <w:p w14:paraId="67BD9474">
            <w:pPr>
              <w:jc w:val="center"/>
              <w:rPr>
                <w:kern w:val="0"/>
                <w:szCs w:val="21"/>
              </w:rPr>
            </w:pPr>
            <w:r>
              <w:rPr>
                <w:kern w:val="0"/>
                <w:szCs w:val="21"/>
              </w:rPr>
              <w:t>40°54′44″</w:t>
            </w:r>
          </w:p>
        </w:tc>
        <w:tc>
          <w:tcPr>
            <w:tcW w:w="283" w:type="pct"/>
            <w:vAlign w:val="center"/>
          </w:tcPr>
          <w:p w14:paraId="6EF511F6">
            <w:pPr>
              <w:jc w:val="center"/>
              <w:rPr>
                <w:kern w:val="0"/>
                <w:szCs w:val="21"/>
              </w:rPr>
            </w:pPr>
            <w:r>
              <w:rPr>
                <w:rFonts w:hint="eastAsia"/>
                <w:kern w:val="0"/>
                <w:szCs w:val="21"/>
              </w:rPr>
              <w:t>居民区</w:t>
            </w:r>
          </w:p>
        </w:tc>
        <w:tc>
          <w:tcPr>
            <w:tcW w:w="219" w:type="pct"/>
            <w:vAlign w:val="center"/>
          </w:tcPr>
          <w:p w14:paraId="4ABEF2D1">
            <w:pPr>
              <w:jc w:val="center"/>
              <w:rPr>
                <w:kern w:val="0"/>
                <w:szCs w:val="21"/>
              </w:rPr>
            </w:pPr>
            <w:r>
              <w:rPr>
                <w:rFonts w:hint="eastAsia"/>
                <w:kern w:val="0"/>
                <w:szCs w:val="21"/>
              </w:rPr>
              <w:t>居民</w:t>
            </w:r>
          </w:p>
        </w:tc>
        <w:tc>
          <w:tcPr>
            <w:tcW w:w="237" w:type="pct"/>
            <w:vAlign w:val="center"/>
          </w:tcPr>
          <w:p w14:paraId="1A761DDC">
            <w:pPr>
              <w:jc w:val="center"/>
              <w:rPr>
                <w:kern w:val="0"/>
                <w:szCs w:val="21"/>
              </w:rPr>
            </w:pPr>
            <w:r>
              <w:rPr>
                <w:rFonts w:hint="eastAsia"/>
                <w:kern w:val="0"/>
                <w:szCs w:val="21"/>
              </w:rPr>
              <w:t>1</w:t>
            </w:r>
            <w:r>
              <w:rPr>
                <w:kern w:val="0"/>
                <w:szCs w:val="21"/>
              </w:rPr>
              <w:t>260</w:t>
            </w:r>
          </w:p>
        </w:tc>
        <w:tc>
          <w:tcPr>
            <w:tcW w:w="310" w:type="pct"/>
            <w:vAlign w:val="center"/>
          </w:tcPr>
          <w:p w14:paraId="406443E8">
            <w:pPr>
              <w:jc w:val="center"/>
              <w:rPr>
                <w:kern w:val="0"/>
                <w:szCs w:val="21"/>
              </w:rPr>
            </w:pPr>
            <w:r>
              <w:rPr>
                <w:rFonts w:hint="eastAsia"/>
                <w:kern w:val="0"/>
                <w:szCs w:val="21"/>
              </w:rPr>
              <w:t>北</w:t>
            </w:r>
          </w:p>
        </w:tc>
        <w:tc>
          <w:tcPr>
            <w:tcW w:w="399" w:type="pct"/>
            <w:vAlign w:val="center"/>
          </w:tcPr>
          <w:p w14:paraId="618E03F4">
            <w:pPr>
              <w:jc w:val="center"/>
              <w:rPr>
                <w:kern w:val="0"/>
                <w:szCs w:val="21"/>
              </w:rPr>
            </w:pPr>
            <w:r>
              <w:rPr>
                <w:rFonts w:hint="eastAsia"/>
                <w:kern w:val="0"/>
                <w:szCs w:val="21"/>
              </w:rPr>
              <w:t>1</w:t>
            </w:r>
            <w:r>
              <w:rPr>
                <w:kern w:val="0"/>
                <w:szCs w:val="21"/>
              </w:rPr>
              <w:t>65</w:t>
            </w:r>
          </w:p>
        </w:tc>
        <w:tc>
          <w:tcPr>
            <w:tcW w:w="1132" w:type="pct"/>
            <w:vMerge w:val="continue"/>
            <w:vAlign w:val="center"/>
          </w:tcPr>
          <w:p w14:paraId="203A9E54">
            <w:pPr>
              <w:jc w:val="center"/>
              <w:rPr>
                <w:kern w:val="0"/>
                <w:szCs w:val="21"/>
              </w:rPr>
            </w:pPr>
          </w:p>
        </w:tc>
        <w:tc>
          <w:tcPr>
            <w:tcW w:w="365" w:type="pct"/>
            <w:vMerge w:val="continue"/>
            <w:vAlign w:val="center"/>
          </w:tcPr>
          <w:p w14:paraId="03D8CB92">
            <w:pPr>
              <w:jc w:val="center"/>
              <w:rPr>
                <w:kern w:val="0"/>
                <w:szCs w:val="21"/>
              </w:rPr>
            </w:pPr>
          </w:p>
        </w:tc>
      </w:tr>
      <w:tr w14:paraId="00498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5" w:type="pct"/>
            <w:vMerge w:val="continue"/>
            <w:vAlign w:val="center"/>
          </w:tcPr>
          <w:p w14:paraId="663CE2DE">
            <w:pPr>
              <w:jc w:val="center"/>
              <w:rPr>
                <w:kern w:val="0"/>
                <w:szCs w:val="21"/>
              </w:rPr>
            </w:pPr>
          </w:p>
        </w:tc>
        <w:tc>
          <w:tcPr>
            <w:tcW w:w="709" w:type="pct"/>
            <w:tcMar>
              <w:left w:w="0" w:type="dxa"/>
              <w:right w:w="0" w:type="dxa"/>
            </w:tcMar>
            <w:vAlign w:val="center"/>
          </w:tcPr>
          <w:p w14:paraId="48D84779">
            <w:pPr>
              <w:jc w:val="center"/>
              <w:rPr>
                <w:kern w:val="0"/>
              </w:rPr>
            </w:pPr>
            <w:r>
              <w:rPr>
                <w:rFonts w:hint="eastAsia"/>
                <w:kern w:val="0"/>
              </w:rPr>
              <w:t>西红旗村</w:t>
            </w:r>
          </w:p>
        </w:tc>
        <w:tc>
          <w:tcPr>
            <w:tcW w:w="649" w:type="pct"/>
            <w:vAlign w:val="center"/>
          </w:tcPr>
          <w:p w14:paraId="2C3ACB38">
            <w:pPr>
              <w:jc w:val="center"/>
              <w:rPr>
                <w:kern w:val="0"/>
                <w:szCs w:val="21"/>
              </w:rPr>
            </w:pPr>
            <w:r>
              <w:rPr>
                <w:kern w:val="0"/>
                <w:szCs w:val="21"/>
              </w:rPr>
              <w:t>117°00′46″</w:t>
            </w:r>
          </w:p>
        </w:tc>
        <w:tc>
          <w:tcPr>
            <w:tcW w:w="542" w:type="pct"/>
            <w:vAlign w:val="center"/>
          </w:tcPr>
          <w:p w14:paraId="6692EA26">
            <w:pPr>
              <w:jc w:val="center"/>
              <w:rPr>
                <w:kern w:val="0"/>
                <w:szCs w:val="21"/>
              </w:rPr>
            </w:pPr>
            <w:r>
              <w:rPr>
                <w:kern w:val="0"/>
                <w:szCs w:val="21"/>
              </w:rPr>
              <w:t>40°52′48″</w:t>
            </w:r>
          </w:p>
        </w:tc>
        <w:tc>
          <w:tcPr>
            <w:tcW w:w="283" w:type="pct"/>
            <w:vAlign w:val="center"/>
          </w:tcPr>
          <w:p w14:paraId="2D2DA699">
            <w:pPr>
              <w:jc w:val="center"/>
              <w:rPr>
                <w:kern w:val="0"/>
                <w:szCs w:val="21"/>
              </w:rPr>
            </w:pPr>
            <w:r>
              <w:rPr>
                <w:rFonts w:hint="eastAsia"/>
                <w:kern w:val="0"/>
                <w:szCs w:val="21"/>
              </w:rPr>
              <w:t>居民区</w:t>
            </w:r>
          </w:p>
        </w:tc>
        <w:tc>
          <w:tcPr>
            <w:tcW w:w="219" w:type="pct"/>
            <w:vAlign w:val="center"/>
          </w:tcPr>
          <w:p w14:paraId="4B5CF98C">
            <w:pPr>
              <w:jc w:val="center"/>
              <w:rPr>
                <w:kern w:val="0"/>
                <w:szCs w:val="21"/>
              </w:rPr>
            </w:pPr>
            <w:r>
              <w:rPr>
                <w:rFonts w:hint="eastAsia"/>
                <w:kern w:val="0"/>
                <w:szCs w:val="21"/>
              </w:rPr>
              <w:t>居民</w:t>
            </w:r>
          </w:p>
        </w:tc>
        <w:tc>
          <w:tcPr>
            <w:tcW w:w="237" w:type="pct"/>
            <w:vAlign w:val="center"/>
          </w:tcPr>
          <w:p w14:paraId="48DE5204">
            <w:pPr>
              <w:jc w:val="center"/>
              <w:rPr>
                <w:kern w:val="0"/>
                <w:szCs w:val="21"/>
              </w:rPr>
            </w:pPr>
            <w:r>
              <w:rPr>
                <w:rFonts w:hint="eastAsia"/>
                <w:kern w:val="0"/>
                <w:szCs w:val="21"/>
              </w:rPr>
              <w:t>6</w:t>
            </w:r>
            <w:r>
              <w:rPr>
                <w:kern w:val="0"/>
                <w:szCs w:val="21"/>
              </w:rPr>
              <w:t>00</w:t>
            </w:r>
          </w:p>
        </w:tc>
        <w:tc>
          <w:tcPr>
            <w:tcW w:w="310" w:type="pct"/>
            <w:vAlign w:val="center"/>
          </w:tcPr>
          <w:p w14:paraId="13FD3B59">
            <w:pPr>
              <w:jc w:val="center"/>
              <w:rPr>
                <w:kern w:val="0"/>
                <w:szCs w:val="21"/>
              </w:rPr>
            </w:pPr>
            <w:r>
              <w:rPr>
                <w:rFonts w:hint="eastAsia"/>
                <w:kern w:val="0"/>
                <w:szCs w:val="21"/>
              </w:rPr>
              <w:t>北</w:t>
            </w:r>
          </w:p>
        </w:tc>
        <w:tc>
          <w:tcPr>
            <w:tcW w:w="399" w:type="pct"/>
            <w:vAlign w:val="center"/>
          </w:tcPr>
          <w:p w14:paraId="74DA7B47">
            <w:pPr>
              <w:jc w:val="center"/>
              <w:rPr>
                <w:kern w:val="0"/>
                <w:szCs w:val="21"/>
              </w:rPr>
            </w:pPr>
            <w:r>
              <w:rPr>
                <w:rFonts w:hint="eastAsia"/>
                <w:kern w:val="0"/>
                <w:szCs w:val="21"/>
              </w:rPr>
              <w:t>1</w:t>
            </w:r>
            <w:r>
              <w:rPr>
                <w:kern w:val="0"/>
                <w:szCs w:val="21"/>
              </w:rPr>
              <w:t>55</w:t>
            </w:r>
          </w:p>
        </w:tc>
        <w:tc>
          <w:tcPr>
            <w:tcW w:w="1132" w:type="pct"/>
            <w:vMerge w:val="continue"/>
            <w:vAlign w:val="center"/>
          </w:tcPr>
          <w:p w14:paraId="7CB84A9A">
            <w:pPr>
              <w:jc w:val="center"/>
              <w:rPr>
                <w:kern w:val="0"/>
                <w:szCs w:val="21"/>
              </w:rPr>
            </w:pPr>
          </w:p>
        </w:tc>
        <w:tc>
          <w:tcPr>
            <w:tcW w:w="365" w:type="pct"/>
            <w:vMerge w:val="continue"/>
            <w:vAlign w:val="center"/>
          </w:tcPr>
          <w:p w14:paraId="4512E0DE">
            <w:pPr>
              <w:jc w:val="center"/>
              <w:rPr>
                <w:kern w:val="0"/>
                <w:szCs w:val="21"/>
              </w:rPr>
            </w:pPr>
          </w:p>
        </w:tc>
      </w:tr>
      <w:tr w14:paraId="4A7D5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5" w:type="pct"/>
            <w:vAlign w:val="center"/>
          </w:tcPr>
          <w:p w14:paraId="63185D8E">
            <w:pPr>
              <w:jc w:val="center"/>
              <w:rPr>
                <w:kern w:val="0"/>
                <w:szCs w:val="21"/>
              </w:rPr>
            </w:pPr>
            <w:r>
              <w:rPr>
                <w:rFonts w:hint="eastAsia"/>
                <w:kern w:val="0"/>
                <w:szCs w:val="21"/>
              </w:rPr>
              <w:t>地下水</w:t>
            </w:r>
          </w:p>
        </w:tc>
        <w:tc>
          <w:tcPr>
            <w:tcW w:w="709" w:type="pct"/>
            <w:tcMar>
              <w:left w:w="0" w:type="dxa"/>
              <w:right w:w="0" w:type="dxa"/>
            </w:tcMar>
            <w:vAlign w:val="center"/>
          </w:tcPr>
          <w:p w14:paraId="38CA0600">
            <w:pPr>
              <w:jc w:val="center"/>
              <w:rPr>
                <w:kern w:val="0"/>
                <w:szCs w:val="21"/>
              </w:rPr>
            </w:pPr>
            <w:r>
              <w:rPr>
                <w:kern w:val="0"/>
                <w:szCs w:val="21"/>
              </w:rPr>
              <w:t>《地下水质量标准》（GB/T14848-2017）中III类标准</w:t>
            </w:r>
          </w:p>
        </w:tc>
        <w:tc>
          <w:tcPr>
            <w:tcW w:w="4136" w:type="pct"/>
            <w:gridSpan w:val="9"/>
            <w:vAlign w:val="center"/>
          </w:tcPr>
          <w:p w14:paraId="37E7964A">
            <w:pPr>
              <w:jc w:val="center"/>
              <w:rPr>
                <w:kern w:val="0"/>
                <w:szCs w:val="21"/>
              </w:rPr>
            </w:pPr>
            <w:r>
              <w:rPr>
                <w:rFonts w:hint="eastAsia"/>
                <w:kern w:val="0"/>
                <w:szCs w:val="21"/>
              </w:rPr>
              <w:t>不改变区域地下水质量功能</w:t>
            </w:r>
          </w:p>
        </w:tc>
      </w:tr>
      <w:tr w14:paraId="2E86D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5" w:type="pct"/>
            <w:vMerge w:val="restart"/>
            <w:vAlign w:val="center"/>
          </w:tcPr>
          <w:p w14:paraId="3F249AC8">
            <w:pPr>
              <w:jc w:val="center"/>
              <w:rPr>
                <w:kern w:val="0"/>
                <w:szCs w:val="21"/>
              </w:rPr>
            </w:pPr>
            <w:r>
              <w:rPr>
                <w:rFonts w:hint="eastAsia"/>
                <w:kern w:val="0"/>
                <w:szCs w:val="21"/>
              </w:rPr>
              <w:t>声环境</w:t>
            </w:r>
          </w:p>
        </w:tc>
        <w:tc>
          <w:tcPr>
            <w:tcW w:w="709" w:type="pct"/>
            <w:tcMar>
              <w:left w:w="0" w:type="dxa"/>
              <w:right w:w="0" w:type="dxa"/>
            </w:tcMar>
            <w:vAlign w:val="center"/>
          </w:tcPr>
          <w:p w14:paraId="7A52D0C8">
            <w:pPr>
              <w:jc w:val="center"/>
              <w:rPr>
                <w:kern w:val="0"/>
                <w:szCs w:val="21"/>
              </w:rPr>
            </w:pPr>
            <w:r>
              <w:rPr>
                <w:rFonts w:hint="eastAsia"/>
                <w:kern w:val="0"/>
              </w:rPr>
              <w:t>大河北小学</w:t>
            </w:r>
          </w:p>
        </w:tc>
        <w:tc>
          <w:tcPr>
            <w:tcW w:w="649" w:type="pct"/>
            <w:vAlign w:val="center"/>
          </w:tcPr>
          <w:p w14:paraId="56207899">
            <w:pPr>
              <w:jc w:val="center"/>
              <w:rPr>
                <w:kern w:val="0"/>
                <w:szCs w:val="21"/>
              </w:rPr>
            </w:pPr>
            <w:r>
              <w:rPr>
                <w:kern w:val="0"/>
                <w:szCs w:val="21"/>
              </w:rPr>
              <w:t>117°03′15″</w:t>
            </w:r>
          </w:p>
        </w:tc>
        <w:tc>
          <w:tcPr>
            <w:tcW w:w="542" w:type="pct"/>
            <w:vAlign w:val="center"/>
          </w:tcPr>
          <w:p w14:paraId="36BF6DCF">
            <w:pPr>
              <w:jc w:val="center"/>
              <w:rPr>
                <w:kern w:val="0"/>
                <w:szCs w:val="21"/>
              </w:rPr>
            </w:pPr>
            <w:r>
              <w:rPr>
                <w:kern w:val="0"/>
                <w:szCs w:val="21"/>
              </w:rPr>
              <w:t>40°54′40″</w:t>
            </w:r>
          </w:p>
        </w:tc>
        <w:tc>
          <w:tcPr>
            <w:tcW w:w="283" w:type="pct"/>
            <w:vAlign w:val="center"/>
          </w:tcPr>
          <w:p w14:paraId="68E46B13">
            <w:pPr>
              <w:jc w:val="center"/>
              <w:rPr>
                <w:kern w:val="0"/>
                <w:szCs w:val="21"/>
              </w:rPr>
            </w:pPr>
            <w:r>
              <w:rPr>
                <w:rFonts w:hint="eastAsia"/>
                <w:kern w:val="0"/>
                <w:szCs w:val="21"/>
              </w:rPr>
              <w:t>小学</w:t>
            </w:r>
          </w:p>
        </w:tc>
        <w:tc>
          <w:tcPr>
            <w:tcW w:w="219" w:type="pct"/>
            <w:vAlign w:val="center"/>
          </w:tcPr>
          <w:p w14:paraId="1DEC9FAE">
            <w:pPr>
              <w:jc w:val="center"/>
              <w:rPr>
                <w:kern w:val="0"/>
                <w:szCs w:val="21"/>
              </w:rPr>
            </w:pPr>
            <w:r>
              <w:rPr>
                <w:rFonts w:hint="eastAsia"/>
                <w:kern w:val="0"/>
                <w:szCs w:val="21"/>
              </w:rPr>
              <w:t>师生</w:t>
            </w:r>
          </w:p>
        </w:tc>
        <w:tc>
          <w:tcPr>
            <w:tcW w:w="237" w:type="pct"/>
            <w:vAlign w:val="center"/>
          </w:tcPr>
          <w:p w14:paraId="19B69FA5">
            <w:pPr>
              <w:jc w:val="center"/>
              <w:rPr>
                <w:kern w:val="0"/>
                <w:szCs w:val="21"/>
              </w:rPr>
            </w:pPr>
            <w:r>
              <w:rPr>
                <w:rFonts w:hint="eastAsia"/>
                <w:kern w:val="0"/>
                <w:szCs w:val="21"/>
              </w:rPr>
              <w:t>2</w:t>
            </w:r>
            <w:r>
              <w:rPr>
                <w:kern w:val="0"/>
                <w:szCs w:val="21"/>
              </w:rPr>
              <w:t>32</w:t>
            </w:r>
          </w:p>
        </w:tc>
        <w:tc>
          <w:tcPr>
            <w:tcW w:w="310" w:type="pct"/>
            <w:vAlign w:val="center"/>
          </w:tcPr>
          <w:p w14:paraId="0E1730B8">
            <w:pPr>
              <w:jc w:val="center"/>
              <w:rPr>
                <w:kern w:val="0"/>
                <w:szCs w:val="21"/>
              </w:rPr>
            </w:pPr>
            <w:r>
              <w:rPr>
                <w:rFonts w:hint="eastAsia"/>
                <w:kern w:val="0"/>
                <w:szCs w:val="21"/>
              </w:rPr>
              <w:t>北</w:t>
            </w:r>
          </w:p>
        </w:tc>
        <w:tc>
          <w:tcPr>
            <w:tcW w:w="399" w:type="pct"/>
            <w:vAlign w:val="center"/>
          </w:tcPr>
          <w:p w14:paraId="2AB4CA07">
            <w:pPr>
              <w:jc w:val="center"/>
              <w:rPr>
                <w:kern w:val="0"/>
                <w:szCs w:val="21"/>
              </w:rPr>
            </w:pPr>
            <w:r>
              <w:rPr>
                <w:kern w:val="0"/>
                <w:szCs w:val="21"/>
              </w:rPr>
              <w:t>130</w:t>
            </w:r>
          </w:p>
        </w:tc>
        <w:tc>
          <w:tcPr>
            <w:tcW w:w="1132" w:type="pct"/>
            <w:vMerge w:val="restart"/>
            <w:vAlign w:val="center"/>
          </w:tcPr>
          <w:tbl>
            <w:tblPr>
              <w:tblStyle w:val="6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54"/>
            </w:tblGrid>
            <w:tr w14:paraId="6A03C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86" w:hRule="atLeast"/>
              </w:trPr>
              <w:tc>
                <w:tcPr>
                  <w:tcW w:w="0" w:type="auto"/>
                </w:tcPr>
                <w:p w14:paraId="1FD92F99">
                  <w:pPr>
                    <w:jc w:val="center"/>
                    <w:rPr>
                      <w:kern w:val="0"/>
                      <w:szCs w:val="21"/>
                    </w:rPr>
                  </w:pPr>
                  <w:r>
                    <w:rPr>
                      <w:rFonts w:hint="eastAsia"/>
                      <w:kern w:val="0"/>
                      <w:szCs w:val="21"/>
                    </w:rPr>
                    <w:t>《声环境</w:t>
                  </w:r>
                  <w:r>
                    <w:rPr>
                      <w:kern w:val="0"/>
                      <w:szCs w:val="21"/>
                    </w:rPr>
                    <w:t>质量标准</w:t>
                  </w:r>
                  <w:r>
                    <w:rPr>
                      <w:rFonts w:hint="eastAsia"/>
                      <w:kern w:val="0"/>
                      <w:szCs w:val="21"/>
                    </w:rPr>
                    <w:t>》</w:t>
                  </w:r>
                  <w:r>
                    <w:rPr>
                      <w:kern w:val="0"/>
                      <w:szCs w:val="21"/>
                    </w:rPr>
                    <w:t>(GB3096-2008)1</w:t>
                  </w:r>
                  <w:r>
                    <w:rPr>
                      <w:rFonts w:hint="eastAsia"/>
                      <w:kern w:val="0"/>
                      <w:szCs w:val="21"/>
                    </w:rPr>
                    <w:t>类区标准</w:t>
                  </w:r>
                </w:p>
              </w:tc>
            </w:tr>
          </w:tbl>
          <w:p w14:paraId="25B567B1">
            <w:pPr>
              <w:jc w:val="center"/>
              <w:rPr>
                <w:kern w:val="0"/>
                <w:szCs w:val="21"/>
              </w:rPr>
            </w:pPr>
          </w:p>
        </w:tc>
        <w:tc>
          <w:tcPr>
            <w:tcW w:w="365" w:type="pct"/>
            <w:vMerge w:val="restart"/>
            <w:vAlign w:val="center"/>
          </w:tcPr>
          <w:p w14:paraId="3B57B350">
            <w:pPr>
              <w:jc w:val="center"/>
              <w:rPr>
                <w:kern w:val="0"/>
                <w:szCs w:val="21"/>
              </w:rPr>
            </w:pPr>
            <w:r>
              <w:rPr>
                <w:rFonts w:hint="eastAsia"/>
                <w:kern w:val="0"/>
                <w:szCs w:val="21"/>
              </w:rPr>
              <w:t>不对周围敏感点产生明显影响</w:t>
            </w:r>
          </w:p>
        </w:tc>
      </w:tr>
      <w:tr w14:paraId="42979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5" w:type="pct"/>
            <w:vMerge w:val="continue"/>
            <w:vAlign w:val="center"/>
          </w:tcPr>
          <w:p w14:paraId="3F818E77">
            <w:pPr>
              <w:jc w:val="center"/>
              <w:rPr>
                <w:kern w:val="0"/>
                <w:szCs w:val="21"/>
              </w:rPr>
            </w:pPr>
          </w:p>
        </w:tc>
        <w:tc>
          <w:tcPr>
            <w:tcW w:w="709" w:type="pct"/>
            <w:tcMar>
              <w:left w:w="0" w:type="dxa"/>
              <w:right w:w="0" w:type="dxa"/>
            </w:tcMar>
            <w:vAlign w:val="center"/>
          </w:tcPr>
          <w:p w14:paraId="68434930">
            <w:pPr>
              <w:jc w:val="center"/>
              <w:rPr>
                <w:kern w:val="0"/>
              </w:rPr>
            </w:pPr>
            <w:r>
              <w:rPr>
                <w:rFonts w:hint="eastAsia"/>
                <w:kern w:val="0"/>
              </w:rPr>
              <w:t>大河北村</w:t>
            </w:r>
          </w:p>
        </w:tc>
        <w:tc>
          <w:tcPr>
            <w:tcW w:w="649" w:type="pct"/>
            <w:vAlign w:val="center"/>
          </w:tcPr>
          <w:p w14:paraId="785BAE18">
            <w:pPr>
              <w:jc w:val="center"/>
              <w:rPr>
                <w:kern w:val="0"/>
                <w:szCs w:val="21"/>
              </w:rPr>
            </w:pPr>
            <w:r>
              <w:rPr>
                <w:kern w:val="0"/>
                <w:szCs w:val="21"/>
              </w:rPr>
              <w:t>117°03′21″</w:t>
            </w:r>
          </w:p>
        </w:tc>
        <w:tc>
          <w:tcPr>
            <w:tcW w:w="542" w:type="pct"/>
            <w:vAlign w:val="center"/>
          </w:tcPr>
          <w:p w14:paraId="7032D1FE">
            <w:pPr>
              <w:jc w:val="center"/>
              <w:rPr>
                <w:kern w:val="0"/>
                <w:szCs w:val="21"/>
              </w:rPr>
            </w:pPr>
            <w:r>
              <w:rPr>
                <w:kern w:val="0"/>
                <w:szCs w:val="21"/>
              </w:rPr>
              <w:t>40°54′44″</w:t>
            </w:r>
          </w:p>
        </w:tc>
        <w:tc>
          <w:tcPr>
            <w:tcW w:w="283" w:type="pct"/>
            <w:vAlign w:val="center"/>
          </w:tcPr>
          <w:p w14:paraId="68AEE01A">
            <w:pPr>
              <w:jc w:val="center"/>
              <w:rPr>
                <w:kern w:val="0"/>
                <w:szCs w:val="21"/>
              </w:rPr>
            </w:pPr>
            <w:r>
              <w:rPr>
                <w:rFonts w:hint="eastAsia"/>
                <w:kern w:val="0"/>
                <w:szCs w:val="21"/>
              </w:rPr>
              <w:t>居民区</w:t>
            </w:r>
          </w:p>
        </w:tc>
        <w:tc>
          <w:tcPr>
            <w:tcW w:w="219" w:type="pct"/>
            <w:vAlign w:val="center"/>
          </w:tcPr>
          <w:p w14:paraId="17D835C4">
            <w:pPr>
              <w:jc w:val="center"/>
              <w:rPr>
                <w:kern w:val="0"/>
                <w:szCs w:val="21"/>
              </w:rPr>
            </w:pPr>
            <w:r>
              <w:rPr>
                <w:rFonts w:hint="eastAsia"/>
                <w:kern w:val="0"/>
                <w:szCs w:val="21"/>
              </w:rPr>
              <w:t>居民</w:t>
            </w:r>
          </w:p>
        </w:tc>
        <w:tc>
          <w:tcPr>
            <w:tcW w:w="237" w:type="pct"/>
            <w:vAlign w:val="center"/>
          </w:tcPr>
          <w:p w14:paraId="5C935E64">
            <w:pPr>
              <w:jc w:val="center"/>
              <w:rPr>
                <w:kern w:val="0"/>
                <w:szCs w:val="21"/>
              </w:rPr>
            </w:pPr>
            <w:r>
              <w:rPr>
                <w:rFonts w:hint="eastAsia"/>
                <w:kern w:val="0"/>
                <w:szCs w:val="21"/>
              </w:rPr>
              <w:t>1</w:t>
            </w:r>
            <w:r>
              <w:rPr>
                <w:kern w:val="0"/>
                <w:szCs w:val="21"/>
              </w:rPr>
              <w:t>260</w:t>
            </w:r>
          </w:p>
        </w:tc>
        <w:tc>
          <w:tcPr>
            <w:tcW w:w="310" w:type="pct"/>
            <w:vAlign w:val="center"/>
          </w:tcPr>
          <w:p w14:paraId="1C991964">
            <w:pPr>
              <w:jc w:val="center"/>
              <w:rPr>
                <w:kern w:val="0"/>
                <w:szCs w:val="21"/>
              </w:rPr>
            </w:pPr>
            <w:r>
              <w:rPr>
                <w:rFonts w:hint="eastAsia"/>
                <w:kern w:val="0"/>
                <w:szCs w:val="21"/>
              </w:rPr>
              <w:t>北</w:t>
            </w:r>
          </w:p>
        </w:tc>
        <w:tc>
          <w:tcPr>
            <w:tcW w:w="399" w:type="pct"/>
            <w:vAlign w:val="center"/>
          </w:tcPr>
          <w:p w14:paraId="386FDCDB">
            <w:pPr>
              <w:jc w:val="center"/>
              <w:rPr>
                <w:kern w:val="0"/>
                <w:szCs w:val="21"/>
              </w:rPr>
            </w:pPr>
            <w:r>
              <w:rPr>
                <w:rFonts w:hint="eastAsia"/>
                <w:kern w:val="0"/>
                <w:szCs w:val="21"/>
              </w:rPr>
              <w:t>1</w:t>
            </w:r>
            <w:r>
              <w:rPr>
                <w:kern w:val="0"/>
                <w:szCs w:val="21"/>
              </w:rPr>
              <w:t>65</w:t>
            </w:r>
          </w:p>
        </w:tc>
        <w:tc>
          <w:tcPr>
            <w:tcW w:w="1132" w:type="pct"/>
            <w:vMerge w:val="continue"/>
            <w:vAlign w:val="center"/>
          </w:tcPr>
          <w:p w14:paraId="36789AFF">
            <w:pPr>
              <w:jc w:val="center"/>
              <w:rPr>
                <w:kern w:val="0"/>
                <w:szCs w:val="21"/>
              </w:rPr>
            </w:pPr>
          </w:p>
        </w:tc>
        <w:tc>
          <w:tcPr>
            <w:tcW w:w="365" w:type="pct"/>
            <w:vMerge w:val="continue"/>
            <w:vAlign w:val="center"/>
          </w:tcPr>
          <w:p w14:paraId="4BDEEF85">
            <w:pPr>
              <w:jc w:val="center"/>
              <w:rPr>
                <w:kern w:val="0"/>
                <w:szCs w:val="21"/>
              </w:rPr>
            </w:pPr>
          </w:p>
        </w:tc>
      </w:tr>
      <w:tr w14:paraId="7B7AA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5" w:type="pct"/>
            <w:vMerge w:val="continue"/>
            <w:vAlign w:val="center"/>
          </w:tcPr>
          <w:p w14:paraId="412FD7C1">
            <w:pPr>
              <w:jc w:val="center"/>
              <w:rPr>
                <w:kern w:val="0"/>
                <w:szCs w:val="21"/>
              </w:rPr>
            </w:pPr>
          </w:p>
        </w:tc>
        <w:tc>
          <w:tcPr>
            <w:tcW w:w="709" w:type="pct"/>
            <w:tcMar>
              <w:left w:w="0" w:type="dxa"/>
              <w:right w:w="0" w:type="dxa"/>
            </w:tcMar>
            <w:vAlign w:val="center"/>
          </w:tcPr>
          <w:p w14:paraId="6374D3B0">
            <w:pPr>
              <w:jc w:val="center"/>
              <w:rPr>
                <w:kern w:val="0"/>
              </w:rPr>
            </w:pPr>
            <w:r>
              <w:rPr>
                <w:rFonts w:hint="eastAsia"/>
                <w:kern w:val="0"/>
              </w:rPr>
              <w:t>西红旗村</w:t>
            </w:r>
          </w:p>
        </w:tc>
        <w:tc>
          <w:tcPr>
            <w:tcW w:w="649" w:type="pct"/>
            <w:vAlign w:val="center"/>
          </w:tcPr>
          <w:p w14:paraId="13E9F935">
            <w:pPr>
              <w:jc w:val="center"/>
              <w:rPr>
                <w:kern w:val="0"/>
                <w:szCs w:val="21"/>
              </w:rPr>
            </w:pPr>
            <w:r>
              <w:rPr>
                <w:kern w:val="0"/>
                <w:szCs w:val="21"/>
              </w:rPr>
              <w:t>117°00′46″</w:t>
            </w:r>
          </w:p>
        </w:tc>
        <w:tc>
          <w:tcPr>
            <w:tcW w:w="542" w:type="pct"/>
            <w:vAlign w:val="center"/>
          </w:tcPr>
          <w:p w14:paraId="120A19CF">
            <w:pPr>
              <w:jc w:val="center"/>
              <w:rPr>
                <w:kern w:val="0"/>
                <w:szCs w:val="21"/>
              </w:rPr>
            </w:pPr>
            <w:r>
              <w:rPr>
                <w:kern w:val="0"/>
                <w:szCs w:val="21"/>
              </w:rPr>
              <w:t>40°52′48″</w:t>
            </w:r>
          </w:p>
        </w:tc>
        <w:tc>
          <w:tcPr>
            <w:tcW w:w="283" w:type="pct"/>
            <w:vAlign w:val="center"/>
          </w:tcPr>
          <w:p w14:paraId="288CCC7A">
            <w:pPr>
              <w:jc w:val="center"/>
              <w:rPr>
                <w:kern w:val="0"/>
                <w:szCs w:val="21"/>
              </w:rPr>
            </w:pPr>
            <w:r>
              <w:rPr>
                <w:rFonts w:hint="eastAsia"/>
                <w:kern w:val="0"/>
                <w:szCs w:val="21"/>
              </w:rPr>
              <w:t>居民区</w:t>
            </w:r>
          </w:p>
        </w:tc>
        <w:tc>
          <w:tcPr>
            <w:tcW w:w="219" w:type="pct"/>
            <w:vAlign w:val="center"/>
          </w:tcPr>
          <w:p w14:paraId="3C8D3997">
            <w:pPr>
              <w:jc w:val="center"/>
              <w:rPr>
                <w:kern w:val="0"/>
                <w:szCs w:val="21"/>
              </w:rPr>
            </w:pPr>
            <w:r>
              <w:rPr>
                <w:rFonts w:hint="eastAsia"/>
                <w:kern w:val="0"/>
                <w:szCs w:val="21"/>
              </w:rPr>
              <w:t>居民</w:t>
            </w:r>
          </w:p>
        </w:tc>
        <w:tc>
          <w:tcPr>
            <w:tcW w:w="237" w:type="pct"/>
            <w:vAlign w:val="center"/>
          </w:tcPr>
          <w:p w14:paraId="10E72475">
            <w:pPr>
              <w:jc w:val="center"/>
              <w:rPr>
                <w:kern w:val="0"/>
                <w:szCs w:val="21"/>
              </w:rPr>
            </w:pPr>
            <w:r>
              <w:rPr>
                <w:rFonts w:hint="eastAsia"/>
                <w:kern w:val="0"/>
                <w:szCs w:val="21"/>
              </w:rPr>
              <w:t>6</w:t>
            </w:r>
            <w:r>
              <w:rPr>
                <w:kern w:val="0"/>
                <w:szCs w:val="21"/>
              </w:rPr>
              <w:t>00</w:t>
            </w:r>
          </w:p>
        </w:tc>
        <w:tc>
          <w:tcPr>
            <w:tcW w:w="310" w:type="pct"/>
            <w:vAlign w:val="center"/>
          </w:tcPr>
          <w:p w14:paraId="0E6E64BD">
            <w:pPr>
              <w:jc w:val="center"/>
              <w:rPr>
                <w:kern w:val="0"/>
                <w:szCs w:val="21"/>
              </w:rPr>
            </w:pPr>
            <w:r>
              <w:rPr>
                <w:rFonts w:hint="eastAsia"/>
                <w:kern w:val="0"/>
                <w:szCs w:val="21"/>
              </w:rPr>
              <w:t>北</w:t>
            </w:r>
          </w:p>
        </w:tc>
        <w:tc>
          <w:tcPr>
            <w:tcW w:w="399" w:type="pct"/>
            <w:vAlign w:val="center"/>
          </w:tcPr>
          <w:p w14:paraId="3C1B5E08">
            <w:pPr>
              <w:jc w:val="center"/>
              <w:rPr>
                <w:kern w:val="0"/>
                <w:szCs w:val="21"/>
              </w:rPr>
            </w:pPr>
            <w:r>
              <w:rPr>
                <w:rFonts w:hint="eastAsia"/>
                <w:kern w:val="0"/>
                <w:szCs w:val="21"/>
              </w:rPr>
              <w:t>1</w:t>
            </w:r>
            <w:r>
              <w:rPr>
                <w:kern w:val="0"/>
                <w:szCs w:val="21"/>
              </w:rPr>
              <w:t>55</w:t>
            </w:r>
          </w:p>
        </w:tc>
        <w:tc>
          <w:tcPr>
            <w:tcW w:w="1132" w:type="pct"/>
            <w:vMerge w:val="continue"/>
            <w:vAlign w:val="center"/>
          </w:tcPr>
          <w:p w14:paraId="00F33BAA">
            <w:pPr>
              <w:jc w:val="center"/>
              <w:rPr>
                <w:kern w:val="0"/>
                <w:szCs w:val="21"/>
              </w:rPr>
            </w:pPr>
          </w:p>
        </w:tc>
        <w:tc>
          <w:tcPr>
            <w:tcW w:w="365" w:type="pct"/>
            <w:vMerge w:val="continue"/>
            <w:vAlign w:val="center"/>
          </w:tcPr>
          <w:p w14:paraId="0E44ABAC">
            <w:pPr>
              <w:jc w:val="center"/>
              <w:rPr>
                <w:kern w:val="0"/>
                <w:szCs w:val="21"/>
              </w:rPr>
            </w:pPr>
          </w:p>
        </w:tc>
      </w:tr>
      <w:tr w14:paraId="41344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5" w:type="pct"/>
            <w:vAlign w:val="center"/>
          </w:tcPr>
          <w:p w14:paraId="12EB1A0D">
            <w:pPr>
              <w:jc w:val="center"/>
              <w:rPr>
                <w:kern w:val="0"/>
                <w:szCs w:val="21"/>
              </w:rPr>
            </w:pPr>
            <w:r>
              <w:rPr>
                <w:rFonts w:hint="eastAsia"/>
                <w:kern w:val="0"/>
                <w:szCs w:val="21"/>
              </w:rPr>
              <w:t>地表水</w:t>
            </w:r>
          </w:p>
        </w:tc>
        <w:tc>
          <w:tcPr>
            <w:tcW w:w="709" w:type="pct"/>
            <w:tcMar>
              <w:left w:w="0" w:type="dxa"/>
              <w:right w:w="0" w:type="dxa"/>
            </w:tcMar>
            <w:vAlign w:val="center"/>
          </w:tcPr>
          <w:p w14:paraId="6053193F">
            <w:pPr>
              <w:jc w:val="center"/>
              <w:rPr>
                <w:kern w:val="0"/>
                <w:szCs w:val="21"/>
              </w:rPr>
            </w:pPr>
            <w:r>
              <w:rPr>
                <w:rFonts w:hint="eastAsia"/>
                <w:kern w:val="0"/>
                <w:szCs w:val="21"/>
              </w:rPr>
              <w:t>潮河</w:t>
            </w:r>
          </w:p>
        </w:tc>
        <w:tc>
          <w:tcPr>
            <w:tcW w:w="3771" w:type="pct"/>
            <w:gridSpan w:val="8"/>
            <w:vAlign w:val="center"/>
          </w:tcPr>
          <w:p w14:paraId="0C87A7AB">
            <w:pPr>
              <w:ind w:firstLine="420" w:firstLineChars="200"/>
              <w:rPr>
                <w:kern w:val="0"/>
                <w:szCs w:val="21"/>
              </w:rPr>
            </w:pPr>
            <w:r>
              <w:rPr>
                <w:kern w:val="0"/>
                <w:szCs w:val="21"/>
              </w:rPr>
              <w:t>执行《地表水环境质量标准》（GB3838-2002）</w:t>
            </w:r>
            <w:r>
              <w:rPr>
                <w:rFonts w:hint="eastAsia"/>
                <w:kern w:val="0"/>
                <w:szCs w:val="21"/>
              </w:rPr>
              <w:t>Ⅱ</w:t>
            </w:r>
            <w:r>
              <w:rPr>
                <w:kern w:val="0"/>
                <w:szCs w:val="21"/>
              </w:rPr>
              <w:t>类标准</w:t>
            </w:r>
            <w:r>
              <w:rPr>
                <w:rFonts w:hint="eastAsia"/>
                <w:kern w:val="0"/>
                <w:szCs w:val="21"/>
              </w:rPr>
              <w:t>；根据《密云水库上游潮白河流域水源涵养区横向生态保护补偿协议（2021-2025年）》</w:t>
            </w:r>
            <w:r>
              <w:rPr>
                <w:kern w:val="0"/>
                <w:szCs w:val="21"/>
              </w:rPr>
              <w:t>，</w:t>
            </w:r>
            <w:r>
              <w:rPr>
                <w:rFonts w:hint="eastAsia"/>
                <w:kern w:val="0"/>
                <w:szCs w:val="21"/>
              </w:rPr>
              <w:t>总氮目标值为＜6</w:t>
            </w:r>
            <w:r>
              <w:rPr>
                <w:kern w:val="0"/>
                <w:szCs w:val="21"/>
              </w:rPr>
              <w:t>.56mg/L</w:t>
            </w:r>
            <w:r>
              <w:rPr>
                <w:rFonts w:hint="eastAsia"/>
                <w:kern w:val="0"/>
                <w:szCs w:val="21"/>
              </w:rPr>
              <w:t>。</w:t>
            </w:r>
          </w:p>
        </w:tc>
        <w:tc>
          <w:tcPr>
            <w:tcW w:w="365" w:type="pct"/>
            <w:vAlign w:val="center"/>
          </w:tcPr>
          <w:p w14:paraId="4B3812C1">
            <w:pPr>
              <w:jc w:val="center"/>
              <w:rPr>
                <w:kern w:val="0"/>
                <w:szCs w:val="21"/>
              </w:rPr>
            </w:pPr>
            <w:r>
              <w:rPr>
                <w:rFonts w:hint="eastAsia"/>
                <w:kern w:val="0"/>
                <w:szCs w:val="21"/>
              </w:rPr>
              <w:t>改善水质</w:t>
            </w:r>
          </w:p>
        </w:tc>
      </w:tr>
    </w:tbl>
    <w:p w14:paraId="71C11FEF">
      <w:pPr>
        <w:rPr>
          <w:kern w:val="0"/>
        </w:rPr>
      </w:pPr>
    </w:p>
    <w:p w14:paraId="1BAB27B7">
      <w:pPr>
        <w:rPr>
          <w:kern w:val="0"/>
        </w:rPr>
        <w:sectPr>
          <w:pgSz w:w="16838" w:h="11906" w:orient="landscape"/>
          <w:pgMar w:top="1797" w:right="2007" w:bottom="1797" w:left="1724" w:header="1417" w:footer="1162" w:gutter="0"/>
          <w:pgNumType w:fmt="numberInDash"/>
          <w:cols w:space="425" w:num="1"/>
          <w:docGrid w:type="lines" w:linePitch="312" w:charSpace="0"/>
        </w:sectPr>
      </w:pPr>
    </w:p>
    <w:p w14:paraId="74922511">
      <w:pPr>
        <w:jc w:val="center"/>
        <w:rPr>
          <w:rFonts w:eastAsia="黑体"/>
          <w:kern w:val="0"/>
          <w:sz w:val="24"/>
          <w:szCs w:val="21"/>
        </w:rPr>
      </w:pPr>
      <w:bookmarkStart w:id="39" w:name="_Ref129888468"/>
      <w:r>
        <w:rPr>
          <w:rFonts w:hint="eastAsia" w:eastAsia="黑体"/>
          <w:bCs/>
          <w:kern w:val="0"/>
          <w:sz w:val="24"/>
          <w:szCs w:val="32"/>
        </w:rPr>
        <w:t>表</w:t>
      </w:r>
      <w:r>
        <w:rPr>
          <w:rFonts w:eastAsia="黑体"/>
          <w:bCs/>
          <w:kern w:val="0"/>
          <w:sz w:val="24"/>
          <w:szCs w:val="32"/>
        </w:rPr>
        <w:fldChar w:fldCharType="begin"/>
      </w:r>
      <w:r>
        <w:rPr>
          <w:rFonts w:eastAsia="黑体"/>
          <w:bCs/>
          <w:kern w:val="0"/>
          <w:sz w:val="24"/>
          <w:szCs w:val="32"/>
        </w:rPr>
        <w:instrText xml:space="preserve"> </w:instrText>
      </w:r>
      <w:r>
        <w:rPr>
          <w:rFonts w:hint="eastAsia" w:eastAsia="黑体"/>
          <w:bCs/>
          <w:kern w:val="0"/>
          <w:sz w:val="24"/>
          <w:szCs w:val="32"/>
        </w:rPr>
        <w:instrText xml:space="preserve">STYLEREF 1 \s</w:instrText>
      </w:r>
      <w:r>
        <w:rPr>
          <w:rFonts w:eastAsia="黑体"/>
          <w:bCs/>
          <w:kern w:val="0"/>
          <w:sz w:val="24"/>
          <w:szCs w:val="32"/>
        </w:rPr>
        <w:instrText xml:space="preserve"> </w:instrText>
      </w:r>
      <w:r>
        <w:rPr>
          <w:rFonts w:eastAsia="黑体"/>
          <w:bCs/>
          <w:kern w:val="0"/>
          <w:sz w:val="24"/>
          <w:szCs w:val="32"/>
        </w:rPr>
        <w:fldChar w:fldCharType="separate"/>
      </w:r>
      <w:r>
        <w:rPr>
          <w:rFonts w:eastAsia="黑体"/>
          <w:bCs/>
          <w:kern w:val="0"/>
          <w:sz w:val="24"/>
          <w:szCs w:val="32"/>
        </w:rPr>
        <w:t>1</w:t>
      </w:r>
      <w:r>
        <w:rPr>
          <w:rFonts w:eastAsia="黑体"/>
          <w:bCs/>
          <w:kern w:val="0"/>
          <w:sz w:val="24"/>
          <w:szCs w:val="32"/>
        </w:rPr>
        <w:fldChar w:fldCharType="end"/>
      </w:r>
      <w:r>
        <w:rPr>
          <w:rFonts w:eastAsia="黑体"/>
          <w:bCs/>
          <w:kern w:val="0"/>
          <w:sz w:val="24"/>
          <w:szCs w:val="32"/>
        </w:rPr>
        <w:noBreakHyphen/>
      </w:r>
      <w:r>
        <w:rPr>
          <w:rFonts w:eastAsia="黑体"/>
          <w:bCs/>
          <w:kern w:val="0"/>
          <w:sz w:val="24"/>
          <w:szCs w:val="32"/>
        </w:rPr>
        <w:fldChar w:fldCharType="begin"/>
      </w:r>
      <w:r>
        <w:rPr>
          <w:rFonts w:eastAsia="黑体"/>
          <w:bCs/>
          <w:kern w:val="0"/>
          <w:sz w:val="24"/>
          <w:szCs w:val="32"/>
        </w:rPr>
        <w:instrText xml:space="preserve"> </w:instrText>
      </w:r>
      <w:r>
        <w:rPr>
          <w:rFonts w:hint="eastAsia" w:eastAsia="黑体"/>
          <w:bCs/>
          <w:kern w:val="0"/>
          <w:sz w:val="24"/>
          <w:szCs w:val="32"/>
        </w:rPr>
        <w:instrText xml:space="preserve">SEQ 表 \* ARABIC \s 1</w:instrText>
      </w:r>
      <w:r>
        <w:rPr>
          <w:rFonts w:eastAsia="黑体"/>
          <w:bCs/>
          <w:kern w:val="0"/>
          <w:sz w:val="24"/>
          <w:szCs w:val="32"/>
        </w:rPr>
        <w:instrText xml:space="preserve"> </w:instrText>
      </w:r>
      <w:r>
        <w:rPr>
          <w:rFonts w:eastAsia="黑体"/>
          <w:bCs/>
          <w:kern w:val="0"/>
          <w:sz w:val="24"/>
          <w:szCs w:val="32"/>
        </w:rPr>
        <w:fldChar w:fldCharType="separate"/>
      </w:r>
      <w:r>
        <w:rPr>
          <w:rFonts w:eastAsia="黑体"/>
          <w:bCs/>
          <w:kern w:val="0"/>
          <w:sz w:val="24"/>
          <w:szCs w:val="32"/>
        </w:rPr>
        <w:t>12</w:t>
      </w:r>
      <w:r>
        <w:rPr>
          <w:rFonts w:eastAsia="黑体"/>
          <w:bCs/>
          <w:kern w:val="0"/>
          <w:sz w:val="24"/>
          <w:szCs w:val="32"/>
        </w:rPr>
        <w:fldChar w:fldCharType="end"/>
      </w:r>
      <w:bookmarkEnd w:id="39"/>
      <w:r>
        <w:rPr>
          <w:rFonts w:hint="eastAsia" w:eastAsia="黑体"/>
          <w:kern w:val="0"/>
          <w:sz w:val="24"/>
        </w:rPr>
        <w:t xml:space="preserve"> </w:t>
      </w:r>
      <w:r>
        <w:rPr>
          <w:rFonts w:eastAsia="黑体"/>
          <w:kern w:val="0"/>
          <w:sz w:val="24"/>
        </w:rPr>
        <w:t xml:space="preserve"> </w:t>
      </w:r>
      <w:r>
        <w:rPr>
          <w:rFonts w:hint="eastAsia" w:eastAsia="黑体"/>
          <w:kern w:val="0"/>
          <w:sz w:val="24"/>
          <w:szCs w:val="21"/>
        </w:rPr>
        <w:t>生态保护目标一览表</w:t>
      </w:r>
    </w:p>
    <w:tbl>
      <w:tblPr>
        <w:tblStyle w:val="28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276"/>
        <w:gridCol w:w="850"/>
        <w:gridCol w:w="2410"/>
        <w:gridCol w:w="1985"/>
        <w:gridCol w:w="1071"/>
      </w:tblGrid>
      <w:tr w14:paraId="145AF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7215C3DB">
            <w:pPr>
              <w:spacing w:line="276" w:lineRule="auto"/>
              <w:jc w:val="center"/>
              <w:rPr>
                <w:kern w:val="0"/>
                <w:sz w:val="21"/>
                <w:szCs w:val="21"/>
              </w:rPr>
            </w:pPr>
            <w:r>
              <w:rPr>
                <w:rFonts w:hint="eastAsia"/>
                <w:kern w:val="0"/>
                <w:sz w:val="21"/>
                <w:szCs w:val="21"/>
              </w:rPr>
              <w:t>类别</w:t>
            </w:r>
          </w:p>
        </w:tc>
        <w:tc>
          <w:tcPr>
            <w:tcW w:w="1276" w:type="dxa"/>
            <w:vAlign w:val="center"/>
          </w:tcPr>
          <w:p w14:paraId="48078C96">
            <w:pPr>
              <w:spacing w:line="276" w:lineRule="auto"/>
              <w:jc w:val="center"/>
              <w:rPr>
                <w:kern w:val="0"/>
                <w:sz w:val="21"/>
                <w:szCs w:val="21"/>
              </w:rPr>
            </w:pPr>
            <w:r>
              <w:rPr>
                <w:rFonts w:hint="eastAsia"/>
                <w:kern w:val="0"/>
                <w:sz w:val="21"/>
                <w:szCs w:val="21"/>
              </w:rPr>
              <w:t>名称</w:t>
            </w:r>
          </w:p>
        </w:tc>
        <w:tc>
          <w:tcPr>
            <w:tcW w:w="850" w:type="dxa"/>
            <w:vAlign w:val="center"/>
          </w:tcPr>
          <w:p w14:paraId="64A94336">
            <w:pPr>
              <w:spacing w:line="276" w:lineRule="auto"/>
              <w:jc w:val="center"/>
              <w:rPr>
                <w:kern w:val="0"/>
                <w:sz w:val="21"/>
                <w:szCs w:val="21"/>
              </w:rPr>
            </w:pPr>
            <w:r>
              <w:rPr>
                <w:rFonts w:hint="eastAsia"/>
                <w:kern w:val="0"/>
                <w:sz w:val="21"/>
                <w:szCs w:val="21"/>
              </w:rPr>
              <w:t>级别</w:t>
            </w:r>
          </w:p>
        </w:tc>
        <w:tc>
          <w:tcPr>
            <w:tcW w:w="2410" w:type="dxa"/>
            <w:vAlign w:val="center"/>
          </w:tcPr>
          <w:p w14:paraId="4C845DF6">
            <w:pPr>
              <w:spacing w:line="276" w:lineRule="auto"/>
              <w:jc w:val="center"/>
              <w:rPr>
                <w:kern w:val="0"/>
                <w:sz w:val="21"/>
                <w:szCs w:val="21"/>
              </w:rPr>
            </w:pPr>
            <w:r>
              <w:rPr>
                <w:rFonts w:hint="eastAsia"/>
                <w:kern w:val="0"/>
                <w:sz w:val="21"/>
                <w:szCs w:val="21"/>
              </w:rPr>
              <w:t>保护对象</w:t>
            </w:r>
          </w:p>
        </w:tc>
        <w:tc>
          <w:tcPr>
            <w:tcW w:w="1985" w:type="dxa"/>
            <w:vAlign w:val="center"/>
          </w:tcPr>
          <w:p w14:paraId="0D157D10">
            <w:pPr>
              <w:spacing w:line="276" w:lineRule="auto"/>
              <w:jc w:val="center"/>
              <w:rPr>
                <w:kern w:val="0"/>
                <w:sz w:val="21"/>
                <w:szCs w:val="21"/>
              </w:rPr>
            </w:pPr>
            <w:r>
              <w:rPr>
                <w:rFonts w:hint="eastAsia"/>
                <w:kern w:val="0"/>
                <w:sz w:val="21"/>
                <w:szCs w:val="21"/>
              </w:rPr>
              <w:t>影响方式</w:t>
            </w:r>
          </w:p>
        </w:tc>
        <w:tc>
          <w:tcPr>
            <w:tcW w:w="1071" w:type="dxa"/>
            <w:vAlign w:val="center"/>
          </w:tcPr>
          <w:p w14:paraId="0C6B885C">
            <w:pPr>
              <w:spacing w:line="276" w:lineRule="auto"/>
              <w:jc w:val="center"/>
              <w:rPr>
                <w:kern w:val="0"/>
                <w:sz w:val="21"/>
                <w:szCs w:val="21"/>
              </w:rPr>
            </w:pPr>
            <w:r>
              <w:rPr>
                <w:rFonts w:hint="eastAsia"/>
                <w:kern w:val="0"/>
                <w:sz w:val="21"/>
                <w:szCs w:val="21"/>
              </w:rPr>
              <w:t>影响因素</w:t>
            </w:r>
          </w:p>
        </w:tc>
      </w:tr>
      <w:tr w14:paraId="54E3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restart"/>
            <w:vAlign w:val="center"/>
          </w:tcPr>
          <w:p w14:paraId="00EBFC20">
            <w:pPr>
              <w:spacing w:line="276" w:lineRule="auto"/>
              <w:jc w:val="center"/>
              <w:rPr>
                <w:kern w:val="0"/>
                <w:sz w:val="21"/>
                <w:szCs w:val="21"/>
              </w:rPr>
            </w:pPr>
            <w:r>
              <w:rPr>
                <w:rFonts w:hint="eastAsia"/>
                <w:kern w:val="0"/>
                <w:sz w:val="21"/>
                <w:szCs w:val="21"/>
              </w:rPr>
              <w:t>重要物种</w:t>
            </w:r>
          </w:p>
        </w:tc>
        <w:tc>
          <w:tcPr>
            <w:tcW w:w="1276" w:type="dxa"/>
            <w:vMerge w:val="restart"/>
            <w:vAlign w:val="center"/>
          </w:tcPr>
          <w:p w14:paraId="7833F777">
            <w:pPr>
              <w:spacing w:line="276" w:lineRule="auto"/>
              <w:jc w:val="center"/>
              <w:rPr>
                <w:kern w:val="0"/>
                <w:sz w:val="21"/>
                <w:szCs w:val="21"/>
              </w:rPr>
            </w:pPr>
            <w:r>
              <w:rPr>
                <w:rFonts w:hint="eastAsia"/>
                <w:kern w:val="0"/>
                <w:sz w:val="21"/>
                <w:szCs w:val="21"/>
              </w:rPr>
              <w:t>重点保护野生植物</w:t>
            </w:r>
          </w:p>
        </w:tc>
        <w:tc>
          <w:tcPr>
            <w:tcW w:w="850" w:type="dxa"/>
            <w:vAlign w:val="center"/>
          </w:tcPr>
          <w:p w14:paraId="7CA99800">
            <w:pPr>
              <w:spacing w:line="276" w:lineRule="auto"/>
              <w:jc w:val="center"/>
              <w:rPr>
                <w:kern w:val="0"/>
                <w:sz w:val="21"/>
                <w:szCs w:val="21"/>
              </w:rPr>
            </w:pPr>
            <w:r>
              <w:rPr>
                <w:rFonts w:hint="eastAsia"/>
                <w:kern w:val="0"/>
                <w:sz w:val="21"/>
                <w:szCs w:val="21"/>
              </w:rPr>
              <w:t>国家级</w:t>
            </w:r>
          </w:p>
        </w:tc>
        <w:tc>
          <w:tcPr>
            <w:tcW w:w="2410" w:type="dxa"/>
            <w:vAlign w:val="center"/>
          </w:tcPr>
          <w:p w14:paraId="1139227A">
            <w:pPr>
              <w:spacing w:line="276" w:lineRule="auto"/>
              <w:jc w:val="center"/>
              <w:rPr>
                <w:kern w:val="0"/>
                <w:sz w:val="21"/>
                <w:szCs w:val="21"/>
              </w:rPr>
            </w:pPr>
            <w:r>
              <w:rPr>
                <w:rFonts w:hint="eastAsia"/>
                <w:kern w:val="0"/>
                <w:sz w:val="21"/>
                <w:szCs w:val="21"/>
              </w:rPr>
              <w:t>/</w:t>
            </w:r>
          </w:p>
        </w:tc>
        <w:tc>
          <w:tcPr>
            <w:tcW w:w="1985" w:type="dxa"/>
            <w:vAlign w:val="center"/>
          </w:tcPr>
          <w:p w14:paraId="57EC5A24">
            <w:pPr>
              <w:spacing w:line="276" w:lineRule="auto"/>
              <w:jc w:val="center"/>
              <w:rPr>
                <w:kern w:val="0"/>
                <w:sz w:val="21"/>
                <w:szCs w:val="21"/>
              </w:rPr>
            </w:pPr>
            <w:r>
              <w:rPr>
                <w:rFonts w:hint="eastAsia"/>
                <w:kern w:val="0"/>
                <w:sz w:val="21"/>
                <w:szCs w:val="21"/>
              </w:rPr>
              <w:t>/</w:t>
            </w:r>
          </w:p>
        </w:tc>
        <w:tc>
          <w:tcPr>
            <w:tcW w:w="1071" w:type="dxa"/>
            <w:vAlign w:val="center"/>
          </w:tcPr>
          <w:p w14:paraId="214AFD48">
            <w:pPr>
              <w:spacing w:line="276" w:lineRule="auto"/>
              <w:jc w:val="center"/>
              <w:rPr>
                <w:kern w:val="0"/>
                <w:sz w:val="21"/>
                <w:szCs w:val="21"/>
              </w:rPr>
            </w:pPr>
            <w:r>
              <w:rPr>
                <w:rFonts w:hint="eastAsia"/>
                <w:kern w:val="0"/>
                <w:sz w:val="21"/>
                <w:szCs w:val="21"/>
              </w:rPr>
              <w:t>/</w:t>
            </w:r>
          </w:p>
        </w:tc>
      </w:tr>
      <w:tr w14:paraId="0405A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14:paraId="37407459">
            <w:pPr>
              <w:spacing w:line="276" w:lineRule="auto"/>
              <w:jc w:val="center"/>
              <w:rPr>
                <w:kern w:val="0"/>
                <w:sz w:val="21"/>
                <w:szCs w:val="21"/>
              </w:rPr>
            </w:pPr>
          </w:p>
        </w:tc>
        <w:tc>
          <w:tcPr>
            <w:tcW w:w="1276" w:type="dxa"/>
            <w:vMerge w:val="continue"/>
            <w:vAlign w:val="center"/>
          </w:tcPr>
          <w:p w14:paraId="3EBC39A6">
            <w:pPr>
              <w:spacing w:line="276" w:lineRule="auto"/>
              <w:jc w:val="center"/>
              <w:rPr>
                <w:kern w:val="0"/>
                <w:sz w:val="21"/>
                <w:szCs w:val="21"/>
              </w:rPr>
            </w:pPr>
          </w:p>
        </w:tc>
        <w:tc>
          <w:tcPr>
            <w:tcW w:w="850" w:type="dxa"/>
            <w:vAlign w:val="center"/>
          </w:tcPr>
          <w:p w14:paraId="55FC5B70">
            <w:pPr>
              <w:spacing w:line="276" w:lineRule="auto"/>
              <w:jc w:val="center"/>
              <w:rPr>
                <w:kern w:val="0"/>
                <w:sz w:val="21"/>
                <w:szCs w:val="21"/>
              </w:rPr>
            </w:pPr>
            <w:r>
              <w:rPr>
                <w:rFonts w:hint="eastAsia"/>
                <w:kern w:val="0"/>
                <w:sz w:val="21"/>
                <w:szCs w:val="21"/>
              </w:rPr>
              <w:t>省级</w:t>
            </w:r>
          </w:p>
        </w:tc>
        <w:tc>
          <w:tcPr>
            <w:tcW w:w="2410" w:type="dxa"/>
            <w:vAlign w:val="center"/>
          </w:tcPr>
          <w:p w14:paraId="4D4CB220">
            <w:pPr>
              <w:spacing w:line="276" w:lineRule="auto"/>
              <w:jc w:val="center"/>
              <w:rPr>
                <w:kern w:val="0"/>
                <w:sz w:val="21"/>
                <w:szCs w:val="21"/>
              </w:rPr>
            </w:pPr>
            <w:r>
              <w:rPr>
                <w:rFonts w:hint="eastAsia"/>
                <w:kern w:val="0"/>
                <w:sz w:val="21"/>
                <w:szCs w:val="21"/>
              </w:rPr>
              <w:t>/</w:t>
            </w:r>
          </w:p>
        </w:tc>
        <w:tc>
          <w:tcPr>
            <w:tcW w:w="1985" w:type="dxa"/>
            <w:vAlign w:val="center"/>
          </w:tcPr>
          <w:p w14:paraId="125A58AF">
            <w:pPr>
              <w:spacing w:line="276" w:lineRule="auto"/>
              <w:jc w:val="center"/>
              <w:rPr>
                <w:kern w:val="0"/>
                <w:sz w:val="21"/>
                <w:szCs w:val="21"/>
              </w:rPr>
            </w:pPr>
            <w:r>
              <w:rPr>
                <w:rFonts w:hint="eastAsia"/>
                <w:kern w:val="0"/>
                <w:sz w:val="21"/>
                <w:szCs w:val="21"/>
              </w:rPr>
              <w:t>/</w:t>
            </w:r>
          </w:p>
        </w:tc>
        <w:tc>
          <w:tcPr>
            <w:tcW w:w="1071" w:type="dxa"/>
            <w:vAlign w:val="center"/>
          </w:tcPr>
          <w:p w14:paraId="2F08E9FF">
            <w:pPr>
              <w:spacing w:line="276" w:lineRule="auto"/>
              <w:jc w:val="center"/>
              <w:rPr>
                <w:kern w:val="0"/>
                <w:sz w:val="21"/>
                <w:szCs w:val="21"/>
              </w:rPr>
            </w:pPr>
            <w:r>
              <w:rPr>
                <w:rFonts w:hint="eastAsia"/>
                <w:kern w:val="0"/>
                <w:sz w:val="21"/>
                <w:szCs w:val="21"/>
              </w:rPr>
              <w:t>/</w:t>
            </w:r>
          </w:p>
        </w:tc>
      </w:tr>
      <w:tr w14:paraId="03AA5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14:paraId="68C549DD">
            <w:pPr>
              <w:spacing w:line="276" w:lineRule="auto"/>
              <w:jc w:val="center"/>
              <w:rPr>
                <w:kern w:val="0"/>
                <w:sz w:val="21"/>
                <w:szCs w:val="21"/>
              </w:rPr>
            </w:pPr>
          </w:p>
        </w:tc>
        <w:tc>
          <w:tcPr>
            <w:tcW w:w="1276" w:type="dxa"/>
            <w:vMerge w:val="restart"/>
            <w:vAlign w:val="center"/>
          </w:tcPr>
          <w:p w14:paraId="73AF8A3C">
            <w:pPr>
              <w:spacing w:line="276" w:lineRule="auto"/>
              <w:jc w:val="center"/>
              <w:rPr>
                <w:kern w:val="0"/>
                <w:sz w:val="21"/>
                <w:szCs w:val="21"/>
              </w:rPr>
            </w:pPr>
            <w:r>
              <w:rPr>
                <w:rFonts w:hint="eastAsia"/>
                <w:kern w:val="0"/>
                <w:sz w:val="21"/>
                <w:szCs w:val="21"/>
              </w:rPr>
              <w:t>重点保护野生动物</w:t>
            </w:r>
          </w:p>
        </w:tc>
        <w:tc>
          <w:tcPr>
            <w:tcW w:w="850" w:type="dxa"/>
            <w:vAlign w:val="center"/>
          </w:tcPr>
          <w:p w14:paraId="30570FAB">
            <w:pPr>
              <w:spacing w:line="276" w:lineRule="auto"/>
              <w:jc w:val="center"/>
              <w:rPr>
                <w:kern w:val="0"/>
                <w:sz w:val="21"/>
                <w:szCs w:val="21"/>
              </w:rPr>
            </w:pPr>
            <w:r>
              <w:rPr>
                <w:rFonts w:hint="eastAsia"/>
                <w:kern w:val="0"/>
                <w:sz w:val="21"/>
                <w:szCs w:val="21"/>
              </w:rPr>
              <w:t>国家级</w:t>
            </w:r>
          </w:p>
        </w:tc>
        <w:tc>
          <w:tcPr>
            <w:tcW w:w="2410" w:type="dxa"/>
            <w:vAlign w:val="center"/>
          </w:tcPr>
          <w:p w14:paraId="1700CDF1">
            <w:pPr>
              <w:spacing w:line="276" w:lineRule="auto"/>
              <w:jc w:val="center"/>
              <w:rPr>
                <w:kern w:val="0"/>
                <w:sz w:val="21"/>
                <w:szCs w:val="21"/>
                <w:highlight w:val="yellow"/>
              </w:rPr>
            </w:pPr>
            <w:r>
              <w:rPr>
                <w:rFonts w:hint="eastAsia"/>
                <w:kern w:val="0"/>
                <w:sz w:val="21"/>
                <w:szCs w:val="21"/>
              </w:rPr>
              <w:t>鸳鸯、苍鹰等国家重点保护野生动物</w:t>
            </w:r>
          </w:p>
        </w:tc>
        <w:tc>
          <w:tcPr>
            <w:tcW w:w="1985" w:type="dxa"/>
            <w:vAlign w:val="center"/>
          </w:tcPr>
          <w:p w14:paraId="14E96095">
            <w:pPr>
              <w:spacing w:line="276" w:lineRule="auto"/>
              <w:jc w:val="center"/>
              <w:rPr>
                <w:kern w:val="0"/>
                <w:sz w:val="21"/>
                <w:szCs w:val="21"/>
              </w:rPr>
            </w:pPr>
            <w:r>
              <w:rPr>
                <w:rFonts w:hint="eastAsia"/>
                <w:kern w:val="0"/>
                <w:sz w:val="21"/>
                <w:szCs w:val="21"/>
              </w:rPr>
              <w:t>施工期间影响其生境（临时占用）</w:t>
            </w:r>
          </w:p>
        </w:tc>
        <w:tc>
          <w:tcPr>
            <w:tcW w:w="1071" w:type="dxa"/>
            <w:vMerge w:val="restart"/>
            <w:vAlign w:val="center"/>
          </w:tcPr>
          <w:p w14:paraId="582AF949">
            <w:pPr>
              <w:spacing w:line="276" w:lineRule="auto"/>
              <w:jc w:val="center"/>
              <w:rPr>
                <w:kern w:val="0"/>
                <w:sz w:val="21"/>
                <w:szCs w:val="21"/>
              </w:rPr>
            </w:pPr>
            <w:r>
              <w:rPr>
                <w:rFonts w:hint="eastAsia"/>
                <w:kern w:val="0"/>
                <w:sz w:val="21"/>
                <w:szCs w:val="21"/>
              </w:rPr>
              <w:t>人为活动干扰</w:t>
            </w:r>
          </w:p>
        </w:tc>
      </w:tr>
      <w:tr w14:paraId="53F80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14:paraId="391072C5">
            <w:pPr>
              <w:spacing w:line="276" w:lineRule="auto"/>
              <w:jc w:val="center"/>
              <w:rPr>
                <w:kern w:val="0"/>
                <w:sz w:val="21"/>
                <w:szCs w:val="21"/>
              </w:rPr>
            </w:pPr>
          </w:p>
        </w:tc>
        <w:tc>
          <w:tcPr>
            <w:tcW w:w="1276" w:type="dxa"/>
            <w:vMerge w:val="continue"/>
            <w:vAlign w:val="center"/>
          </w:tcPr>
          <w:p w14:paraId="470FC97B">
            <w:pPr>
              <w:spacing w:line="276" w:lineRule="auto"/>
              <w:jc w:val="center"/>
              <w:rPr>
                <w:kern w:val="0"/>
                <w:sz w:val="21"/>
                <w:szCs w:val="21"/>
              </w:rPr>
            </w:pPr>
          </w:p>
        </w:tc>
        <w:tc>
          <w:tcPr>
            <w:tcW w:w="850" w:type="dxa"/>
            <w:vAlign w:val="center"/>
          </w:tcPr>
          <w:p w14:paraId="43B14C53">
            <w:pPr>
              <w:spacing w:line="276" w:lineRule="auto"/>
              <w:jc w:val="center"/>
              <w:rPr>
                <w:kern w:val="0"/>
                <w:sz w:val="21"/>
                <w:szCs w:val="21"/>
              </w:rPr>
            </w:pPr>
            <w:r>
              <w:rPr>
                <w:rFonts w:hint="eastAsia"/>
                <w:kern w:val="0"/>
                <w:sz w:val="21"/>
                <w:szCs w:val="21"/>
              </w:rPr>
              <w:t>省级</w:t>
            </w:r>
          </w:p>
        </w:tc>
        <w:tc>
          <w:tcPr>
            <w:tcW w:w="2410" w:type="dxa"/>
            <w:vAlign w:val="center"/>
          </w:tcPr>
          <w:p w14:paraId="03C9E16D">
            <w:pPr>
              <w:spacing w:line="276" w:lineRule="auto"/>
              <w:jc w:val="center"/>
              <w:rPr>
                <w:kern w:val="0"/>
                <w:sz w:val="21"/>
                <w:szCs w:val="21"/>
              </w:rPr>
            </w:pPr>
            <w:r>
              <w:rPr>
                <w:rFonts w:hint="eastAsia"/>
                <w:kern w:val="0"/>
                <w:sz w:val="21"/>
                <w:szCs w:val="21"/>
              </w:rPr>
              <w:t>苍鹭等河北省重点保护野生动物</w:t>
            </w:r>
          </w:p>
        </w:tc>
        <w:tc>
          <w:tcPr>
            <w:tcW w:w="1985" w:type="dxa"/>
            <w:vAlign w:val="center"/>
          </w:tcPr>
          <w:p w14:paraId="72D9BAD5">
            <w:pPr>
              <w:spacing w:line="276" w:lineRule="auto"/>
              <w:jc w:val="center"/>
              <w:rPr>
                <w:kern w:val="0"/>
                <w:sz w:val="21"/>
                <w:szCs w:val="21"/>
              </w:rPr>
            </w:pPr>
            <w:r>
              <w:rPr>
                <w:rFonts w:hint="eastAsia"/>
                <w:kern w:val="0"/>
                <w:sz w:val="21"/>
                <w:szCs w:val="21"/>
              </w:rPr>
              <w:t>施工期间影响其生境（临时占用）</w:t>
            </w:r>
          </w:p>
        </w:tc>
        <w:tc>
          <w:tcPr>
            <w:tcW w:w="1071" w:type="dxa"/>
            <w:vMerge w:val="continue"/>
            <w:vAlign w:val="center"/>
          </w:tcPr>
          <w:p w14:paraId="25E16BFA">
            <w:pPr>
              <w:spacing w:line="276" w:lineRule="auto"/>
              <w:jc w:val="center"/>
              <w:rPr>
                <w:kern w:val="0"/>
                <w:sz w:val="21"/>
                <w:szCs w:val="21"/>
              </w:rPr>
            </w:pPr>
          </w:p>
        </w:tc>
      </w:tr>
      <w:tr w14:paraId="5FF75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restart"/>
            <w:vAlign w:val="center"/>
          </w:tcPr>
          <w:p w14:paraId="6E1EF38E">
            <w:pPr>
              <w:spacing w:line="276" w:lineRule="auto"/>
              <w:jc w:val="center"/>
              <w:rPr>
                <w:kern w:val="0"/>
                <w:sz w:val="21"/>
                <w:szCs w:val="21"/>
              </w:rPr>
            </w:pPr>
            <w:r>
              <w:rPr>
                <w:rFonts w:hint="eastAsia"/>
                <w:kern w:val="0"/>
                <w:sz w:val="21"/>
                <w:szCs w:val="21"/>
              </w:rPr>
              <w:t>生态敏感区</w:t>
            </w:r>
          </w:p>
        </w:tc>
        <w:tc>
          <w:tcPr>
            <w:tcW w:w="1276" w:type="dxa"/>
            <w:vAlign w:val="center"/>
          </w:tcPr>
          <w:p w14:paraId="347277DC">
            <w:pPr>
              <w:spacing w:line="276" w:lineRule="auto"/>
              <w:jc w:val="center"/>
              <w:rPr>
                <w:kern w:val="0"/>
                <w:sz w:val="21"/>
                <w:szCs w:val="21"/>
              </w:rPr>
            </w:pPr>
            <w:r>
              <w:rPr>
                <w:rFonts w:hint="eastAsia"/>
                <w:kern w:val="0"/>
                <w:sz w:val="21"/>
                <w:szCs w:val="21"/>
              </w:rPr>
              <w:t>潮河国家湿地公园</w:t>
            </w:r>
          </w:p>
        </w:tc>
        <w:tc>
          <w:tcPr>
            <w:tcW w:w="850" w:type="dxa"/>
            <w:vAlign w:val="center"/>
          </w:tcPr>
          <w:p w14:paraId="266D14B5">
            <w:pPr>
              <w:spacing w:line="276" w:lineRule="auto"/>
              <w:jc w:val="center"/>
              <w:rPr>
                <w:kern w:val="0"/>
                <w:sz w:val="21"/>
                <w:szCs w:val="21"/>
              </w:rPr>
            </w:pPr>
            <w:r>
              <w:rPr>
                <w:rFonts w:hint="eastAsia"/>
                <w:kern w:val="0"/>
                <w:sz w:val="21"/>
                <w:szCs w:val="21"/>
              </w:rPr>
              <w:t>国家级</w:t>
            </w:r>
          </w:p>
        </w:tc>
        <w:tc>
          <w:tcPr>
            <w:tcW w:w="2410" w:type="dxa"/>
            <w:vAlign w:val="center"/>
          </w:tcPr>
          <w:p w14:paraId="41C018CE">
            <w:pPr>
              <w:spacing w:line="276" w:lineRule="auto"/>
              <w:jc w:val="center"/>
              <w:rPr>
                <w:kern w:val="0"/>
                <w:sz w:val="21"/>
                <w:szCs w:val="21"/>
              </w:rPr>
            </w:pPr>
            <w:r>
              <w:rPr>
                <w:rFonts w:hint="eastAsia"/>
                <w:kern w:val="0"/>
                <w:sz w:val="21"/>
                <w:szCs w:val="21"/>
              </w:rPr>
              <w:t>潮河流域湿地保护的重要站点；京津冀地区生态安全维护的重要屏障和“水塔”；滦平县重要的鸟类停歇点及栖息地</w:t>
            </w:r>
          </w:p>
        </w:tc>
        <w:tc>
          <w:tcPr>
            <w:tcW w:w="1985" w:type="dxa"/>
            <w:vAlign w:val="center"/>
          </w:tcPr>
          <w:p w14:paraId="01846165">
            <w:pPr>
              <w:spacing w:line="276" w:lineRule="auto"/>
              <w:jc w:val="center"/>
              <w:rPr>
                <w:kern w:val="0"/>
                <w:sz w:val="21"/>
                <w:szCs w:val="21"/>
              </w:rPr>
            </w:pPr>
            <w:r>
              <w:rPr>
                <w:rFonts w:hint="eastAsia"/>
                <w:kern w:val="0"/>
                <w:sz w:val="21"/>
                <w:szCs w:val="21"/>
              </w:rPr>
              <w:t>治理河段K</w:t>
            </w:r>
            <w:r>
              <w:rPr>
                <w:kern w:val="0"/>
                <w:sz w:val="21"/>
                <w:szCs w:val="21"/>
              </w:rPr>
              <w:t>3-850~K13+050</w:t>
            </w:r>
            <w:r>
              <w:rPr>
                <w:rFonts w:hint="eastAsia"/>
                <w:kern w:val="0"/>
                <w:sz w:val="21"/>
                <w:szCs w:val="21"/>
              </w:rPr>
              <w:t>位于湿地公园内，重叠面积2</w:t>
            </w:r>
            <w:r>
              <w:rPr>
                <w:kern w:val="0"/>
                <w:sz w:val="21"/>
                <w:szCs w:val="21"/>
              </w:rPr>
              <w:t>4.36</w:t>
            </w:r>
            <w:r>
              <w:rPr>
                <w:rFonts w:hint="eastAsia"/>
                <w:kern w:val="0"/>
                <w:sz w:val="21"/>
                <w:szCs w:val="21"/>
              </w:rPr>
              <w:t>hm</w:t>
            </w:r>
            <w:r>
              <w:rPr>
                <w:kern w:val="0"/>
                <w:sz w:val="21"/>
                <w:szCs w:val="21"/>
                <w:vertAlign w:val="superscript"/>
              </w:rPr>
              <w:t>2</w:t>
            </w:r>
          </w:p>
        </w:tc>
        <w:tc>
          <w:tcPr>
            <w:tcW w:w="1071" w:type="dxa"/>
            <w:vAlign w:val="center"/>
          </w:tcPr>
          <w:p w14:paraId="4E9908E7">
            <w:pPr>
              <w:spacing w:line="276" w:lineRule="auto"/>
              <w:jc w:val="center"/>
              <w:rPr>
                <w:kern w:val="0"/>
                <w:sz w:val="21"/>
                <w:szCs w:val="21"/>
              </w:rPr>
            </w:pPr>
            <w:r>
              <w:rPr>
                <w:rFonts w:hint="eastAsia"/>
                <w:kern w:val="0"/>
                <w:sz w:val="21"/>
                <w:szCs w:val="21"/>
              </w:rPr>
              <w:t>临时占地、人为活动干扰</w:t>
            </w:r>
          </w:p>
        </w:tc>
      </w:tr>
      <w:tr w14:paraId="691EF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14:paraId="2F91B914">
            <w:pPr>
              <w:spacing w:line="276" w:lineRule="auto"/>
              <w:jc w:val="center"/>
              <w:rPr>
                <w:kern w:val="0"/>
                <w:sz w:val="20"/>
                <w:szCs w:val="21"/>
              </w:rPr>
            </w:pPr>
          </w:p>
        </w:tc>
        <w:tc>
          <w:tcPr>
            <w:tcW w:w="1276" w:type="dxa"/>
            <w:vAlign w:val="center"/>
          </w:tcPr>
          <w:p w14:paraId="047613E1">
            <w:pPr>
              <w:spacing w:line="276" w:lineRule="auto"/>
              <w:jc w:val="center"/>
              <w:rPr>
                <w:kern w:val="0"/>
                <w:sz w:val="21"/>
                <w:szCs w:val="21"/>
              </w:rPr>
            </w:pPr>
            <w:r>
              <w:rPr>
                <w:rFonts w:hint="eastAsia"/>
                <w:kern w:val="0"/>
                <w:sz w:val="21"/>
                <w:szCs w:val="21"/>
              </w:rPr>
              <w:t>生态保护红线</w:t>
            </w:r>
          </w:p>
        </w:tc>
        <w:tc>
          <w:tcPr>
            <w:tcW w:w="850" w:type="dxa"/>
            <w:vAlign w:val="center"/>
          </w:tcPr>
          <w:p w14:paraId="40E54986">
            <w:pPr>
              <w:spacing w:line="276" w:lineRule="auto"/>
              <w:jc w:val="center"/>
              <w:rPr>
                <w:kern w:val="0"/>
                <w:sz w:val="21"/>
                <w:szCs w:val="21"/>
              </w:rPr>
            </w:pPr>
            <w:r>
              <w:rPr>
                <w:rFonts w:hint="eastAsia"/>
                <w:kern w:val="0"/>
                <w:sz w:val="21"/>
                <w:szCs w:val="21"/>
              </w:rPr>
              <w:t>/</w:t>
            </w:r>
          </w:p>
        </w:tc>
        <w:tc>
          <w:tcPr>
            <w:tcW w:w="2410" w:type="dxa"/>
            <w:vAlign w:val="center"/>
          </w:tcPr>
          <w:p w14:paraId="374268A8">
            <w:pPr>
              <w:spacing w:line="276" w:lineRule="auto"/>
              <w:jc w:val="center"/>
              <w:rPr>
                <w:kern w:val="0"/>
                <w:sz w:val="21"/>
                <w:szCs w:val="21"/>
              </w:rPr>
            </w:pPr>
            <w:r>
              <w:rPr>
                <w:rFonts w:hint="eastAsia"/>
                <w:kern w:val="0"/>
                <w:sz w:val="21"/>
                <w:szCs w:val="21"/>
              </w:rPr>
              <w:t>燕山水源涵养-生物多样性维护生态保护红线</w:t>
            </w:r>
          </w:p>
        </w:tc>
        <w:tc>
          <w:tcPr>
            <w:tcW w:w="1985" w:type="dxa"/>
            <w:vAlign w:val="center"/>
          </w:tcPr>
          <w:p w14:paraId="09B5B9BE">
            <w:pPr>
              <w:spacing w:line="276" w:lineRule="auto"/>
              <w:jc w:val="center"/>
              <w:rPr>
                <w:kern w:val="0"/>
                <w:sz w:val="21"/>
                <w:szCs w:val="21"/>
              </w:rPr>
            </w:pPr>
            <w:r>
              <w:rPr>
                <w:rFonts w:hint="eastAsia"/>
                <w:kern w:val="0"/>
                <w:sz w:val="21"/>
                <w:szCs w:val="21"/>
              </w:rPr>
              <w:t>全线与生态保护红线重叠面积2</w:t>
            </w:r>
            <w:r>
              <w:rPr>
                <w:kern w:val="0"/>
                <w:sz w:val="21"/>
                <w:szCs w:val="21"/>
              </w:rPr>
              <w:t>8.72</w:t>
            </w:r>
            <w:r>
              <w:rPr>
                <w:rFonts w:hint="eastAsia"/>
                <w:kern w:val="0"/>
                <w:sz w:val="21"/>
                <w:szCs w:val="21"/>
              </w:rPr>
              <w:t>hm</w:t>
            </w:r>
            <w:r>
              <w:rPr>
                <w:kern w:val="0"/>
                <w:sz w:val="21"/>
                <w:szCs w:val="21"/>
                <w:vertAlign w:val="superscript"/>
              </w:rPr>
              <w:t>2</w:t>
            </w:r>
          </w:p>
        </w:tc>
        <w:tc>
          <w:tcPr>
            <w:tcW w:w="1071" w:type="dxa"/>
            <w:vAlign w:val="center"/>
          </w:tcPr>
          <w:p w14:paraId="1BA37728">
            <w:pPr>
              <w:spacing w:line="276" w:lineRule="auto"/>
              <w:jc w:val="center"/>
              <w:rPr>
                <w:kern w:val="0"/>
                <w:sz w:val="21"/>
                <w:szCs w:val="21"/>
              </w:rPr>
            </w:pPr>
            <w:r>
              <w:rPr>
                <w:rFonts w:hint="eastAsia"/>
                <w:kern w:val="0"/>
                <w:sz w:val="21"/>
                <w:szCs w:val="21"/>
              </w:rPr>
              <w:t>临时占地、人为活动干扰</w:t>
            </w:r>
          </w:p>
        </w:tc>
      </w:tr>
    </w:tbl>
    <w:p w14:paraId="3DC1DFFB">
      <w:pPr>
        <w:pStyle w:val="3"/>
        <w:rPr>
          <w:kern w:val="0"/>
        </w:rPr>
      </w:pPr>
      <w:bookmarkStart w:id="40" w:name="_Toc198733148"/>
      <w:r>
        <w:rPr>
          <w:rFonts w:hint="eastAsia"/>
          <w:kern w:val="0"/>
        </w:rPr>
        <w:t>评价</w:t>
      </w:r>
      <w:r>
        <w:rPr>
          <w:kern w:val="0"/>
        </w:rPr>
        <w:t>内容及评价重点</w:t>
      </w:r>
      <w:bookmarkEnd w:id="40"/>
    </w:p>
    <w:p w14:paraId="2891E7A4">
      <w:pPr>
        <w:pStyle w:val="85"/>
        <w:ind w:firstLine="480"/>
        <w:rPr>
          <w:kern w:val="0"/>
        </w:rPr>
        <w:sectPr>
          <w:pgSz w:w="11906" w:h="16838"/>
          <w:pgMar w:top="2007" w:right="1797" w:bottom="1724" w:left="1797" w:header="1417" w:footer="1162" w:gutter="0"/>
          <w:pgNumType w:fmt="numberInDash"/>
          <w:cols w:space="425" w:num="1"/>
          <w:docGrid w:type="lines" w:linePitch="312" w:charSpace="0"/>
        </w:sectPr>
      </w:pPr>
      <w:r>
        <w:rPr>
          <w:kern w:val="0"/>
        </w:rPr>
        <w:t>根据工程特点及周围环境特征，确定本次评价内容和评价重点列于</w:t>
      </w:r>
      <w:r>
        <w:rPr>
          <w:kern w:val="0"/>
        </w:rPr>
        <w:fldChar w:fldCharType="begin"/>
      </w:r>
      <w:r>
        <w:rPr>
          <w:kern w:val="0"/>
        </w:rPr>
        <w:instrText xml:space="preserve"> REF _Ref536461067 \h  \* MERGEFORMAT </w:instrText>
      </w:r>
      <w:r>
        <w:rPr>
          <w:kern w:val="0"/>
        </w:rPr>
        <w:fldChar w:fldCharType="separate"/>
      </w:r>
      <w:r>
        <w:rPr>
          <w:rFonts w:hint="eastAsia"/>
          <w:kern w:val="0"/>
        </w:rPr>
        <w:t>表</w:t>
      </w:r>
      <w:r>
        <w:rPr>
          <w:kern w:val="0"/>
        </w:rPr>
        <w:t>1</w:t>
      </w:r>
      <w:r>
        <w:rPr>
          <w:kern w:val="0"/>
        </w:rPr>
        <w:noBreakHyphen/>
      </w:r>
      <w:r>
        <w:rPr>
          <w:kern w:val="0"/>
        </w:rPr>
        <w:t>13</w:t>
      </w:r>
      <w:r>
        <w:rPr>
          <w:kern w:val="0"/>
        </w:rPr>
        <w:fldChar w:fldCharType="end"/>
      </w:r>
      <w:r>
        <w:rPr>
          <w:kern w:val="0"/>
        </w:rPr>
        <w:t>。</w:t>
      </w:r>
      <w:bookmarkStart w:id="41" w:name="_Ref470544217"/>
    </w:p>
    <w:p w14:paraId="79A02D15">
      <w:pPr>
        <w:pStyle w:val="85"/>
        <w:ind w:firstLine="480"/>
        <w:jc w:val="center"/>
        <w:rPr>
          <w:rFonts w:eastAsia="黑体"/>
          <w:kern w:val="0"/>
        </w:rPr>
      </w:pPr>
      <w:bookmarkStart w:id="42" w:name="_Ref536461067"/>
      <w:r>
        <w:rPr>
          <w:rFonts w:hint="eastAsia" w:eastAsia="黑体"/>
          <w:bCs/>
          <w:kern w:val="0"/>
          <w:szCs w:val="32"/>
        </w:rPr>
        <w:t>表</w:t>
      </w:r>
      <w:r>
        <w:rPr>
          <w:rFonts w:eastAsia="黑体"/>
          <w:bCs/>
          <w:kern w:val="0"/>
          <w:szCs w:val="32"/>
        </w:rPr>
        <w:fldChar w:fldCharType="begin"/>
      </w:r>
      <w:r>
        <w:rPr>
          <w:rFonts w:eastAsia="黑体"/>
          <w:bCs/>
          <w:kern w:val="0"/>
          <w:szCs w:val="32"/>
        </w:rPr>
        <w:instrText xml:space="preserve"> </w:instrText>
      </w:r>
      <w:r>
        <w:rPr>
          <w:rFonts w:hint="eastAsia" w:eastAsia="黑体"/>
          <w:bCs/>
          <w:kern w:val="0"/>
          <w:szCs w:val="32"/>
        </w:rPr>
        <w:instrText xml:space="preserve">STYLEREF 1 \s</w:instrText>
      </w:r>
      <w:r>
        <w:rPr>
          <w:rFonts w:eastAsia="黑体"/>
          <w:bCs/>
          <w:kern w:val="0"/>
          <w:szCs w:val="32"/>
        </w:rPr>
        <w:instrText xml:space="preserve"> </w:instrText>
      </w:r>
      <w:r>
        <w:rPr>
          <w:rFonts w:eastAsia="黑体"/>
          <w:bCs/>
          <w:kern w:val="0"/>
          <w:szCs w:val="32"/>
        </w:rPr>
        <w:fldChar w:fldCharType="separate"/>
      </w:r>
      <w:r>
        <w:rPr>
          <w:rFonts w:eastAsia="黑体"/>
          <w:bCs/>
          <w:kern w:val="0"/>
          <w:szCs w:val="32"/>
        </w:rPr>
        <w:t>1</w:t>
      </w:r>
      <w:r>
        <w:rPr>
          <w:rFonts w:eastAsia="黑体"/>
          <w:bCs/>
          <w:kern w:val="0"/>
          <w:szCs w:val="32"/>
        </w:rPr>
        <w:fldChar w:fldCharType="end"/>
      </w:r>
      <w:r>
        <w:rPr>
          <w:rFonts w:eastAsia="黑体"/>
          <w:bCs/>
          <w:kern w:val="0"/>
          <w:szCs w:val="32"/>
        </w:rPr>
        <w:noBreakHyphen/>
      </w:r>
      <w:r>
        <w:rPr>
          <w:rFonts w:eastAsia="黑体"/>
          <w:bCs/>
          <w:kern w:val="0"/>
          <w:szCs w:val="32"/>
        </w:rPr>
        <w:fldChar w:fldCharType="begin"/>
      </w:r>
      <w:r>
        <w:rPr>
          <w:rFonts w:eastAsia="黑体"/>
          <w:bCs/>
          <w:kern w:val="0"/>
          <w:szCs w:val="32"/>
        </w:rPr>
        <w:instrText xml:space="preserve"> </w:instrText>
      </w:r>
      <w:r>
        <w:rPr>
          <w:rFonts w:hint="eastAsia" w:eastAsia="黑体"/>
          <w:bCs/>
          <w:kern w:val="0"/>
          <w:szCs w:val="32"/>
        </w:rPr>
        <w:instrText xml:space="preserve">SEQ 表 \* ARABIC \s 1</w:instrText>
      </w:r>
      <w:r>
        <w:rPr>
          <w:rFonts w:eastAsia="黑体"/>
          <w:bCs/>
          <w:kern w:val="0"/>
          <w:szCs w:val="32"/>
        </w:rPr>
        <w:instrText xml:space="preserve"> </w:instrText>
      </w:r>
      <w:r>
        <w:rPr>
          <w:rFonts w:eastAsia="黑体"/>
          <w:bCs/>
          <w:kern w:val="0"/>
          <w:szCs w:val="32"/>
        </w:rPr>
        <w:fldChar w:fldCharType="separate"/>
      </w:r>
      <w:r>
        <w:rPr>
          <w:rFonts w:eastAsia="黑体"/>
          <w:bCs/>
          <w:kern w:val="0"/>
          <w:szCs w:val="32"/>
        </w:rPr>
        <w:t>13</w:t>
      </w:r>
      <w:r>
        <w:rPr>
          <w:rFonts w:eastAsia="黑体"/>
          <w:bCs/>
          <w:kern w:val="0"/>
          <w:szCs w:val="32"/>
        </w:rPr>
        <w:fldChar w:fldCharType="end"/>
      </w:r>
      <w:bookmarkEnd w:id="41"/>
      <w:bookmarkEnd w:id="42"/>
      <w:r>
        <w:rPr>
          <w:rFonts w:eastAsia="黑体"/>
          <w:kern w:val="0"/>
        </w:rPr>
        <w:t xml:space="preserve">  评价内容及重点</w:t>
      </w:r>
    </w:p>
    <w:tbl>
      <w:tblPr>
        <w:tblStyle w:val="63"/>
        <w:tblW w:w="8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90"/>
        <w:gridCol w:w="2199"/>
        <w:gridCol w:w="4676"/>
        <w:gridCol w:w="947"/>
      </w:tblGrid>
      <w:tr w14:paraId="52450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5" w:type="pct"/>
            <w:vAlign w:val="center"/>
          </w:tcPr>
          <w:p w14:paraId="10EE7252">
            <w:pPr>
              <w:jc w:val="center"/>
              <w:rPr>
                <w:kern w:val="0"/>
              </w:rPr>
            </w:pPr>
            <w:r>
              <w:rPr>
                <w:kern w:val="0"/>
              </w:rPr>
              <w:t>序号</w:t>
            </w:r>
          </w:p>
        </w:tc>
        <w:tc>
          <w:tcPr>
            <w:tcW w:w="1323" w:type="pct"/>
            <w:vAlign w:val="center"/>
          </w:tcPr>
          <w:p w14:paraId="26A478A6">
            <w:pPr>
              <w:jc w:val="center"/>
              <w:rPr>
                <w:kern w:val="0"/>
              </w:rPr>
            </w:pPr>
            <w:r>
              <w:rPr>
                <w:kern w:val="0"/>
              </w:rPr>
              <w:t>项目</w:t>
            </w:r>
          </w:p>
        </w:tc>
        <w:tc>
          <w:tcPr>
            <w:tcW w:w="2813" w:type="pct"/>
            <w:vAlign w:val="center"/>
          </w:tcPr>
          <w:p w14:paraId="0EB54F60">
            <w:pPr>
              <w:jc w:val="center"/>
              <w:rPr>
                <w:kern w:val="0"/>
              </w:rPr>
            </w:pPr>
            <w:r>
              <w:rPr>
                <w:kern w:val="0"/>
              </w:rPr>
              <w:t>评价内容</w:t>
            </w:r>
          </w:p>
        </w:tc>
        <w:tc>
          <w:tcPr>
            <w:tcW w:w="569" w:type="pct"/>
            <w:vAlign w:val="center"/>
          </w:tcPr>
          <w:p w14:paraId="5CB2CBE6">
            <w:pPr>
              <w:jc w:val="center"/>
              <w:rPr>
                <w:kern w:val="0"/>
              </w:rPr>
            </w:pPr>
            <w:r>
              <w:rPr>
                <w:kern w:val="0"/>
              </w:rPr>
              <w:t>评价重点</w:t>
            </w:r>
          </w:p>
        </w:tc>
      </w:tr>
      <w:tr w14:paraId="3A4C2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5" w:type="pct"/>
            <w:vAlign w:val="center"/>
          </w:tcPr>
          <w:p w14:paraId="3E5C26D2">
            <w:pPr>
              <w:jc w:val="center"/>
              <w:rPr>
                <w:kern w:val="0"/>
              </w:rPr>
            </w:pPr>
            <w:r>
              <w:rPr>
                <w:kern w:val="0"/>
              </w:rPr>
              <w:t>1</w:t>
            </w:r>
          </w:p>
        </w:tc>
        <w:tc>
          <w:tcPr>
            <w:tcW w:w="1323" w:type="pct"/>
            <w:vAlign w:val="center"/>
          </w:tcPr>
          <w:p w14:paraId="704A2140">
            <w:pPr>
              <w:jc w:val="center"/>
              <w:rPr>
                <w:kern w:val="0"/>
              </w:rPr>
            </w:pPr>
            <w:r>
              <w:rPr>
                <w:rFonts w:hint="eastAsia"/>
                <w:kern w:val="0"/>
              </w:rPr>
              <w:t>总则</w:t>
            </w:r>
          </w:p>
        </w:tc>
        <w:tc>
          <w:tcPr>
            <w:tcW w:w="2813" w:type="pct"/>
            <w:vAlign w:val="center"/>
          </w:tcPr>
          <w:tbl>
            <w:tblPr>
              <w:tblStyle w:val="6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66"/>
            </w:tblGrid>
            <w:tr w14:paraId="4D7F5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0" w:type="auto"/>
                </w:tcPr>
                <w:p w14:paraId="66EA81B8">
                  <w:pPr>
                    <w:jc w:val="center"/>
                    <w:rPr>
                      <w:kern w:val="0"/>
                    </w:rPr>
                  </w:pPr>
                  <w:r>
                    <w:rPr>
                      <w:rFonts w:hint="eastAsia"/>
                      <w:kern w:val="0"/>
                    </w:rPr>
                    <w:t>编制依据、评价目的及原则、评价等级与评价范围、评价内容及评价重点、环境功能区划、评价标准、环境保护目标</w:t>
                  </w:r>
                </w:p>
              </w:tc>
            </w:tr>
          </w:tbl>
          <w:p w14:paraId="29683729">
            <w:pPr>
              <w:jc w:val="center"/>
              <w:rPr>
                <w:kern w:val="0"/>
              </w:rPr>
            </w:pPr>
          </w:p>
        </w:tc>
        <w:tc>
          <w:tcPr>
            <w:tcW w:w="569" w:type="pct"/>
            <w:vAlign w:val="center"/>
          </w:tcPr>
          <w:p w14:paraId="1E18D911">
            <w:pPr>
              <w:jc w:val="center"/>
              <w:rPr>
                <w:kern w:val="0"/>
              </w:rPr>
            </w:pPr>
          </w:p>
        </w:tc>
      </w:tr>
      <w:tr w14:paraId="5683C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5" w:type="pct"/>
            <w:vAlign w:val="center"/>
          </w:tcPr>
          <w:p w14:paraId="17281528">
            <w:pPr>
              <w:jc w:val="center"/>
              <w:rPr>
                <w:kern w:val="0"/>
              </w:rPr>
            </w:pPr>
            <w:r>
              <w:rPr>
                <w:kern w:val="0"/>
              </w:rPr>
              <w:t>2</w:t>
            </w:r>
          </w:p>
        </w:tc>
        <w:tc>
          <w:tcPr>
            <w:tcW w:w="1323" w:type="pct"/>
            <w:vAlign w:val="center"/>
          </w:tcPr>
          <w:p w14:paraId="77C063DD">
            <w:pPr>
              <w:jc w:val="center"/>
              <w:rPr>
                <w:kern w:val="0"/>
              </w:rPr>
            </w:pPr>
            <w:r>
              <w:rPr>
                <w:kern w:val="0"/>
              </w:rPr>
              <w:t>工程分析</w:t>
            </w:r>
          </w:p>
        </w:tc>
        <w:tc>
          <w:tcPr>
            <w:tcW w:w="2813" w:type="pct"/>
            <w:vAlign w:val="center"/>
          </w:tcPr>
          <w:p w14:paraId="2AC4084D">
            <w:pPr>
              <w:jc w:val="center"/>
              <w:rPr>
                <w:kern w:val="0"/>
              </w:rPr>
            </w:pPr>
            <w:r>
              <w:rPr>
                <w:rFonts w:hint="eastAsia"/>
                <w:kern w:val="0"/>
              </w:rPr>
              <w:t>详细介绍项目工程概况、生产工艺及排污节点、主要影响因素、污染物排放量、提出污染物防治措施及生态保护措施。</w:t>
            </w:r>
          </w:p>
        </w:tc>
        <w:tc>
          <w:tcPr>
            <w:tcW w:w="569" w:type="pct"/>
            <w:vAlign w:val="center"/>
          </w:tcPr>
          <w:p w14:paraId="3D7F44EB">
            <w:pPr>
              <w:jc w:val="center"/>
              <w:rPr>
                <w:kern w:val="0"/>
              </w:rPr>
            </w:pPr>
            <w:r>
              <w:rPr>
                <w:kern w:val="0"/>
              </w:rPr>
              <w:t>√</w:t>
            </w:r>
          </w:p>
        </w:tc>
      </w:tr>
      <w:tr w14:paraId="02756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5" w:type="pct"/>
            <w:vAlign w:val="center"/>
          </w:tcPr>
          <w:p w14:paraId="18A1953F">
            <w:pPr>
              <w:jc w:val="center"/>
              <w:rPr>
                <w:kern w:val="0"/>
              </w:rPr>
            </w:pPr>
            <w:r>
              <w:rPr>
                <w:kern w:val="0"/>
              </w:rPr>
              <w:t>3</w:t>
            </w:r>
          </w:p>
        </w:tc>
        <w:tc>
          <w:tcPr>
            <w:tcW w:w="1323" w:type="pct"/>
            <w:vAlign w:val="center"/>
          </w:tcPr>
          <w:p w14:paraId="09E76403">
            <w:pPr>
              <w:jc w:val="center"/>
              <w:rPr>
                <w:kern w:val="0"/>
              </w:rPr>
            </w:pPr>
            <w:r>
              <w:rPr>
                <w:rFonts w:hint="eastAsia"/>
                <w:kern w:val="0"/>
              </w:rPr>
              <w:t>环境现状调查与评价</w:t>
            </w:r>
          </w:p>
        </w:tc>
        <w:tc>
          <w:tcPr>
            <w:tcW w:w="2813" w:type="pct"/>
            <w:vAlign w:val="center"/>
          </w:tcPr>
          <w:p w14:paraId="0CF47D91">
            <w:pPr>
              <w:jc w:val="center"/>
              <w:rPr>
                <w:kern w:val="0"/>
              </w:rPr>
            </w:pPr>
            <w:r>
              <w:rPr>
                <w:kern w:val="0"/>
              </w:rPr>
              <w:t>自然环境</w:t>
            </w:r>
            <w:r>
              <w:rPr>
                <w:rFonts w:hint="eastAsia"/>
                <w:kern w:val="0"/>
              </w:rPr>
              <w:t>、</w:t>
            </w:r>
            <w:r>
              <w:rPr>
                <w:kern w:val="0"/>
              </w:rPr>
              <w:t>环境功能区划</w:t>
            </w:r>
            <w:r>
              <w:rPr>
                <w:rFonts w:hint="eastAsia"/>
                <w:kern w:val="0"/>
              </w:rPr>
              <w:t>、</w:t>
            </w:r>
            <w:r>
              <w:rPr>
                <w:kern w:val="0"/>
              </w:rPr>
              <w:t>环境质量现状监测</w:t>
            </w:r>
            <w:r>
              <w:rPr>
                <w:rFonts w:hint="eastAsia"/>
                <w:kern w:val="0"/>
              </w:rPr>
              <w:t>（</w:t>
            </w:r>
            <w:r>
              <w:rPr>
                <w:kern w:val="0"/>
              </w:rPr>
              <w:t>环境空气、地下水、地表水、声环境、生态环境</w:t>
            </w:r>
            <w:r>
              <w:rPr>
                <w:rFonts w:hint="eastAsia"/>
                <w:kern w:val="0"/>
              </w:rPr>
              <w:t>）</w:t>
            </w:r>
          </w:p>
        </w:tc>
        <w:tc>
          <w:tcPr>
            <w:tcW w:w="569" w:type="pct"/>
            <w:vAlign w:val="center"/>
          </w:tcPr>
          <w:p w14:paraId="1A81D92D">
            <w:pPr>
              <w:jc w:val="center"/>
              <w:rPr>
                <w:kern w:val="0"/>
              </w:rPr>
            </w:pPr>
            <w:r>
              <w:rPr>
                <w:kern w:val="0"/>
              </w:rPr>
              <w:t>√</w:t>
            </w:r>
          </w:p>
        </w:tc>
      </w:tr>
      <w:tr w14:paraId="5634F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0" w:hRule="atLeast"/>
          <w:jc w:val="center"/>
        </w:trPr>
        <w:tc>
          <w:tcPr>
            <w:tcW w:w="295" w:type="pct"/>
            <w:vMerge w:val="restart"/>
            <w:vAlign w:val="center"/>
          </w:tcPr>
          <w:p w14:paraId="6C24708A">
            <w:pPr>
              <w:jc w:val="center"/>
              <w:rPr>
                <w:kern w:val="0"/>
              </w:rPr>
            </w:pPr>
            <w:r>
              <w:rPr>
                <w:rFonts w:hint="eastAsia"/>
                <w:kern w:val="0"/>
              </w:rPr>
              <w:t>4</w:t>
            </w:r>
          </w:p>
        </w:tc>
        <w:tc>
          <w:tcPr>
            <w:tcW w:w="1323" w:type="pct"/>
            <w:vMerge w:val="restart"/>
            <w:vAlign w:val="center"/>
          </w:tcPr>
          <w:p w14:paraId="4CFE5CD7">
            <w:pPr>
              <w:jc w:val="center"/>
              <w:rPr>
                <w:kern w:val="0"/>
              </w:rPr>
            </w:pPr>
            <w:r>
              <w:rPr>
                <w:rFonts w:hint="eastAsia"/>
                <w:kern w:val="0"/>
              </w:rPr>
              <w:t>环境</w:t>
            </w:r>
            <w:r>
              <w:rPr>
                <w:kern w:val="0"/>
              </w:rPr>
              <w:t>影响预测与评价</w:t>
            </w:r>
          </w:p>
        </w:tc>
        <w:tc>
          <w:tcPr>
            <w:tcW w:w="2813" w:type="pct"/>
            <w:vAlign w:val="center"/>
          </w:tcPr>
          <w:p w14:paraId="553C7481">
            <w:pPr>
              <w:jc w:val="center"/>
              <w:rPr>
                <w:kern w:val="0"/>
              </w:rPr>
            </w:pPr>
            <w:r>
              <w:rPr>
                <w:rFonts w:hint="eastAsia"/>
                <w:kern w:val="0"/>
              </w:rPr>
              <w:t>施工期</w:t>
            </w:r>
            <w:r>
              <w:rPr>
                <w:kern w:val="0"/>
              </w:rPr>
              <w:t>：</w:t>
            </w:r>
            <w:r>
              <w:rPr>
                <w:rFonts w:hint="eastAsia"/>
                <w:kern w:val="0"/>
              </w:rPr>
              <w:t>分析施工期废气、废水、噪声、固废对环境的影响，施工</w:t>
            </w:r>
            <w:r>
              <w:rPr>
                <w:kern w:val="0"/>
              </w:rPr>
              <w:t>活动对生态的影响，</w:t>
            </w:r>
            <w:r>
              <w:rPr>
                <w:rFonts w:hint="eastAsia"/>
                <w:kern w:val="0"/>
              </w:rPr>
              <w:t>提出合理有效的污染防治措施和生态</w:t>
            </w:r>
            <w:r>
              <w:rPr>
                <w:kern w:val="0"/>
              </w:rPr>
              <w:t>影响减缓措施</w:t>
            </w:r>
            <w:r>
              <w:rPr>
                <w:rFonts w:hint="eastAsia"/>
                <w:kern w:val="0"/>
              </w:rPr>
              <w:t>。</w:t>
            </w:r>
          </w:p>
        </w:tc>
        <w:tc>
          <w:tcPr>
            <w:tcW w:w="569" w:type="pct"/>
            <w:vMerge w:val="restart"/>
            <w:vAlign w:val="center"/>
          </w:tcPr>
          <w:p w14:paraId="0B4E4EE2">
            <w:pPr>
              <w:jc w:val="center"/>
              <w:rPr>
                <w:kern w:val="0"/>
              </w:rPr>
            </w:pPr>
            <w:r>
              <w:rPr>
                <w:kern w:val="0"/>
              </w:rPr>
              <w:t>√</w:t>
            </w:r>
          </w:p>
        </w:tc>
      </w:tr>
      <w:tr w14:paraId="4C0D1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0" w:hRule="atLeast"/>
          <w:jc w:val="center"/>
        </w:trPr>
        <w:tc>
          <w:tcPr>
            <w:tcW w:w="295" w:type="pct"/>
            <w:vMerge w:val="continue"/>
            <w:vAlign w:val="center"/>
          </w:tcPr>
          <w:p w14:paraId="49A747C7">
            <w:pPr>
              <w:jc w:val="center"/>
              <w:rPr>
                <w:kern w:val="0"/>
              </w:rPr>
            </w:pPr>
          </w:p>
        </w:tc>
        <w:tc>
          <w:tcPr>
            <w:tcW w:w="1323" w:type="pct"/>
            <w:vMerge w:val="continue"/>
            <w:vAlign w:val="center"/>
          </w:tcPr>
          <w:p w14:paraId="31797EC7">
            <w:pPr>
              <w:jc w:val="center"/>
              <w:rPr>
                <w:kern w:val="0"/>
              </w:rPr>
            </w:pPr>
          </w:p>
        </w:tc>
        <w:tc>
          <w:tcPr>
            <w:tcW w:w="2813" w:type="pct"/>
            <w:vAlign w:val="center"/>
          </w:tcPr>
          <w:p w14:paraId="1D0157D6">
            <w:pPr>
              <w:jc w:val="center"/>
              <w:rPr>
                <w:kern w:val="0"/>
              </w:rPr>
            </w:pPr>
            <w:r>
              <w:rPr>
                <w:rFonts w:hint="eastAsia"/>
                <w:kern w:val="0"/>
              </w:rPr>
              <w:t>运营期：声环境、生态环境影响预测评价；预测项目对环境的影响情况，说明影响程度、影响范围。</w:t>
            </w:r>
          </w:p>
        </w:tc>
        <w:tc>
          <w:tcPr>
            <w:tcW w:w="569" w:type="pct"/>
            <w:vMerge w:val="continue"/>
            <w:vAlign w:val="center"/>
          </w:tcPr>
          <w:p w14:paraId="5793616A">
            <w:pPr>
              <w:jc w:val="center"/>
              <w:rPr>
                <w:kern w:val="0"/>
              </w:rPr>
            </w:pPr>
          </w:p>
        </w:tc>
      </w:tr>
      <w:tr w14:paraId="416C4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5" w:type="pct"/>
            <w:vAlign w:val="center"/>
          </w:tcPr>
          <w:p w14:paraId="1C2FE469">
            <w:pPr>
              <w:jc w:val="center"/>
              <w:rPr>
                <w:kern w:val="0"/>
              </w:rPr>
            </w:pPr>
            <w:r>
              <w:rPr>
                <w:kern w:val="0"/>
              </w:rPr>
              <w:t>5</w:t>
            </w:r>
          </w:p>
        </w:tc>
        <w:tc>
          <w:tcPr>
            <w:tcW w:w="1323" w:type="pct"/>
            <w:vAlign w:val="center"/>
          </w:tcPr>
          <w:p w14:paraId="745A57A0">
            <w:pPr>
              <w:jc w:val="center"/>
              <w:rPr>
                <w:kern w:val="0"/>
              </w:rPr>
            </w:pPr>
            <w:r>
              <w:rPr>
                <w:rFonts w:hint="eastAsia"/>
                <w:kern w:val="0"/>
              </w:rPr>
              <w:t>环境保护措施及其可行性论证</w:t>
            </w:r>
          </w:p>
        </w:tc>
        <w:tc>
          <w:tcPr>
            <w:tcW w:w="2813" w:type="pct"/>
            <w:vAlign w:val="center"/>
          </w:tcPr>
          <w:p w14:paraId="48E079E7">
            <w:pPr>
              <w:jc w:val="center"/>
              <w:rPr>
                <w:kern w:val="0"/>
              </w:rPr>
            </w:pPr>
            <w:r>
              <w:rPr>
                <w:rFonts w:hint="eastAsia"/>
                <w:kern w:val="0"/>
              </w:rPr>
              <w:t>分析论证项目实施后采取的污染防治措施及生态保护措施的可行性。</w:t>
            </w:r>
          </w:p>
        </w:tc>
        <w:tc>
          <w:tcPr>
            <w:tcW w:w="569" w:type="pct"/>
            <w:vAlign w:val="center"/>
          </w:tcPr>
          <w:p w14:paraId="66B17898">
            <w:pPr>
              <w:jc w:val="center"/>
              <w:rPr>
                <w:kern w:val="0"/>
              </w:rPr>
            </w:pPr>
            <w:r>
              <w:rPr>
                <w:kern w:val="0"/>
              </w:rPr>
              <w:t>√</w:t>
            </w:r>
          </w:p>
        </w:tc>
      </w:tr>
      <w:tr w14:paraId="47A9B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5" w:type="pct"/>
            <w:vAlign w:val="center"/>
          </w:tcPr>
          <w:p w14:paraId="72A185EB">
            <w:pPr>
              <w:jc w:val="center"/>
              <w:rPr>
                <w:kern w:val="0"/>
              </w:rPr>
            </w:pPr>
            <w:r>
              <w:rPr>
                <w:kern w:val="0"/>
              </w:rPr>
              <w:t>6</w:t>
            </w:r>
          </w:p>
        </w:tc>
        <w:tc>
          <w:tcPr>
            <w:tcW w:w="1323" w:type="pct"/>
            <w:vAlign w:val="center"/>
          </w:tcPr>
          <w:p w14:paraId="399B6B6D">
            <w:pPr>
              <w:jc w:val="center"/>
              <w:rPr>
                <w:kern w:val="0"/>
              </w:rPr>
            </w:pPr>
            <w:r>
              <w:rPr>
                <w:rFonts w:hint="eastAsia"/>
                <w:kern w:val="0"/>
              </w:rPr>
              <w:t>环境影响经济损益分析</w:t>
            </w:r>
          </w:p>
        </w:tc>
        <w:tc>
          <w:tcPr>
            <w:tcW w:w="2813" w:type="pct"/>
            <w:vAlign w:val="center"/>
          </w:tcPr>
          <w:p w14:paraId="1A751389">
            <w:pPr>
              <w:jc w:val="center"/>
              <w:rPr>
                <w:kern w:val="0"/>
              </w:rPr>
            </w:pPr>
            <w:r>
              <w:rPr>
                <w:kern w:val="0"/>
              </w:rPr>
              <w:t>分析社会效益、经济效益和环境效益</w:t>
            </w:r>
          </w:p>
        </w:tc>
        <w:tc>
          <w:tcPr>
            <w:tcW w:w="569" w:type="pct"/>
            <w:vAlign w:val="center"/>
          </w:tcPr>
          <w:p w14:paraId="187B2791">
            <w:pPr>
              <w:jc w:val="center"/>
              <w:rPr>
                <w:kern w:val="0"/>
              </w:rPr>
            </w:pPr>
          </w:p>
        </w:tc>
      </w:tr>
      <w:tr w14:paraId="3D28D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5" w:type="pct"/>
            <w:vAlign w:val="center"/>
          </w:tcPr>
          <w:p w14:paraId="54535193">
            <w:pPr>
              <w:jc w:val="center"/>
              <w:rPr>
                <w:kern w:val="0"/>
              </w:rPr>
            </w:pPr>
            <w:r>
              <w:rPr>
                <w:kern w:val="0"/>
              </w:rPr>
              <w:t>7</w:t>
            </w:r>
          </w:p>
        </w:tc>
        <w:tc>
          <w:tcPr>
            <w:tcW w:w="1323" w:type="pct"/>
            <w:vAlign w:val="center"/>
          </w:tcPr>
          <w:p w14:paraId="1B6D5D3B">
            <w:pPr>
              <w:jc w:val="center"/>
              <w:rPr>
                <w:kern w:val="0"/>
              </w:rPr>
            </w:pPr>
            <w:r>
              <w:rPr>
                <w:rFonts w:hint="eastAsia"/>
                <w:kern w:val="0"/>
              </w:rPr>
              <w:t>环境管理与监测计划</w:t>
            </w:r>
          </w:p>
        </w:tc>
        <w:tc>
          <w:tcPr>
            <w:tcW w:w="2813" w:type="pct"/>
            <w:vAlign w:val="center"/>
          </w:tcPr>
          <w:p w14:paraId="4D9E5854">
            <w:pPr>
              <w:jc w:val="center"/>
              <w:rPr>
                <w:kern w:val="0"/>
              </w:rPr>
            </w:pPr>
            <w:r>
              <w:rPr>
                <w:rFonts w:hint="eastAsia"/>
                <w:kern w:val="0"/>
              </w:rPr>
              <w:t>制定环境管理与监测计划，列出污染物排放清单、“三同时”验收一览表及环境监理工作内容。</w:t>
            </w:r>
          </w:p>
        </w:tc>
        <w:tc>
          <w:tcPr>
            <w:tcW w:w="569" w:type="pct"/>
            <w:vAlign w:val="center"/>
          </w:tcPr>
          <w:p w14:paraId="4EAF7BB0">
            <w:pPr>
              <w:jc w:val="center"/>
              <w:rPr>
                <w:kern w:val="0"/>
              </w:rPr>
            </w:pPr>
          </w:p>
        </w:tc>
      </w:tr>
      <w:tr w14:paraId="25EEE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5" w:type="pct"/>
            <w:vAlign w:val="center"/>
          </w:tcPr>
          <w:p w14:paraId="6374631D">
            <w:pPr>
              <w:jc w:val="center"/>
              <w:rPr>
                <w:kern w:val="0"/>
              </w:rPr>
            </w:pPr>
            <w:r>
              <w:rPr>
                <w:kern w:val="0"/>
              </w:rPr>
              <w:t>8</w:t>
            </w:r>
          </w:p>
        </w:tc>
        <w:tc>
          <w:tcPr>
            <w:tcW w:w="1323" w:type="pct"/>
            <w:vAlign w:val="center"/>
          </w:tcPr>
          <w:p w14:paraId="030B31B2">
            <w:pPr>
              <w:jc w:val="center"/>
              <w:rPr>
                <w:kern w:val="0"/>
              </w:rPr>
            </w:pPr>
            <w:r>
              <w:rPr>
                <w:rFonts w:hint="eastAsia"/>
                <w:kern w:val="0"/>
              </w:rPr>
              <w:t>环境</w:t>
            </w:r>
            <w:r>
              <w:rPr>
                <w:kern w:val="0"/>
              </w:rPr>
              <w:t>影响评价结论</w:t>
            </w:r>
          </w:p>
        </w:tc>
        <w:tc>
          <w:tcPr>
            <w:tcW w:w="2813" w:type="pct"/>
            <w:vAlign w:val="center"/>
          </w:tcPr>
          <w:p w14:paraId="5F7E2B31">
            <w:pPr>
              <w:jc w:val="center"/>
              <w:rPr>
                <w:kern w:val="0"/>
              </w:rPr>
            </w:pPr>
            <w:r>
              <w:rPr>
                <w:kern w:val="0"/>
              </w:rPr>
              <w:t>给出工程可行性结论</w:t>
            </w:r>
          </w:p>
        </w:tc>
        <w:tc>
          <w:tcPr>
            <w:tcW w:w="569" w:type="pct"/>
            <w:vAlign w:val="center"/>
          </w:tcPr>
          <w:p w14:paraId="064BD31E">
            <w:pPr>
              <w:jc w:val="center"/>
              <w:rPr>
                <w:kern w:val="0"/>
              </w:rPr>
            </w:pPr>
          </w:p>
        </w:tc>
      </w:tr>
    </w:tbl>
    <w:p w14:paraId="59469054">
      <w:pPr>
        <w:spacing w:line="260" w:lineRule="exact"/>
        <w:ind w:firstLine="420" w:firstLineChars="200"/>
        <w:rPr>
          <w:kern w:val="0"/>
          <w:szCs w:val="21"/>
        </w:rPr>
      </w:pPr>
      <w:r>
        <w:rPr>
          <w:kern w:val="0"/>
          <w:szCs w:val="21"/>
        </w:rPr>
        <w:t>注：打“√”的内容为评价重点。</w:t>
      </w:r>
    </w:p>
    <w:p w14:paraId="031BC1EF">
      <w:pPr>
        <w:pStyle w:val="3"/>
        <w:rPr>
          <w:kern w:val="0"/>
        </w:rPr>
      </w:pPr>
      <w:bookmarkStart w:id="43" w:name="_Toc198733149"/>
      <w:r>
        <w:rPr>
          <w:rFonts w:hint="eastAsia"/>
          <w:kern w:val="0"/>
        </w:rPr>
        <w:t>环境</w:t>
      </w:r>
      <w:r>
        <w:rPr>
          <w:kern w:val="0"/>
        </w:rPr>
        <w:t>功能区划</w:t>
      </w:r>
      <w:bookmarkEnd w:id="43"/>
    </w:p>
    <w:p w14:paraId="5AEB9203">
      <w:pPr>
        <w:pStyle w:val="85"/>
        <w:ind w:firstLine="480"/>
        <w:rPr>
          <w:kern w:val="0"/>
        </w:rPr>
      </w:pPr>
      <w:r>
        <w:rPr>
          <w:rFonts w:hint="eastAsia"/>
          <w:kern w:val="0"/>
        </w:rPr>
        <w:t>根据项目区域环境特征，</w:t>
      </w:r>
      <w:r>
        <w:rPr>
          <w:kern w:val="0"/>
        </w:rPr>
        <w:t>区域为</w:t>
      </w:r>
      <w:r>
        <w:rPr>
          <w:rFonts w:hint="eastAsia"/>
          <w:kern w:val="0"/>
        </w:rPr>
        <w:t>环境空气二类功能区。</w:t>
      </w:r>
    </w:p>
    <w:p w14:paraId="1A4D7308">
      <w:pPr>
        <w:pStyle w:val="85"/>
        <w:ind w:firstLine="480"/>
        <w:rPr>
          <w:kern w:val="0"/>
        </w:rPr>
      </w:pPr>
      <w:r>
        <w:rPr>
          <w:rFonts w:hint="eastAsia"/>
          <w:kern w:val="0"/>
        </w:rPr>
        <w:t>根据《关于调整公布《河北省水功能区划》的通知》（冀水资〔2017〕127号），本项目潮河段属于潮河承德保留区</w:t>
      </w:r>
      <w:r>
        <w:rPr>
          <w:kern w:val="0"/>
        </w:rPr>
        <w:t>，</w:t>
      </w:r>
      <w:bookmarkStart w:id="44" w:name="OLE_LINK8"/>
      <w:r>
        <w:rPr>
          <w:kern w:val="0"/>
        </w:rPr>
        <w:t>执行《地表水环境质量标准》（GB3838-2002）</w:t>
      </w:r>
      <w:r>
        <w:rPr>
          <w:rFonts w:hint="eastAsia"/>
          <w:kern w:val="0"/>
        </w:rPr>
        <w:t>Ⅱ</w:t>
      </w:r>
      <w:r>
        <w:rPr>
          <w:kern w:val="0"/>
        </w:rPr>
        <w:t>类标准</w:t>
      </w:r>
      <w:r>
        <w:rPr>
          <w:rFonts w:hint="eastAsia"/>
          <w:kern w:val="0"/>
        </w:rPr>
        <w:t>；根据《密云水库上游潮白河流域水源涵养区横向生态保护补偿协议（2021-2025年）》</w:t>
      </w:r>
      <w:r>
        <w:rPr>
          <w:kern w:val="0"/>
        </w:rPr>
        <w:t>，</w:t>
      </w:r>
      <w:r>
        <w:rPr>
          <w:rFonts w:hint="eastAsia"/>
          <w:kern w:val="0"/>
        </w:rPr>
        <w:t>总氮</w:t>
      </w:r>
      <w:r>
        <w:rPr>
          <w:kern w:val="0"/>
        </w:rPr>
        <w:t>目标值为＜</w:t>
      </w:r>
      <w:r>
        <w:rPr>
          <w:rFonts w:hint="eastAsia"/>
          <w:kern w:val="0"/>
        </w:rPr>
        <w:t>6</w:t>
      </w:r>
      <w:r>
        <w:rPr>
          <w:kern w:val="0"/>
        </w:rPr>
        <w:t>.56mg/L</w:t>
      </w:r>
      <w:r>
        <w:rPr>
          <w:rFonts w:hint="eastAsia"/>
          <w:kern w:val="0"/>
        </w:rPr>
        <w:t>。</w:t>
      </w:r>
      <w:bookmarkEnd w:id="44"/>
    </w:p>
    <w:p w14:paraId="2842C0A4">
      <w:pPr>
        <w:pStyle w:val="85"/>
        <w:ind w:firstLine="480"/>
        <w:rPr>
          <w:kern w:val="0"/>
        </w:rPr>
      </w:pPr>
      <w:r>
        <w:rPr>
          <w:rFonts w:hint="eastAsia"/>
          <w:kern w:val="0"/>
        </w:rPr>
        <w:t>区域地下水主要适用于集中式生活饮用水水源及工、农业用水，根据《地下水质量标准》</w:t>
      </w:r>
      <w:r>
        <w:rPr>
          <w:kern w:val="0"/>
        </w:rPr>
        <w:t>(GB/T14848-2017)</w:t>
      </w:r>
      <w:r>
        <w:rPr>
          <w:rFonts w:hint="eastAsia"/>
          <w:kern w:val="0"/>
        </w:rPr>
        <w:t>，区域地下水质量为Ⅲ类。</w:t>
      </w:r>
    </w:p>
    <w:p w14:paraId="7D9C07DD">
      <w:pPr>
        <w:pStyle w:val="85"/>
        <w:ind w:firstLine="480"/>
        <w:rPr>
          <w:kern w:val="0"/>
        </w:rPr>
      </w:pPr>
      <w:r>
        <w:rPr>
          <w:rFonts w:hint="eastAsia"/>
          <w:kern w:val="0"/>
        </w:rPr>
        <w:t>项目区域声环境属</w:t>
      </w:r>
      <w:r>
        <w:rPr>
          <w:kern w:val="0"/>
        </w:rPr>
        <w:t>1</w:t>
      </w:r>
      <w:r>
        <w:rPr>
          <w:rFonts w:hint="eastAsia"/>
          <w:kern w:val="0"/>
        </w:rPr>
        <w:t>类声环境功能区，声环境执行《声环境质量标准》（GB3096-2008）中</w:t>
      </w:r>
      <w:r>
        <w:rPr>
          <w:kern w:val="0"/>
        </w:rPr>
        <w:t>1</w:t>
      </w:r>
      <w:r>
        <w:rPr>
          <w:rFonts w:hint="eastAsia"/>
          <w:kern w:val="0"/>
        </w:rPr>
        <w:t>类标准。</w:t>
      </w:r>
    </w:p>
    <w:p w14:paraId="58C227DC">
      <w:pPr>
        <w:pStyle w:val="85"/>
        <w:ind w:firstLine="480"/>
        <w:rPr>
          <w:kern w:val="0"/>
        </w:rPr>
      </w:pPr>
      <w:r>
        <w:rPr>
          <w:rFonts w:hint="eastAsia"/>
          <w:kern w:val="0"/>
        </w:rPr>
        <w:t>项目所在地区属于《全国生态功能区划》（2015年）中的京津冀北部水源涵养重要区（编号I-01-06），属于《河北省生态功能区划》中的燕山山地中部生物多样性、水资源保护服务生态功能区（编号Ⅱ1-3），属于《承德市生态功能区划》中的冀北及燕山山地生态区—燕山山地南部林果生态亚区—白草洼生物多样性保护、水源涵养功能区。</w:t>
      </w:r>
    </w:p>
    <w:p w14:paraId="26FE56B9">
      <w:pPr>
        <w:pStyle w:val="3"/>
        <w:rPr>
          <w:kern w:val="0"/>
        </w:rPr>
      </w:pPr>
      <w:bookmarkStart w:id="45" w:name="_Toc198733150"/>
      <w:r>
        <w:rPr>
          <w:rFonts w:hint="eastAsia"/>
          <w:kern w:val="0"/>
        </w:rPr>
        <w:t>评价</w:t>
      </w:r>
      <w:r>
        <w:rPr>
          <w:kern w:val="0"/>
        </w:rPr>
        <w:t>标准</w:t>
      </w:r>
      <w:bookmarkEnd w:id="45"/>
    </w:p>
    <w:p w14:paraId="0651B2A1">
      <w:pPr>
        <w:pStyle w:val="4"/>
        <w:rPr>
          <w:kern w:val="0"/>
        </w:rPr>
      </w:pPr>
      <w:r>
        <w:rPr>
          <w:rFonts w:hint="eastAsia"/>
          <w:kern w:val="0"/>
        </w:rPr>
        <w:t>环境</w:t>
      </w:r>
      <w:r>
        <w:rPr>
          <w:kern w:val="0"/>
        </w:rPr>
        <w:t>质量标准</w:t>
      </w:r>
    </w:p>
    <w:p w14:paraId="073E7F8B">
      <w:pPr>
        <w:pStyle w:val="85"/>
        <w:ind w:firstLine="480"/>
        <w:rPr>
          <w:kern w:val="0"/>
        </w:rPr>
      </w:pPr>
      <w:r>
        <w:rPr>
          <w:rFonts w:hint="eastAsia"/>
          <w:kern w:val="0"/>
        </w:rPr>
        <w:t>本次环境影响评价拟执行如下标准：</w:t>
      </w:r>
    </w:p>
    <w:p w14:paraId="03AF9BB1">
      <w:pPr>
        <w:pStyle w:val="85"/>
        <w:ind w:firstLine="480"/>
        <w:rPr>
          <w:kern w:val="0"/>
        </w:rPr>
      </w:pPr>
      <w:r>
        <w:rPr>
          <w:rFonts w:hint="eastAsia"/>
          <w:kern w:val="0"/>
        </w:rPr>
        <w:t>（1）</w:t>
      </w:r>
      <w:r>
        <w:rPr>
          <w:kern w:val="0"/>
        </w:rPr>
        <w:t>环境空气：</w:t>
      </w:r>
      <w:r>
        <w:rPr>
          <w:rFonts w:hint="eastAsia"/>
          <w:kern w:val="0"/>
        </w:rPr>
        <w:t>本项目</w:t>
      </w:r>
      <w:r>
        <w:rPr>
          <w:kern w:val="0"/>
        </w:rPr>
        <w:t>区域</w:t>
      </w:r>
      <w:r>
        <w:rPr>
          <w:rFonts w:hint="eastAsia"/>
          <w:kern w:val="0"/>
        </w:rPr>
        <w:t>执行《环境空气质量标准》</w:t>
      </w:r>
      <w:r>
        <w:rPr>
          <w:kern w:val="0"/>
        </w:rPr>
        <w:t>(GB3095-2012)</w:t>
      </w:r>
      <w:r>
        <w:rPr>
          <w:rFonts w:hint="eastAsia"/>
          <w:kern w:val="0"/>
        </w:rPr>
        <w:t>及其修改单二级标准。</w:t>
      </w:r>
    </w:p>
    <w:p w14:paraId="1C99311B">
      <w:pPr>
        <w:pStyle w:val="85"/>
        <w:ind w:firstLine="480"/>
        <w:rPr>
          <w:kern w:val="0"/>
        </w:rPr>
      </w:pPr>
      <w:r>
        <w:rPr>
          <w:rFonts w:hint="eastAsia"/>
          <w:kern w:val="0"/>
        </w:rPr>
        <w:t>（</w:t>
      </w:r>
      <w:r>
        <w:rPr>
          <w:kern w:val="0"/>
        </w:rPr>
        <w:t>2</w:t>
      </w:r>
      <w:r>
        <w:rPr>
          <w:rFonts w:hint="eastAsia"/>
          <w:kern w:val="0"/>
        </w:rPr>
        <w:t>）</w:t>
      </w:r>
      <w:r>
        <w:rPr>
          <w:kern w:val="0"/>
        </w:rPr>
        <w:t>声环境：</w:t>
      </w:r>
      <w:r>
        <w:rPr>
          <w:rFonts w:hint="eastAsia"/>
          <w:kern w:val="0"/>
        </w:rPr>
        <w:t>区域声环境执行《声环境质量标准》</w:t>
      </w:r>
      <w:r>
        <w:rPr>
          <w:kern w:val="0"/>
        </w:rPr>
        <w:t>(GB3096-2008)1</w:t>
      </w:r>
      <w:r>
        <w:rPr>
          <w:rFonts w:hint="eastAsia"/>
          <w:kern w:val="0"/>
        </w:rPr>
        <w:t>类区标准。</w:t>
      </w:r>
    </w:p>
    <w:p w14:paraId="3235B612">
      <w:pPr>
        <w:pStyle w:val="85"/>
        <w:ind w:firstLine="480"/>
        <w:rPr>
          <w:kern w:val="0"/>
        </w:rPr>
      </w:pPr>
      <w:r>
        <w:rPr>
          <w:rFonts w:hint="eastAsia"/>
          <w:kern w:val="0"/>
        </w:rPr>
        <w:t>（</w:t>
      </w:r>
      <w:r>
        <w:rPr>
          <w:kern w:val="0"/>
        </w:rPr>
        <w:t>3</w:t>
      </w:r>
      <w:r>
        <w:rPr>
          <w:rFonts w:hint="eastAsia"/>
          <w:kern w:val="0"/>
        </w:rPr>
        <w:t>）地表水</w:t>
      </w:r>
      <w:r>
        <w:rPr>
          <w:kern w:val="0"/>
        </w:rPr>
        <w:t>环境：</w:t>
      </w:r>
      <w:r>
        <w:rPr>
          <w:rFonts w:hint="eastAsia"/>
          <w:kern w:val="0"/>
        </w:rPr>
        <w:t>潮河执行《地表水环境质量标准》（GB3838-2002）Ⅱ类标准；根据《密云水库上游潮白河流域水源涵养区横向生态保护补偿协议（2021-2025年）》，总氮目标值为＜6.56mg/L。</w:t>
      </w:r>
    </w:p>
    <w:p w14:paraId="2B3F5B3F">
      <w:pPr>
        <w:pStyle w:val="85"/>
        <w:ind w:firstLine="480"/>
        <w:rPr>
          <w:kern w:val="0"/>
        </w:rPr>
      </w:pPr>
      <w:r>
        <w:rPr>
          <w:rFonts w:hint="eastAsia"/>
          <w:kern w:val="0"/>
        </w:rPr>
        <w:t>（4）地下水</w:t>
      </w:r>
      <w:r>
        <w:rPr>
          <w:kern w:val="0"/>
        </w:rPr>
        <w:t>环境</w:t>
      </w:r>
      <w:r>
        <w:rPr>
          <w:rFonts w:hint="eastAsia"/>
          <w:kern w:val="0"/>
        </w:rPr>
        <w:t>；区域地下水执行《地下水质量标准》</w:t>
      </w:r>
      <w:r>
        <w:rPr>
          <w:kern w:val="0"/>
        </w:rPr>
        <w:t>(GB/T14848-2017)</w:t>
      </w:r>
      <w:r>
        <w:rPr>
          <w:rFonts w:hint="eastAsia"/>
          <w:kern w:val="0"/>
        </w:rPr>
        <w:t>Ⅲ类标准</w:t>
      </w:r>
      <w:r>
        <w:rPr>
          <w:kern w:val="0"/>
        </w:rPr>
        <w:t>。</w:t>
      </w:r>
    </w:p>
    <w:p w14:paraId="1A705161">
      <w:pPr>
        <w:pStyle w:val="4"/>
        <w:rPr>
          <w:kern w:val="0"/>
        </w:rPr>
      </w:pPr>
      <w:r>
        <w:rPr>
          <w:rFonts w:hint="eastAsia"/>
          <w:kern w:val="0"/>
        </w:rPr>
        <w:t>污染物</w:t>
      </w:r>
      <w:r>
        <w:rPr>
          <w:kern w:val="0"/>
        </w:rPr>
        <w:t>排放标准</w:t>
      </w:r>
    </w:p>
    <w:p w14:paraId="61EEBCF8">
      <w:pPr>
        <w:pStyle w:val="85"/>
        <w:ind w:firstLine="480"/>
        <w:rPr>
          <w:kern w:val="0"/>
        </w:rPr>
      </w:pPr>
      <w:r>
        <w:rPr>
          <w:rFonts w:hint="eastAsia"/>
          <w:kern w:val="0"/>
        </w:rPr>
        <w:t>（1）废气：施工期大气污染物排放执行《施工场地扬尘排放标准》</w:t>
      </w:r>
      <w:r>
        <w:rPr>
          <w:kern w:val="0"/>
        </w:rPr>
        <w:t>(DB13/2934-2019)</w:t>
      </w:r>
      <w:r>
        <w:rPr>
          <w:rFonts w:hint="eastAsia"/>
          <w:kern w:val="0"/>
        </w:rPr>
        <w:t>表</w:t>
      </w:r>
      <w:r>
        <w:rPr>
          <w:kern w:val="0"/>
        </w:rPr>
        <w:t>1</w:t>
      </w:r>
      <w:r>
        <w:rPr>
          <w:rFonts w:hint="eastAsia"/>
          <w:kern w:val="0"/>
        </w:rPr>
        <w:t>排放限制要求；</w:t>
      </w:r>
    </w:p>
    <w:p w14:paraId="1ED461EB">
      <w:pPr>
        <w:pStyle w:val="85"/>
        <w:ind w:firstLine="480"/>
        <w:rPr>
          <w:kern w:val="0"/>
        </w:rPr>
      </w:pPr>
      <w:r>
        <w:rPr>
          <w:rFonts w:hint="eastAsia"/>
          <w:kern w:val="0"/>
        </w:rPr>
        <w:t>（</w:t>
      </w:r>
      <w:r>
        <w:rPr>
          <w:kern w:val="0"/>
        </w:rPr>
        <w:t>2</w:t>
      </w:r>
      <w:r>
        <w:rPr>
          <w:rFonts w:hint="eastAsia"/>
          <w:kern w:val="0"/>
        </w:rPr>
        <w:t>）厂界噪声：施工期场界环境噪声执行《建筑施工场界环境噪声排放标准》</w:t>
      </w:r>
      <w:r>
        <w:rPr>
          <w:kern w:val="0"/>
        </w:rPr>
        <w:t>(GB12523-2011)</w:t>
      </w:r>
      <w:r>
        <w:rPr>
          <w:rFonts w:hint="eastAsia"/>
          <w:kern w:val="0"/>
        </w:rPr>
        <w:t>标准限值，运营期场界噪声执行《工业企业厂界环境噪声排放标准》</w:t>
      </w:r>
      <w:r>
        <w:rPr>
          <w:kern w:val="0"/>
        </w:rPr>
        <w:t>(GB12348-2008)1</w:t>
      </w:r>
      <w:r>
        <w:rPr>
          <w:rFonts w:hint="eastAsia"/>
          <w:kern w:val="0"/>
        </w:rPr>
        <w:t>类区标准。</w:t>
      </w:r>
    </w:p>
    <w:p w14:paraId="79DF0848">
      <w:pPr>
        <w:pStyle w:val="4"/>
        <w:rPr>
          <w:kern w:val="0"/>
        </w:rPr>
      </w:pPr>
      <w:r>
        <w:rPr>
          <w:rFonts w:hint="eastAsia"/>
          <w:kern w:val="0"/>
        </w:rPr>
        <w:t>控制</w:t>
      </w:r>
      <w:r>
        <w:rPr>
          <w:kern w:val="0"/>
        </w:rPr>
        <w:t>标准</w:t>
      </w:r>
    </w:p>
    <w:p w14:paraId="7C4DB3EE">
      <w:pPr>
        <w:pStyle w:val="85"/>
        <w:ind w:firstLine="480"/>
        <w:rPr>
          <w:kern w:val="0"/>
        </w:rPr>
      </w:pPr>
      <w:r>
        <w:rPr>
          <w:rFonts w:hint="eastAsia"/>
          <w:kern w:val="0"/>
        </w:rPr>
        <w:t>固体废物：执行《一般工业固体废物贮存和填埋污染控制标准》</w:t>
      </w:r>
      <w:r>
        <w:rPr>
          <w:kern w:val="0"/>
        </w:rPr>
        <w:t>(GB18599-2020)</w:t>
      </w:r>
      <w:r>
        <w:rPr>
          <w:rFonts w:hint="eastAsia"/>
          <w:kern w:val="0"/>
        </w:rPr>
        <w:t>。</w:t>
      </w:r>
    </w:p>
    <w:p w14:paraId="4BFCA261">
      <w:pPr>
        <w:pStyle w:val="85"/>
        <w:ind w:firstLine="480"/>
        <w:rPr>
          <w:kern w:val="0"/>
        </w:rPr>
      </w:pPr>
      <w:r>
        <w:rPr>
          <w:rFonts w:hint="eastAsia"/>
          <w:kern w:val="0"/>
        </w:rPr>
        <w:t>各标准值见</w:t>
      </w:r>
      <w:r>
        <w:rPr>
          <w:kern w:val="0"/>
        </w:rPr>
        <w:fldChar w:fldCharType="begin"/>
      </w:r>
      <w:r>
        <w:rPr>
          <w:kern w:val="0"/>
        </w:rPr>
        <w:instrText xml:space="preserve"> REF _Ref470544516 \h  \* MERGEFORMAT </w:instrText>
      </w:r>
      <w:r>
        <w:rPr>
          <w:kern w:val="0"/>
        </w:rPr>
        <w:fldChar w:fldCharType="separate"/>
      </w:r>
      <w:r>
        <w:rPr>
          <w:rFonts w:hint="eastAsia" w:eastAsia="黑体"/>
          <w:bCs/>
          <w:kern w:val="0"/>
          <w:szCs w:val="32"/>
        </w:rPr>
        <w:t>表</w:t>
      </w:r>
      <w:r>
        <w:rPr>
          <w:rFonts w:eastAsia="黑体"/>
          <w:bCs/>
          <w:kern w:val="0"/>
          <w:szCs w:val="32"/>
        </w:rPr>
        <w:t>1</w:t>
      </w:r>
      <w:r>
        <w:rPr>
          <w:rFonts w:eastAsia="黑体"/>
          <w:bCs/>
          <w:kern w:val="0"/>
          <w:szCs w:val="32"/>
        </w:rPr>
        <w:noBreakHyphen/>
      </w:r>
      <w:r>
        <w:rPr>
          <w:rFonts w:eastAsia="黑体"/>
          <w:bCs/>
          <w:kern w:val="0"/>
          <w:szCs w:val="32"/>
        </w:rPr>
        <w:t>14</w:t>
      </w:r>
      <w:r>
        <w:rPr>
          <w:kern w:val="0"/>
        </w:rPr>
        <w:fldChar w:fldCharType="end"/>
      </w:r>
      <w:r>
        <w:rPr>
          <w:kern w:val="0"/>
        </w:rPr>
        <w:t>~</w:t>
      </w:r>
      <w:r>
        <w:rPr>
          <w:kern w:val="0"/>
        </w:rPr>
        <w:fldChar w:fldCharType="begin"/>
      </w:r>
      <w:r>
        <w:rPr>
          <w:kern w:val="0"/>
        </w:rPr>
        <w:instrText xml:space="preserve"> REF _Ref77760446 \h </w:instrText>
      </w:r>
      <w:r>
        <w:rPr>
          <w:kern w:val="0"/>
        </w:rPr>
        <w:fldChar w:fldCharType="separate"/>
      </w:r>
      <w:r>
        <w:rPr>
          <w:rFonts w:hint="eastAsia" w:eastAsia="黑体"/>
          <w:kern w:val="0"/>
        </w:rPr>
        <w:t>表</w:t>
      </w:r>
      <w:r>
        <w:rPr>
          <w:rFonts w:eastAsia="黑体"/>
          <w:kern w:val="0"/>
        </w:rPr>
        <w:t>1</w:t>
      </w:r>
      <w:r>
        <w:rPr>
          <w:rFonts w:eastAsia="黑体"/>
          <w:kern w:val="0"/>
        </w:rPr>
        <w:noBreakHyphen/>
      </w:r>
      <w:r>
        <w:rPr>
          <w:rFonts w:eastAsia="黑体"/>
          <w:kern w:val="0"/>
        </w:rPr>
        <w:t>16</w:t>
      </w:r>
      <w:r>
        <w:rPr>
          <w:kern w:val="0"/>
        </w:rPr>
        <w:fldChar w:fldCharType="end"/>
      </w:r>
      <w:r>
        <w:rPr>
          <w:rFonts w:hint="eastAsia"/>
          <w:kern w:val="0"/>
        </w:rPr>
        <w:t>。</w:t>
      </w:r>
    </w:p>
    <w:p w14:paraId="35EE32E3">
      <w:pPr>
        <w:spacing w:line="500" w:lineRule="exact"/>
        <w:jc w:val="center"/>
        <w:rPr>
          <w:rFonts w:eastAsia="黑体"/>
          <w:kern w:val="0"/>
          <w:sz w:val="24"/>
        </w:rPr>
      </w:pPr>
      <w:bookmarkStart w:id="46" w:name="_Ref470544516"/>
      <w:bookmarkStart w:id="47" w:name="_Ref74149353"/>
      <w:bookmarkStart w:id="48" w:name="_Toc131047465"/>
      <w:r>
        <w:rPr>
          <w:rFonts w:hint="eastAsia" w:eastAsia="黑体"/>
          <w:bCs/>
          <w:kern w:val="0"/>
          <w:sz w:val="24"/>
          <w:szCs w:val="32"/>
        </w:rPr>
        <w:t>表</w:t>
      </w:r>
      <w:r>
        <w:rPr>
          <w:rFonts w:eastAsia="黑体"/>
          <w:bCs/>
          <w:kern w:val="0"/>
          <w:sz w:val="24"/>
          <w:szCs w:val="32"/>
        </w:rPr>
        <w:fldChar w:fldCharType="begin"/>
      </w:r>
      <w:r>
        <w:rPr>
          <w:rFonts w:eastAsia="黑体"/>
          <w:bCs/>
          <w:kern w:val="0"/>
          <w:sz w:val="24"/>
          <w:szCs w:val="32"/>
        </w:rPr>
        <w:instrText xml:space="preserve"> </w:instrText>
      </w:r>
      <w:r>
        <w:rPr>
          <w:rFonts w:hint="eastAsia" w:eastAsia="黑体"/>
          <w:bCs/>
          <w:kern w:val="0"/>
          <w:sz w:val="24"/>
          <w:szCs w:val="32"/>
        </w:rPr>
        <w:instrText xml:space="preserve">STYLEREF 1 \s</w:instrText>
      </w:r>
      <w:r>
        <w:rPr>
          <w:rFonts w:eastAsia="黑体"/>
          <w:bCs/>
          <w:kern w:val="0"/>
          <w:sz w:val="24"/>
          <w:szCs w:val="32"/>
        </w:rPr>
        <w:instrText xml:space="preserve"> </w:instrText>
      </w:r>
      <w:r>
        <w:rPr>
          <w:rFonts w:eastAsia="黑体"/>
          <w:bCs/>
          <w:kern w:val="0"/>
          <w:sz w:val="24"/>
          <w:szCs w:val="32"/>
        </w:rPr>
        <w:fldChar w:fldCharType="separate"/>
      </w:r>
      <w:r>
        <w:rPr>
          <w:rFonts w:eastAsia="黑体"/>
          <w:bCs/>
          <w:kern w:val="0"/>
          <w:sz w:val="24"/>
          <w:szCs w:val="32"/>
        </w:rPr>
        <w:t>1</w:t>
      </w:r>
      <w:r>
        <w:rPr>
          <w:rFonts w:eastAsia="黑体"/>
          <w:bCs/>
          <w:kern w:val="0"/>
          <w:sz w:val="24"/>
          <w:szCs w:val="32"/>
        </w:rPr>
        <w:fldChar w:fldCharType="end"/>
      </w:r>
      <w:r>
        <w:rPr>
          <w:rFonts w:eastAsia="黑体"/>
          <w:bCs/>
          <w:kern w:val="0"/>
          <w:sz w:val="24"/>
          <w:szCs w:val="32"/>
        </w:rPr>
        <w:noBreakHyphen/>
      </w:r>
      <w:r>
        <w:rPr>
          <w:rFonts w:eastAsia="黑体"/>
          <w:bCs/>
          <w:kern w:val="0"/>
          <w:sz w:val="24"/>
          <w:szCs w:val="32"/>
        </w:rPr>
        <w:fldChar w:fldCharType="begin"/>
      </w:r>
      <w:r>
        <w:rPr>
          <w:rFonts w:eastAsia="黑体"/>
          <w:bCs/>
          <w:kern w:val="0"/>
          <w:sz w:val="24"/>
          <w:szCs w:val="32"/>
        </w:rPr>
        <w:instrText xml:space="preserve"> </w:instrText>
      </w:r>
      <w:r>
        <w:rPr>
          <w:rFonts w:hint="eastAsia" w:eastAsia="黑体"/>
          <w:bCs/>
          <w:kern w:val="0"/>
          <w:sz w:val="24"/>
          <w:szCs w:val="32"/>
        </w:rPr>
        <w:instrText xml:space="preserve">SEQ 表 \* ARABIC \s 1</w:instrText>
      </w:r>
      <w:r>
        <w:rPr>
          <w:rFonts w:eastAsia="黑体"/>
          <w:bCs/>
          <w:kern w:val="0"/>
          <w:sz w:val="24"/>
          <w:szCs w:val="32"/>
        </w:rPr>
        <w:instrText xml:space="preserve"> </w:instrText>
      </w:r>
      <w:r>
        <w:rPr>
          <w:rFonts w:eastAsia="黑体"/>
          <w:bCs/>
          <w:kern w:val="0"/>
          <w:sz w:val="24"/>
          <w:szCs w:val="32"/>
        </w:rPr>
        <w:fldChar w:fldCharType="separate"/>
      </w:r>
      <w:r>
        <w:rPr>
          <w:rFonts w:eastAsia="黑体"/>
          <w:bCs/>
          <w:kern w:val="0"/>
          <w:sz w:val="24"/>
          <w:szCs w:val="32"/>
        </w:rPr>
        <w:t>14</w:t>
      </w:r>
      <w:r>
        <w:rPr>
          <w:rFonts w:eastAsia="黑体"/>
          <w:bCs/>
          <w:kern w:val="0"/>
          <w:sz w:val="24"/>
          <w:szCs w:val="32"/>
        </w:rPr>
        <w:fldChar w:fldCharType="end"/>
      </w:r>
      <w:bookmarkEnd w:id="46"/>
      <w:r>
        <w:rPr>
          <w:rFonts w:eastAsia="黑体"/>
          <w:kern w:val="0"/>
          <w:sz w:val="24"/>
        </w:rPr>
        <w:t xml:space="preserve">  环境质量标准</w:t>
      </w:r>
      <w:bookmarkEnd w:id="47"/>
      <w:bookmarkEnd w:id="48"/>
    </w:p>
    <w:tbl>
      <w:tblPr>
        <w:tblStyle w:val="6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44"/>
        <w:gridCol w:w="875"/>
        <w:gridCol w:w="1376"/>
        <w:gridCol w:w="2260"/>
        <w:gridCol w:w="3067"/>
      </w:tblGrid>
      <w:tr w14:paraId="4A152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7" w:type="pct"/>
            <w:vAlign w:val="center"/>
          </w:tcPr>
          <w:p w14:paraId="0E230B87">
            <w:pPr>
              <w:spacing w:line="252" w:lineRule="exact"/>
              <w:jc w:val="center"/>
              <w:rPr>
                <w:kern w:val="0"/>
                <w:szCs w:val="21"/>
              </w:rPr>
            </w:pPr>
            <w:r>
              <w:rPr>
                <w:kern w:val="0"/>
                <w:szCs w:val="21"/>
              </w:rPr>
              <w:t>环境要素</w:t>
            </w:r>
          </w:p>
        </w:tc>
        <w:tc>
          <w:tcPr>
            <w:tcW w:w="526" w:type="pct"/>
            <w:vAlign w:val="center"/>
          </w:tcPr>
          <w:p w14:paraId="717E0472">
            <w:pPr>
              <w:spacing w:line="252" w:lineRule="exact"/>
              <w:jc w:val="center"/>
              <w:rPr>
                <w:kern w:val="0"/>
                <w:szCs w:val="21"/>
              </w:rPr>
            </w:pPr>
            <w:r>
              <w:rPr>
                <w:kern w:val="0"/>
                <w:szCs w:val="21"/>
              </w:rPr>
              <w:t>污染物</w:t>
            </w:r>
          </w:p>
        </w:tc>
        <w:tc>
          <w:tcPr>
            <w:tcW w:w="827" w:type="pct"/>
            <w:vAlign w:val="center"/>
          </w:tcPr>
          <w:p w14:paraId="0A7D716B">
            <w:pPr>
              <w:spacing w:line="252" w:lineRule="exact"/>
              <w:jc w:val="center"/>
              <w:rPr>
                <w:kern w:val="0"/>
                <w:szCs w:val="21"/>
              </w:rPr>
            </w:pPr>
            <w:r>
              <w:rPr>
                <w:kern w:val="0"/>
                <w:szCs w:val="21"/>
              </w:rPr>
              <w:t>取值时间</w:t>
            </w:r>
          </w:p>
        </w:tc>
        <w:tc>
          <w:tcPr>
            <w:tcW w:w="1358" w:type="pct"/>
            <w:vAlign w:val="center"/>
          </w:tcPr>
          <w:p w14:paraId="0974CDD9">
            <w:pPr>
              <w:spacing w:line="252" w:lineRule="exact"/>
              <w:jc w:val="center"/>
              <w:rPr>
                <w:kern w:val="0"/>
                <w:szCs w:val="21"/>
              </w:rPr>
            </w:pPr>
            <w:r>
              <w:rPr>
                <w:rFonts w:hint="eastAsia"/>
                <w:kern w:val="0"/>
                <w:szCs w:val="21"/>
              </w:rPr>
              <w:t>二级</w:t>
            </w:r>
            <w:r>
              <w:rPr>
                <w:kern w:val="0"/>
                <w:szCs w:val="21"/>
              </w:rPr>
              <w:t>标准</w:t>
            </w:r>
          </w:p>
        </w:tc>
        <w:tc>
          <w:tcPr>
            <w:tcW w:w="1842" w:type="pct"/>
            <w:vAlign w:val="center"/>
          </w:tcPr>
          <w:p w14:paraId="6109A53E">
            <w:pPr>
              <w:spacing w:line="252" w:lineRule="exact"/>
              <w:jc w:val="center"/>
              <w:rPr>
                <w:kern w:val="0"/>
                <w:szCs w:val="21"/>
              </w:rPr>
            </w:pPr>
            <w:r>
              <w:rPr>
                <w:kern w:val="0"/>
                <w:szCs w:val="21"/>
              </w:rPr>
              <w:t>标准来源</w:t>
            </w:r>
          </w:p>
        </w:tc>
      </w:tr>
      <w:tr w14:paraId="67175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7" w:type="pct"/>
            <w:vMerge w:val="restart"/>
            <w:vAlign w:val="center"/>
          </w:tcPr>
          <w:p w14:paraId="29007E82">
            <w:pPr>
              <w:spacing w:line="252" w:lineRule="exact"/>
              <w:jc w:val="center"/>
              <w:rPr>
                <w:kern w:val="0"/>
                <w:szCs w:val="21"/>
              </w:rPr>
            </w:pPr>
            <w:r>
              <w:rPr>
                <w:rFonts w:hint="eastAsia"/>
                <w:kern w:val="0"/>
                <w:szCs w:val="21"/>
              </w:rPr>
              <w:t>环境空气</w:t>
            </w:r>
          </w:p>
        </w:tc>
        <w:tc>
          <w:tcPr>
            <w:tcW w:w="526" w:type="pct"/>
            <w:vMerge w:val="restart"/>
            <w:vAlign w:val="center"/>
          </w:tcPr>
          <w:p w14:paraId="1301F980">
            <w:pPr>
              <w:spacing w:line="252" w:lineRule="exact"/>
              <w:jc w:val="center"/>
              <w:rPr>
                <w:kern w:val="0"/>
                <w:szCs w:val="21"/>
                <w:vertAlign w:val="subscript"/>
              </w:rPr>
            </w:pPr>
            <w:r>
              <w:rPr>
                <w:rFonts w:hint="eastAsia"/>
                <w:kern w:val="0"/>
                <w:szCs w:val="21"/>
              </w:rPr>
              <w:t>TSP</w:t>
            </w:r>
          </w:p>
        </w:tc>
        <w:tc>
          <w:tcPr>
            <w:tcW w:w="827" w:type="pct"/>
            <w:vAlign w:val="center"/>
          </w:tcPr>
          <w:p w14:paraId="4DCD66C9">
            <w:pPr>
              <w:spacing w:line="252" w:lineRule="exact"/>
              <w:jc w:val="center"/>
              <w:rPr>
                <w:kern w:val="0"/>
                <w:szCs w:val="21"/>
              </w:rPr>
            </w:pPr>
            <w:r>
              <w:rPr>
                <w:rFonts w:hint="eastAsia"/>
                <w:kern w:val="0"/>
                <w:szCs w:val="21"/>
              </w:rPr>
              <w:t>年均值</w:t>
            </w:r>
          </w:p>
        </w:tc>
        <w:tc>
          <w:tcPr>
            <w:tcW w:w="1358" w:type="pct"/>
            <w:vAlign w:val="center"/>
          </w:tcPr>
          <w:p w14:paraId="5BED0B34">
            <w:pPr>
              <w:spacing w:line="252" w:lineRule="exact"/>
              <w:jc w:val="center"/>
              <w:rPr>
                <w:kern w:val="0"/>
                <w:szCs w:val="21"/>
              </w:rPr>
            </w:pPr>
            <w:r>
              <w:rPr>
                <w:kern w:val="0"/>
                <w:szCs w:val="21"/>
              </w:rPr>
              <w:t>200</w:t>
            </w:r>
            <w:r>
              <w:rPr>
                <w:spacing w:val="8"/>
                <w:kern w:val="0"/>
              </w:rPr>
              <w:t>μg</w:t>
            </w:r>
            <w:r>
              <w:rPr>
                <w:kern w:val="0"/>
                <w:szCs w:val="21"/>
              </w:rPr>
              <w:t>/m</w:t>
            </w:r>
            <w:r>
              <w:rPr>
                <w:kern w:val="0"/>
                <w:szCs w:val="21"/>
                <w:vertAlign w:val="superscript"/>
              </w:rPr>
              <w:t>3</w:t>
            </w:r>
          </w:p>
        </w:tc>
        <w:tc>
          <w:tcPr>
            <w:tcW w:w="1842" w:type="pct"/>
            <w:vMerge w:val="restart"/>
            <w:vAlign w:val="center"/>
          </w:tcPr>
          <w:p w14:paraId="2FD3B018">
            <w:pPr>
              <w:spacing w:line="252" w:lineRule="exact"/>
              <w:jc w:val="center"/>
              <w:rPr>
                <w:kern w:val="0"/>
                <w:szCs w:val="21"/>
              </w:rPr>
            </w:pPr>
            <w:r>
              <w:rPr>
                <w:kern w:val="0"/>
                <w:szCs w:val="21"/>
              </w:rPr>
              <w:t>《环境空气质量标准》（GB3095-2012）</w:t>
            </w:r>
          </w:p>
        </w:tc>
      </w:tr>
      <w:tr w14:paraId="4770A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7" w:type="pct"/>
            <w:vMerge w:val="continue"/>
            <w:vAlign w:val="center"/>
          </w:tcPr>
          <w:p w14:paraId="05C869A9">
            <w:pPr>
              <w:spacing w:line="252" w:lineRule="exact"/>
              <w:jc w:val="center"/>
              <w:rPr>
                <w:kern w:val="0"/>
                <w:szCs w:val="21"/>
              </w:rPr>
            </w:pPr>
          </w:p>
        </w:tc>
        <w:tc>
          <w:tcPr>
            <w:tcW w:w="526" w:type="pct"/>
            <w:vMerge w:val="continue"/>
            <w:vAlign w:val="center"/>
          </w:tcPr>
          <w:p w14:paraId="748A37B5">
            <w:pPr>
              <w:spacing w:line="252" w:lineRule="exact"/>
              <w:jc w:val="center"/>
              <w:rPr>
                <w:kern w:val="0"/>
                <w:szCs w:val="21"/>
              </w:rPr>
            </w:pPr>
          </w:p>
        </w:tc>
        <w:tc>
          <w:tcPr>
            <w:tcW w:w="827" w:type="pct"/>
            <w:vAlign w:val="center"/>
          </w:tcPr>
          <w:p w14:paraId="7588073F">
            <w:pPr>
              <w:spacing w:line="252" w:lineRule="exact"/>
              <w:jc w:val="center"/>
              <w:rPr>
                <w:kern w:val="0"/>
                <w:szCs w:val="21"/>
              </w:rPr>
            </w:pPr>
            <w:r>
              <w:rPr>
                <w:kern w:val="0"/>
                <w:szCs w:val="21"/>
              </w:rPr>
              <w:t>24小时平均</w:t>
            </w:r>
          </w:p>
        </w:tc>
        <w:tc>
          <w:tcPr>
            <w:tcW w:w="1358" w:type="pct"/>
            <w:vAlign w:val="center"/>
          </w:tcPr>
          <w:p w14:paraId="7E8AFCAF">
            <w:pPr>
              <w:spacing w:line="252" w:lineRule="exact"/>
              <w:jc w:val="center"/>
              <w:rPr>
                <w:kern w:val="0"/>
                <w:szCs w:val="21"/>
              </w:rPr>
            </w:pPr>
            <w:r>
              <w:rPr>
                <w:kern w:val="0"/>
                <w:szCs w:val="21"/>
              </w:rPr>
              <w:t>300</w:t>
            </w:r>
            <w:r>
              <w:rPr>
                <w:spacing w:val="8"/>
                <w:kern w:val="0"/>
              </w:rPr>
              <w:t>μg</w:t>
            </w:r>
            <w:r>
              <w:rPr>
                <w:kern w:val="0"/>
                <w:szCs w:val="21"/>
              </w:rPr>
              <w:t>/m</w:t>
            </w:r>
            <w:r>
              <w:rPr>
                <w:kern w:val="0"/>
                <w:szCs w:val="21"/>
                <w:vertAlign w:val="superscript"/>
              </w:rPr>
              <w:t>3</w:t>
            </w:r>
          </w:p>
        </w:tc>
        <w:tc>
          <w:tcPr>
            <w:tcW w:w="1842" w:type="pct"/>
            <w:vMerge w:val="continue"/>
            <w:vAlign w:val="center"/>
          </w:tcPr>
          <w:p w14:paraId="350CCF12">
            <w:pPr>
              <w:spacing w:line="252" w:lineRule="exact"/>
              <w:jc w:val="center"/>
              <w:rPr>
                <w:kern w:val="0"/>
                <w:szCs w:val="21"/>
              </w:rPr>
            </w:pPr>
          </w:p>
        </w:tc>
      </w:tr>
      <w:tr w14:paraId="5E414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7" w:type="pct"/>
            <w:vMerge w:val="continue"/>
            <w:vAlign w:val="center"/>
          </w:tcPr>
          <w:p w14:paraId="11D3A348">
            <w:pPr>
              <w:spacing w:line="252" w:lineRule="exact"/>
              <w:jc w:val="center"/>
              <w:rPr>
                <w:kern w:val="0"/>
                <w:szCs w:val="21"/>
              </w:rPr>
            </w:pPr>
          </w:p>
        </w:tc>
        <w:tc>
          <w:tcPr>
            <w:tcW w:w="526" w:type="pct"/>
            <w:vMerge w:val="restart"/>
            <w:vAlign w:val="center"/>
          </w:tcPr>
          <w:p w14:paraId="7F2BB873">
            <w:pPr>
              <w:spacing w:line="252" w:lineRule="exact"/>
              <w:jc w:val="center"/>
              <w:rPr>
                <w:kern w:val="0"/>
                <w:szCs w:val="21"/>
              </w:rPr>
            </w:pPr>
            <w:r>
              <w:rPr>
                <w:kern w:val="0"/>
                <w:szCs w:val="21"/>
              </w:rPr>
              <w:t>PM</w:t>
            </w:r>
            <w:r>
              <w:rPr>
                <w:kern w:val="0"/>
                <w:szCs w:val="21"/>
                <w:vertAlign w:val="subscript"/>
              </w:rPr>
              <w:t>10</w:t>
            </w:r>
          </w:p>
        </w:tc>
        <w:tc>
          <w:tcPr>
            <w:tcW w:w="827" w:type="pct"/>
            <w:vAlign w:val="center"/>
          </w:tcPr>
          <w:p w14:paraId="4B5015ED">
            <w:pPr>
              <w:spacing w:line="252" w:lineRule="exact"/>
              <w:jc w:val="center"/>
              <w:rPr>
                <w:kern w:val="0"/>
                <w:szCs w:val="21"/>
              </w:rPr>
            </w:pPr>
            <w:r>
              <w:rPr>
                <w:rFonts w:hint="eastAsia"/>
                <w:kern w:val="0"/>
                <w:szCs w:val="21"/>
              </w:rPr>
              <w:t>年均值</w:t>
            </w:r>
          </w:p>
        </w:tc>
        <w:tc>
          <w:tcPr>
            <w:tcW w:w="1358" w:type="pct"/>
            <w:vAlign w:val="center"/>
          </w:tcPr>
          <w:p w14:paraId="5A661291">
            <w:pPr>
              <w:spacing w:line="252" w:lineRule="exact"/>
              <w:jc w:val="center"/>
              <w:rPr>
                <w:kern w:val="0"/>
                <w:szCs w:val="21"/>
              </w:rPr>
            </w:pPr>
            <w:r>
              <w:rPr>
                <w:kern w:val="0"/>
                <w:szCs w:val="21"/>
              </w:rPr>
              <w:t>70</w:t>
            </w:r>
            <w:r>
              <w:rPr>
                <w:spacing w:val="8"/>
                <w:kern w:val="0"/>
              </w:rPr>
              <w:t>μg</w:t>
            </w:r>
            <w:r>
              <w:rPr>
                <w:kern w:val="0"/>
                <w:szCs w:val="21"/>
              </w:rPr>
              <w:t>/m</w:t>
            </w:r>
            <w:r>
              <w:rPr>
                <w:kern w:val="0"/>
                <w:szCs w:val="21"/>
                <w:vertAlign w:val="superscript"/>
              </w:rPr>
              <w:t>3</w:t>
            </w:r>
          </w:p>
        </w:tc>
        <w:tc>
          <w:tcPr>
            <w:tcW w:w="1842" w:type="pct"/>
            <w:vMerge w:val="continue"/>
            <w:vAlign w:val="center"/>
          </w:tcPr>
          <w:p w14:paraId="18E32CFB">
            <w:pPr>
              <w:spacing w:line="252" w:lineRule="exact"/>
              <w:jc w:val="center"/>
              <w:rPr>
                <w:kern w:val="0"/>
                <w:szCs w:val="21"/>
              </w:rPr>
            </w:pPr>
          </w:p>
        </w:tc>
      </w:tr>
      <w:tr w14:paraId="7EE61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7" w:type="pct"/>
            <w:vMerge w:val="continue"/>
            <w:vAlign w:val="center"/>
          </w:tcPr>
          <w:p w14:paraId="2C8D947F">
            <w:pPr>
              <w:spacing w:line="252" w:lineRule="exact"/>
              <w:jc w:val="center"/>
              <w:rPr>
                <w:kern w:val="0"/>
                <w:szCs w:val="21"/>
              </w:rPr>
            </w:pPr>
          </w:p>
        </w:tc>
        <w:tc>
          <w:tcPr>
            <w:tcW w:w="526" w:type="pct"/>
            <w:vMerge w:val="continue"/>
            <w:vAlign w:val="center"/>
          </w:tcPr>
          <w:p w14:paraId="4E86A2D4">
            <w:pPr>
              <w:spacing w:line="252" w:lineRule="exact"/>
              <w:jc w:val="center"/>
              <w:rPr>
                <w:kern w:val="0"/>
                <w:szCs w:val="21"/>
              </w:rPr>
            </w:pPr>
          </w:p>
        </w:tc>
        <w:tc>
          <w:tcPr>
            <w:tcW w:w="827" w:type="pct"/>
            <w:vAlign w:val="center"/>
          </w:tcPr>
          <w:p w14:paraId="1E217EED">
            <w:pPr>
              <w:spacing w:line="252" w:lineRule="exact"/>
              <w:jc w:val="center"/>
              <w:rPr>
                <w:kern w:val="0"/>
                <w:szCs w:val="21"/>
              </w:rPr>
            </w:pPr>
            <w:r>
              <w:rPr>
                <w:kern w:val="0"/>
                <w:szCs w:val="21"/>
              </w:rPr>
              <w:t>24小时平均</w:t>
            </w:r>
          </w:p>
        </w:tc>
        <w:tc>
          <w:tcPr>
            <w:tcW w:w="1358" w:type="pct"/>
            <w:vAlign w:val="center"/>
          </w:tcPr>
          <w:p w14:paraId="060F10C2">
            <w:pPr>
              <w:spacing w:line="252" w:lineRule="exact"/>
              <w:jc w:val="center"/>
              <w:rPr>
                <w:kern w:val="0"/>
                <w:szCs w:val="21"/>
              </w:rPr>
            </w:pPr>
            <w:r>
              <w:rPr>
                <w:kern w:val="0"/>
                <w:szCs w:val="21"/>
              </w:rPr>
              <w:t>150</w:t>
            </w:r>
            <w:r>
              <w:rPr>
                <w:spacing w:val="8"/>
                <w:kern w:val="0"/>
              </w:rPr>
              <w:t>μg</w:t>
            </w:r>
            <w:r>
              <w:rPr>
                <w:kern w:val="0"/>
                <w:szCs w:val="21"/>
              </w:rPr>
              <w:t>/m</w:t>
            </w:r>
            <w:r>
              <w:rPr>
                <w:kern w:val="0"/>
                <w:szCs w:val="21"/>
                <w:vertAlign w:val="superscript"/>
              </w:rPr>
              <w:t>3</w:t>
            </w:r>
          </w:p>
        </w:tc>
        <w:tc>
          <w:tcPr>
            <w:tcW w:w="1842" w:type="pct"/>
            <w:vMerge w:val="continue"/>
            <w:vAlign w:val="center"/>
          </w:tcPr>
          <w:p w14:paraId="0B02A0F8">
            <w:pPr>
              <w:spacing w:line="252" w:lineRule="exact"/>
              <w:jc w:val="center"/>
              <w:rPr>
                <w:kern w:val="0"/>
                <w:szCs w:val="21"/>
              </w:rPr>
            </w:pPr>
          </w:p>
        </w:tc>
      </w:tr>
      <w:tr w14:paraId="3E315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7" w:type="pct"/>
            <w:vMerge w:val="continue"/>
            <w:vAlign w:val="center"/>
          </w:tcPr>
          <w:p w14:paraId="4776EB6F">
            <w:pPr>
              <w:spacing w:line="252" w:lineRule="exact"/>
              <w:jc w:val="center"/>
              <w:rPr>
                <w:kern w:val="0"/>
                <w:szCs w:val="21"/>
              </w:rPr>
            </w:pPr>
          </w:p>
        </w:tc>
        <w:tc>
          <w:tcPr>
            <w:tcW w:w="526" w:type="pct"/>
            <w:vMerge w:val="restart"/>
            <w:vAlign w:val="center"/>
          </w:tcPr>
          <w:p w14:paraId="3832D385">
            <w:pPr>
              <w:spacing w:line="252" w:lineRule="exact"/>
              <w:jc w:val="center"/>
              <w:rPr>
                <w:kern w:val="0"/>
                <w:szCs w:val="21"/>
              </w:rPr>
            </w:pPr>
            <w:r>
              <w:rPr>
                <w:kern w:val="0"/>
                <w:szCs w:val="21"/>
              </w:rPr>
              <w:t>PM</w:t>
            </w:r>
            <w:r>
              <w:rPr>
                <w:rFonts w:hint="eastAsia"/>
                <w:kern w:val="0"/>
                <w:szCs w:val="21"/>
                <w:vertAlign w:val="subscript"/>
              </w:rPr>
              <w:t>2.5</w:t>
            </w:r>
          </w:p>
        </w:tc>
        <w:tc>
          <w:tcPr>
            <w:tcW w:w="827" w:type="pct"/>
            <w:vAlign w:val="center"/>
          </w:tcPr>
          <w:p w14:paraId="10E97920">
            <w:pPr>
              <w:spacing w:line="252" w:lineRule="exact"/>
              <w:jc w:val="center"/>
              <w:rPr>
                <w:kern w:val="0"/>
                <w:szCs w:val="21"/>
              </w:rPr>
            </w:pPr>
            <w:r>
              <w:rPr>
                <w:rFonts w:hint="eastAsia"/>
                <w:kern w:val="0"/>
                <w:szCs w:val="21"/>
              </w:rPr>
              <w:t>年均值</w:t>
            </w:r>
          </w:p>
        </w:tc>
        <w:tc>
          <w:tcPr>
            <w:tcW w:w="1358" w:type="pct"/>
            <w:vAlign w:val="center"/>
          </w:tcPr>
          <w:p w14:paraId="67D87200">
            <w:pPr>
              <w:spacing w:line="252" w:lineRule="exact"/>
              <w:jc w:val="center"/>
              <w:rPr>
                <w:kern w:val="0"/>
                <w:szCs w:val="21"/>
              </w:rPr>
            </w:pPr>
            <w:r>
              <w:rPr>
                <w:rFonts w:hint="eastAsia"/>
                <w:kern w:val="0"/>
                <w:szCs w:val="21"/>
              </w:rPr>
              <w:t>3</w:t>
            </w:r>
            <w:r>
              <w:rPr>
                <w:kern w:val="0"/>
                <w:szCs w:val="21"/>
              </w:rPr>
              <w:t>5</w:t>
            </w:r>
            <w:r>
              <w:rPr>
                <w:spacing w:val="8"/>
                <w:kern w:val="0"/>
              </w:rPr>
              <w:t>μg</w:t>
            </w:r>
            <w:r>
              <w:rPr>
                <w:kern w:val="0"/>
                <w:szCs w:val="21"/>
              </w:rPr>
              <w:t>/m</w:t>
            </w:r>
            <w:r>
              <w:rPr>
                <w:kern w:val="0"/>
                <w:szCs w:val="21"/>
                <w:vertAlign w:val="superscript"/>
              </w:rPr>
              <w:t>3</w:t>
            </w:r>
          </w:p>
        </w:tc>
        <w:tc>
          <w:tcPr>
            <w:tcW w:w="1842" w:type="pct"/>
            <w:vMerge w:val="continue"/>
            <w:vAlign w:val="center"/>
          </w:tcPr>
          <w:p w14:paraId="759A5EBC">
            <w:pPr>
              <w:spacing w:line="252" w:lineRule="exact"/>
              <w:jc w:val="center"/>
              <w:rPr>
                <w:kern w:val="0"/>
                <w:szCs w:val="21"/>
              </w:rPr>
            </w:pPr>
          </w:p>
        </w:tc>
      </w:tr>
      <w:tr w14:paraId="006E9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7" w:type="pct"/>
            <w:vMerge w:val="continue"/>
            <w:vAlign w:val="center"/>
          </w:tcPr>
          <w:p w14:paraId="05310A82">
            <w:pPr>
              <w:spacing w:line="252" w:lineRule="exact"/>
              <w:jc w:val="center"/>
              <w:rPr>
                <w:kern w:val="0"/>
                <w:szCs w:val="21"/>
              </w:rPr>
            </w:pPr>
          </w:p>
        </w:tc>
        <w:tc>
          <w:tcPr>
            <w:tcW w:w="526" w:type="pct"/>
            <w:vMerge w:val="continue"/>
            <w:vAlign w:val="center"/>
          </w:tcPr>
          <w:p w14:paraId="456CDF77">
            <w:pPr>
              <w:spacing w:line="252" w:lineRule="exact"/>
              <w:jc w:val="center"/>
              <w:rPr>
                <w:kern w:val="0"/>
                <w:szCs w:val="21"/>
              </w:rPr>
            </w:pPr>
          </w:p>
        </w:tc>
        <w:tc>
          <w:tcPr>
            <w:tcW w:w="827" w:type="pct"/>
            <w:vAlign w:val="center"/>
          </w:tcPr>
          <w:p w14:paraId="7CC5A195">
            <w:pPr>
              <w:spacing w:line="252" w:lineRule="exact"/>
              <w:jc w:val="center"/>
              <w:rPr>
                <w:kern w:val="0"/>
                <w:szCs w:val="21"/>
              </w:rPr>
            </w:pPr>
            <w:r>
              <w:rPr>
                <w:kern w:val="0"/>
                <w:szCs w:val="21"/>
              </w:rPr>
              <w:t>24小时平均</w:t>
            </w:r>
          </w:p>
        </w:tc>
        <w:tc>
          <w:tcPr>
            <w:tcW w:w="1358" w:type="pct"/>
            <w:vAlign w:val="center"/>
          </w:tcPr>
          <w:p w14:paraId="44D4CAAA">
            <w:pPr>
              <w:spacing w:line="252" w:lineRule="exact"/>
              <w:jc w:val="center"/>
              <w:rPr>
                <w:kern w:val="0"/>
                <w:szCs w:val="21"/>
              </w:rPr>
            </w:pPr>
            <w:r>
              <w:rPr>
                <w:rFonts w:hint="eastAsia"/>
                <w:kern w:val="0"/>
                <w:szCs w:val="21"/>
              </w:rPr>
              <w:t>7</w:t>
            </w:r>
            <w:r>
              <w:rPr>
                <w:kern w:val="0"/>
                <w:szCs w:val="21"/>
              </w:rPr>
              <w:t>5</w:t>
            </w:r>
            <w:r>
              <w:rPr>
                <w:spacing w:val="8"/>
                <w:kern w:val="0"/>
              </w:rPr>
              <w:t>μg</w:t>
            </w:r>
            <w:r>
              <w:rPr>
                <w:kern w:val="0"/>
                <w:szCs w:val="21"/>
              </w:rPr>
              <w:t>/m</w:t>
            </w:r>
            <w:r>
              <w:rPr>
                <w:kern w:val="0"/>
                <w:szCs w:val="21"/>
                <w:vertAlign w:val="superscript"/>
              </w:rPr>
              <w:t>3</w:t>
            </w:r>
          </w:p>
        </w:tc>
        <w:tc>
          <w:tcPr>
            <w:tcW w:w="1842" w:type="pct"/>
            <w:vMerge w:val="continue"/>
            <w:vAlign w:val="center"/>
          </w:tcPr>
          <w:p w14:paraId="326FA736">
            <w:pPr>
              <w:spacing w:line="252" w:lineRule="exact"/>
              <w:jc w:val="center"/>
              <w:rPr>
                <w:kern w:val="0"/>
                <w:szCs w:val="21"/>
              </w:rPr>
            </w:pPr>
          </w:p>
        </w:tc>
      </w:tr>
      <w:tr w14:paraId="578E4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7" w:type="pct"/>
            <w:vMerge w:val="continue"/>
            <w:vAlign w:val="center"/>
          </w:tcPr>
          <w:p w14:paraId="2DF3ABFF">
            <w:pPr>
              <w:spacing w:line="252" w:lineRule="exact"/>
              <w:jc w:val="center"/>
              <w:rPr>
                <w:kern w:val="0"/>
                <w:szCs w:val="21"/>
              </w:rPr>
            </w:pPr>
          </w:p>
        </w:tc>
        <w:tc>
          <w:tcPr>
            <w:tcW w:w="526" w:type="pct"/>
            <w:vMerge w:val="restart"/>
            <w:vAlign w:val="center"/>
          </w:tcPr>
          <w:p w14:paraId="781A28A8">
            <w:pPr>
              <w:spacing w:line="252" w:lineRule="exact"/>
              <w:jc w:val="center"/>
              <w:rPr>
                <w:kern w:val="0"/>
                <w:szCs w:val="21"/>
              </w:rPr>
            </w:pPr>
            <w:r>
              <w:rPr>
                <w:kern w:val="0"/>
                <w:szCs w:val="21"/>
              </w:rPr>
              <w:t>SO</w:t>
            </w:r>
            <w:r>
              <w:rPr>
                <w:kern w:val="0"/>
                <w:szCs w:val="21"/>
                <w:vertAlign w:val="subscript"/>
              </w:rPr>
              <w:t>2</w:t>
            </w:r>
          </w:p>
        </w:tc>
        <w:tc>
          <w:tcPr>
            <w:tcW w:w="827" w:type="pct"/>
            <w:vAlign w:val="center"/>
          </w:tcPr>
          <w:p w14:paraId="1E96A444">
            <w:pPr>
              <w:spacing w:line="252" w:lineRule="exact"/>
              <w:jc w:val="center"/>
              <w:rPr>
                <w:kern w:val="0"/>
                <w:szCs w:val="21"/>
              </w:rPr>
            </w:pPr>
            <w:r>
              <w:rPr>
                <w:rFonts w:hint="eastAsia"/>
                <w:kern w:val="0"/>
                <w:szCs w:val="21"/>
              </w:rPr>
              <w:t>年平均</w:t>
            </w:r>
          </w:p>
        </w:tc>
        <w:tc>
          <w:tcPr>
            <w:tcW w:w="1358" w:type="pct"/>
            <w:vAlign w:val="center"/>
          </w:tcPr>
          <w:p w14:paraId="14287DE0">
            <w:pPr>
              <w:spacing w:line="252" w:lineRule="exact"/>
              <w:jc w:val="center"/>
              <w:rPr>
                <w:kern w:val="0"/>
                <w:szCs w:val="21"/>
              </w:rPr>
            </w:pPr>
            <w:r>
              <w:rPr>
                <w:kern w:val="0"/>
                <w:szCs w:val="21"/>
              </w:rPr>
              <w:t>60</w:t>
            </w:r>
            <w:r>
              <w:rPr>
                <w:spacing w:val="8"/>
                <w:kern w:val="0"/>
              </w:rPr>
              <w:t>μg</w:t>
            </w:r>
            <w:r>
              <w:rPr>
                <w:kern w:val="0"/>
                <w:szCs w:val="21"/>
              </w:rPr>
              <w:t>/m</w:t>
            </w:r>
            <w:r>
              <w:rPr>
                <w:kern w:val="0"/>
                <w:szCs w:val="21"/>
                <w:vertAlign w:val="superscript"/>
              </w:rPr>
              <w:t>3</w:t>
            </w:r>
          </w:p>
        </w:tc>
        <w:tc>
          <w:tcPr>
            <w:tcW w:w="1842" w:type="pct"/>
            <w:vMerge w:val="continue"/>
            <w:vAlign w:val="center"/>
          </w:tcPr>
          <w:p w14:paraId="7071C48D">
            <w:pPr>
              <w:spacing w:line="252" w:lineRule="exact"/>
              <w:jc w:val="center"/>
              <w:rPr>
                <w:kern w:val="0"/>
                <w:szCs w:val="21"/>
              </w:rPr>
            </w:pPr>
          </w:p>
        </w:tc>
      </w:tr>
      <w:tr w14:paraId="1EDDA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7" w:type="pct"/>
            <w:vMerge w:val="continue"/>
            <w:vAlign w:val="center"/>
          </w:tcPr>
          <w:p w14:paraId="096D53FD">
            <w:pPr>
              <w:spacing w:line="252" w:lineRule="exact"/>
              <w:jc w:val="center"/>
              <w:rPr>
                <w:kern w:val="0"/>
                <w:szCs w:val="21"/>
              </w:rPr>
            </w:pPr>
          </w:p>
        </w:tc>
        <w:tc>
          <w:tcPr>
            <w:tcW w:w="526" w:type="pct"/>
            <w:vMerge w:val="continue"/>
            <w:vAlign w:val="center"/>
          </w:tcPr>
          <w:p w14:paraId="423BBE2B">
            <w:pPr>
              <w:spacing w:line="252" w:lineRule="exact"/>
              <w:jc w:val="center"/>
              <w:rPr>
                <w:kern w:val="0"/>
                <w:szCs w:val="21"/>
              </w:rPr>
            </w:pPr>
          </w:p>
        </w:tc>
        <w:tc>
          <w:tcPr>
            <w:tcW w:w="827" w:type="pct"/>
            <w:vAlign w:val="center"/>
          </w:tcPr>
          <w:p w14:paraId="08FB4660">
            <w:pPr>
              <w:spacing w:line="252" w:lineRule="exact"/>
              <w:jc w:val="center"/>
              <w:rPr>
                <w:kern w:val="0"/>
                <w:szCs w:val="21"/>
              </w:rPr>
            </w:pPr>
            <w:r>
              <w:rPr>
                <w:kern w:val="0"/>
                <w:szCs w:val="21"/>
              </w:rPr>
              <w:t>24小时平均</w:t>
            </w:r>
          </w:p>
        </w:tc>
        <w:tc>
          <w:tcPr>
            <w:tcW w:w="1358" w:type="pct"/>
            <w:vAlign w:val="center"/>
          </w:tcPr>
          <w:p w14:paraId="2AC780AE">
            <w:pPr>
              <w:spacing w:line="252" w:lineRule="exact"/>
              <w:jc w:val="center"/>
              <w:rPr>
                <w:kern w:val="0"/>
                <w:szCs w:val="21"/>
              </w:rPr>
            </w:pPr>
            <w:r>
              <w:rPr>
                <w:kern w:val="0"/>
                <w:szCs w:val="21"/>
              </w:rPr>
              <w:t>150</w:t>
            </w:r>
            <w:r>
              <w:rPr>
                <w:spacing w:val="8"/>
                <w:kern w:val="0"/>
              </w:rPr>
              <w:t>μg</w:t>
            </w:r>
            <w:r>
              <w:rPr>
                <w:kern w:val="0"/>
                <w:szCs w:val="21"/>
              </w:rPr>
              <w:t>/m</w:t>
            </w:r>
            <w:r>
              <w:rPr>
                <w:kern w:val="0"/>
                <w:szCs w:val="21"/>
                <w:vertAlign w:val="superscript"/>
              </w:rPr>
              <w:t>3</w:t>
            </w:r>
          </w:p>
        </w:tc>
        <w:tc>
          <w:tcPr>
            <w:tcW w:w="1842" w:type="pct"/>
            <w:vMerge w:val="continue"/>
            <w:vAlign w:val="center"/>
          </w:tcPr>
          <w:p w14:paraId="42A068B4">
            <w:pPr>
              <w:spacing w:line="252" w:lineRule="exact"/>
              <w:jc w:val="center"/>
              <w:rPr>
                <w:kern w:val="0"/>
                <w:szCs w:val="21"/>
              </w:rPr>
            </w:pPr>
          </w:p>
        </w:tc>
      </w:tr>
      <w:tr w14:paraId="6CB2F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7" w:type="pct"/>
            <w:vMerge w:val="continue"/>
            <w:vAlign w:val="center"/>
          </w:tcPr>
          <w:p w14:paraId="380BC76C">
            <w:pPr>
              <w:spacing w:line="252" w:lineRule="exact"/>
              <w:jc w:val="center"/>
              <w:rPr>
                <w:kern w:val="0"/>
                <w:szCs w:val="21"/>
              </w:rPr>
            </w:pPr>
          </w:p>
        </w:tc>
        <w:tc>
          <w:tcPr>
            <w:tcW w:w="526" w:type="pct"/>
            <w:vMerge w:val="continue"/>
            <w:vAlign w:val="center"/>
          </w:tcPr>
          <w:p w14:paraId="36EE5918">
            <w:pPr>
              <w:spacing w:line="252" w:lineRule="exact"/>
              <w:jc w:val="center"/>
              <w:rPr>
                <w:kern w:val="0"/>
                <w:szCs w:val="21"/>
              </w:rPr>
            </w:pPr>
          </w:p>
        </w:tc>
        <w:tc>
          <w:tcPr>
            <w:tcW w:w="827" w:type="pct"/>
            <w:vAlign w:val="center"/>
          </w:tcPr>
          <w:p w14:paraId="70DCC5E8">
            <w:pPr>
              <w:spacing w:line="252" w:lineRule="exact"/>
              <w:jc w:val="center"/>
              <w:rPr>
                <w:kern w:val="0"/>
                <w:szCs w:val="21"/>
              </w:rPr>
            </w:pPr>
            <w:r>
              <w:rPr>
                <w:kern w:val="0"/>
                <w:szCs w:val="21"/>
              </w:rPr>
              <w:t>1小时平均</w:t>
            </w:r>
          </w:p>
        </w:tc>
        <w:tc>
          <w:tcPr>
            <w:tcW w:w="1358" w:type="pct"/>
            <w:vAlign w:val="center"/>
          </w:tcPr>
          <w:p w14:paraId="60A14D77">
            <w:pPr>
              <w:spacing w:line="252" w:lineRule="exact"/>
              <w:jc w:val="center"/>
              <w:rPr>
                <w:kern w:val="0"/>
                <w:szCs w:val="21"/>
              </w:rPr>
            </w:pPr>
            <w:r>
              <w:rPr>
                <w:kern w:val="0"/>
                <w:szCs w:val="21"/>
              </w:rPr>
              <w:t>500</w:t>
            </w:r>
            <w:r>
              <w:rPr>
                <w:spacing w:val="8"/>
                <w:kern w:val="0"/>
              </w:rPr>
              <w:t>μg</w:t>
            </w:r>
            <w:r>
              <w:rPr>
                <w:kern w:val="0"/>
                <w:szCs w:val="21"/>
              </w:rPr>
              <w:t>/m</w:t>
            </w:r>
            <w:r>
              <w:rPr>
                <w:kern w:val="0"/>
                <w:szCs w:val="21"/>
                <w:vertAlign w:val="superscript"/>
              </w:rPr>
              <w:t>3</w:t>
            </w:r>
          </w:p>
        </w:tc>
        <w:tc>
          <w:tcPr>
            <w:tcW w:w="1842" w:type="pct"/>
            <w:vMerge w:val="continue"/>
            <w:vAlign w:val="center"/>
          </w:tcPr>
          <w:p w14:paraId="2725B58F">
            <w:pPr>
              <w:spacing w:line="252" w:lineRule="exact"/>
              <w:jc w:val="center"/>
              <w:rPr>
                <w:kern w:val="0"/>
                <w:szCs w:val="21"/>
              </w:rPr>
            </w:pPr>
          </w:p>
        </w:tc>
      </w:tr>
      <w:tr w14:paraId="678A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7" w:type="pct"/>
            <w:vMerge w:val="continue"/>
            <w:vAlign w:val="center"/>
          </w:tcPr>
          <w:p w14:paraId="286B4154">
            <w:pPr>
              <w:spacing w:line="252" w:lineRule="exact"/>
              <w:jc w:val="center"/>
              <w:rPr>
                <w:kern w:val="0"/>
                <w:szCs w:val="21"/>
              </w:rPr>
            </w:pPr>
          </w:p>
        </w:tc>
        <w:tc>
          <w:tcPr>
            <w:tcW w:w="526" w:type="pct"/>
            <w:vMerge w:val="restart"/>
            <w:vAlign w:val="center"/>
          </w:tcPr>
          <w:p w14:paraId="35B5F887">
            <w:pPr>
              <w:spacing w:line="252" w:lineRule="exact"/>
              <w:jc w:val="center"/>
              <w:rPr>
                <w:kern w:val="0"/>
                <w:szCs w:val="21"/>
              </w:rPr>
            </w:pPr>
            <w:r>
              <w:rPr>
                <w:kern w:val="0"/>
                <w:szCs w:val="21"/>
              </w:rPr>
              <w:t>NO</w:t>
            </w:r>
            <w:r>
              <w:rPr>
                <w:kern w:val="0"/>
                <w:szCs w:val="21"/>
                <w:vertAlign w:val="subscript"/>
              </w:rPr>
              <w:t>2</w:t>
            </w:r>
          </w:p>
        </w:tc>
        <w:tc>
          <w:tcPr>
            <w:tcW w:w="827" w:type="pct"/>
            <w:vAlign w:val="center"/>
          </w:tcPr>
          <w:p w14:paraId="210C11AF">
            <w:pPr>
              <w:spacing w:line="252" w:lineRule="exact"/>
              <w:jc w:val="center"/>
              <w:rPr>
                <w:kern w:val="0"/>
                <w:szCs w:val="21"/>
              </w:rPr>
            </w:pPr>
            <w:r>
              <w:rPr>
                <w:rFonts w:hint="eastAsia"/>
                <w:kern w:val="0"/>
                <w:szCs w:val="21"/>
              </w:rPr>
              <w:t>年平均</w:t>
            </w:r>
          </w:p>
        </w:tc>
        <w:tc>
          <w:tcPr>
            <w:tcW w:w="1358" w:type="pct"/>
            <w:vAlign w:val="center"/>
          </w:tcPr>
          <w:p w14:paraId="670F3AB7">
            <w:pPr>
              <w:spacing w:line="252" w:lineRule="exact"/>
              <w:jc w:val="center"/>
              <w:rPr>
                <w:kern w:val="0"/>
                <w:szCs w:val="21"/>
              </w:rPr>
            </w:pPr>
            <w:r>
              <w:rPr>
                <w:kern w:val="0"/>
                <w:szCs w:val="21"/>
              </w:rPr>
              <w:t>40</w:t>
            </w:r>
            <w:r>
              <w:rPr>
                <w:spacing w:val="8"/>
                <w:kern w:val="0"/>
              </w:rPr>
              <w:t>μg</w:t>
            </w:r>
            <w:r>
              <w:rPr>
                <w:kern w:val="0"/>
                <w:szCs w:val="21"/>
              </w:rPr>
              <w:t>/m</w:t>
            </w:r>
            <w:r>
              <w:rPr>
                <w:kern w:val="0"/>
                <w:szCs w:val="21"/>
                <w:vertAlign w:val="superscript"/>
              </w:rPr>
              <w:t>3</w:t>
            </w:r>
          </w:p>
        </w:tc>
        <w:tc>
          <w:tcPr>
            <w:tcW w:w="1842" w:type="pct"/>
            <w:vMerge w:val="continue"/>
            <w:vAlign w:val="center"/>
          </w:tcPr>
          <w:p w14:paraId="4E4C7E02">
            <w:pPr>
              <w:spacing w:line="252" w:lineRule="exact"/>
              <w:jc w:val="center"/>
              <w:rPr>
                <w:kern w:val="0"/>
                <w:szCs w:val="21"/>
              </w:rPr>
            </w:pPr>
          </w:p>
        </w:tc>
      </w:tr>
      <w:tr w14:paraId="1C417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7" w:type="pct"/>
            <w:vMerge w:val="continue"/>
            <w:vAlign w:val="center"/>
          </w:tcPr>
          <w:p w14:paraId="58827E42">
            <w:pPr>
              <w:spacing w:line="252" w:lineRule="exact"/>
              <w:jc w:val="center"/>
              <w:rPr>
                <w:kern w:val="0"/>
                <w:szCs w:val="21"/>
              </w:rPr>
            </w:pPr>
          </w:p>
        </w:tc>
        <w:tc>
          <w:tcPr>
            <w:tcW w:w="526" w:type="pct"/>
            <w:vMerge w:val="continue"/>
            <w:vAlign w:val="center"/>
          </w:tcPr>
          <w:p w14:paraId="21329B32">
            <w:pPr>
              <w:spacing w:line="252" w:lineRule="exact"/>
              <w:jc w:val="center"/>
              <w:rPr>
                <w:kern w:val="0"/>
                <w:szCs w:val="21"/>
              </w:rPr>
            </w:pPr>
          </w:p>
        </w:tc>
        <w:tc>
          <w:tcPr>
            <w:tcW w:w="827" w:type="pct"/>
            <w:vAlign w:val="center"/>
          </w:tcPr>
          <w:p w14:paraId="2D789240">
            <w:pPr>
              <w:spacing w:line="252" w:lineRule="exact"/>
              <w:jc w:val="center"/>
              <w:rPr>
                <w:kern w:val="0"/>
                <w:szCs w:val="21"/>
              </w:rPr>
            </w:pPr>
            <w:r>
              <w:rPr>
                <w:kern w:val="0"/>
                <w:szCs w:val="21"/>
              </w:rPr>
              <w:t>24小时平均</w:t>
            </w:r>
          </w:p>
        </w:tc>
        <w:tc>
          <w:tcPr>
            <w:tcW w:w="1358" w:type="pct"/>
            <w:vAlign w:val="center"/>
          </w:tcPr>
          <w:p w14:paraId="058F66DD">
            <w:pPr>
              <w:spacing w:line="252" w:lineRule="exact"/>
              <w:jc w:val="center"/>
              <w:rPr>
                <w:kern w:val="0"/>
                <w:szCs w:val="21"/>
              </w:rPr>
            </w:pPr>
            <w:r>
              <w:rPr>
                <w:kern w:val="0"/>
                <w:szCs w:val="21"/>
              </w:rPr>
              <w:t>80</w:t>
            </w:r>
            <w:r>
              <w:rPr>
                <w:spacing w:val="8"/>
                <w:kern w:val="0"/>
              </w:rPr>
              <w:t>μg</w:t>
            </w:r>
            <w:r>
              <w:rPr>
                <w:kern w:val="0"/>
                <w:szCs w:val="21"/>
              </w:rPr>
              <w:t>/m</w:t>
            </w:r>
            <w:r>
              <w:rPr>
                <w:kern w:val="0"/>
                <w:szCs w:val="21"/>
                <w:vertAlign w:val="superscript"/>
              </w:rPr>
              <w:t>3</w:t>
            </w:r>
          </w:p>
        </w:tc>
        <w:tc>
          <w:tcPr>
            <w:tcW w:w="1842" w:type="pct"/>
            <w:vMerge w:val="continue"/>
            <w:vAlign w:val="center"/>
          </w:tcPr>
          <w:p w14:paraId="6969D5F1">
            <w:pPr>
              <w:spacing w:line="252" w:lineRule="exact"/>
              <w:jc w:val="center"/>
              <w:rPr>
                <w:kern w:val="0"/>
                <w:szCs w:val="21"/>
              </w:rPr>
            </w:pPr>
          </w:p>
        </w:tc>
      </w:tr>
      <w:tr w14:paraId="5F273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7" w:type="pct"/>
            <w:vMerge w:val="continue"/>
            <w:vAlign w:val="center"/>
          </w:tcPr>
          <w:p w14:paraId="179D044E">
            <w:pPr>
              <w:spacing w:line="252" w:lineRule="exact"/>
              <w:jc w:val="center"/>
              <w:rPr>
                <w:kern w:val="0"/>
                <w:szCs w:val="21"/>
              </w:rPr>
            </w:pPr>
          </w:p>
        </w:tc>
        <w:tc>
          <w:tcPr>
            <w:tcW w:w="526" w:type="pct"/>
            <w:vMerge w:val="continue"/>
            <w:vAlign w:val="center"/>
          </w:tcPr>
          <w:p w14:paraId="7DBAE7D8">
            <w:pPr>
              <w:spacing w:line="252" w:lineRule="exact"/>
              <w:jc w:val="center"/>
              <w:rPr>
                <w:kern w:val="0"/>
                <w:szCs w:val="21"/>
              </w:rPr>
            </w:pPr>
          </w:p>
        </w:tc>
        <w:tc>
          <w:tcPr>
            <w:tcW w:w="827" w:type="pct"/>
            <w:vAlign w:val="center"/>
          </w:tcPr>
          <w:p w14:paraId="065D3C90">
            <w:pPr>
              <w:spacing w:line="252" w:lineRule="exact"/>
              <w:jc w:val="center"/>
              <w:rPr>
                <w:kern w:val="0"/>
                <w:szCs w:val="21"/>
              </w:rPr>
            </w:pPr>
            <w:r>
              <w:rPr>
                <w:kern w:val="0"/>
                <w:szCs w:val="21"/>
              </w:rPr>
              <w:t>1小时平均</w:t>
            </w:r>
          </w:p>
        </w:tc>
        <w:tc>
          <w:tcPr>
            <w:tcW w:w="1358" w:type="pct"/>
            <w:vAlign w:val="center"/>
          </w:tcPr>
          <w:p w14:paraId="41E913CA">
            <w:pPr>
              <w:spacing w:line="252" w:lineRule="exact"/>
              <w:jc w:val="center"/>
              <w:rPr>
                <w:kern w:val="0"/>
                <w:szCs w:val="21"/>
              </w:rPr>
            </w:pPr>
            <w:r>
              <w:rPr>
                <w:kern w:val="0"/>
                <w:szCs w:val="21"/>
              </w:rPr>
              <w:t>200</w:t>
            </w:r>
            <w:r>
              <w:rPr>
                <w:spacing w:val="8"/>
                <w:kern w:val="0"/>
              </w:rPr>
              <w:t>μg</w:t>
            </w:r>
            <w:r>
              <w:rPr>
                <w:kern w:val="0"/>
                <w:szCs w:val="21"/>
              </w:rPr>
              <w:t>/m</w:t>
            </w:r>
            <w:r>
              <w:rPr>
                <w:kern w:val="0"/>
                <w:szCs w:val="21"/>
                <w:vertAlign w:val="superscript"/>
              </w:rPr>
              <w:t>3</w:t>
            </w:r>
          </w:p>
        </w:tc>
        <w:tc>
          <w:tcPr>
            <w:tcW w:w="1842" w:type="pct"/>
            <w:vMerge w:val="continue"/>
            <w:vAlign w:val="center"/>
          </w:tcPr>
          <w:p w14:paraId="25A8FE0E">
            <w:pPr>
              <w:spacing w:line="252" w:lineRule="exact"/>
              <w:jc w:val="center"/>
              <w:rPr>
                <w:kern w:val="0"/>
                <w:szCs w:val="21"/>
              </w:rPr>
            </w:pPr>
          </w:p>
        </w:tc>
      </w:tr>
      <w:tr w14:paraId="64D8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7" w:type="pct"/>
            <w:vMerge w:val="continue"/>
            <w:vAlign w:val="center"/>
          </w:tcPr>
          <w:p w14:paraId="7EAE6E8B">
            <w:pPr>
              <w:spacing w:line="252" w:lineRule="exact"/>
              <w:jc w:val="center"/>
              <w:rPr>
                <w:kern w:val="0"/>
                <w:szCs w:val="21"/>
              </w:rPr>
            </w:pPr>
          </w:p>
        </w:tc>
        <w:tc>
          <w:tcPr>
            <w:tcW w:w="526" w:type="pct"/>
            <w:vMerge w:val="restart"/>
            <w:vAlign w:val="center"/>
          </w:tcPr>
          <w:p w14:paraId="04D3BC9E">
            <w:pPr>
              <w:spacing w:line="252" w:lineRule="exact"/>
              <w:jc w:val="center"/>
              <w:rPr>
                <w:kern w:val="0"/>
                <w:szCs w:val="21"/>
                <w:vertAlign w:val="subscript"/>
              </w:rPr>
            </w:pPr>
            <w:r>
              <w:rPr>
                <w:rFonts w:hint="eastAsia"/>
                <w:kern w:val="0"/>
                <w:szCs w:val="21"/>
              </w:rPr>
              <w:t>O</w:t>
            </w:r>
            <w:r>
              <w:rPr>
                <w:kern w:val="0"/>
                <w:szCs w:val="21"/>
                <w:vertAlign w:val="subscript"/>
              </w:rPr>
              <w:t>3</w:t>
            </w:r>
          </w:p>
        </w:tc>
        <w:tc>
          <w:tcPr>
            <w:tcW w:w="827" w:type="pct"/>
            <w:vAlign w:val="center"/>
          </w:tcPr>
          <w:p w14:paraId="49F79F16">
            <w:pPr>
              <w:spacing w:line="252" w:lineRule="exact"/>
              <w:jc w:val="center"/>
              <w:rPr>
                <w:kern w:val="0"/>
                <w:szCs w:val="21"/>
              </w:rPr>
            </w:pPr>
            <w:r>
              <w:rPr>
                <w:rFonts w:hint="eastAsia"/>
                <w:kern w:val="0"/>
                <w:szCs w:val="21"/>
              </w:rPr>
              <w:t>日</w:t>
            </w:r>
            <w:r>
              <w:rPr>
                <w:kern w:val="0"/>
                <w:szCs w:val="21"/>
              </w:rPr>
              <w:t>最大</w:t>
            </w:r>
            <w:r>
              <w:rPr>
                <w:rFonts w:hint="eastAsia"/>
                <w:kern w:val="0"/>
                <w:szCs w:val="21"/>
              </w:rPr>
              <w:t>8小时</w:t>
            </w:r>
            <w:r>
              <w:rPr>
                <w:kern w:val="0"/>
                <w:szCs w:val="21"/>
              </w:rPr>
              <w:t>平均</w:t>
            </w:r>
          </w:p>
        </w:tc>
        <w:tc>
          <w:tcPr>
            <w:tcW w:w="1358" w:type="pct"/>
            <w:vAlign w:val="center"/>
          </w:tcPr>
          <w:p w14:paraId="3B9EF6D8">
            <w:pPr>
              <w:spacing w:line="252" w:lineRule="exact"/>
              <w:jc w:val="center"/>
              <w:rPr>
                <w:kern w:val="0"/>
                <w:szCs w:val="21"/>
              </w:rPr>
            </w:pPr>
            <w:r>
              <w:rPr>
                <w:rFonts w:hint="eastAsia"/>
                <w:kern w:val="0"/>
                <w:szCs w:val="21"/>
              </w:rPr>
              <w:t>160</w:t>
            </w:r>
            <w:r>
              <w:rPr>
                <w:spacing w:val="8"/>
                <w:kern w:val="0"/>
              </w:rPr>
              <w:t>μg</w:t>
            </w:r>
            <w:r>
              <w:rPr>
                <w:kern w:val="0"/>
                <w:szCs w:val="21"/>
              </w:rPr>
              <w:t>/m</w:t>
            </w:r>
            <w:r>
              <w:rPr>
                <w:kern w:val="0"/>
                <w:szCs w:val="21"/>
                <w:vertAlign w:val="superscript"/>
              </w:rPr>
              <w:t>3</w:t>
            </w:r>
          </w:p>
        </w:tc>
        <w:tc>
          <w:tcPr>
            <w:tcW w:w="1842" w:type="pct"/>
            <w:vMerge w:val="continue"/>
            <w:vAlign w:val="center"/>
          </w:tcPr>
          <w:p w14:paraId="5C708CDE">
            <w:pPr>
              <w:spacing w:line="252" w:lineRule="exact"/>
              <w:jc w:val="center"/>
              <w:rPr>
                <w:kern w:val="0"/>
                <w:szCs w:val="21"/>
              </w:rPr>
            </w:pPr>
          </w:p>
        </w:tc>
      </w:tr>
      <w:tr w14:paraId="1A518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7" w:type="pct"/>
            <w:vMerge w:val="continue"/>
            <w:vAlign w:val="center"/>
          </w:tcPr>
          <w:p w14:paraId="633231EF">
            <w:pPr>
              <w:spacing w:line="252" w:lineRule="exact"/>
              <w:jc w:val="center"/>
              <w:rPr>
                <w:kern w:val="0"/>
                <w:szCs w:val="21"/>
              </w:rPr>
            </w:pPr>
          </w:p>
        </w:tc>
        <w:tc>
          <w:tcPr>
            <w:tcW w:w="526" w:type="pct"/>
            <w:vMerge w:val="continue"/>
            <w:vAlign w:val="center"/>
          </w:tcPr>
          <w:p w14:paraId="17B27DBC">
            <w:pPr>
              <w:spacing w:line="252" w:lineRule="exact"/>
              <w:jc w:val="center"/>
              <w:rPr>
                <w:kern w:val="0"/>
                <w:szCs w:val="21"/>
              </w:rPr>
            </w:pPr>
          </w:p>
        </w:tc>
        <w:tc>
          <w:tcPr>
            <w:tcW w:w="827" w:type="pct"/>
            <w:vAlign w:val="center"/>
          </w:tcPr>
          <w:p w14:paraId="358E5BF5">
            <w:pPr>
              <w:spacing w:line="252" w:lineRule="exact"/>
              <w:jc w:val="center"/>
              <w:rPr>
                <w:kern w:val="0"/>
                <w:szCs w:val="21"/>
              </w:rPr>
            </w:pPr>
            <w:r>
              <w:rPr>
                <w:rFonts w:hint="eastAsia"/>
                <w:kern w:val="0"/>
                <w:szCs w:val="21"/>
              </w:rPr>
              <w:t>1小时</w:t>
            </w:r>
            <w:r>
              <w:rPr>
                <w:kern w:val="0"/>
                <w:szCs w:val="21"/>
              </w:rPr>
              <w:t>平均</w:t>
            </w:r>
          </w:p>
        </w:tc>
        <w:tc>
          <w:tcPr>
            <w:tcW w:w="1358" w:type="pct"/>
            <w:vAlign w:val="center"/>
          </w:tcPr>
          <w:p w14:paraId="316A847F">
            <w:pPr>
              <w:spacing w:line="252" w:lineRule="exact"/>
              <w:jc w:val="center"/>
              <w:rPr>
                <w:kern w:val="0"/>
                <w:szCs w:val="21"/>
              </w:rPr>
            </w:pPr>
            <w:r>
              <w:rPr>
                <w:rFonts w:hint="eastAsia"/>
                <w:kern w:val="0"/>
                <w:szCs w:val="21"/>
              </w:rPr>
              <w:t>200</w:t>
            </w:r>
            <w:r>
              <w:rPr>
                <w:spacing w:val="8"/>
                <w:kern w:val="0"/>
              </w:rPr>
              <w:t>μg</w:t>
            </w:r>
            <w:r>
              <w:rPr>
                <w:kern w:val="0"/>
                <w:szCs w:val="21"/>
              </w:rPr>
              <w:t>/m</w:t>
            </w:r>
            <w:r>
              <w:rPr>
                <w:kern w:val="0"/>
                <w:szCs w:val="21"/>
                <w:vertAlign w:val="superscript"/>
              </w:rPr>
              <w:t>3</w:t>
            </w:r>
          </w:p>
        </w:tc>
        <w:tc>
          <w:tcPr>
            <w:tcW w:w="1842" w:type="pct"/>
            <w:vMerge w:val="continue"/>
            <w:vAlign w:val="center"/>
          </w:tcPr>
          <w:p w14:paraId="5E69C258">
            <w:pPr>
              <w:spacing w:line="252" w:lineRule="exact"/>
              <w:jc w:val="center"/>
              <w:rPr>
                <w:kern w:val="0"/>
                <w:szCs w:val="21"/>
              </w:rPr>
            </w:pPr>
          </w:p>
        </w:tc>
      </w:tr>
      <w:tr w14:paraId="769BE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7" w:type="pct"/>
            <w:vMerge w:val="continue"/>
            <w:vAlign w:val="center"/>
          </w:tcPr>
          <w:p w14:paraId="455CC0CF">
            <w:pPr>
              <w:spacing w:line="252" w:lineRule="exact"/>
              <w:jc w:val="center"/>
              <w:rPr>
                <w:kern w:val="0"/>
                <w:szCs w:val="21"/>
              </w:rPr>
            </w:pPr>
          </w:p>
        </w:tc>
        <w:tc>
          <w:tcPr>
            <w:tcW w:w="526" w:type="pct"/>
            <w:vMerge w:val="restart"/>
            <w:vAlign w:val="center"/>
          </w:tcPr>
          <w:p w14:paraId="125DA45C">
            <w:pPr>
              <w:spacing w:line="252" w:lineRule="exact"/>
              <w:jc w:val="center"/>
              <w:rPr>
                <w:kern w:val="0"/>
                <w:szCs w:val="21"/>
              </w:rPr>
            </w:pPr>
            <w:r>
              <w:rPr>
                <w:rFonts w:hint="eastAsia"/>
                <w:kern w:val="0"/>
                <w:szCs w:val="21"/>
              </w:rPr>
              <w:t>CO</w:t>
            </w:r>
          </w:p>
        </w:tc>
        <w:tc>
          <w:tcPr>
            <w:tcW w:w="827" w:type="pct"/>
            <w:vAlign w:val="center"/>
          </w:tcPr>
          <w:p w14:paraId="2D772B20">
            <w:pPr>
              <w:spacing w:line="252" w:lineRule="exact"/>
              <w:jc w:val="center"/>
              <w:rPr>
                <w:kern w:val="0"/>
                <w:szCs w:val="21"/>
              </w:rPr>
            </w:pPr>
            <w:r>
              <w:rPr>
                <w:rFonts w:hint="eastAsia"/>
                <w:kern w:val="0"/>
                <w:szCs w:val="21"/>
              </w:rPr>
              <w:t>24小时</w:t>
            </w:r>
            <w:r>
              <w:rPr>
                <w:kern w:val="0"/>
                <w:szCs w:val="21"/>
              </w:rPr>
              <w:t>平均</w:t>
            </w:r>
          </w:p>
        </w:tc>
        <w:tc>
          <w:tcPr>
            <w:tcW w:w="1358" w:type="pct"/>
            <w:vAlign w:val="center"/>
          </w:tcPr>
          <w:p w14:paraId="4FBE2BF6">
            <w:pPr>
              <w:spacing w:line="252" w:lineRule="exact"/>
              <w:jc w:val="center"/>
              <w:rPr>
                <w:kern w:val="0"/>
                <w:szCs w:val="21"/>
              </w:rPr>
            </w:pPr>
            <w:r>
              <w:rPr>
                <w:rFonts w:hint="eastAsia"/>
                <w:kern w:val="0"/>
                <w:szCs w:val="21"/>
              </w:rPr>
              <w:t>4</w:t>
            </w:r>
            <w:r>
              <w:rPr>
                <w:kern w:val="0"/>
                <w:szCs w:val="21"/>
              </w:rPr>
              <w:t xml:space="preserve"> mg/m</w:t>
            </w:r>
            <w:r>
              <w:rPr>
                <w:kern w:val="0"/>
                <w:szCs w:val="21"/>
                <w:vertAlign w:val="superscript"/>
              </w:rPr>
              <w:t>3</w:t>
            </w:r>
          </w:p>
        </w:tc>
        <w:tc>
          <w:tcPr>
            <w:tcW w:w="1842" w:type="pct"/>
            <w:vMerge w:val="continue"/>
            <w:vAlign w:val="center"/>
          </w:tcPr>
          <w:p w14:paraId="4DA96531">
            <w:pPr>
              <w:spacing w:line="252" w:lineRule="exact"/>
              <w:jc w:val="center"/>
              <w:rPr>
                <w:kern w:val="0"/>
                <w:szCs w:val="21"/>
              </w:rPr>
            </w:pPr>
          </w:p>
        </w:tc>
      </w:tr>
      <w:tr w14:paraId="3CCE8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7" w:type="pct"/>
            <w:vMerge w:val="continue"/>
            <w:vAlign w:val="center"/>
          </w:tcPr>
          <w:p w14:paraId="55FC179E">
            <w:pPr>
              <w:spacing w:line="252" w:lineRule="exact"/>
              <w:jc w:val="center"/>
              <w:rPr>
                <w:kern w:val="0"/>
                <w:szCs w:val="21"/>
              </w:rPr>
            </w:pPr>
          </w:p>
        </w:tc>
        <w:tc>
          <w:tcPr>
            <w:tcW w:w="526" w:type="pct"/>
            <w:vMerge w:val="continue"/>
            <w:vAlign w:val="center"/>
          </w:tcPr>
          <w:p w14:paraId="4322FB43">
            <w:pPr>
              <w:spacing w:line="252" w:lineRule="exact"/>
              <w:jc w:val="center"/>
              <w:rPr>
                <w:kern w:val="0"/>
                <w:szCs w:val="21"/>
              </w:rPr>
            </w:pPr>
          </w:p>
        </w:tc>
        <w:tc>
          <w:tcPr>
            <w:tcW w:w="827" w:type="pct"/>
            <w:vAlign w:val="center"/>
          </w:tcPr>
          <w:p w14:paraId="300E24A3">
            <w:pPr>
              <w:spacing w:line="252" w:lineRule="exact"/>
              <w:jc w:val="center"/>
              <w:rPr>
                <w:kern w:val="0"/>
                <w:szCs w:val="21"/>
              </w:rPr>
            </w:pPr>
            <w:r>
              <w:rPr>
                <w:rFonts w:hint="eastAsia"/>
                <w:kern w:val="0"/>
                <w:szCs w:val="21"/>
              </w:rPr>
              <w:t>1小时</w:t>
            </w:r>
            <w:r>
              <w:rPr>
                <w:kern w:val="0"/>
                <w:szCs w:val="21"/>
              </w:rPr>
              <w:t>平均</w:t>
            </w:r>
          </w:p>
        </w:tc>
        <w:tc>
          <w:tcPr>
            <w:tcW w:w="1358" w:type="pct"/>
            <w:vAlign w:val="center"/>
          </w:tcPr>
          <w:p w14:paraId="29A05F40">
            <w:pPr>
              <w:spacing w:line="252" w:lineRule="exact"/>
              <w:jc w:val="center"/>
              <w:rPr>
                <w:kern w:val="0"/>
                <w:szCs w:val="21"/>
              </w:rPr>
            </w:pPr>
            <w:r>
              <w:rPr>
                <w:rFonts w:hint="eastAsia"/>
                <w:kern w:val="0"/>
                <w:szCs w:val="21"/>
              </w:rPr>
              <w:t>10</w:t>
            </w:r>
            <w:r>
              <w:rPr>
                <w:kern w:val="0"/>
                <w:szCs w:val="21"/>
              </w:rPr>
              <w:t xml:space="preserve"> mg/m</w:t>
            </w:r>
            <w:r>
              <w:rPr>
                <w:kern w:val="0"/>
                <w:szCs w:val="21"/>
                <w:vertAlign w:val="superscript"/>
              </w:rPr>
              <w:t>3</w:t>
            </w:r>
          </w:p>
        </w:tc>
        <w:tc>
          <w:tcPr>
            <w:tcW w:w="1842" w:type="pct"/>
            <w:vMerge w:val="continue"/>
            <w:vAlign w:val="center"/>
          </w:tcPr>
          <w:p w14:paraId="0872F285">
            <w:pPr>
              <w:spacing w:line="252" w:lineRule="exact"/>
              <w:jc w:val="center"/>
              <w:rPr>
                <w:kern w:val="0"/>
                <w:szCs w:val="21"/>
              </w:rPr>
            </w:pPr>
          </w:p>
        </w:tc>
      </w:tr>
      <w:tr w14:paraId="15D4E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7" w:type="pct"/>
            <w:vMerge w:val="restart"/>
            <w:vAlign w:val="center"/>
          </w:tcPr>
          <w:p w14:paraId="4FF03F06">
            <w:pPr>
              <w:spacing w:line="252" w:lineRule="exact"/>
              <w:jc w:val="center"/>
              <w:rPr>
                <w:kern w:val="0"/>
                <w:szCs w:val="21"/>
              </w:rPr>
            </w:pPr>
            <w:r>
              <w:rPr>
                <w:kern w:val="0"/>
                <w:szCs w:val="21"/>
              </w:rPr>
              <w:t>声环境</w:t>
            </w:r>
          </w:p>
        </w:tc>
        <w:tc>
          <w:tcPr>
            <w:tcW w:w="526" w:type="pct"/>
            <w:vMerge w:val="restart"/>
            <w:vAlign w:val="center"/>
          </w:tcPr>
          <w:p w14:paraId="4EAEB620">
            <w:pPr>
              <w:spacing w:line="252" w:lineRule="exact"/>
              <w:jc w:val="center"/>
              <w:rPr>
                <w:kern w:val="0"/>
                <w:szCs w:val="21"/>
              </w:rPr>
            </w:pPr>
            <w:r>
              <w:rPr>
                <w:kern w:val="0"/>
                <w:szCs w:val="21"/>
              </w:rPr>
              <w:t>LeqdB(A)</w:t>
            </w:r>
          </w:p>
        </w:tc>
        <w:tc>
          <w:tcPr>
            <w:tcW w:w="827" w:type="pct"/>
            <w:vAlign w:val="center"/>
          </w:tcPr>
          <w:p w14:paraId="1F8DC783">
            <w:pPr>
              <w:spacing w:line="252" w:lineRule="exact"/>
              <w:jc w:val="center"/>
              <w:rPr>
                <w:kern w:val="0"/>
                <w:szCs w:val="21"/>
              </w:rPr>
            </w:pPr>
            <w:r>
              <w:rPr>
                <w:kern w:val="0"/>
                <w:szCs w:val="21"/>
              </w:rPr>
              <w:t>昼间</w:t>
            </w:r>
          </w:p>
        </w:tc>
        <w:tc>
          <w:tcPr>
            <w:tcW w:w="1358" w:type="pct"/>
            <w:vAlign w:val="center"/>
          </w:tcPr>
          <w:p w14:paraId="24825658">
            <w:pPr>
              <w:spacing w:line="252" w:lineRule="exact"/>
              <w:jc w:val="center"/>
              <w:rPr>
                <w:kern w:val="0"/>
                <w:szCs w:val="21"/>
              </w:rPr>
            </w:pPr>
            <w:r>
              <w:rPr>
                <w:kern w:val="0"/>
                <w:szCs w:val="21"/>
              </w:rPr>
              <w:t>55</w:t>
            </w:r>
            <w:r>
              <w:rPr>
                <w:rFonts w:hint="eastAsia"/>
                <w:kern w:val="0"/>
                <w:szCs w:val="21"/>
              </w:rPr>
              <w:t>dB（A）</w:t>
            </w:r>
          </w:p>
        </w:tc>
        <w:tc>
          <w:tcPr>
            <w:tcW w:w="1842" w:type="pct"/>
            <w:vMerge w:val="restart"/>
            <w:vAlign w:val="center"/>
          </w:tcPr>
          <w:p w14:paraId="31153668">
            <w:pPr>
              <w:spacing w:line="252" w:lineRule="exact"/>
              <w:jc w:val="center"/>
              <w:rPr>
                <w:kern w:val="0"/>
                <w:szCs w:val="21"/>
              </w:rPr>
            </w:pPr>
            <w:r>
              <w:rPr>
                <w:kern w:val="0"/>
                <w:szCs w:val="21"/>
              </w:rPr>
              <w:t>《声环境质量标准》（GB3096-2008）1</w:t>
            </w:r>
            <w:r>
              <w:rPr>
                <w:rFonts w:hint="eastAsia"/>
                <w:kern w:val="0"/>
                <w:szCs w:val="21"/>
              </w:rPr>
              <w:t>类</w:t>
            </w:r>
          </w:p>
        </w:tc>
      </w:tr>
      <w:tr w14:paraId="511F8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7" w:type="pct"/>
            <w:vMerge w:val="continue"/>
            <w:vAlign w:val="center"/>
          </w:tcPr>
          <w:p w14:paraId="250331C7">
            <w:pPr>
              <w:spacing w:line="252" w:lineRule="exact"/>
              <w:jc w:val="center"/>
              <w:rPr>
                <w:kern w:val="0"/>
                <w:szCs w:val="21"/>
              </w:rPr>
            </w:pPr>
          </w:p>
        </w:tc>
        <w:tc>
          <w:tcPr>
            <w:tcW w:w="526" w:type="pct"/>
            <w:vMerge w:val="continue"/>
            <w:vAlign w:val="center"/>
          </w:tcPr>
          <w:p w14:paraId="06996B20">
            <w:pPr>
              <w:spacing w:line="252" w:lineRule="exact"/>
              <w:jc w:val="center"/>
              <w:rPr>
                <w:kern w:val="0"/>
                <w:szCs w:val="21"/>
              </w:rPr>
            </w:pPr>
          </w:p>
        </w:tc>
        <w:tc>
          <w:tcPr>
            <w:tcW w:w="827" w:type="pct"/>
            <w:vAlign w:val="center"/>
          </w:tcPr>
          <w:p w14:paraId="46AF5735">
            <w:pPr>
              <w:spacing w:line="252" w:lineRule="exact"/>
              <w:jc w:val="center"/>
              <w:rPr>
                <w:kern w:val="0"/>
                <w:szCs w:val="21"/>
              </w:rPr>
            </w:pPr>
            <w:r>
              <w:rPr>
                <w:kern w:val="0"/>
                <w:szCs w:val="21"/>
              </w:rPr>
              <w:t>夜间</w:t>
            </w:r>
          </w:p>
        </w:tc>
        <w:tc>
          <w:tcPr>
            <w:tcW w:w="1358" w:type="pct"/>
            <w:vAlign w:val="center"/>
          </w:tcPr>
          <w:p w14:paraId="5AA031DA">
            <w:pPr>
              <w:spacing w:line="252" w:lineRule="exact"/>
              <w:jc w:val="center"/>
              <w:rPr>
                <w:kern w:val="0"/>
                <w:szCs w:val="21"/>
              </w:rPr>
            </w:pPr>
            <w:r>
              <w:rPr>
                <w:kern w:val="0"/>
                <w:szCs w:val="21"/>
              </w:rPr>
              <w:t>45</w:t>
            </w:r>
            <w:r>
              <w:rPr>
                <w:rFonts w:hint="eastAsia"/>
                <w:kern w:val="0"/>
                <w:szCs w:val="21"/>
              </w:rPr>
              <w:t>dB（A）</w:t>
            </w:r>
          </w:p>
        </w:tc>
        <w:tc>
          <w:tcPr>
            <w:tcW w:w="1842" w:type="pct"/>
            <w:vMerge w:val="continue"/>
            <w:vAlign w:val="center"/>
          </w:tcPr>
          <w:p w14:paraId="64169358">
            <w:pPr>
              <w:spacing w:line="252" w:lineRule="exact"/>
              <w:jc w:val="center"/>
              <w:rPr>
                <w:kern w:val="0"/>
                <w:szCs w:val="21"/>
              </w:rPr>
            </w:pPr>
          </w:p>
        </w:tc>
      </w:tr>
      <w:tr w14:paraId="0C5B0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7" w:type="pct"/>
            <w:vMerge w:val="restart"/>
            <w:vAlign w:val="center"/>
          </w:tcPr>
          <w:p w14:paraId="6695B0CF">
            <w:pPr>
              <w:spacing w:line="252" w:lineRule="exact"/>
              <w:jc w:val="center"/>
              <w:rPr>
                <w:kern w:val="0"/>
                <w:szCs w:val="21"/>
              </w:rPr>
            </w:pPr>
            <w:r>
              <w:rPr>
                <w:rFonts w:hint="eastAsia"/>
                <w:kern w:val="0"/>
                <w:szCs w:val="21"/>
              </w:rPr>
              <w:t>地表水</w:t>
            </w:r>
          </w:p>
        </w:tc>
        <w:tc>
          <w:tcPr>
            <w:tcW w:w="1353" w:type="pct"/>
            <w:gridSpan w:val="2"/>
            <w:vAlign w:val="center"/>
          </w:tcPr>
          <w:p w14:paraId="17ACDE54">
            <w:pPr>
              <w:spacing w:line="252" w:lineRule="exact"/>
              <w:jc w:val="center"/>
              <w:rPr>
                <w:kern w:val="0"/>
                <w:szCs w:val="21"/>
              </w:rPr>
            </w:pPr>
            <w:r>
              <w:rPr>
                <w:rFonts w:hint="eastAsia"/>
                <w:kern w:val="0"/>
                <w:szCs w:val="21"/>
              </w:rPr>
              <w:t>高锰酸盐指数</w:t>
            </w:r>
          </w:p>
        </w:tc>
        <w:tc>
          <w:tcPr>
            <w:tcW w:w="1358" w:type="pct"/>
            <w:vAlign w:val="center"/>
          </w:tcPr>
          <w:p w14:paraId="5DD9E9EC">
            <w:pPr>
              <w:spacing w:line="252" w:lineRule="exact"/>
              <w:jc w:val="center"/>
              <w:rPr>
                <w:kern w:val="0"/>
                <w:szCs w:val="21"/>
              </w:rPr>
            </w:pPr>
            <w:r>
              <w:rPr>
                <w:kern w:val="0"/>
                <w:szCs w:val="21"/>
              </w:rPr>
              <w:t>4mg/L</w:t>
            </w:r>
          </w:p>
        </w:tc>
        <w:tc>
          <w:tcPr>
            <w:tcW w:w="1842" w:type="pct"/>
            <w:vMerge w:val="restart"/>
            <w:vAlign w:val="center"/>
          </w:tcPr>
          <w:p w14:paraId="0BEFDF6D">
            <w:pPr>
              <w:spacing w:line="252" w:lineRule="exact"/>
              <w:jc w:val="center"/>
              <w:rPr>
                <w:kern w:val="0"/>
                <w:szCs w:val="21"/>
              </w:rPr>
            </w:pPr>
            <w:r>
              <w:rPr>
                <w:rFonts w:hint="eastAsia"/>
                <w:kern w:val="0"/>
                <w:szCs w:val="21"/>
              </w:rPr>
              <w:t>《地表水环境质量标准》（GB3838-2002）Ⅱ类标准</w:t>
            </w:r>
          </w:p>
        </w:tc>
      </w:tr>
      <w:tr w14:paraId="6F4EB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7" w:type="pct"/>
            <w:vMerge w:val="continue"/>
            <w:vAlign w:val="center"/>
          </w:tcPr>
          <w:p w14:paraId="667B2A14">
            <w:pPr>
              <w:spacing w:line="252" w:lineRule="exact"/>
              <w:jc w:val="center"/>
              <w:rPr>
                <w:kern w:val="0"/>
                <w:szCs w:val="21"/>
              </w:rPr>
            </w:pPr>
          </w:p>
        </w:tc>
        <w:tc>
          <w:tcPr>
            <w:tcW w:w="1353" w:type="pct"/>
            <w:gridSpan w:val="2"/>
            <w:vAlign w:val="center"/>
          </w:tcPr>
          <w:p w14:paraId="1E0A26CC">
            <w:pPr>
              <w:spacing w:line="252" w:lineRule="exact"/>
              <w:jc w:val="center"/>
              <w:rPr>
                <w:kern w:val="0"/>
                <w:szCs w:val="21"/>
              </w:rPr>
            </w:pPr>
            <w:r>
              <w:rPr>
                <w:kern w:val="0"/>
                <w:szCs w:val="21"/>
                <w:lang w:bidi="ar"/>
              </w:rPr>
              <w:t>化学需氧量</w:t>
            </w:r>
          </w:p>
        </w:tc>
        <w:tc>
          <w:tcPr>
            <w:tcW w:w="1358" w:type="pct"/>
            <w:vAlign w:val="center"/>
          </w:tcPr>
          <w:p w14:paraId="067F184F">
            <w:pPr>
              <w:spacing w:line="252" w:lineRule="exact"/>
              <w:jc w:val="center"/>
              <w:rPr>
                <w:kern w:val="0"/>
                <w:szCs w:val="21"/>
              </w:rPr>
            </w:pPr>
            <w:r>
              <w:rPr>
                <w:kern w:val="0"/>
                <w:szCs w:val="21"/>
              </w:rPr>
              <w:t>15mg/L</w:t>
            </w:r>
          </w:p>
        </w:tc>
        <w:tc>
          <w:tcPr>
            <w:tcW w:w="1842" w:type="pct"/>
            <w:vMerge w:val="continue"/>
            <w:vAlign w:val="center"/>
          </w:tcPr>
          <w:p w14:paraId="54D44B04">
            <w:pPr>
              <w:spacing w:line="252" w:lineRule="exact"/>
              <w:jc w:val="center"/>
              <w:rPr>
                <w:kern w:val="0"/>
                <w:szCs w:val="21"/>
              </w:rPr>
            </w:pPr>
          </w:p>
        </w:tc>
      </w:tr>
      <w:tr w14:paraId="29125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7" w:type="pct"/>
            <w:vMerge w:val="continue"/>
            <w:vAlign w:val="center"/>
          </w:tcPr>
          <w:p w14:paraId="7AF92245">
            <w:pPr>
              <w:spacing w:line="252" w:lineRule="exact"/>
              <w:jc w:val="center"/>
              <w:rPr>
                <w:kern w:val="0"/>
                <w:szCs w:val="21"/>
              </w:rPr>
            </w:pPr>
          </w:p>
        </w:tc>
        <w:tc>
          <w:tcPr>
            <w:tcW w:w="1353" w:type="pct"/>
            <w:gridSpan w:val="2"/>
            <w:vAlign w:val="center"/>
          </w:tcPr>
          <w:p w14:paraId="42A4B790">
            <w:pPr>
              <w:spacing w:line="252" w:lineRule="exact"/>
              <w:jc w:val="center"/>
              <w:rPr>
                <w:kern w:val="0"/>
                <w:szCs w:val="21"/>
              </w:rPr>
            </w:pPr>
            <w:r>
              <w:rPr>
                <w:rFonts w:hint="eastAsia"/>
                <w:kern w:val="0"/>
                <w:szCs w:val="21"/>
              </w:rPr>
              <w:t>氨氮</w:t>
            </w:r>
          </w:p>
        </w:tc>
        <w:tc>
          <w:tcPr>
            <w:tcW w:w="1358" w:type="pct"/>
            <w:vAlign w:val="center"/>
          </w:tcPr>
          <w:p w14:paraId="4422EAF3">
            <w:pPr>
              <w:spacing w:line="252" w:lineRule="exact"/>
              <w:jc w:val="center"/>
              <w:rPr>
                <w:kern w:val="0"/>
                <w:szCs w:val="21"/>
              </w:rPr>
            </w:pPr>
            <w:r>
              <w:rPr>
                <w:kern w:val="0"/>
                <w:szCs w:val="21"/>
              </w:rPr>
              <w:t>0.5 mg/L</w:t>
            </w:r>
          </w:p>
        </w:tc>
        <w:tc>
          <w:tcPr>
            <w:tcW w:w="1842" w:type="pct"/>
            <w:vMerge w:val="continue"/>
            <w:vAlign w:val="center"/>
          </w:tcPr>
          <w:p w14:paraId="0A9C4BBD">
            <w:pPr>
              <w:spacing w:line="252" w:lineRule="exact"/>
              <w:jc w:val="center"/>
              <w:rPr>
                <w:kern w:val="0"/>
                <w:szCs w:val="21"/>
              </w:rPr>
            </w:pPr>
          </w:p>
        </w:tc>
      </w:tr>
      <w:tr w14:paraId="56015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7" w:type="pct"/>
            <w:vMerge w:val="continue"/>
            <w:vAlign w:val="center"/>
          </w:tcPr>
          <w:p w14:paraId="45375B50">
            <w:pPr>
              <w:spacing w:line="252" w:lineRule="exact"/>
              <w:jc w:val="center"/>
              <w:rPr>
                <w:kern w:val="0"/>
                <w:szCs w:val="21"/>
              </w:rPr>
            </w:pPr>
          </w:p>
        </w:tc>
        <w:tc>
          <w:tcPr>
            <w:tcW w:w="1353" w:type="pct"/>
            <w:gridSpan w:val="2"/>
            <w:vAlign w:val="center"/>
          </w:tcPr>
          <w:p w14:paraId="77B6DCE8">
            <w:pPr>
              <w:spacing w:line="252" w:lineRule="exact"/>
              <w:jc w:val="center"/>
              <w:rPr>
                <w:kern w:val="0"/>
                <w:szCs w:val="21"/>
              </w:rPr>
            </w:pPr>
            <w:r>
              <w:rPr>
                <w:rFonts w:hint="eastAsia"/>
                <w:kern w:val="0"/>
                <w:szCs w:val="21"/>
              </w:rPr>
              <w:t>总磷</w:t>
            </w:r>
          </w:p>
        </w:tc>
        <w:tc>
          <w:tcPr>
            <w:tcW w:w="1358" w:type="pct"/>
            <w:vAlign w:val="center"/>
          </w:tcPr>
          <w:p w14:paraId="3D45B01C">
            <w:pPr>
              <w:spacing w:line="252" w:lineRule="exact"/>
              <w:jc w:val="center"/>
              <w:rPr>
                <w:kern w:val="0"/>
                <w:szCs w:val="21"/>
              </w:rPr>
            </w:pPr>
            <w:r>
              <w:rPr>
                <w:kern w:val="0"/>
                <w:szCs w:val="21"/>
              </w:rPr>
              <w:t>0.1mg/L</w:t>
            </w:r>
          </w:p>
        </w:tc>
        <w:tc>
          <w:tcPr>
            <w:tcW w:w="1842" w:type="pct"/>
            <w:vMerge w:val="continue"/>
            <w:vAlign w:val="center"/>
          </w:tcPr>
          <w:p w14:paraId="3581F784">
            <w:pPr>
              <w:spacing w:line="252" w:lineRule="exact"/>
              <w:jc w:val="center"/>
              <w:rPr>
                <w:kern w:val="0"/>
                <w:szCs w:val="21"/>
              </w:rPr>
            </w:pPr>
          </w:p>
        </w:tc>
      </w:tr>
      <w:tr w14:paraId="5CB20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7" w:type="pct"/>
            <w:vMerge w:val="continue"/>
            <w:vAlign w:val="center"/>
          </w:tcPr>
          <w:p w14:paraId="76888BEE">
            <w:pPr>
              <w:spacing w:line="252" w:lineRule="exact"/>
              <w:jc w:val="center"/>
              <w:rPr>
                <w:kern w:val="0"/>
                <w:szCs w:val="21"/>
              </w:rPr>
            </w:pPr>
          </w:p>
        </w:tc>
        <w:tc>
          <w:tcPr>
            <w:tcW w:w="1353" w:type="pct"/>
            <w:gridSpan w:val="2"/>
            <w:vAlign w:val="center"/>
          </w:tcPr>
          <w:p w14:paraId="6F6D179A">
            <w:pPr>
              <w:spacing w:line="252" w:lineRule="exact"/>
              <w:jc w:val="center"/>
              <w:rPr>
                <w:kern w:val="0"/>
                <w:szCs w:val="21"/>
              </w:rPr>
            </w:pPr>
            <w:r>
              <w:rPr>
                <w:rFonts w:hint="eastAsia"/>
                <w:kern w:val="0"/>
                <w:szCs w:val="21"/>
              </w:rPr>
              <w:t>总氮</w:t>
            </w:r>
          </w:p>
        </w:tc>
        <w:tc>
          <w:tcPr>
            <w:tcW w:w="1358" w:type="pct"/>
            <w:vAlign w:val="center"/>
          </w:tcPr>
          <w:p w14:paraId="472F6FBF">
            <w:pPr>
              <w:spacing w:line="252" w:lineRule="exact"/>
              <w:jc w:val="center"/>
              <w:rPr>
                <w:kern w:val="0"/>
                <w:szCs w:val="21"/>
              </w:rPr>
            </w:pPr>
            <w:r>
              <w:rPr>
                <w:kern w:val="0"/>
                <w:szCs w:val="21"/>
              </w:rPr>
              <w:t>6.56mg/L</w:t>
            </w:r>
          </w:p>
        </w:tc>
        <w:tc>
          <w:tcPr>
            <w:tcW w:w="1842" w:type="pct"/>
            <w:vAlign w:val="center"/>
          </w:tcPr>
          <w:p w14:paraId="01DED585">
            <w:pPr>
              <w:spacing w:line="252" w:lineRule="exact"/>
              <w:jc w:val="center"/>
              <w:rPr>
                <w:kern w:val="0"/>
                <w:szCs w:val="21"/>
              </w:rPr>
            </w:pPr>
            <w:r>
              <w:rPr>
                <w:rFonts w:hint="eastAsia"/>
                <w:kern w:val="0"/>
                <w:szCs w:val="21"/>
              </w:rPr>
              <w:t>参照执行《密云水库上游潮白河流域水源涵养区横向生态保护补偿协议（2021-2025年）》</w:t>
            </w:r>
          </w:p>
        </w:tc>
      </w:tr>
      <w:tr w14:paraId="43E99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7" w:type="pct"/>
            <w:vMerge w:val="restart"/>
            <w:vAlign w:val="center"/>
          </w:tcPr>
          <w:p w14:paraId="7089C5E6">
            <w:pPr>
              <w:spacing w:line="252" w:lineRule="exact"/>
              <w:jc w:val="center"/>
              <w:rPr>
                <w:kern w:val="0"/>
                <w:szCs w:val="21"/>
              </w:rPr>
            </w:pPr>
            <w:r>
              <w:rPr>
                <w:kern w:val="0"/>
                <w:szCs w:val="21"/>
              </w:rPr>
              <w:t>地下水</w:t>
            </w:r>
          </w:p>
        </w:tc>
        <w:tc>
          <w:tcPr>
            <w:tcW w:w="1353" w:type="pct"/>
            <w:gridSpan w:val="2"/>
            <w:vAlign w:val="center"/>
          </w:tcPr>
          <w:p w14:paraId="707A03CF">
            <w:pPr>
              <w:spacing w:line="252" w:lineRule="exact"/>
              <w:jc w:val="center"/>
              <w:rPr>
                <w:kern w:val="0"/>
                <w:szCs w:val="21"/>
              </w:rPr>
            </w:pPr>
            <w:r>
              <w:rPr>
                <w:rFonts w:hint="eastAsia"/>
                <w:kern w:val="0"/>
                <w:szCs w:val="21"/>
              </w:rPr>
              <w:t>色</w:t>
            </w:r>
          </w:p>
        </w:tc>
        <w:tc>
          <w:tcPr>
            <w:tcW w:w="1358" w:type="pct"/>
            <w:vAlign w:val="center"/>
          </w:tcPr>
          <w:p w14:paraId="13F114C3">
            <w:pPr>
              <w:spacing w:line="252" w:lineRule="exact"/>
              <w:jc w:val="center"/>
              <w:rPr>
                <w:kern w:val="0"/>
                <w:szCs w:val="21"/>
              </w:rPr>
            </w:pPr>
            <w:r>
              <w:rPr>
                <w:rFonts w:hint="eastAsia"/>
                <w:kern w:val="0"/>
                <w:szCs w:val="21"/>
              </w:rPr>
              <w:t>1</w:t>
            </w:r>
            <w:r>
              <w:rPr>
                <w:kern w:val="0"/>
                <w:szCs w:val="21"/>
              </w:rPr>
              <w:t>5</w:t>
            </w:r>
          </w:p>
        </w:tc>
        <w:tc>
          <w:tcPr>
            <w:tcW w:w="1842" w:type="pct"/>
            <w:vMerge w:val="restart"/>
            <w:vAlign w:val="center"/>
          </w:tcPr>
          <w:p w14:paraId="22B63A5C">
            <w:pPr>
              <w:spacing w:line="252" w:lineRule="exact"/>
              <w:jc w:val="center"/>
              <w:rPr>
                <w:kern w:val="0"/>
                <w:szCs w:val="21"/>
              </w:rPr>
            </w:pPr>
            <w:r>
              <w:rPr>
                <w:kern w:val="0"/>
                <w:szCs w:val="21"/>
              </w:rPr>
              <w:t>《地下水质量标准》（GB/T14848-2017）</w:t>
            </w:r>
            <w:r>
              <w:rPr>
                <w:rFonts w:hint="eastAsia" w:ascii="宋体" w:hAnsi="宋体" w:cs="宋体"/>
                <w:kern w:val="0"/>
                <w:szCs w:val="21"/>
              </w:rPr>
              <w:t>Ⅲ</w:t>
            </w:r>
            <w:r>
              <w:rPr>
                <w:kern w:val="0"/>
                <w:szCs w:val="21"/>
              </w:rPr>
              <w:t>类标准</w:t>
            </w:r>
          </w:p>
        </w:tc>
      </w:tr>
      <w:tr w14:paraId="69802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7" w:type="pct"/>
            <w:vMerge w:val="continue"/>
            <w:vAlign w:val="center"/>
          </w:tcPr>
          <w:p w14:paraId="196D670F">
            <w:pPr>
              <w:spacing w:line="252" w:lineRule="exact"/>
              <w:jc w:val="center"/>
              <w:rPr>
                <w:kern w:val="0"/>
                <w:szCs w:val="21"/>
              </w:rPr>
            </w:pPr>
          </w:p>
        </w:tc>
        <w:tc>
          <w:tcPr>
            <w:tcW w:w="1353" w:type="pct"/>
            <w:gridSpan w:val="2"/>
            <w:vAlign w:val="center"/>
          </w:tcPr>
          <w:p w14:paraId="15176BCA">
            <w:pPr>
              <w:spacing w:line="252" w:lineRule="exact"/>
              <w:jc w:val="center"/>
              <w:rPr>
                <w:kern w:val="0"/>
                <w:szCs w:val="21"/>
              </w:rPr>
            </w:pPr>
            <w:r>
              <w:rPr>
                <w:rFonts w:hint="eastAsia"/>
                <w:kern w:val="0"/>
                <w:szCs w:val="21"/>
              </w:rPr>
              <w:t>嗅和味</w:t>
            </w:r>
          </w:p>
        </w:tc>
        <w:tc>
          <w:tcPr>
            <w:tcW w:w="1358" w:type="pct"/>
            <w:vAlign w:val="center"/>
          </w:tcPr>
          <w:p w14:paraId="3E8EE6D8">
            <w:pPr>
              <w:spacing w:line="252" w:lineRule="exact"/>
              <w:jc w:val="center"/>
              <w:rPr>
                <w:kern w:val="0"/>
                <w:szCs w:val="21"/>
              </w:rPr>
            </w:pPr>
            <w:r>
              <w:rPr>
                <w:rFonts w:hint="eastAsia"/>
                <w:kern w:val="0"/>
                <w:szCs w:val="21"/>
              </w:rPr>
              <w:t>无</w:t>
            </w:r>
          </w:p>
        </w:tc>
        <w:tc>
          <w:tcPr>
            <w:tcW w:w="1842" w:type="pct"/>
            <w:vMerge w:val="continue"/>
            <w:vAlign w:val="center"/>
          </w:tcPr>
          <w:p w14:paraId="0B3ACABB">
            <w:pPr>
              <w:spacing w:line="252" w:lineRule="exact"/>
              <w:jc w:val="center"/>
              <w:rPr>
                <w:kern w:val="0"/>
                <w:szCs w:val="21"/>
              </w:rPr>
            </w:pPr>
          </w:p>
        </w:tc>
      </w:tr>
      <w:tr w14:paraId="0CE4D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7" w:type="pct"/>
            <w:vMerge w:val="continue"/>
            <w:vAlign w:val="center"/>
          </w:tcPr>
          <w:p w14:paraId="090B0687">
            <w:pPr>
              <w:spacing w:line="252" w:lineRule="exact"/>
              <w:jc w:val="center"/>
              <w:rPr>
                <w:kern w:val="0"/>
                <w:szCs w:val="21"/>
              </w:rPr>
            </w:pPr>
          </w:p>
        </w:tc>
        <w:tc>
          <w:tcPr>
            <w:tcW w:w="1353" w:type="pct"/>
            <w:gridSpan w:val="2"/>
            <w:vAlign w:val="center"/>
          </w:tcPr>
          <w:p w14:paraId="07062883">
            <w:pPr>
              <w:spacing w:line="252" w:lineRule="exact"/>
              <w:jc w:val="center"/>
              <w:rPr>
                <w:kern w:val="0"/>
                <w:szCs w:val="21"/>
              </w:rPr>
            </w:pPr>
            <w:r>
              <w:rPr>
                <w:rFonts w:hint="eastAsia"/>
                <w:kern w:val="0"/>
                <w:szCs w:val="21"/>
              </w:rPr>
              <w:t>浑浊度/NTU</w:t>
            </w:r>
          </w:p>
        </w:tc>
        <w:tc>
          <w:tcPr>
            <w:tcW w:w="1358" w:type="pct"/>
            <w:vAlign w:val="center"/>
          </w:tcPr>
          <w:p w14:paraId="124CD74D">
            <w:pPr>
              <w:spacing w:line="252" w:lineRule="exact"/>
              <w:jc w:val="center"/>
              <w:rPr>
                <w:kern w:val="0"/>
                <w:szCs w:val="21"/>
              </w:rPr>
            </w:pPr>
            <w:r>
              <w:rPr>
                <w:rFonts w:hint="eastAsia"/>
                <w:kern w:val="0"/>
                <w:szCs w:val="21"/>
              </w:rPr>
              <w:t>3</w:t>
            </w:r>
          </w:p>
        </w:tc>
        <w:tc>
          <w:tcPr>
            <w:tcW w:w="1842" w:type="pct"/>
            <w:vMerge w:val="continue"/>
            <w:vAlign w:val="center"/>
          </w:tcPr>
          <w:p w14:paraId="28EC50CF">
            <w:pPr>
              <w:spacing w:line="252" w:lineRule="exact"/>
              <w:jc w:val="center"/>
              <w:rPr>
                <w:kern w:val="0"/>
                <w:szCs w:val="21"/>
              </w:rPr>
            </w:pPr>
          </w:p>
        </w:tc>
      </w:tr>
      <w:tr w14:paraId="404F3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7" w:type="pct"/>
            <w:vMerge w:val="continue"/>
            <w:vAlign w:val="center"/>
          </w:tcPr>
          <w:p w14:paraId="0D46DD60">
            <w:pPr>
              <w:spacing w:line="252" w:lineRule="exact"/>
              <w:jc w:val="center"/>
              <w:rPr>
                <w:kern w:val="0"/>
                <w:szCs w:val="21"/>
              </w:rPr>
            </w:pPr>
          </w:p>
        </w:tc>
        <w:tc>
          <w:tcPr>
            <w:tcW w:w="1353" w:type="pct"/>
            <w:gridSpan w:val="2"/>
            <w:vAlign w:val="center"/>
          </w:tcPr>
          <w:p w14:paraId="72A75455">
            <w:pPr>
              <w:spacing w:line="252" w:lineRule="exact"/>
              <w:jc w:val="center"/>
              <w:rPr>
                <w:kern w:val="0"/>
                <w:szCs w:val="21"/>
              </w:rPr>
            </w:pPr>
            <w:r>
              <w:rPr>
                <w:rFonts w:hint="eastAsia"/>
                <w:kern w:val="0"/>
                <w:szCs w:val="21"/>
              </w:rPr>
              <w:t>肉眼可见物</w:t>
            </w:r>
          </w:p>
        </w:tc>
        <w:tc>
          <w:tcPr>
            <w:tcW w:w="1358" w:type="pct"/>
            <w:vAlign w:val="center"/>
          </w:tcPr>
          <w:p w14:paraId="185B4461">
            <w:pPr>
              <w:spacing w:line="252" w:lineRule="exact"/>
              <w:jc w:val="center"/>
              <w:rPr>
                <w:kern w:val="0"/>
                <w:szCs w:val="21"/>
              </w:rPr>
            </w:pPr>
            <w:r>
              <w:rPr>
                <w:rFonts w:hint="eastAsia"/>
                <w:kern w:val="0"/>
                <w:szCs w:val="21"/>
              </w:rPr>
              <w:t>无</w:t>
            </w:r>
          </w:p>
        </w:tc>
        <w:tc>
          <w:tcPr>
            <w:tcW w:w="1842" w:type="pct"/>
            <w:vMerge w:val="continue"/>
            <w:vAlign w:val="center"/>
          </w:tcPr>
          <w:p w14:paraId="005B0EB1">
            <w:pPr>
              <w:spacing w:line="252" w:lineRule="exact"/>
              <w:jc w:val="center"/>
              <w:rPr>
                <w:kern w:val="0"/>
                <w:szCs w:val="21"/>
              </w:rPr>
            </w:pPr>
          </w:p>
        </w:tc>
      </w:tr>
      <w:tr w14:paraId="0B585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 w:hRule="atLeast"/>
          <w:jc w:val="center"/>
        </w:trPr>
        <w:tc>
          <w:tcPr>
            <w:tcW w:w="447" w:type="pct"/>
            <w:vMerge w:val="continue"/>
            <w:vAlign w:val="center"/>
          </w:tcPr>
          <w:p w14:paraId="1AC44083">
            <w:pPr>
              <w:spacing w:line="252" w:lineRule="exact"/>
              <w:jc w:val="center"/>
              <w:rPr>
                <w:kern w:val="0"/>
                <w:szCs w:val="21"/>
              </w:rPr>
            </w:pPr>
          </w:p>
        </w:tc>
        <w:tc>
          <w:tcPr>
            <w:tcW w:w="1353" w:type="pct"/>
            <w:gridSpan w:val="2"/>
            <w:vAlign w:val="center"/>
          </w:tcPr>
          <w:p w14:paraId="75EB991C">
            <w:pPr>
              <w:spacing w:line="252" w:lineRule="exact"/>
              <w:jc w:val="center"/>
              <w:rPr>
                <w:kern w:val="0"/>
                <w:szCs w:val="21"/>
              </w:rPr>
            </w:pPr>
            <w:r>
              <w:rPr>
                <w:kern w:val="0"/>
                <w:szCs w:val="21"/>
              </w:rPr>
              <w:t>pH</w:t>
            </w:r>
          </w:p>
        </w:tc>
        <w:tc>
          <w:tcPr>
            <w:tcW w:w="1358" w:type="pct"/>
            <w:vAlign w:val="center"/>
          </w:tcPr>
          <w:p w14:paraId="6A5DB7DD">
            <w:pPr>
              <w:spacing w:line="252" w:lineRule="exact"/>
              <w:jc w:val="center"/>
              <w:rPr>
                <w:kern w:val="0"/>
                <w:szCs w:val="21"/>
              </w:rPr>
            </w:pPr>
            <w:r>
              <w:rPr>
                <w:kern w:val="0"/>
                <w:szCs w:val="21"/>
              </w:rPr>
              <w:t>6.5～8.5</w:t>
            </w:r>
          </w:p>
        </w:tc>
        <w:tc>
          <w:tcPr>
            <w:tcW w:w="1842" w:type="pct"/>
            <w:vMerge w:val="continue"/>
            <w:vAlign w:val="center"/>
          </w:tcPr>
          <w:p w14:paraId="28637A52">
            <w:pPr>
              <w:spacing w:line="252" w:lineRule="exact"/>
              <w:jc w:val="center"/>
              <w:rPr>
                <w:kern w:val="0"/>
                <w:szCs w:val="21"/>
              </w:rPr>
            </w:pPr>
          </w:p>
        </w:tc>
      </w:tr>
      <w:tr w14:paraId="15EFB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 w:hRule="atLeast"/>
          <w:jc w:val="center"/>
        </w:trPr>
        <w:tc>
          <w:tcPr>
            <w:tcW w:w="447" w:type="pct"/>
            <w:vMerge w:val="continue"/>
            <w:vAlign w:val="center"/>
          </w:tcPr>
          <w:p w14:paraId="06899F4C">
            <w:pPr>
              <w:spacing w:line="252" w:lineRule="exact"/>
              <w:jc w:val="center"/>
              <w:rPr>
                <w:kern w:val="0"/>
                <w:szCs w:val="21"/>
              </w:rPr>
            </w:pPr>
          </w:p>
        </w:tc>
        <w:tc>
          <w:tcPr>
            <w:tcW w:w="1353" w:type="pct"/>
            <w:gridSpan w:val="2"/>
            <w:vAlign w:val="center"/>
          </w:tcPr>
          <w:p w14:paraId="68B0EA1E">
            <w:pPr>
              <w:spacing w:line="252" w:lineRule="exact"/>
              <w:jc w:val="center"/>
              <w:rPr>
                <w:kern w:val="0"/>
                <w:szCs w:val="21"/>
              </w:rPr>
            </w:pPr>
            <w:r>
              <w:rPr>
                <w:rFonts w:hint="eastAsia"/>
                <w:kern w:val="0"/>
                <w:szCs w:val="21"/>
              </w:rPr>
              <w:t>总硬度</w:t>
            </w:r>
          </w:p>
        </w:tc>
        <w:tc>
          <w:tcPr>
            <w:tcW w:w="1358" w:type="pct"/>
            <w:vAlign w:val="center"/>
          </w:tcPr>
          <w:p w14:paraId="661273FC">
            <w:pPr>
              <w:spacing w:line="252" w:lineRule="exact"/>
              <w:jc w:val="center"/>
              <w:rPr>
                <w:kern w:val="0"/>
                <w:szCs w:val="21"/>
              </w:rPr>
            </w:pPr>
            <w:r>
              <w:rPr>
                <w:rFonts w:hint="eastAsia"/>
                <w:kern w:val="0"/>
                <w:szCs w:val="21"/>
              </w:rPr>
              <w:t>450</w:t>
            </w:r>
            <w:r>
              <w:rPr>
                <w:kern w:val="0"/>
                <w:szCs w:val="21"/>
              </w:rPr>
              <w:t>mg/L</w:t>
            </w:r>
          </w:p>
        </w:tc>
        <w:tc>
          <w:tcPr>
            <w:tcW w:w="1842" w:type="pct"/>
            <w:vMerge w:val="continue"/>
            <w:vAlign w:val="center"/>
          </w:tcPr>
          <w:p w14:paraId="6CF88ABF">
            <w:pPr>
              <w:spacing w:line="252" w:lineRule="exact"/>
              <w:jc w:val="center"/>
              <w:rPr>
                <w:kern w:val="0"/>
                <w:szCs w:val="21"/>
              </w:rPr>
            </w:pPr>
          </w:p>
        </w:tc>
      </w:tr>
      <w:tr w14:paraId="73C54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 w:hRule="atLeast"/>
          <w:jc w:val="center"/>
        </w:trPr>
        <w:tc>
          <w:tcPr>
            <w:tcW w:w="447" w:type="pct"/>
            <w:vMerge w:val="continue"/>
            <w:vAlign w:val="center"/>
          </w:tcPr>
          <w:p w14:paraId="02F7D937">
            <w:pPr>
              <w:spacing w:line="252" w:lineRule="exact"/>
              <w:jc w:val="center"/>
              <w:rPr>
                <w:kern w:val="0"/>
                <w:szCs w:val="21"/>
              </w:rPr>
            </w:pPr>
          </w:p>
        </w:tc>
        <w:tc>
          <w:tcPr>
            <w:tcW w:w="1353" w:type="pct"/>
            <w:gridSpan w:val="2"/>
            <w:vAlign w:val="center"/>
          </w:tcPr>
          <w:p w14:paraId="7954D1C4">
            <w:pPr>
              <w:spacing w:line="252" w:lineRule="exact"/>
              <w:jc w:val="center"/>
              <w:rPr>
                <w:kern w:val="0"/>
                <w:szCs w:val="21"/>
              </w:rPr>
            </w:pPr>
            <w:r>
              <w:rPr>
                <w:kern w:val="0"/>
                <w:szCs w:val="21"/>
              </w:rPr>
              <w:t>溶解性总固体</w:t>
            </w:r>
          </w:p>
        </w:tc>
        <w:tc>
          <w:tcPr>
            <w:tcW w:w="1358" w:type="pct"/>
            <w:vAlign w:val="center"/>
          </w:tcPr>
          <w:p w14:paraId="460054A6">
            <w:pPr>
              <w:spacing w:line="252" w:lineRule="exact"/>
              <w:jc w:val="center"/>
              <w:rPr>
                <w:kern w:val="0"/>
                <w:szCs w:val="21"/>
              </w:rPr>
            </w:pPr>
            <w:r>
              <w:rPr>
                <w:kern w:val="0"/>
                <w:szCs w:val="21"/>
              </w:rPr>
              <w:t>1000mg/L</w:t>
            </w:r>
          </w:p>
        </w:tc>
        <w:tc>
          <w:tcPr>
            <w:tcW w:w="1842" w:type="pct"/>
            <w:vMerge w:val="continue"/>
            <w:vAlign w:val="center"/>
          </w:tcPr>
          <w:p w14:paraId="15BC4C3C">
            <w:pPr>
              <w:spacing w:line="252" w:lineRule="exact"/>
              <w:jc w:val="center"/>
              <w:rPr>
                <w:kern w:val="0"/>
                <w:szCs w:val="21"/>
              </w:rPr>
            </w:pPr>
          </w:p>
        </w:tc>
      </w:tr>
      <w:tr w14:paraId="68429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 w:hRule="atLeast"/>
          <w:jc w:val="center"/>
        </w:trPr>
        <w:tc>
          <w:tcPr>
            <w:tcW w:w="447" w:type="pct"/>
            <w:vMerge w:val="continue"/>
            <w:vAlign w:val="center"/>
          </w:tcPr>
          <w:p w14:paraId="7C09EF76">
            <w:pPr>
              <w:spacing w:line="252" w:lineRule="exact"/>
              <w:jc w:val="center"/>
              <w:rPr>
                <w:kern w:val="0"/>
                <w:szCs w:val="21"/>
              </w:rPr>
            </w:pPr>
          </w:p>
        </w:tc>
        <w:tc>
          <w:tcPr>
            <w:tcW w:w="1353" w:type="pct"/>
            <w:gridSpan w:val="2"/>
            <w:vAlign w:val="center"/>
          </w:tcPr>
          <w:p w14:paraId="24347DF3">
            <w:pPr>
              <w:spacing w:line="252" w:lineRule="exact"/>
              <w:jc w:val="center"/>
              <w:rPr>
                <w:kern w:val="0"/>
                <w:szCs w:val="21"/>
              </w:rPr>
            </w:pPr>
            <w:r>
              <w:rPr>
                <w:rFonts w:hint="eastAsia"/>
                <w:kern w:val="0"/>
                <w:szCs w:val="21"/>
              </w:rPr>
              <w:t>硫酸盐</w:t>
            </w:r>
          </w:p>
        </w:tc>
        <w:tc>
          <w:tcPr>
            <w:tcW w:w="1358" w:type="pct"/>
            <w:vAlign w:val="center"/>
          </w:tcPr>
          <w:p w14:paraId="0CD0A554">
            <w:pPr>
              <w:spacing w:line="252" w:lineRule="exact"/>
              <w:jc w:val="center"/>
              <w:rPr>
                <w:kern w:val="0"/>
                <w:szCs w:val="21"/>
              </w:rPr>
            </w:pPr>
            <w:r>
              <w:rPr>
                <w:rFonts w:hint="eastAsia"/>
                <w:kern w:val="0"/>
                <w:szCs w:val="21"/>
              </w:rPr>
              <w:t>250</w:t>
            </w:r>
            <w:r>
              <w:rPr>
                <w:kern w:val="0"/>
                <w:szCs w:val="21"/>
              </w:rPr>
              <w:t xml:space="preserve"> mg/L</w:t>
            </w:r>
          </w:p>
        </w:tc>
        <w:tc>
          <w:tcPr>
            <w:tcW w:w="1842" w:type="pct"/>
            <w:vMerge w:val="continue"/>
            <w:vAlign w:val="center"/>
          </w:tcPr>
          <w:p w14:paraId="3B633705">
            <w:pPr>
              <w:spacing w:line="252" w:lineRule="exact"/>
              <w:jc w:val="center"/>
              <w:rPr>
                <w:kern w:val="0"/>
                <w:szCs w:val="21"/>
              </w:rPr>
            </w:pPr>
          </w:p>
        </w:tc>
      </w:tr>
      <w:tr w14:paraId="599D3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 w:hRule="atLeast"/>
          <w:jc w:val="center"/>
        </w:trPr>
        <w:tc>
          <w:tcPr>
            <w:tcW w:w="447" w:type="pct"/>
            <w:vMerge w:val="continue"/>
            <w:vAlign w:val="center"/>
          </w:tcPr>
          <w:p w14:paraId="1783659F">
            <w:pPr>
              <w:spacing w:line="252" w:lineRule="exact"/>
              <w:jc w:val="center"/>
              <w:rPr>
                <w:kern w:val="0"/>
                <w:szCs w:val="21"/>
              </w:rPr>
            </w:pPr>
          </w:p>
        </w:tc>
        <w:tc>
          <w:tcPr>
            <w:tcW w:w="1353" w:type="pct"/>
            <w:gridSpan w:val="2"/>
            <w:vAlign w:val="center"/>
          </w:tcPr>
          <w:p w14:paraId="26DE34F1">
            <w:pPr>
              <w:spacing w:line="252" w:lineRule="exact"/>
              <w:jc w:val="center"/>
              <w:rPr>
                <w:kern w:val="0"/>
                <w:szCs w:val="21"/>
              </w:rPr>
            </w:pPr>
            <w:r>
              <w:rPr>
                <w:kern w:val="0"/>
                <w:szCs w:val="21"/>
              </w:rPr>
              <w:t>氯化物</w:t>
            </w:r>
          </w:p>
        </w:tc>
        <w:tc>
          <w:tcPr>
            <w:tcW w:w="1358" w:type="pct"/>
            <w:vAlign w:val="center"/>
          </w:tcPr>
          <w:p w14:paraId="35A1D386">
            <w:pPr>
              <w:spacing w:line="252" w:lineRule="exact"/>
              <w:jc w:val="center"/>
              <w:rPr>
                <w:kern w:val="0"/>
                <w:szCs w:val="21"/>
              </w:rPr>
            </w:pPr>
            <w:r>
              <w:rPr>
                <w:kern w:val="0"/>
                <w:szCs w:val="21"/>
              </w:rPr>
              <w:t>250mg/L</w:t>
            </w:r>
          </w:p>
        </w:tc>
        <w:tc>
          <w:tcPr>
            <w:tcW w:w="1842" w:type="pct"/>
            <w:vMerge w:val="continue"/>
            <w:vAlign w:val="center"/>
          </w:tcPr>
          <w:p w14:paraId="1C3C8A95">
            <w:pPr>
              <w:spacing w:line="252" w:lineRule="exact"/>
              <w:jc w:val="center"/>
              <w:rPr>
                <w:kern w:val="0"/>
                <w:szCs w:val="21"/>
              </w:rPr>
            </w:pPr>
          </w:p>
        </w:tc>
      </w:tr>
      <w:tr w14:paraId="08A1A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 w:hRule="atLeast"/>
          <w:jc w:val="center"/>
        </w:trPr>
        <w:tc>
          <w:tcPr>
            <w:tcW w:w="447" w:type="pct"/>
            <w:vMerge w:val="continue"/>
            <w:vAlign w:val="center"/>
          </w:tcPr>
          <w:p w14:paraId="143FA998">
            <w:pPr>
              <w:spacing w:line="252" w:lineRule="exact"/>
              <w:jc w:val="center"/>
              <w:rPr>
                <w:kern w:val="0"/>
                <w:szCs w:val="21"/>
              </w:rPr>
            </w:pPr>
          </w:p>
        </w:tc>
        <w:tc>
          <w:tcPr>
            <w:tcW w:w="1353" w:type="pct"/>
            <w:gridSpan w:val="2"/>
            <w:vAlign w:val="center"/>
          </w:tcPr>
          <w:p w14:paraId="6959F259">
            <w:pPr>
              <w:spacing w:line="252" w:lineRule="exact"/>
              <w:jc w:val="center"/>
              <w:rPr>
                <w:kern w:val="0"/>
                <w:szCs w:val="21"/>
              </w:rPr>
            </w:pPr>
            <w:r>
              <w:rPr>
                <w:rFonts w:hint="eastAsia"/>
                <w:kern w:val="0"/>
                <w:szCs w:val="21"/>
              </w:rPr>
              <w:t>铁</w:t>
            </w:r>
          </w:p>
        </w:tc>
        <w:tc>
          <w:tcPr>
            <w:tcW w:w="1358" w:type="pct"/>
            <w:vAlign w:val="center"/>
          </w:tcPr>
          <w:p w14:paraId="3AB34122">
            <w:pPr>
              <w:spacing w:line="252" w:lineRule="exact"/>
              <w:jc w:val="center"/>
              <w:rPr>
                <w:kern w:val="0"/>
                <w:szCs w:val="21"/>
              </w:rPr>
            </w:pPr>
            <w:r>
              <w:rPr>
                <w:kern w:val="0"/>
                <w:szCs w:val="21"/>
              </w:rPr>
              <w:t>0.3mg/L</w:t>
            </w:r>
          </w:p>
        </w:tc>
        <w:tc>
          <w:tcPr>
            <w:tcW w:w="1842" w:type="pct"/>
            <w:vMerge w:val="continue"/>
            <w:vAlign w:val="center"/>
          </w:tcPr>
          <w:p w14:paraId="09D69869">
            <w:pPr>
              <w:spacing w:line="252" w:lineRule="exact"/>
              <w:jc w:val="center"/>
              <w:rPr>
                <w:kern w:val="0"/>
                <w:szCs w:val="21"/>
              </w:rPr>
            </w:pPr>
          </w:p>
        </w:tc>
      </w:tr>
      <w:tr w14:paraId="23264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 w:hRule="atLeast"/>
          <w:jc w:val="center"/>
        </w:trPr>
        <w:tc>
          <w:tcPr>
            <w:tcW w:w="447" w:type="pct"/>
            <w:vMerge w:val="continue"/>
            <w:vAlign w:val="center"/>
          </w:tcPr>
          <w:p w14:paraId="1D26A649">
            <w:pPr>
              <w:spacing w:line="252" w:lineRule="exact"/>
              <w:jc w:val="center"/>
              <w:rPr>
                <w:kern w:val="0"/>
                <w:szCs w:val="21"/>
              </w:rPr>
            </w:pPr>
          </w:p>
        </w:tc>
        <w:tc>
          <w:tcPr>
            <w:tcW w:w="1353" w:type="pct"/>
            <w:gridSpan w:val="2"/>
            <w:vAlign w:val="center"/>
          </w:tcPr>
          <w:p w14:paraId="6EC606D3">
            <w:pPr>
              <w:spacing w:line="252" w:lineRule="exact"/>
              <w:jc w:val="center"/>
              <w:rPr>
                <w:kern w:val="0"/>
                <w:szCs w:val="21"/>
              </w:rPr>
            </w:pPr>
            <w:r>
              <w:rPr>
                <w:rFonts w:hint="eastAsia"/>
                <w:kern w:val="0"/>
                <w:szCs w:val="21"/>
              </w:rPr>
              <w:t>锰</w:t>
            </w:r>
          </w:p>
        </w:tc>
        <w:tc>
          <w:tcPr>
            <w:tcW w:w="1358" w:type="pct"/>
            <w:vAlign w:val="center"/>
          </w:tcPr>
          <w:p w14:paraId="3E00B15B">
            <w:pPr>
              <w:spacing w:line="252" w:lineRule="exact"/>
              <w:jc w:val="center"/>
              <w:rPr>
                <w:kern w:val="0"/>
                <w:szCs w:val="21"/>
              </w:rPr>
            </w:pPr>
            <w:r>
              <w:rPr>
                <w:kern w:val="0"/>
                <w:szCs w:val="21"/>
              </w:rPr>
              <w:t>0.1mg/L</w:t>
            </w:r>
          </w:p>
        </w:tc>
        <w:tc>
          <w:tcPr>
            <w:tcW w:w="1842" w:type="pct"/>
            <w:vMerge w:val="continue"/>
            <w:vAlign w:val="center"/>
          </w:tcPr>
          <w:p w14:paraId="3BA0CEB2">
            <w:pPr>
              <w:spacing w:line="252" w:lineRule="exact"/>
              <w:jc w:val="center"/>
              <w:rPr>
                <w:kern w:val="0"/>
                <w:szCs w:val="21"/>
              </w:rPr>
            </w:pPr>
          </w:p>
        </w:tc>
      </w:tr>
      <w:tr w14:paraId="627E3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47" w:type="pct"/>
            <w:vMerge w:val="continue"/>
            <w:vAlign w:val="center"/>
          </w:tcPr>
          <w:p w14:paraId="57304680">
            <w:pPr>
              <w:spacing w:line="252" w:lineRule="exact"/>
              <w:jc w:val="center"/>
              <w:rPr>
                <w:kern w:val="0"/>
                <w:szCs w:val="21"/>
              </w:rPr>
            </w:pPr>
          </w:p>
        </w:tc>
        <w:tc>
          <w:tcPr>
            <w:tcW w:w="1353" w:type="pct"/>
            <w:gridSpan w:val="2"/>
            <w:vAlign w:val="center"/>
          </w:tcPr>
          <w:p w14:paraId="720D8EB0">
            <w:pPr>
              <w:spacing w:line="252" w:lineRule="exact"/>
              <w:jc w:val="center"/>
              <w:rPr>
                <w:kern w:val="0"/>
                <w:szCs w:val="21"/>
              </w:rPr>
            </w:pPr>
            <w:r>
              <w:rPr>
                <w:rFonts w:hint="eastAsia"/>
                <w:kern w:val="0"/>
                <w:szCs w:val="21"/>
              </w:rPr>
              <w:t>铜</w:t>
            </w:r>
          </w:p>
        </w:tc>
        <w:tc>
          <w:tcPr>
            <w:tcW w:w="1358" w:type="pct"/>
            <w:vAlign w:val="center"/>
          </w:tcPr>
          <w:p w14:paraId="0D27EF40">
            <w:pPr>
              <w:spacing w:line="252" w:lineRule="exact"/>
              <w:jc w:val="center"/>
              <w:rPr>
                <w:kern w:val="0"/>
                <w:szCs w:val="21"/>
              </w:rPr>
            </w:pPr>
            <w:r>
              <w:rPr>
                <w:kern w:val="0"/>
                <w:szCs w:val="21"/>
              </w:rPr>
              <w:t>1mg/L</w:t>
            </w:r>
          </w:p>
        </w:tc>
        <w:tc>
          <w:tcPr>
            <w:tcW w:w="1842" w:type="pct"/>
            <w:vMerge w:val="continue"/>
            <w:vAlign w:val="center"/>
          </w:tcPr>
          <w:p w14:paraId="501220B9">
            <w:pPr>
              <w:spacing w:line="252" w:lineRule="exact"/>
              <w:jc w:val="center"/>
              <w:rPr>
                <w:kern w:val="0"/>
                <w:szCs w:val="21"/>
              </w:rPr>
            </w:pPr>
          </w:p>
        </w:tc>
      </w:tr>
      <w:tr w14:paraId="1A9F1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47" w:type="pct"/>
            <w:vMerge w:val="continue"/>
            <w:vAlign w:val="center"/>
          </w:tcPr>
          <w:p w14:paraId="1EC6C18B">
            <w:pPr>
              <w:spacing w:line="252" w:lineRule="exact"/>
              <w:jc w:val="center"/>
              <w:rPr>
                <w:kern w:val="0"/>
                <w:szCs w:val="21"/>
              </w:rPr>
            </w:pPr>
          </w:p>
        </w:tc>
        <w:tc>
          <w:tcPr>
            <w:tcW w:w="1353" w:type="pct"/>
            <w:gridSpan w:val="2"/>
            <w:vAlign w:val="center"/>
          </w:tcPr>
          <w:p w14:paraId="49FBA858">
            <w:pPr>
              <w:spacing w:line="252" w:lineRule="exact"/>
              <w:jc w:val="center"/>
              <w:rPr>
                <w:kern w:val="0"/>
                <w:szCs w:val="21"/>
              </w:rPr>
            </w:pPr>
            <w:r>
              <w:rPr>
                <w:rFonts w:hint="eastAsia"/>
                <w:kern w:val="0"/>
                <w:szCs w:val="21"/>
              </w:rPr>
              <w:t>锌</w:t>
            </w:r>
          </w:p>
        </w:tc>
        <w:tc>
          <w:tcPr>
            <w:tcW w:w="1358" w:type="pct"/>
            <w:vAlign w:val="center"/>
          </w:tcPr>
          <w:p w14:paraId="5676104F">
            <w:pPr>
              <w:spacing w:line="252" w:lineRule="exact"/>
              <w:jc w:val="center"/>
              <w:rPr>
                <w:kern w:val="0"/>
                <w:szCs w:val="21"/>
              </w:rPr>
            </w:pPr>
            <w:r>
              <w:rPr>
                <w:kern w:val="0"/>
                <w:szCs w:val="21"/>
              </w:rPr>
              <w:t>1mg/L</w:t>
            </w:r>
          </w:p>
        </w:tc>
        <w:tc>
          <w:tcPr>
            <w:tcW w:w="1842" w:type="pct"/>
            <w:vMerge w:val="continue"/>
            <w:vAlign w:val="center"/>
          </w:tcPr>
          <w:p w14:paraId="0A5C8676">
            <w:pPr>
              <w:spacing w:line="252" w:lineRule="exact"/>
              <w:jc w:val="center"/>
              <w:rPr>
                <w:kern w:val="0"/>
                <w:szCs w:val="21"/>
              </w:rPr>
            </w:pPr>
          </w:p>
        </w:tc>
      </w:tr>
      <w:tr w14:paraId="12650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47" w:type="pct"/>
            <w:vMerge w:val="continue"/>
            <w:vAlign w:val="center"/>
          </w:tcPr>
          <w:p w14:paraId="640C0896">
            <w:pPr>
              <w:spacing w:line="252" w:lineRule="exact"/>
              <w:jc w:val="center"/>
              <w:rPr>
                <w:kern w:val="0"/>
                <w:szCs w:val="21"/>
              </w:rPr>
            </w:pPr>
          </w:p>
        </w:tc>
        <w:tc>
          <w:tcPr>
            <w:tcW w:w="1353" w:type="pct"/>
            <w:gridSpan w:val="2"/>
            <w:vAlign w:val="center"/>
          </w:tcPr>
          <w:p w14:paraId="3CB24E51">
            <w:pPr>
              <w:spacing w:line="252" w:lineRule="exact"/>
              <w:jc w:val="center"/>
              <w:rPr>
                <w:kern w:val="0"/>
                <w:szCs w:val="21"/>
              </w:rPr>
            </w:pPr>
            <w:r>
              <w:rPr>
                <w:rFonts w:hint="eastAsia"/>
                <w:kern w:val="0"/>
                <w:szCs w:val="21"/>
              </w:rPr>
              <w:t>铝</w:t>
            </w:r>
          </w:p>
        </w:tc>
        <w:tc>
          <w:tcPr>
            <w:tcW w:w="1358" w:type="pct"/>
            <w:vAlign w:val="center"/>
          </w:tcPr>
          <w:p w14:paraId="1F733B84">
            <w:pPr>
              <w:spacing w:line="252" w:lineRule="exact"/>
              <w:jc w:val="center"/>
              <w:rPr>
                <w:kern w:val="0"/>
                <w:szCs w:val="21"/>
              </w:rPr>
            </w:pPr>
            <w:r>
              <w:rPr>
                <w:kern w:val="0"/>
                <w:szCs w:val="21"/>
              </w:rPr>
              <w:t>0.2mg/L</w:t>
            </w:r>
          </w:p>
        </w:tc>
        <w:tc>
          <w:tcPr>
            <w:tcW w:w="1842" w:type="pct"/>
            <w:vMerge w:val="continue"/>
            <w:vAlign w:val="center"/>
          </w:tcPr>
          <w:p w14:paraId="22BEF260">
            <w:pPr>
              <w:spacing w:line="252" w:lineRule="exact"/>
              <w:jc w:val="center"/>
              <w:rPr>
                <w:kern w:val="0"/>
                <w:szCs w:val="21"/>
              </w:rPr>
            </w:pPr>
          </w:p>
        </w:tc>
      </w:tr>
      <w:tr w14:paraId="4136A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47" w:type="pct"/>
            <w:vMerge w:val="continue"/>
            <w:vAlign w:val="center"/>
          </w:tcPr>
          <w:p w14:paraId="3A2B9399">
            <w:pPr>
              <w:spacing w:line="252" w:lineRule="exact"/>
              <w:jc w:val="center"/>
              <w:rPr>
                <w:kern w:val="0"/>
                <w:szCs w:val="21"/>
              </w:rPr>
            </w:pPr>
          </w:p>
        </w:tc>
        <w:tc>
          <w:tcPr>
            <w:tcW w:w="1353" w:type="pct"/>
            <w:gridSpan w:val="2"/>
            <w:vAlign w:val="center"/>
          </w:tcPr>
          <w:p w14:paraId="34CA2654">
            <w:pPr>
              <w:spacing w:line="252" w:lineRule="exact"/>
              <w:jc w:val="center"/>
              <w:rPr>
                <w:kern w:val="0"/>
                <w:szCs w:val="21"/>
              </w:rPr>
            </w:pPr>
            <w:r>
              <w:rPr>
                <w:kern w:val="0"/>
                <w:szCs w:val="21"/>
              </w:rPr>
              <w:t>挥发酚</w:t>
            </w:r>
          </w:p>
        </w:tc>
        <w:tc>
          <w:tcPr>
            <w:tcW w:w="1358" w:type="pct"/>
            <w:vAlign w:val="center"/>
          </w:tcPr>
          <w:p w14:paraId="4A2D44E0">
            <w:pPr>
              <w:spacing w:line="252" w:lineRule="exact"/>
              <w:jc w:val="center"/>
              <w:rPr>
                <w:kern w:val="0"/>
                <w:szCs w:val="21"/>
              </w:rPr>
            </w:pPr>
            <w:r>
              <w:rPr>
                <w:kern w:val="0"/>
                <w:szCs w:val="21"/>
              </w:rPr>
              <w:t>0.002mg/L</w:t>
            </w:r>
          </w:p>
        </w:tc>
        <w:tc>
          <w:tcPr>
            <w:tcW w:w="1842" w:type="pct"/>
            <w:vMerge w:val="continue"/>
            <w:vAlign w:val="center"/>
          </w:tcPr>
          <w:p w14:paraId="45B80F7B">
            <w:pPr>
              <w:spacing w:line="252" w:lineRule="exact"/>
              <w:jc w:val="center"/>
              <w:rPr>
                <w:kern w:val="0"/>
                <w:szCs w:val="21"/>
              </w:rPr>
            </w:pPr>
          </w:p>
        </w:tc>
      </w:tr>
      <w:tr w14:paraId="18AED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47" w:type="pct"/>
            <w:vMerge w:val="continue"/>
            <w:vAlign w:val="center"/>
          </w:tcPr>
          <w:p w14:paraId="4807ABA7">
            <w:pPr>
              <w:spacing w:line="252" w:lineRule="exact"/>
              <w:jc w:val="center"/>
              <w:rPr>
                <w:kern w:val="0"/>
                <w:szCs w:val="21"/>
              </w:rPr>
            </w:pPr>
          </w:p>
        </w:tc>
        <w:tc>
          <w:tcPr>
            <w:tcW w:w="1353" w:type="pct"/>
            <w:gridSpan w:val="2"/>
            <w:vAlign w:val="center"/>
          </w:tcPr>
          <w:p w14:paraId="6950F53D">
            <w:pPr>
              <w:spacing w:line="252" w:lineRule="exact"/>
              <w:jc w:val="center"/>
              <w:rPr>
                <w:kern w:val="0"/>
                <w:szCs w:val="21"/>
              </w:rPr>
            </w:pPr>
            <w:r>
              <w:rPr>
                <w:rFonts w:hint="eastAsia"/>
                <w:kern w:val="0"/>
                <w:szCs w:val="21"/>
              </w:rPr>
              <w:t>阴离子表面活性剂</w:t>
            </w:r>
          </w:p>
        </w:tc>
        <w:tc>
          <w:tcPr>
            <w:tcW w:w="1358" w:type="pct"/>
            <w:vAlign w:val="center"/>
          </w:tcPr>
          <w:p w14:paraId="61DD219D">
            <w:pPr>
              <w:spacing w:line="252" w:lineRule="exact"/>
              <w:jc w:val="center"/>
              <w:rPr>
                <w:kern w:val="0"/>
                <w:szCs w:val="21"/>
              </w:rPr>
            </w:pPr>
            <w:r>
              <w:rPr>
                <w:kern w:val="0"/>
                <w:szCs w:val="21"/>
              </w:rPr>
              <w:t>0.3mg/L</w:t>
            </w:r>
          </w:p>
        </w:tc>
        <w:tc>
          <w:tcPr>
            <w:tcW w:w="1842" w:type="pct"/>
            <w:vMerge w:val="continue"/>
            <w:vAlign w:val="center"/>
          </w:tcPr>
          <w:p w14:paraId="7B5F78EC">
            <w:pPr>
              <w:spacing w:line="252" w:lineRule="exact"/>
              <w:jc w:val="center"/>
              <w:rPr>
                <w:kern w:val="0"/>
                <w:szCs w:val="21"/>
              </w:rPr>
            </w:pPr>
          </w:p>
        </w:tc>
      </w:tr>
      <w:tr w14:paraId="160D6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47" w:type="pct"/>
            <w:vMerge w:val="continue"/>
            <w:vAlign w:val="center"/>
          </w:tcPr>
          <w:p w14:paraId="2C5B1282">
            <w:pPr>
              <w:spacing w:line="252" w:lineRule="exact"/>
              <w:jc w:val="center"/>
              <w:rPr>
                <w:kern w:val="0"/>
                <w:szCs w:val="21"/>
              </w:rPr>
            </w:pPr>
          </w:p>
        </w:tc>
        <w:tc>
          <w:tcPr>
            <w:tcW w:w="1353" w:type="pct"/>
            <w:gridSpan w:val="2"/>
            <w:vAlign w:val="center"/>
          </w:tcPr>
          <w:p w14:paraId="3CE1DBD8">
            <w:pPr>
              <w:spacing w:line="252" w:lineRule="exact"/>
              <w:jc w:val="center"/>
              <w:rPr>
                <w:kern w:val="0"/>
                <w:szCs w:val="21"/>
              </w:rPr>
            </w:pPr>
            <w:r>
              <w:rPr>
                <w:rFonts w:hint="eastAsia"/>
                <w:kern w:val="0"/>
                <w:szCs w:val="21"/>
              </w:rPr>
              <w:t>耗氧量</w:t>
            </w:r>
          </w:p>
        </w:tc>
        <w:tc>
          <w:tcPr>
            <w:tcW w:w="1358" w:type="pct"/>
            <w:vAlign w:val="center"/>
          </w:tcPr>
          <w:p w14:paraId="3FBBC669">
            <w:pPr>
              <w:spacing w:line="252" w:lineRule="exact"/>
              <w:jc w:val="center"/>
              <w:rPr>
                <w:kern w:val="0"/>
                <w:szCs w:val="21"/>
              </w:rPr>
            </w:pPr>
            <w:r>
              <w:rPr>
                <w:kern w:val="0"/>
                <w:szCs w:val="21"/>
              </w:rPr>
              <w:t>3.0mg/L</w:t>
            </w:r>
          </w:p>
        </w:tc>
        <w:tc>
          <w:tcPr>
            <w:tcW w:w="1842" w:type="pct"/>
            <w:vMerge w:val="continue"/>
            <w:vAlign w:val="center"/>
          </w:tcPr>
          <w:p w14:paraId="21B774ED">
            <w:pPr>
              <w:spacing w:line="252" w:lineRule="exact"/>
              <w:jc w:val="center"/>
              <w:rPr>
                <w:kern w:val="0"/>
                <w:szCs w:val="21"/>
              </w:rPr>
            </w:pPr>
          </w:p>
        </w:tc>
      </w:tr>
      <w:tr w14:paraId="6819A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47" w:type="pct"/>
            <w:vMerge w:val="continue"/>
            <w:vAlign w:val="center"/>
          </w:tcPr>
          <w:p w14:paraId="1A873E17">
            <w:pPr>
              <w:spacing w:line="252" w:lineRule="exact"/>
              <w:jc w:val="center"/>
              <w:rPr>
                <w:kern w:val="0"/>
                <w:szCs w:val="21"/>
              </w:rPr>
            </w:pPr>
          </w:p>
        </w:tc>
        <w:tc>
          <w:tcPr>
            <w:tcW w:w="1353" w:type="pct"/>
            <w:gridSpan w:val="2"/>
            <w:vAlign w:val="center"/>
          </w:tcPr>
          <w:p w14:paraId="5165AE61">
            <w:pPr>
              <w:spacing w:line="252" w:lineRule="exact"/>
              <w:jc w:val="center"/>
              <w:rPr>
                <w:kern w:val="0"/>
                <w:szCs w:val="21"/>
              </w:rPr>
            </w:pPr>
            <w:r>
              <w:rPr>
                <w:kern w:val="0"/>
                <w:szCs w:val="21"/>
              </w:rPr>
              <w:t>氨氮</w:t>
            </w:r>
          </w:p>
        </w:tc>
        <w:tc>
          <w:tcPr>
            <w:tcW w:w="1358" w:type="pct"/>
            <w:vAlign w:val="center"/>
          </w:tcPr>
          <w:p w14:paraId="44DF97A7">
            <w:pPr>
              <w:spacing w:line="252" w:lineRule="exact"/>
              <w:jc w:val="center"/>
              <w:rPr>
                <w:kern w:val="0"/>
                <w:szCs w:val="21"/>
              </w:rPr>
            </w:pPr>
            <w:r>
              <w:rPr>
                <w:kern w:val="0"/>
                <w:szCs w:val="21"/>
              </w:rPr>
              <w:t>0.5mg/L</w:t>
            </w:r>
          </w:p>
        </w:tc>
        <w:tc>
          <w:tcPr>
            <w:tcW w:w="1842" w:type="pct"/>
            <w:vMerge w:val="continue"/>
            <w:vAlign w:val="center"/>
          </w:tcPr>
          <w:p w14:paraId="50C9C865">
            <w:pPr>
              <w:spacing w:line="252" w:lineRule="exact"/>
              <w:jc w:val="center"/>
              <w:rPr>
                <w:kern w:val="0"/>
                <w:szCs w:val="21"/>
              </w:rPr>
            </w:pPr>
          </w:p>
        </w:tc>
      </w:tr>
      <w:tr w14:paraId="00A70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47" w:type="pct"/>
            <w:vMerge w:val="continue"/>
            <w:vAlign w:val="center"/>
          </w:tcPr>
          <w:p w14:paraId="516F47E0">
            <w:pPr>
              <w:spacing w:line="252" w:lineRule="exact"/>
              <w:jc w:val="center"/>
              <w:rPr>
                <w:kern w:val="0"/>
                <w:szCs w:val="21"/>
              </w:rPr>
            </w:pPr>
          </w:p>
        </w:tc>
        <w:tc>
          <w:tcPr>
            <w:tcW w:w="1353" w:type="pct"/>
            <w:gridSpan w:val="2"/>
            <w:vAlign w:val="center"/>
          </w:tcPr>
          <w:p w14:paraId="3525438D">
            <w:pPr>
              <w:spacing w:line="252" w:lineRule="exact"/>
              <w:jc w:val="center"/>
              <w:rPr>
                <w:kern w:val="0"/>
                <w:szCs w:val="21"/>
              </w:rPr>
            </w:pPr>
            <w:r>
              <w:rPr>
                <w:rFonts w:hint="eastAsia"/>
                <w:kern w:val="0"/>
                <w:szCs w:val="21"/>
              </w:rPr>
              <w:t>硫化物</w:t>
            </w:r>
          </w:p>
        </w:tc>
        <w:tc>
          <w:tcPr>
            <w:tcW w:w="1358" w:type="pct"/>
            <w:vAlign w:val="center"/>
          </w:tcPr>
          <w:p w14:paraId="719D56A1">
            <w:pPr>
              <w:spacing w:line="252" w:lineRule="exact"/>
              <w:jc w:val="center"/>
              <w:rPr>
                <w:kern w:val="0"/>
                <w:szCs w:val="21"/>
              </w:rPr>
            </w:pPr>
            <w:r>
              <w:rPr>
                <w:kern w:val="0"/>
                <w:szCs w:val="21"/>
              </w:rPr>
              <w:t>0.02mg/L</w:t>
            </w:r>
          </w:p>
        </w:tc>
        <w:tc>
          <w:tcPr>
            <w:tcW w:w="1842" w:type="pct"/>
            <w:vMerge w:val="continue"/>
            <w:vAlign w:val="center"/>
          </w:tcPr>
          <w:p w14:paraId="3C115999">
            <w:pPr>
              <w:spacing w:line="252" w:lineRule="exact"/>
              <w:jc w:val="center"/>
              <w:rPr>
                <w:kern w:val="0"/>
                <w:szCs w:val="21"/>
              </w:rPr>
            </w:pPr>
          </w:p>
        </w:tc>
      </w:tr>
      <w:tr w14:paraId="10AD0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47" w:type="pct"/>
            <w:vMerge w:val="continue"/>
            <w:vAlign w:val="center"/>
          </w:tcPr>
          <w:p w14:paraId="076EF45B">
            <w:pPr>
              <w:spacing w:line="252" w:lineRule="exact"/>
              <w:jc w:val="center"/>
              <w:rPr>
                <w:kern w:val="0"/>
                <w:szCs w:val="21"/>
              </w:rPr>
            </w:pPr>
          </w:p>
        </w:tc>
        <w:tc>
          <w:tcPr>
            <w:tcW w:w="1353" w:type="pct"/>
            <w:gridSpan w:val="2"/>
            <w:vAlign w:val="center"/>
          </w:tcPr>
          <w:p w14:paraId="46A10A0B">
            <w:pPr>
              <w:spacing w:line="252" w:lineRule="exact"/>
              <w:jc w:val="center"/>
              <w:rPr>
                <w:kern w:val="0"/>
                <w:szCs w:val="21"/>
              </w:rPr>
            </w:pPr>
            <w:r>
              <w:rPr>
                <w:rFonts w:hint="eastAsia"/>
                <w:kern w:val="0"/>
                <w:szCs w:val="21"/>
              </w:rPr>
              <w:t>钠</w:t>
            </w:r>
          </w:p>
        </w:tc>
        <w:tc>
          <w:tcPr>
            <w:tcW w:w="1358" w:type="pct"/>
            <w:vAlign w:val="center"/>
          </w:tcPr>
          <w:p w14:paraId="2B0B30AC">
            <w:pPr>
              <w:spacing w:line="252" w:lineRule="exact"/>
              <w:jc w:val="center"/>
              <w:rPr>
                <w:kern w:val="0"/>
                <w:szCs w:val="21"/>
              </w:rPr>
            </w:pPr>
            <w:r>
              <w:rPr>
                <w:kern w:val="0"/>
                <w:szCs w:val="21"/>
              </w:rPr>
              <w:t>200mg/L</w:t>
            </w:r>
          </w:p>
        </w:tc>
        <w:tc>
          <w:tcPr>
            <w:tcW w:w="1842" w:type="pct"/>
            <w:vMerge w:val="continue"/>
            <w:vAlign w:val="center"/>
          </w:tcPr>
          <w:p w14:paraId="675706CE">
            <w:pPr>
              <w:spacing w:line="252" w:lineRule="exact"/>
              <w:jc w:val="center"/>
              <w:rPr>
                <w:kern w:val="0"/>
                <w:szCs w:val="21"/>
              </w:rPr>
            </w:pPr>
          </w:p>
        </w:tc>
      </w:tr>
      <w:tr w14:paraId="39C09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47" w:type="pct"/>
            <w:vMerge w:val="continue"/>
            <w:vAlign w:val="center"/>
          </w:tcPr>
          <w:p w14:paraId="699E7300">
            <w:pPr>
              <w:spacing w:line="252" w:lineRule="exact"/>
              <w:jc w:val="center"/>
              <w:rPr>
                <w:kern w:val="0"/>
                <w:szCs w:val="21"/>
              </w:rPr>
            </w:pPr>
          </w:p>
        </w:tc>
        <w:tc>
          <w:tcPr>
            <w:tcW w:w="1353" w:type="pct"/>
            <w:gridSpan w:val="2"/>
            <w:vAlign w:val="center"/>
          </w:tcPr>
          <w:p w14:paraId="7EAEC89F">
            <w:pPr>
              <w:spacing w:line="252" w:lineRule="exact"/>
              <w:jc w:val="center"/>
              <w:rPr>
                <w:kern w:val="0"/>
                <w:szCs w:val="21"/>
              </w:rPr>
            </w:pPr>
            <w:r>
              <w:rPr>
                <w:rFonts w:hint="eastAsia"/>
                <w:kern w:val="0"/>
                <w:szCs w:val="21"/>
              </w:rPr>
              <w:t>总大肠菌群</w:t>
            </w:r>
          </w:p>
        </w:tc>
        <w:tc>
          <w:tcPr>
            <w:tcW w:w="1358" w:type="pct"/>
            <w:vAlign w:val="center"/>
          </w:tcPr>
          <w:p w14:paraId="1253851C">
            <w:pPr>
              <w:spacing w:line="252" w:lineRule="exact"/>
              <w:jc w:val="center"/>
              <w:rPr>
                <w:kern w:val="0"/>
                <w:szCs w:val="21"/>
              </w:rPr>
            </w:pPr>
            <w:r>
              <w:rPr>
                <w:rFonts w:hint="eastAsia"/>
                <w:kern w:val="0"/>
                <w:szCs w:val="21"/>
              </w:rPr>
              <w:t>3</w:t>
            </w:r>
          </w:p>
        </w:tc>
        <w:tc>
          <w:tcPr>
            <w:tcW w:w="1842" w:type="pct"/>
            <w:vMerge w:val="continue"/>
            <w:vAlign w:val="center"/>
          </w:tcPr>
          <w:p w14:paraId="292634B4">
            <w:pPr>
              <w:spacing w:line="252" w:lineRule="exact"/>
              <w:jc w:val="center"/>
              <w:rPr>
                <w:kern w:val="0"/>
                <w:szCs w:val="21"/>
              </w:rPr>
            </w:pPr>
          </w:p>
        </w:tc>
      </w:tr>
      <w:tr w14:paraId="1D004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47" w:type="pct"/>
            <w:vMerge w:val="continue"/>
            <w:vAlign w:val="center"/>
          </w:tcPr>
          <w:p w14:paraId="02BD9A71">
            <w:pPr>
              <w:spacing w:line="252" w:lineRule="exact"/>
              <w:jc w:val="center"/>
              <w:rPr>
                <w:kern w:val="0"/>
                <w:szCs w:val="21"/>
              </w:rPr>
            </w:pPr>
          </w:p>
        </w:tc>
        <w:tc>
          <w:tcPr>
            <w:tcW w:w="1353" w:type="pct"/>
            <w:gridSpan w:val="2"/>
            <w:vAlign w:val="center"/>
          </w:tcPr>
          <w:p w14:paraId="3EDAA04A">
            <w:pPr>
              <w:spacing w:line="252" w:lineRule="exact"/>
              <w:jc w:val="center"/>
              <w:rPr>
                <w:kern w:val="0"/>
                <w:szCs w:val="21"/>
              </w:rPr>
            </w:pPr>
            <w:r>
              <w:rPr>
                <w:rFonts w:hint="eastAsia"/>
                <w:kern w:val="0"/>
                <w:szCs w:val="21"/>
              </w:rPr>
              <w:t>菌落总数</w:t>
            </w:r>
          </w:p>
        </w:tc>
        <w:tc>
          <w:tcPr>
            <w:tcW w:w="1358" w:type="pct"/>
            <w:vAlign w:val="center"/>
          </w:tcPr>
          <w:p w14:paraId="64441C69">
            <w:pPr>
              <w:spacing w:line="252" w:lineRule="exact"/>
              <w:jc w:val="center"/>
              <w:rPr>
                <w:kern w:val="0"/>
                <w:szCs w:val="21"/>
              </w:rPr>
            </w:pPr>
            <w:r>
              <w:rPr>
                <w:rFonts w:hint="eastAsia"/>
                <w:kern w:val="0"/>
                <w:szCs w:val="21"/>
              </w:rPr>
              <w:t>1</w:t>
            </w:r>
            <w:r>
              <w:rPr>
                <w:kern w:val="0"/>
                <w:szCs w:val="21"/>
              </w:rPr>
              <w:t>00</w:t>
            </w:r>
          </w:p>
        </w:tc>
        <w:tc>
          <w:tcPr>
            <w:tcW w:w="1842" w:type="pct"/>
            <w:vMerge w:val="continue"/>
            <w:vAlign w:val="center"/>
          </w:tcPr>
          <w:p w14:paraId="2402DDB6">
            <w:pPr>
              <w:spacing w:line="252" w:lineRule="exact"/>
              <w:jc w:val="center"/>
              <w:rPr>
                <w:kern w:val="0"/>
                <w:szCs w:val="21"/>
              </w:rPr>
            </w:pPr>
          </w:p>
        </w:tc>
      </w:tr>
      <w:tr w14:paraId="348F3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47" w:type="pct"/>
            <w:vMerge w:val="continue"/>
            <w:vAlign w:val="center"/>
          </w:tcPr>
          <w:p w14:paraId="3F9171BC">
            <w:pPr>
              <w:spacing w:line="252" w:lineRule="exact"/>
              <w:jc w:val="center"/>
              <w:rPr>
                <w:kern w:val="0"/>
                <w:szCs w:val="21"/>
              </w:rPr>
            </w:pPr>
          </w:p>
        </w:tc>
        <w:tc>
          <w:tcPr>
            <w:tcW w:w="1353" w:type="pct"/>
            <w:gridSpan w:val="2"/>
            <w:vAlign w:val="center"/>
          </w:tcPr>
          <w:p w14:paraId="49C501FA">
            <w:pPr>
              <w:spacing w:line="252" w:lineRule="exact"/>
              <w:jc w:val="center"/>
              <w:rPr>
                <w:kern w:val="0"/>
                <w:szCs w:val="21"/>
              </w:rPr>
            </w:pPr>
            <w:r>
              <w:rPr>
                <w:kern w:val="0"/>
                <w:szCs w:val="21"/>
              </w:rPr>
              <w:t>亚硝酸盐</w:t>
            </w:r>
            <w:r>
              <w:rPr>
                <w:rFonts w:hint="eastAsia"/>
                <w:kern w:val="0"/>
                <w:szCs w:val="21"/>
              </w:rPr>
              <w:t>氮</w:t>
            </w:r>
          </w:p>
        </w:tc>
        <w:tc>
          <w:tcPr>
            <w:tcW w:w="1358" w:type="pct"/>
            <w:vAlign w:val="center"/>
          </w:tcPr>
          <w:p w14:paraId="25E9B501">
            <w:pPr>
              <w:spacing w:line="252" w:lineRule="exact"/>
              <w:jc w:val="center"/>
              <w:rPr>
                <w:kern w:val="0"/>
                <w:szCs w:val="21"/>
              </w:rPr>
            </w:pPr>
            <w:r>
              <w:rPr>
                <w:kern w:val="0"/>
                <w:szCs w:val="21"/>
              </w:rPr>
              <w:t>1mg/L</w:t>
            </w:r>
          </w:p>
        </w:tc>
        <w:tc>
          <w:tcPr>
            <w:tcW w:w="1842" w:type="pct"/>
            <w:vMerge w:val="continue"/>
            <w:vAlign w:val="center"/>
          </w:tcPr>
          <w:p w14:paraId="11D1B165">
            <w:pPr>
              <w:spacing w:line="252" w:lineRule="exact"/>
              <w:jc w:val="center"/>
              <w:rPr>
                <w:kern w:val="0"/>
                <w:szCs w:val="21"/>
              </w:rPr>
            </w:pPr>
          </w:p>
        </w:tc>
      </w:tr>
      <w:tr w14:paraId="699BF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47" w:type="pct"/>
            <w:vMerge w:val="continue"/>
            <w:vAlign w:val="center"/>
          </w:tcPr>
          <w:p w14:paraId="0D7DB2EC">
            <w:pPr>
              <w:spacing w:line="252" w:lineRule="exact"/>
              <w:jc w:val="center"/>
              <w:rPr>
                <w:kern w:val="0"/>
                <w:szCs w:val="21"/>
              </w:rPr>
            </w:pPr>
          </w:p>
        </w:tc>
        <w:tc>
          <w:tcPr>
            <w:tcW w:w="1353" w:type="pct"/>
            <w:gridSpan w:val="2"/>
            <w:vAlign w:val="center"/>
          </w:tcPr>
          <w:p w14:paraId="2A45AF39">
            <w:pPr>
              <w:spacing w:line="252" w:lineRule="exact"/>
              <w:jc w:val="center"/>
              <w:rPr>
                <w:kern w:val="0"/>
                <w:szCs w:val="21"/>
              </w:rPr>
            </w:pPr>
            <w:r>
              <w:rPr>
                <w:kern w:val="0"/>
                <w:szCs w:val="21"/>
              </w:rPr>
              <w:t>硝酸盐</w:t>
            </w:r>
            <w:r>
              <w:rPr>
                <w:rFonts w:hint="eastAsia"/>
                <w:kern w:val="0"/>
                <w:szCs w:val="21"/>
              </w:rPr>
              <w:t>氮</w:t>
            </w:r>
          </w:p>
        </w:tc>
        <w:tc>
          <w:tcPr>
            <w:tcW w:w="1358" w:type="pct"/>
            <w:vAlign w:val="center"/>
          </w:tcPr>
          <w:p w14:paraId="4E5FECFB">
            <w:pPr>
              <w:spacing w:line="252" w:lineRule="exact"/>
              <w:jc w:val="center"/>
              <w:rPr>
                <w:kern w:val="0"/>
                <w:szCs w:val="21"/>
              </w:rPr>
            </w:pPr>
            <w:r>
              <w:rPr>
                <w:kern w:val="0"/>
                <w:szCs w:val="21"/>
              </w:rPr>
              <w:t>20mg/L</w:t>
            </w:r>
          </w:p>
        </w:tc>
        <w:tc>
          <w:tcPr>
            <w:tcW w:w="1842" w:type="pct"/>
            <w:vMerge w:val="continue"/>
            <w:vAlign w:val="center"/>
          </w:tcPr>
          <w:p w14:paraId="511339C4">
            <w:pPr>
              <w:spacing w:line="252" w:lineRule="exact"/>
              <w:jc w:val="center"/>
              <w:rPr>
                <w:kern w:val="0"/>
                <w:szCs w:val="21"/>
              </w:rPr>
            </w:pPr>
          </w:p>
        </w:tc>
      </w:tr>
      <w:tr w14:paraId="0DDC9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47" w:type="pct"/>
            <w:vMerge w:val="continue"/>
            <w:vAlign w:val="center"/>
          </w:tcPr>
          <w:p w14:paraId="272A596F">
            <w:pPr>
              <w:spacing w:line="252" w:lineRule="exact"/>
              <w:jc w:val="center"/>
              <w:rPr>
                <w:kern w:val="0"/>
                <w:szCs w:val="21"/>
              </w:rPr>
            </w:pPr>
          </w:p>
        </w:tc>
        <w:tc>
          <w:tcPr>
            <w:tcW w:w="1353" w:type="pct"/>
            <w:gridSpan w:val="2"/>
            <w:vAlign w:val="center"/>
          </w:tcPr>
          <w:p w14:paraId="1EB5B54B">
            <w:pPr>
              <w:spacing w:line="252" w:lineRule="exact"/>
              <w:jc w:val="center"/>
              <w:rPr>
                <w:kern w:val="0"/>
                <w:szCs w:val="21"/>
              </w:rPr>
            </w:pPr>
            <w:r>
              <w:rPr>
                <w:rFonts w:hint="eastAsia"/>
                <w:kern w:val="0"/>
                <w:szCs w:val="21"/>
              </w:rPr>
              <w:t>氰化物</w:t>
            </w:r>
          </w:p>
        </w:tc>
        <w:tc>
          <w:tcPr>
            <w:tcW w:w="1358" w:type="pct"/>
            <w:vAlign w:val="center"/>
          </w:tcPr>
          <w:p w14:paraId="3BF8BA0A">
            <w:pPr>
              <w:spacing w:line="252" w:lineRule="exact"/>
              <w:jc w:val="center"/>
              <w:rPr>
                <w:kern w:val="0"/>
                <w:szCs w:val="21"/>
              </w:rPr>
            </w:pPr>
            <w:r>
              <w:rPr>
                <w:kern w:val="0"/>
                <w:szCs w:val="21"/>
              </w:rPr>
              <w:t>0.05mg/L</w:t>
            </w:r>
          </w:p>
        </w:tc>
        <w:tc>
          <w:tcPr>
            <w:tcW w:w="1842" w:type="pct"/>
            <w:vMerge w:val="continue"/>
            <w:vAlign w:val="center"/>
          </w:tcPr>
          <w:p w14:paraId="5005E986">
            <w:pPr>
              <w:spacing w:line="252" w:lineRule="exact"/>
              <w:jc w:val="center"/>
              <w:rPr>
                <w:kern w:val="0"/>
                <w:szCs w:val="21"/>
              </w:rPr>
            </w:pPr>
          </w:p>
        </w:tc>
      </w:tr>
      <w:tr w14:paraId="4E0C1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47" w:type="pct"/>
            <w:vMerge w:val="continue"/>
            <w:vAlign w:val="center"/>
          </w:tcPr>
          <w:p w14:paraId="69D757FA">
            <w:pPr>
              <w:spacing w:line="252" w:lineRule="exact"/>
              <w:jc w:val="center"/>
              <w:rPr>
                <w:kern w:val="0"/>
                <w:szCs w:val="21"/>
              </w:rPr>
            </w:pPr>
          </w:p>
        </w:tc>
        <w:tc>
          <w:tcPr>
            <w:tcW w:w="1353" w:type="pct"/>
            <w:gridSpan w:val="2"/>
            <w:vAlign w:val="center"/>
          </w:tcPr>
          <w:p w14:paraId="0557104E">
            <w:pPr>
              <w:spacing w:line="252" w:lineRule="exact"/>
              <w:jc w:val="center"/>
              <w:rPr>
                <w:kern w:val="0"/>
                <w:szCs w:val="21"/>
              </w:rPr>
            </w:pPr>
            <w:r>
              <w:rPr>
                <w:rFonts w:hint="eastAsia"/>
                <w:kern w:val="0"/>
                <w:szCs w:val="21"/>
              </w:rPr>
              <w:t>氟化</w:t>
            </w:r>
            <w:r>
              <w:rPr>
                <w:kern w:val="0"/>
                <w:szCs w:val="21"/>
              </w:rPr>
              <w:t>物</w:t>
            </w:r>
          </w:p>
        </w:tc>
        <w:tc>
          <w:tcPr>
            <w:tcW w:w="1358" w:type="pct"/>
            <w:vAlign w:val="center"/>
          </w:tcPr>
          <w:p w14:paraId="781924D3">
            <w:pPr>
              <w:spacing w:line="252" w:lineRule="exact"/>
              <w:jc w:val="center"/>
              <w:rPr>
                <w:kern w:val="0"/>
                <w:szCs w:val="21"/>
              </w:rPr>
            </w:pPr>
            <w:r>
              <w:rPr>
                <w:kern w:val="0"/>
                <w:szCs w:val="21"/>
              </w:rPr>
              <w:t>1.0mg/L</w:t>
            </w:r>
          </w:p>
        </w:tc>
        <w:tc>
          <w:tcPr>
            <w:tcW w:w="1842" w:type="pct"/>
            <w:vMerge w:val="continue"/>
            <w:vAlign w:val="center"/>
          </w:tcPr>
          <w:p w14:paraId="77A69E19">
            <w:pPr>
              <w:spacing w:line="252" w:lineRule="exact"/>
              <w:jc w:val="center"/>
              <w:rPr>
                <w:kern w:val="0"/>
                <w:szCs w:val="21"/>
              </w:rPr>
            </w:pPr>
          </w:p>
        </w:tc>
      </w:tr>
      <w:tr w14:paraId="262CE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47" w:type="pct"/>
            <w:vMerge w:val="continue"/>
            <w:vAlign w:val="center"/>
          </w:tcPr>
          <w:p w14:paraId="3FFCD5ED">
            <w:pPr>
              <w:spacing w:line="252" w:lineRule="exact"/>
              <w:jc w:val="center"/>
              <w:rPr>
                <w:kern w:val="0"/>
                <w:szCs w:val="21"/>
              </w:rPr>
            </w:pPr>
          </w:p>
        </w:tc>
        <w:tc>
          <w:tcPr>
            <w:tcW w:w="1353" w:type="pct"/>
            <w:gridSpan w:val="2"/>
            <w:vAlign w:val="center"/>
          </w:tcPr>
          <w:p w14:paraId="61A7BD5D">
            <w:pPr>
              <w:spacing w:line="252" w:lineRule="exact"/>
              <w:jc w:val="center"/>
              <w:rPr>
                <w:kern w:val="0"/>
                <w:szCs w:val="21"/>
              </w:rPr>
            </w:pPr>
            <w:r>
              <w:rPr>
                <w:rFonts w:hint="eastAsia"/>
                <w:kern w:val="0"/>
                <w:szCs w:val="21"/>
              </w:rPr>
              <w:t>碘化物</w:t>
            </w:r>
          </w:p>
        </w:tc>
        <w:tc>
          <w:tcPr>
            <w:tcW w:w="1358" w:type="pct"/>
            <w:vAlign w:val="center"/>
          </w:tcPr>
          <w:p w14:paraId="7B187192">
            <w:pPr>
              <w:spacing w:line="252" w:lineRule="exact"/>
              <w:jc w:val="center"/>
              <w:rPr>
                <w:kern w:val="0"/>
                <w:szCs w:val="21"/>
              </w:rPr>
            </w:pPr>
            <w:r>
              <w:rPr>
                <w:kern w:val="0"/>
                <w:szCs w:val="21"/>
              </w:rPr>
              <w:t>0.08mg/L</w:t>
            </w:r>
          </w:p>
        </w:tc>
        <w:tc>
          <w:tcPr>
            <w:tcW w:w="1842" w:type="pct"/>
            <w:vMerge w:val="continue"/>
            <w:vAlign w:val="center"/>
          </w:tcPr>
          <w:p w14:paraId="73C9F79B">
            <w:pPr>
              <w:spacing w:line="252" w:lineRule="exact"/>
              <w:jc w:val="center"/>
              <w:rPr>
                <w:kern w:val="0"/>
                <w:szCs w:val="21"/>
              </w:rPr>
            </w:pPr>
          </w:p>
        </w:tc>
      </w:tr>
      <w:tr w14:paraId="5A165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47" w:type="pct"/>
            <w:vMerge w:val="continue"/>
            <w:vAlign w:val="center"/>
          </w:tcPr>
          <w:p w14:paraId="22E815F7">
            <w:pPr>
              <w:spacing w:line="252" w:lineRule="exact"/>
              <w:jc w:val="center"/>
              <w:rPr>
                <w:kern w:val="0"/>
                <w:szCs w:val="21"/>
              </w:rPr>
            </w:pPr>
          </w:p>
        </w:tc>
        <w:tc>
          <w:tcPr>
            <w:tcW w:w="1353" w:type="pct"/>
            <w:gridSpan w:val="2"/>
            <w:vAlign w:val="center"/>
          </w:tcPr>
          <w:p w14:paraId="3C9F5C07">
            <w:pPr>
              <w:spacing w:line="252" w:lineRule="exact"/>
              <w:jc w:val="center"/>
              <w:rPr>
                <w:kern w:val="0"/>
                <w:szCs w:val="21"/>
              </w:rPr>
            </w:pPr>
            <w:r>
              <w:rPr>
                <w:rFonts w:hint="eastAsia"/>
                <w:kern w:val="0"/>
                <w:szCs w:val="21"/>
              </w:rPr>
              <w:t>汞</w:t>
            </w:r>
          </w:p>
        </w:tc>
        <w:tc>
          <w:tcPr>
            <w:tcW w:w="1358" w:type="pct"/>
            <w:vAlign w:val="center"/>
          </w:tcPr>
          <w:p w14:paraId="489A5454">
            <w:pPr>
              <w:spacing w:line="252" w:lineRule="exact"/>
              <w:jc w:val="center"/>
              <w:rPr>
                <w:kern w:val="0"/>
                <w:szCs w:val="21"/>
              </w:rPr>
            </w:pPr>
            <w:r>
              <w:rPr>
                <w:kern w:val="0"/>
                <w:szCs w:val="21"/>
              </w:rPr>
              <w:t>0.001mg/L</w:t>
            </w:r>
          </w:p>
        </w:tc>
        <w:tc>
          <w:tcPr>
            <w:tcW w:w="1842" w:type="pct"/>
            <w:vMerge w:val="continue"/>
            <w:vAlign w:val="center"/>
          </w:tcPr>
          <w:p w14:paraId="63A207E9">
            <w:pPr>
              <w:spacing w:line="252" w:lineRule="exact"/>
              <w:jc w:val="center"/>
              <w:rPr>
                <w:kern w:val="0"/>
                <w:szCs w:val="21"/>
              </w:rPr>
            </w:pPr>
          </w:p>
        </w:tc>
      </w:tr>
      <w:tr w14:paraId="41085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47" w:type="pct"/>
            <w:vMerge w:val="continue"/>
            <w:vAlign w:val="center"/>
          </w:tcPr>
          <w:p w14:paraId="0C6B82F7">
            <w:pPr>
              <w:spacing w:line="252" w:lineRule="exact"/>
              <w:jc w:val="center"/>
              <w:rPr>
                <w:kern w:val="0"/>
                <w:szCs w:val="21"/>
              </w:rPr>
            </w:pPr>
          </w:p>
        </w:tc>
        <w:tc>
          <w:tcPr>
            <w:tcW w:w="1353" w:type="pct"/>
            <w:gridSpan w:val="2"/>
            <w:vAlign w:val="center"/>
          </w:tcPr>
          <w:p w14:paraId="138C0511">
            <w:pPr>
              <w:spacing w:line="252" w:lineRule="exact"/>
              <w:jc w:val="center"/>
              <w:rPr>
                <w:kern w:val="0"/>
                <w:szCs w:val="21"/>
              </w:rPr>
            </w:pPr>
            <w:r>
              <w:rPr>
                <w:rFonts w:hint="eastAsia"/>
                <w:kern w:val="0"/>
                <w:szCs w:val="21"/>
              </w:rPr>
              <w:t>砷</w:t>
            </w:r>
          </w:p>
        </w:tc>
        <w:tc>
          <w:tcPr>
            <w:tcW w:w="1358" w:type="pct"/>
            <w:vAlign w:val="center"/>
          </w:tcPr>
          <w:p w14:paraId="7DAB0DA7">
            <w:pPr>
              <w:spacing w:line="252" w:lineRule="exact"/>
              <w:jc w:val="center"/>
              <w:rPr>
                <w:kern w:val="0"/>
                <w:szCs w:val="21"/>
              </w:rPr>
            </w:pPr>
            <w:r>
              <w:rPr>
                <w:kern w:val="0"/>
                <w:szCs w:val="21"/>
              </w:rPr>
              <w:t>0.01mg/L</w:t>
            </w:r>
          </w:p>
        </w:tc>
        <w:tc>
          <w:tcPr>
            <w:tcW w:w="1842" w:type="pct"/>
            <w:vMerge w:val="continue"/>
            <w:vAlign w:val="center"/>
          </w:tcPr>
          <w:p w14:paraId="2637AD84">
            <w:pPr>
              <w:spacing w:line="252" w:lineRule="exact"/>
              <w:jc w:val="center"/>
              <w:rPr>
                <w:kern w:val="0"/>
                <w:szCs w:val="21"/>
              </w:rPr>
            </w:pPr>
          </w:p>
        </w:tc>
      </w:tr>
      <w:tr w14:paraId="4A3ED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47" w:type="pct"/>
            <w:vMerge w:val="continue"/>
            <w:vAlign w:val="center"/>
          </w:tcPr>
          <w:p w14:paraId="79453E7D">
            <w:pPr>
              <w:spacing w:line="252" w:lineRule="exact"/>
              <w:jc w:val="center"/>
              <w:rPr>
                <w:kern w:val="0"/>
                <w:szCs w:val="21"/>
              </w:rPr>
            </w:pPr>
          </w:p>
        </w:tc>
        <w:tc>
          <w:tcPr>
            <w:tcW w:w="1353" w:type="pct"/>
            <w:gridSpan w:val="2"/>
            <w:vAlign w:val="center"/>
          </w:tcPr>
          <w:p w14:paraId="707B450E">
            <w:pPr>
              <w:spacing w:line="252" w:lineRule="exact"/>
              <w:jc w:val="center"/>
              <w:rPr>
                <w:kern w:val="0"/>
                <w:szCs w:val="21"/>
              </w:rPr>
            </w:pPr>
            <w:r>
              <w:rPr>
                <w:rFonts w:hint="eastAsia"/>
                <w:kern w:val="0"/>
                <w:szCs w:val="21"/>
              </w:rPr>
              <w:t>硒</w:t>
            </w:r>
          </w:p>
        </w:tc>
        <w:tc>
          <w:tcPr>
            <w:tcW w:w="1358" w:type="pct"/>
            <w:vAlign w:val="center"/>
          </w:tcPr>
          <w:p w14:paraId="44152FD5">
            <w:pPr>
              <w:spacing w:line="252" w:lineRule="exact"/>
              <w:jc w:val="center"/>
              <w:rPr>
                <w:kern w:val="0"/>
                <w:szCs w:val="21"/>
              </w:rPr>
            </w:pPr>
            <w:r>
              <w:rPr>
                <w:kern w:val="0"/>
                <w:szCs w:val="21"/>
              </w:rPr>
              <w:t>0.01mg/L</w:t>
            </w:r>
          </w:p>
        </w:tc>
        <w:tc>
          <w:tcPr>
            <w:tcW w:w="1842" w:type="pct"/>
            <w:vMerge w:val="continue"/>
            <w:vAlign w:val="center"/>
          </w:tcPr>
          <w:p w14:paraId="7BD8E10E">
            <w:pPr>
              <w:spacing w:line="252" w:lineRule="exact"/>
              <w:jc w:val="center"/>
              <w:rPr>
                <w:kern w:val="0"/>
                <w:szCs w:val="21"/>
              </w:rPr>
            </w:pPr>
          </w:p>
        </w:tc>
      </w:tr>
      <w:tr w14:paraId="56464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47" w:type="pct"/>
            <w:vMerge w:val="continue"/>
            <w:vAlign w:val="center"/>
          </w:tcPr>
          <w:p w14:paraId="030D3D53">
            <w:pPr>
              <w:spacing w:line="252" w:lineRule="exact"/>
              <w:jc w:val="center"/>
              <w:rPr>
                <w:kern w:val="0"/>
                <w:szCs w:val="21"/>
              </w:rPr>
            </w:pPr>
          </w:p>
        </w:tc>
        <w:tc>
          <w:tcPr>
            <w:tcW w:w="1353" w:type="pct"/>
            <w:gridSpan w:val="2"/>
            <w:vAlign w:val="center"/>
          </w:tcPr>
          <w:p w14:paraId="2DF63DDE">
            <w:pPr>
              <w:spacing w:line="252" w:lineRule="exact"/>
              <w:jc w:val="center"/>
              <w:rPr>
                <w:kern w:val="0"/>
                <w:szCs w:val="21"/>
              </w:rPr>
            </w:pPr>
            <w:r>
              <w:rPr>
                <w:rFonts w:hint="eastAsia"/>
                <w:kern w:val="0"/>
                <w:szCs w:val="21"/>
              </w:rPr>
              <w:t>镉</w:t>
            </w:r>
          </w:p>
        </w:tc>
        <w:tc>
          <w:tcPr>
            <w:tcW w:w="1358" w:type="pct"/>
            <w:vAlign w:val="center"/>
          </w:tcPr>
          <w:p w14:paraId="5AB047A3">
            <w:pPr>
              <w:spacing w:line="252" w:lineRule="exact"/>
              <w:jc w:val="center"/>
              <w:rPr>
                <w:kern w:val="0"/>
                <w:szCs w:val="21"/>
              </w:rPr>
            </w:pPr>
            <w:r>
              <w:rPr>
                <w:kern w:val="0"/>
                <w:szCs w:val="21"/>
              </w:rPr>
              <w:t>0.005mg/L</w:t>
            </w:r>
          </w:p>
        </w:tc>
        <w:tc>
          <w:tcPr>
            <w:tcW w:w="1842" w:type="pct"/>
            <w:vMerge w:val="continue"/>
            <w:vAlign w:val="center"/>
          </w:tcPr>
          <w:p w14:paraId="37B92ED4">
            <w:pPr>
              <w:spacing w:line="252" w:lineRule="exact"/>
              <w:jc w:val="center"/>
              <w:rPr>
                <w:kern w:val="0"/>
                <w:szCs w:val="21"/>
              </w:rPr>
            </w:pPr>
          </w:p>
        </w:tc>
      </w:tr>
      <w:tr w14:paraId="296C6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47" w:type="pct"/>
            <w:vMerge w:val="continue"/>
            <w:vAlign w:val="center"/>
          </w:tcPr>
          <w:p w14:paraId="0AF7A0C7">
            <w:pPr>
              <w:spacing w:line="252" w:lineRule="exact"/>
              <w:jc w:val="center"/>
              <w:rPr>
                <w:kern w:val="0"/>
                <w:szCs w:val="21"/>
              </w:rPr>
            </w:pPr>
          </w:p>
        </w:tc>
        <w:tc>
          <w:tcPr>
            <w:tcW w:w="1353" w:type="pct"/>
            <w:gridSpan w:val="2"/>
            <w:vAlign w:val="center"/>
          </w:tcPr>
          <w:p w14:paraId="58DFA5C4">
            <w:pPr>
              <w:spacing w:line="252" w:lineRule="exact"/>
              <w:jc w:val="center"/>
              <w:rPr>
                <w:kern w:val="0"/>
                <w:szCs w:val="21"/>
              </w:rPr>
            </w:pPr>
            <w:r>
              <w:rPr>
                <w:rFonts w:hint="eastAsia"/>
                <w:kern w:val="0"/>
                <w:szCs w:val="21"/>
              </w:rPr>
              <w:t>铬（六价）</w:t>
            </w:r>
          </w:p>
        </w:tc>
        <w:tc>
          <w:tcPr>
            <w:tcW w:w="1358" w:type="pct"/>
            <w:vAlign w:val="center"/>
          </w:tcPr>
          <w:p w14:paraId="16E7483E">
            <w:pPr>
              <w:spacing w:line="252" w:lineRule="exact"/>
              <w:jc w:val="center"/>
              <w:rPr>
                <w:kern w:val="0"/>
                <w:szCs w:val="21"/>
              </w:rPr>
            </w:pPr>
            <w:r>
              <w:rPr>
                <w:kern w:val="0"/>
                <w:szCs w:val="21"/>
              </w:rPr>
              <w:t>0.05mg/L</w:t>
            </w:r>
          </w:p>
        </w:tc>
        <w:tc>
          <w:tcPr>
            <w:tcW w:w="1842" w:type="pct"/>
            <w:vMerge w:val="continue"/>
            <w:vAlign w:val="center"/>
          </w:tcPr>
          <w:p w14:paraId="41CB258D">
            <w:pPr>
              <w:spacing w:line="252" w:lineRule="exact"/>
              <w:jc w:val="center"/>
              <w:rPr>
                <w:kern w:val="0"/>
                <w:szCs w:val="21"/>
              </w:rPr>
            </w:pPr>
          </w:p>
        </w:tc>
      </w:tr>
      <w:tr w14:paraId="24563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47" w:type="pct"/>
            <w:vMerge w:val="continue"/>
            <w:vAlign w:val="center"/>
          </w:tcPr>
          <w:p w14:paraId="68F477F0">
            <w:pPr>
              <w:spacing w:line="252" w:lineRule="exact"/>
              <w:jc w:val="center"/>
              <w:rPr>
                <w:kern w:val="0"/>
                <w:szCs w:val="21"/>
              </w:rPr>
            </w:pPr>
          </w:p>
        </w:tc>
        <w:tc>
          <w:tcPr>
            <w:tcW w:w="1353" w:type="pct"/>
            <w:gridSpan w:val="2"/>
            <w:vAlign w:val="center"/>
          </w:tcPr>
          <w:p w14:paraId="05AA2CA0">
            <w:pPr>
              <w:spacing w:line="252" w:lineRule="exact"/>
              <w:jc w:val="center"/>
              <w:rPr>
                <w:kern w:val="0"/>
                <w:szCs w:val="21"/>
              </w:rPr>
            </w:pPr>
            <w:r>
              <w:rPr>
                <w:rFonts w:hint="eastAsia"/>
                <w:kern w:val="0"/>
                <w:szCs w:val="21"/>
              </w:rPr>
              <w:t>铅</w:t>
            </w:r>
          </w:p>
        </w:tc>
        <w:tc>
          <w:tcPr>
            <w:tcW w:w="1358" w:type="pct"/>
            <w:vAlign w:val="center"/>
          </w:tcPr>
          <w:p w14:paraId="6C7EA1F5">
            <w:pPr>
              <w:spacing w:line="252" w:lineRule="exact"/>
              <w:jc w:val="center"/>
              <w:rPr>
                <w:kern w:val="0"/>
                <w:szCs w:val="21"/>
              </w:rPr>
            </w:pPr>
            <w:r>
              <w:rPr>
                <w:kern w:val="0"/>
                <w:szCs w:val="21"/>
              </w:rPr>
              <w:t>0.01mg/L</w:t>
            </w:r>
          </w:p>
        </w:tc>
        <w:tc>
          <w:tcPr>
            <w:tcW w:w="1842" w:type="pct"/>
            <w:vMerge w:val="continue"/>
            <w:vAlign w:val="center"/>
          </w:tcPr>
          <w:p w14:paraId="511817CF">
            <w:pPr>
              <w:spacing w:line="252" w:lineRule="exact"/>
              <w:jc w:val="center"/>
              <w:rPr>
                <w:kern w:val="0"/>
                <w:szCs w:val="21"/>
              </w:rPr>
            </w:pPr>
          </w:p>
        </w:tc>
      </w:tr>
      <w:tr w14:paraId="656BB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47" w:type="pct"/>
            <w:vMerge w:val="continue"/>
            <w:vAlign w:val="center"/>
          </w:tcPr>
          <w:p w14:paraId="1AACE6EE">
            <w:pPr>
              <w:spacing w:line="252" w:lineRule="exact"/>
              <w:jc w:val="center"/>
              <w:rPr>
                <w:kern w:val="0"/>
                <w:szCs w:val="21"/>
              </w:rPr>
            </w:pPr>
          </w:p>
        </w:tc>
        <w:tc>
          <w:tcPr>
            <w:tcW w:w="1353" w:type="pct"/>
            <w:gridSpan w:val="2"/>
            <w:vAlign w:val="center"/>
          </w:tcPr>
          <w:p w14:paraId="7623EBC9">
            <w:pPr>
              <w:spacing w:line="252" w:lineRule="exact"/>
              <w:jc w:val="center"/>
              <w:rPr>
                <w:kern w:val="0"/>
                <w:szCs w:val="21"/>
              </w:rPr>
            </w:pPr>
            <w:r>
              <w:rPr>
                <w:rFonts w:hint="eastAsia"/>
                <w:kern w:val="0"/>
                <w:szCs w:val="21"/>
              </w:rPr>
              <w:t>三氯甲烷</w:t>
            </w:r>
          </w:p>
        </w:tc>
        <w:tc>
          <w:tcPr>
            <w:tcW w:w="1358" w:type="pct"/>
            <w:vAlign w:val="center"/>
          </w:tcPr>
          <w:p w14:paraId="5B19681E">
            <w:pPr>
              <w:spacing w:line="252" w:lineRule="exact"/>
              <w:jc w:val="center"/>
              <w:rPr>
                <w:kern w:val="0"/>
                <w:szCs w:val="21"/>
              </w:rPr>
            </w:pPr>
            <w:r>
              <w:rPr>
                <w:rFonts w:hint="eastAsia"/>
                <w:kern w:val="0"/>
                <w:szCs w:val="21"/>
              </w:rPr>
              <w:t>6</w:t>
            </w:r>
            <w:r>
              <w:rPr>
                <w:kern w:val="0"/>
                <w:szCs w:val="21"/>
              </w:rPr>
              <w:t>0μg/</w:t>
            </w:r>
            <w:r>
              <w:rPr>
                <w:rFonts w:hint="eastAsia"/>
                <w:kern w:val="0"/>
                <w:szCs w:val="21"/>
              </w:rPr>
              <w:t>L</w:t>
            </w:r>
          </w:p>
        </w:tc>
        <w:tc>
          <w:tcPr>
            <w:tcW w:w="1842" w:type="pct"/>
            <w:vMerge w:val="continue"/>
            <w:vAlign w:val="center"/>
          </w:tcPr>
          <w:p w14:paraId="78BC2887">
            <w:pPr>
              <w:spacing w:line="252" w:lineRule="exact"/>
              <w:jc w:val="center"/>
              <w:rPr>
                <w:kern w:val="0"/>
                <w:szCs w:val="21"/>
              </w:rPr>
            </w:pPr>
          </w:p>
        </w:tc>
      </w:tr>
      <w:tr w14:paraId="59395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47" w:type="pct"/>
            <w:vMerge w:val="continue"/>
            <w:vAlign w:val="center"/>
          </w:tcPr>
          <w:p w14:paraId="7053CF0B">
            <w:pPr>
              <w:spacing w:line="252" w:lineRule="exact"/>
              <w:jc w:val="center"/>
              <w:rPr>
                <w:kern w:val="0"/>
                <w:szCs w:val="21"/>
              </w:rPr>
            </w:pPr>
          </w:p>
        </w:tc>
        <w:tc>
          <w:tcPr>
            <w:tcW w:w="1353" w:type="pct"/>
            <w:gridSpan w:val="2"/>
            <w:vAlign w:val="center"/>
          </w:tcPr>
          <w:p w14:paraId="5A3ADC1F">
            <w:pPr>
              <w:spacing w:line="252" w:lineRule="exact"/>
              <w:jc w:val="center"/>
              <w:rPr>
                <w:kern w:val="0"/>
                <w:szCs w:val="21"/>
              </w:rPr>
            </w:pPr>
            <w:r>
              <w:rPr>
                <w:rFonts w:hint="eastAsia"/>
                <w:kern w:val="0"/>
                <w:szCs w:val="21"/>
              </w:rPr>
              <w:t>四氯化碳</w:t>
            </w:r>
          </w:p>
        </w:tc>
        <w:tc>
          <w:tcPr>
            <w:tcW w:w="1358" w:type="pct"/>
            <w:vAlign w:val="center"/>
          </w:tcPr>
          <w:p w14:paraId="1F1B664F">
            <w:pPr>
              <w:spacing w:line="252" w:lineRule="exact"/>
              <w:jc w:val="center"/>
              <w:rPr>
                <w:kern w:val="0"/>
                <w:szCs w:val="21"/>
              </w:rPr>
            </w:pPr>
            <w:r>
              <w:rPr>
                <w:rFonts w:hint="eastAsia"/>
                <w:kern w:val="0"/>
                <w:szCs w:val="21"/>
              </w:rPr>
              <w:t>2</w:t>
            </w:r>
            <w:r>
              <w:rPr>
                <w:kern w:val="0"/>
                <w:szCs w:val="21"/>
              </w:rPr>
              <w:t>μg/</w:t>
            </w:r>
            <w:r>
              <w:rPr>
                <w:rFonts w:hint="eastAsia"/>
                <w:kern w:val="0"/>
                <w:szCs w:val="21"/>
              </w:rPr>
              <w:t>L</w:t>
            </w:r>
          </w:p>
        </w:tc>
        <w:tc>
          <w:tcPr>
            <w:tcW w:w="1842" w:type="pct"/>
            <w:vMerge w:val="continue"/>
            <w:vAlign w:val="center"/>
          </w:tcPr>
          <w:p w14:paraId="79309E64">
            <w:pPr>
              <w:spacing w:line="252" w:lineRule="exact"/>
              <w:jc w:val="center"/>
              <w:rPr>
                <w:kern w:val="0"/>
                <w:szCs w:val="21"/>
              </w:rPr>
            </w:pPr>
          </w:p>
        </w:tc>
      </w:tr>
      <w:tr w14:paraId="56F29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47" w:type="pct"/>
            <w:vMerge w:val="continue"/>
            <w:vAlign w:val="center"/>
          </w:tcPr>
          <w:p w14:paraId="08BC9636">
            <w:pPr>
              <w:spacing w:line="252" w:lineRule="exact"/>
              <w:jc w:val="center"/>
              <w:rPr>
                <w:kern w:val="0"/>
                <w:szCs w:val="21"/>
              </w:rPr>
            </w:pPr>
          </w:p>
        </w:tc>
        <w:tc>
          <w:tcPr>
            <w:tcW w:w="1353" w:type="pct"/>
            <w:gridSpan w:val="2"/>
            <w:vAlign w:val="center"/>
          </w:tcPr>
          <w:p w14:paraId="45DB3D2E">
            <w:pPr>
              <w:spacing w:line="252" w:lineRule="exact"/>
              <w:jc w:val="center"/>
              <w:rPr>
                <w:kern w:val="0"/>
                <w:szCs w:val="21"/>
              </w:rPr>
            </w:pPr>
            <w:r>
              <w:rPr>
                <w:rFonts w:hint="eastAsia"/>
                <w:kern w:val="0"/>
                <w:szCs w:val="21"/>
              </w:rPr>
              <w:t>苯</w:t>
            </w:r>
          </w:p>
        </w:tc>
        <w:tc>
          <w:tcPr>
            <w:tcW w:w="1358" w:type="pct"/>
            <w:vAlign w:val="center"/>
          </w:tcPr>
          <w:p w14:paraId="06C6E3F5">
            <w:pPr>
              <w:spacing w:line="252" w:lineRule="exact"/>
              <w:jc w:val="center"/>
              <w:rPr>
                <w:kern w:val="0"/>
                <w:szCs w:val="21"/>
              </w:rPr>
            </w:pPr>
            <w:r>
              <w:rPr>
                <w:rFonts w:hint="eastAsia"/>
                <w:kern w:val="0"/>
                <w:szCs w:val="21"/>
              </w:rPr>
              <w:t>1</w:t>
            </w:r>
            <w:r>
              <w:rPr>
                <w:kern w:val="0"/>
                <w:szCs w:val="21"/>
              </w:rPr>
              <w:t>0μg/</w:t>
            </w:r>
            <w:r>
              <w:rPr>
                <w:rFonts w:hint="eastAsia"/>
                <w:kern w:val="0"/>
                <w:szCs w:val="21"/>
              </w:rPr>
              <w:t>L</w:t>
            </w:r>
          </w:p>
        </w:tc>
        <w:tc>
          <w:tcPr>
            <w:tcW w:w="1842" w:type="pct"/>
            <w:vMerge w:val="continue"/>
            <w:vAlign w:val="center"/>
          </w:tcPr>
          <w:p w14:paraId="1723E41B">
            <w:pPr>
              <w:spacing w:line="252" w:lineRule="exact"/>
              <w:jc w:val="center"/>
              <w:rPr>
                <w:kern w:val="0"/>
                <w:szCs w:val="21"/>
              </w:rPr>
            </w:pPr>
          </w:p>
        </w:tc>
      </w:tr>
      <w:tr w14:paraId="12454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47" w:type="pct"/>
            <w:vMerge w:val="continue"/>
            <w:vAlign w:val="center"/>
          </w:tcPr>
          <w:p w14:paraId="33DDDF9F">
            <w:pPr>
              <w:spacing w:line="252" w:lineRule="exact"/>
              <w:jc w:val="center"/>
              <w:rPr>
                <w:kern w:val="0"/>
                <w:szCs w:val="21"/>
              </w:rPr>
            </w:pPr>
          </w:p>
        </w:tc>
        <w:tc>
          <w:tcPr>
            <w:tcW w:w="1353" w:type="pct"/>
            <w:gridSpan w:val="2"/>
            <w:vAlign w:val="center"/>
          </w:tcPr>
          <w:p w14:paraId="61D8B219">
            <w:pPr>
              <w:spacing w:line="252" w:lineRule="exact"/>
              <w:jc w:val="center"/>
              <w:rPr>
                <w:kern w:val="0"/>
                <w:szCs w:val="21"/>
              </w:rPr>
            </w:pPr>
            <w:r>
              <w:rPr>
                <w:rFonts w:hint="eastAsia"/>
                <w:kern w:val="0"/>
                <w:szCs w:val="21"/>
              </w:rPr>
              <w:t>甲苯</w:t>
            </w:r>
          </w:p>
        </w:tc>
        <w:tc>
          <w:tcPr>
            <w:tcW w:w="1358" w:type="pct"/>
            <w:vAlign w:val="center"/>
          </w:tcPr>
          <w:p w14:paraId="51355308">
            <w:pPr>
              <w:spacing w:line="252" w:lineRule="exact"/>
              <w:jc w:val="center"/>
              <w:rPr>
                <w:kern w:val="0"/>
                <w:szCs w:val="21"/>
              </w:rPr>
            </w:pPr>
            <w:r>
              <w:rPr>
                <w:kern w:val="0"/>
                <w:szCs w:val="21"/>
              </w:rPr>
              <w:t>700μg/</w:t>
            </w:r>
            <w:r>
              <w:rPr>
                <w:rFonts w:hint="eastAsia"/>
                <w:kern w:val="0"/>
                <w:szCs w:val="21"/>
              </w:rPr>
              <w:t>L</w:t>
            </w:r>
          </w:p>
        </w:tc>
        <w:tc>
          <w:tcPr>
            <w:tcW w:w="1842" w:type="pct"/>
            <w:vMerge w:val="continue"/>
            <w:vAlign w:val="center"/>
          </w:tcPr>
          <w:p w14:paraId="05BF2D9B">
            <w:pPr>
              <w:spacing w:line="252" w:lineRule="exact"/>
              <w:jc w:val="center"/>
              <w:rPr>
                <w:kern w:val="0"/>
                <w:szCs w:val="21"/>
              </w:rPr>
            </w:pPr>
          </w:p>
        </w:tc>
      </w:tr>
      <w:tr w14:paraId="678DF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47" w:type="pct"/>
            <w:vMerge w:val="continue"/>
            <w:vAlign w:val="center"/>
          </w:tcPr>
          <w:p w14:paraId="3F11F961">
            <w:pPr>
              <w:spacing w:line="252" w:lineRule="exact"/>
              <w:jc w:val="center"/>
              <w:rPr>
                <w:kern w:val="0"/>
                <w:szCs w:val="21"/>
              </w:rPr>
            </w:pPr>
          </w:p>
        </w:tc>
        <w:tc>
          <w:tcPr>
            <w:tcW w:w="1353" w:type="pct"/>
            <w:gridSpan w:val="2"/>
            <w:vAlign w:val="center"/>
          </w:tcPr>
          <w:p w14:paraId="2F98DC20">
            <w:pPr>
              <w:spacing w:line="252" w:lineRule="exact"/>
              <w:jc w:val="center"/>
              <w:rPr>
                <w:kern w:val="0"/>
                <w:szCs w:val="21"/>
              </w:rPr>
            </w:pPr>
            <w:r>
              <w:rPr>
                <w:rFonts w:hint="eastAsia"/>
                <w:kern w:val="0"/>
                <w:szCs w:val="21"/>
              </w:rPr>
              <w:t>石油类</w:t>
            </w:r>
          </w:p>
        </w:tc>
        <w:tc>
          <w:tcPr>
            <w:tcW w:w="1358" w:type="pct"/>
            <w:vAlign w:val="center"/>
          </w:tcPr>
          <w:p w14:paraId="164181F5">
            <w:pPr>
              <w:spacing w:line="252" w:lineRule="exact"/>
              <w:jc w:val="center"/>
              <w:rPr>
                <w:kern w:val="0"/>
                <w:szCs w:val="21"/>
              </w:rPr>
            </w:pPr>
            <w:r>
              <w:rPr>
                <w:rFonts w:hint="eastAsia"/>
                <w:kern w:val="0"/>
                <w:szCs w:val="21"/>
              </w:rPr>
              <w:t>0.05</w:t>
            </w:r>
            <w:r>
              <w:rPr>
                <w:kern w:val="0"/>
                <w:szCs w:val="21"/>
              </w:rPr>
              <w:t xml:space="preserve"> mg/L</w:t>
            </w:r>
          </w:p>
        </w:tc>
        <w:tc>
          <w:tcPr>
            <w:tcW w:w="1842" w:type="pct"/>
            <w:vAlign w:val="center"/>
          </w:tcPr>
          <w:p w14:paraId="6A234EAC">
            <w:pPr>
              <w:spacing w:line="252" w:lineRule="exact"/>
              <w:jc w:val="center"/>
              <w:rPr>
                <w:kern w:val="0"/>
                <w:szCs w:val="21"/>
              </w:rPr>
            </w:pPr>
            <w:r>
              <w:rPr>
                <w:rFonts w:hint="eastAsia"/>
                <w:kern w:val="0"/>
                <w:szCs w:val="21"/>
              </w:rPr>
              <w:t>参照</w:t>
            </w:r>
            <w:r>
              <w:rPr>
                <w:kern w:val="0"/>
                <w:szCs w:val="21"/>
              </w:rPr>
              <w:t>执行</w:t>
            </w:r>
            <w:r>
              <w:rPr>
                <w:rFonts w:hint="eastAsia"/>
                <w:kern w:val="0"/>
                <w:szCs w:val="21"/>
              </w:rPr>
              <w:t>《地表水环境质量标准》（GB3838-2002）Ⅱ类标准</w:t>
            </w:r>
          </w:p>
        </w:tc>
      </w:tr>
    </w:tbl>
    <w:p w14:paraId="3048D1C4">
      <w:pPr>
        <w:spacing w:line="360" w:lineRule="auto"/>
        <w:jc w:val="center"/>
        <w:rPr>
          <w:rFonts w:eastAsia="黑体"/>
          <w:kern w:val="0"/>
          <w:sz w:val="24"/>
        </w:rPr>
      </w:pPr>
      <w:bookmarkStart w:id="49" w:name="_Ref80710826"/>
      <w:bookmarkStart w:id="50" w:name="_Ref77760440"/>
      <w:bookmarkStart w:id="51" w:name="_Ref470544536"/>
      <w:r>
        <w:rPr>
          <w:rFonts w:hint="eastAsia" w:eastAsia="黑体"/>
          <w:kern w:val="0"/>
          <w:sz w:val="24"/>
        </w:rPr>
        <w:t>表</w:t>
      </w:r>
      <w:r>
        <w:rPr>
          <w:rFonts w:eastAsia="黑体"/>
          <w:kern w:val="0"/>
          <w:sz w:val="24"/>
        </w:rPr>
        <w:fldChar w:fldCharType="begin"/>
      </w:r>
      <w:r>
        <w:rPr>
          <w:rFonts w:eastAsia="黑体"/>
          <w:kern w:val="0"/>
          <w:sz w:val="24"/>
        </w:rPr>
        <w:instrText xml:space="preserve"> </w:instrText>
      </w:r>
      <w:r>
        <w:rPr>
          <w:rFonts w:hint="eastAsia" w:eastAsia="黑体"/>
          <w:kern w:val="0"/>
          <w:sz w:val="24"/>
        </w:rPr>
        <w:instrText xml:space="preserve">STYLEREF 1 \s</w:instrText>
      </w:r>
      <w:r>
        <w:rPr>
          <w:rFonts w:eastAsia="黑体"/>
          <w:kern w:val="0"/>
          <w:sz w:val="24"/>
        </w:rPr>
        <w:instrText xml:space="preserve"> </w:instrText>
      </w:r>
      <w:r>
        <w:rPr>
          <w:rFonts w:eastAsia="黑体"/>
          <w:kern w:val="0"/>
          <w:sz w:val="24"/>
        </w:rPr>
        <w:fldChar w:fldCharType="separate"/>
      </w:r>
      <w:r>
        <w:rPr>
          <w:rFonts w:eastAsia="黑体"/>
          <w:kern w:val="0"/>
          <w:sz w:val="24"/>
        </w:rPr>
        <w:t>1</w:t>
      </w:r>
      <w:r>
        <w:rPr>
          <w:rFonts w:eastAsia="黑体"/>
          <w:kern w:val="0"/>
          <w:sz w:val="24"/>
        </w:rPr>
        <w:fldChar w:fldCharType="end"/>
      </w:r>
      <w:r>
        <w:rPr>
          <w:rFonts w:eastAsia="黑体"/>
          <w:kern w:val="0"/>
          <w:sz w:val="24"/>
        </w:rPr>
        <w:noBreakHyphen/>
      </w:r>
      <w:r>
        <w:rPr>
          <w:rFonts w:eastAsia="黑体"/>
          <w:kern w:val="0"/>
          <w:sz w:val="24"/>
        </w:rPr>
        <w:fldChar w:fldCharType="begin"/>
      </w:r>
      <w:r>
        <w:rPr>
          <w:rFonts w:eastAsia="黑体"/>
          <w:kern w:val="0"/>
          <w:sz w:val="24"/>
        </w:rPr>
        <w:instrText xml:space="preserve"> </w:instrText>
      </w:r>
      <w:r>
        <w:rPr>
          <w:rFonts w:hint="eastAsia" w:eastAsia="黑体"/>
          <w:kern w:val="0"/>
          <w:sz w:val="24"/>
        </w:rPr>
        <w:instrText xml:space="preserve">SEQ 表 \* ARABIC \s 1</w:instrText>
      </w:r>
      <w:r>
        <w:rPr>
          <w:rFonts w:eastAsia="黑体"/>
          <w:kern w:val="0"/>
          <w:sz w:val="24"/>
        </w:rPr>
        <w:instrText xml:space="preserve"> </w:instrText>
      </w:r>
      <w:r>
        <w:rPr>
          <w:rFonts w:eastAsia="黑体"/>
          <w:kern w:val="0"/>
          <w:sz w:val="24"/>
        </w:rPr>
        <w:fldChar w:fldCharType="separate"/>
      </w:r>
      <w:r>
        <w:rPr>
          <w:rFonts w:eastAsia="黑体"/>
          <w:kern w:val="0"/>
          <w:sz w:val="24"/>
        </w:rPr>
        <w:t>15</w:t>
      </w:r>
      <w:r>
        <w:rPr>
          <w:rFonts w:eastAsia="黑体"/>
          <w:kern w:val="0"/>
          <w:sz w:val="24"/>
        </w:rPr>
        <w:fldChar w:fldCharType="end"/>
      </w:r>
      <w:bookmarkEnd w:id="49"/>
      <w:bookmarkEnd w:id="50"/>
      <w:r>
        <w:rPr>
          <w:rFonts w:hint="eastAsia" w:eastAsia="黑体"/>
          <w:kern w:val="0"/>
          <w:sz w:val="24"/>
        </w:rPr>
        <w:t xml:space="preserve">  </w:t>
      </w:r>
      <w:r>
        <w:rPr>
          <w:rFonts w:eastAsia="黑体"/>
          <w:kern w:val="0"/>
          <w:sz w:val="24"/>
        </w:rPr>
        <w:t>施工场地扬尘排放标准</w:t>
      </w:r>
    </w:p>
    <w:tbl>
      <w:tblPr>
        <w:tblStyle w:val="6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5"/>
        <w:gridCol w:w="1704"/>
        <w:gridCol w:w="1395"/>
        <w:gridCol w:w="4264"/>
      </w:tblGrid>
      <w:tr w14:paraId="55153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shd w:val="clear" w:color="auto" w:fill="auto"/>
            <w:vAlign w:val="center"/>
          </w:tcPr>
          <w:p w14:paraId="74A40AEA">
            <w:pPr>
              <w:spacing w:line="260" w:lineRule="exact"/>
              <w:jc w:val="center"/>
              <w:rPr>
                <w:rFonts w:hAnsi="宋体"/>
                <w:kern w:val="0"/>
                <w:szCs w:val="21"/>
              </w:rPr>
            </w:pPr>
            <w:r>
              <w:rPr>
                <w:rFonts w:hint="eastAsia" w:hAnsi="宋体"/>
                <w:kern w:val="0"/>
                <w:szCs w:val="21"/>
              </w:rPr>
              <w:t>控制项目</w:t>
            </w:r>
          </w:p>
        </w:tc>
        <w:tc>
          <w:tcPr>
            <w:tcW w:w="999" w:type="pct"/>
            <w:shd w:val="clear" w:color="auto" w:fill="auto"/>
            <w:vAlign w:val="center"/>
          </w:tcPr>
          <w:p w14:paraId="5443B47C">
            <w:pPr>
              <w:spacing w:line="260" w:lineRule="exact"/>
              <w:jc w:val="center"/>
              <w:rPr>
                <w:kern w:val="0"/>
                <w:szCs w:val="21"/>
              </w:rPr>
            </w:pPr>
            <w:r>
              <w:rPr>
                <w:kern w:val="0"/>
                <w:szCs w:val="21"/>
              </w:rPr>
              <w:t>监测点浓度限值</w:t>
            </w:r>
            <w:r>
              <w:rPr>
                <w:rFonts w:hint="eastAsia"/>
                <w:kern w:val="0"/>
                <w:szCs w:val="21"/>
              </w:rPr>
              <w:t>*</w:t>
            </w:r>
            <w:r>
              <w:rPr>
                <w:kern w:val="0"/>
                <w:szCs w:val="21"/>
              </w:rPr>
              <w:t>（μg/m</w:t>
            </w:r>
            <w:r>
              <w:rPr>
                <w:kern w:val="0"/>
                <w:szCs w:val="21"/>
                <w:vertAlign w:val="superscript"/>
              </w:rPr>
              <w:t>3</w:t>
            </w:r>
            <w:r>
              <w:rPr>
                <w:kern w:val="0"/>
                <w:szCs w:val="21"/>
              </w:rPr>
              <w:t>）</w:t>
            </w:r>
          </w:p>
        </w:tc>
        <w:tc>
          <w:tcPr>
            <w:tcW w:w="818" w:type="pct"/>
            <w:shd w:val="clear" w:color="auto" w:fill="auto"/>
            <w:vAlign w:val="center"/>
          </w:tcPr>
          <w:p w14:paraId="446FCE17">
            <w:pPr>
              <w:spacing w:line="260" w:lineRule="exact"/>
              <w:jc w:val="center"/>
              <w:rPr>
                <w:rFonts w:hAnsi="宋体"/>
                <w:kern w:val="0"/>
                <w:szCs w:val="21"/>
              </w:rPr>
            </w:pPr>
            <w:r>
              <w:rPr>
                <w:rFonts w:hint="eastAsia" w:hAnsi="宋体"/>
                <w:kern w:val="0"/>
                <w:szCs w:val="21"/>
              </w:rPr>
              <w:t>达标判定依据（次/天）</w:t>
            </w:r>
          </w:p>
        </w:tc>
        <w:tc>
          <w:tcPr>
            <w:tcW w:w="2500" w:type="pct"/>
            <w:shd w:val="clear" w:color="auto" w:fill="auto"/>
            <w:vAlign w:val="center"/>
          </w:tcPr>
          <w:p w14:paraId="1042286B">
            <w:pPr>
              <w:spacing w:line="260" w:lineRule="exact"/>
              <w:jc w:val="center"/>
              <w:rPr>
                <w:rFonts w:hAnsi="宋体"/>
                <w:kern w:val="0"/>
                <w:szCs w:val="21"/>
              </w:rPr>
            </w:pPr>
            <w:r>
              <w:rPr>
                <w:rFonts w:hint="eastAsia" w:hAnsi="宋体"/>
                <w:kern w:val="0"/>
                <w:szCs w:val="21"/>
              </w:rPr>
              <w:t>标准来源</w:t>
            </w:r>
          </w:p>
        </w:tc>
      </w:tr>
      <w:tr w14:paraId="658C4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shd w:val="clear" w:color="auto" w:fill="auto"/>
            <w:vAlign w:val="center"/>
          </w:tcPr>
          <w:p w14:paraId="2B22A50F">
            <w:pPr>
              <w:spacing w:line="260" w:lineRule="exact"/>
              <w:jc w:val="center"/>
              <w:rPr>
                <w:rFonts w:hAnsi="宋体"/>
                <w:kern w:val="0"/>
                <w:szCs w:val="21"/>
                <w:vertAlign w:val="subscript"/>
              </w:rPr>
            </w:pPr>
            <w:r>
              <w:rPr>
                <w:rFonts w:hint="eastAsia" w:hAnsi="宋体"/>
                <w:kern w:val="0"/>
                <w:szCs w:val="21"/>
              </w:rPr>
              <w:t>PM</w:t>
            </w:r>
            <w:r>
              <w:rPr>
                <w:rFonts w:hAnsi="宋体"/>
                <w:kern w:val="0"/>
                <w:szCs w:val="21"/>
                <w:vertAlign w:val="subscript"/>
              </w:rPr>
              <w:t>10</w:t>
            </w:r>
          </w:p>
        </w:tc>
        <w:tc>
          <w:tcPr>
            <w:tcW w:w="999" w:type="pct"/>
            <w:shd w:val="clear" w:color="auto" w:fill="auto"/>
            <w:vAlign w:val="center"/>
          </w:tcPr>
          <w:p w14:paraId="6B22F767">
            <w:pPr>
              <w:spacing w:line="260" w:lineRule="exact"/>
              <w:jc w:val="center"/>
              <w:rPr>
                <w:rFonts w:hAnsi="宋体"/>
                <w:kern w:val="0"/>
                <w:szCs w:val="21"/>
              </w:rPr>
            </w:pPr>
            <w:r>
              <w:rPr>
                <w:rFonts w:hint="eastAsia" w:hAnsi="宋体"/>
                <w:kern w:val="0"/>
                <w:szCs w:val="21"/>
              </w:rPr>
              <w:t>80</w:t>
            </w:r>
          </w:p>
        </w:tc>
        <w:tc>
          <w:tcPr>
            <w:tcW w:w="818" w:type="pct"/>
            <w:shd w:val="clear" w:color="auto" w:fill="auto"/>
            <w:vAlign w:val="center"/>
          </w:tcPr>
          <w:p w14:paraId="377A2B25">
            <w:pPr>
              <w:spacing w:line="260" w:lineRule="exact"/>
              <w:jc w:val="center"/>
              <w:rPr>
                <w:kern w:val="0"/>
                <w:szCs w:val="21"/>
              </w:rPr>
            </w:pPr>
            <w:r>
              <w:rPr>
                <w:kern w:val="0"/>
                <w:szCs w:val="21"/>
              </w:rPr>
              <w:t>≤2</w:t>
            </w:r>
          </w:p>
        </w:tc>
        <w:tc>
          <w:tcPr>
            <w:tcW w:w="2500" w:type="pct"/>
            <w:shd w:val="clear" w:color="auto" w:fill="auto"/>
            <w:vAlign w:val="center"/>
          </w:tcPr>
          <w:p w14:paraId="64D606AD">
            <w:pPr>
              <w:spacing w:line="260" w:lineRule="exact"/>
              <w:jc w:val="center"/>
              <w:rPr>
                <w:rFonts w:hAnsi="宋体"/>
                <w:kern w:val="0"/>
                <w:szCs w:val="21"/>
              </w:rPr>
            </w:pPr>
            <w:r>
              <w:rPr>
                <w:rFonts w:hint="eastAsia" w:hAnsi="宋体"/>
                <w:kern w:val="0"/>
                <w:szCs w:val="21"/>
              </w:rPr>
              <w:t>《施工场地扬尘排放标准》</w:t>
            </w:r>
          </w:p>
          <w:p w14:paraId="01CB0BB2">
            <w:pPr>
              <w:spacing w:line="260" w:lineRule="exact"/>
              <w:jc w:val="center"/>
              <w:rPr>
                <w:rFonts w:hAnsi="宋体"/>
                <w:kern w:val="0"/>
                <w:szCs w:val="21"/>
              </w:rPr>
            </w:pPr>
            <w:r>
              <w:rPr>
                <w:rFonts w:hint="eastAsia" w:hAnsi="宋体"/>
                <w:kern w:val="0"/>
                <w:szCs w:val="21"/>
              </w:rPr>
              <w:t>（DB13/2934—2019）</w:t>
            </w:r>
          </w:p>
        </w:tc>
      </w:tr>
      <w:tr w14:paraId="4FE1C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shd w:val="clear" w:color="auto" w:fill="auto"/>
            <w:vAlign w:val="center"/>
          </w:tcPr>
          <w:p w14:paraId="5295977F">
            <w:pPr>
              <w:spacing w:line="260" w:lineRule="exact"/>
              <w:jc w:val="center"/>
              <w:rPr>
                <w:rFonts w:hAnsi="宋体"/>
                <w:kern w:val="0"/>
                <w:szCs w:val="21"/>
              </w:rPr>
            </w:pPr>
            <w:r>
              <w:rPr>
                <w:rFonts w:hint="eastAsia" w:hAnsi="宋体"/>
                <w:kern w:val="0"/>
                <w:szCs w:val="21"/>
              </w:rPr>
              <w:t>*指监测点PM</w:t>
            </w:r>
            <w:r>
              <w:rPr>
                <w:rFonts w:hint="eastAsia" w:hAnsi="宋体"/>
                <w:kern w:val="0"/>
                <w:szCs w:val="21"/>
                <w:vertAlign w:val="subscript"/>
              </w:rPr>
              <w:t>10</w:t>
            </w:r>
            <w:r>
              <w:rPr>
                <w:rFonts w:hint="eastAsia" w:hAnsi="宋体"/>
                <w:kern w:val="0"/>
                <w:szCs w:val="21"/>
              </w:rPr>
              <w:t>小时平均浓度实测值与同时段所属县（市、区）PM</w:t>
            </w:r>
            <w:r>
              <w:rPr>
                <w:rFonts w:hint="eastAsia" w:hAnsi="宋体"/>
                <w:kern w:val="0"/>
                <w:szCs w:val="21"/>
                <w:vertAlign w:val="subscript"/>
              </w:rPr>
              <w:t>10</w:t>
            </w:r>
            <w:r>
              <w:rPr>
                <w:rFonts w:hint="eastAsia" w:hAnsi="宋体"/>
                <w:kern w:val="0"/>
                <w:szCs w:val="21"/>
              </w:rPr>
              <w:t>小时平均浓度的差值，当县（市、区）PM10小时平均浓度值大于150</w:t>
            </w:r>
            <w:r>
              <w:rPr>
                <w:kern w:val="0"/>
                <w:szCs w:val="21"/>
              </w:rPr>
              <w:t>μg/m</w:t>
            </w:r>
            <w:r>
              <w:rPr>
                <w:kern w:val="0"/>
                <w:szCs w:val="21"/>
                <w:vertAlign w:val="superscript"/>
              </w:rPr>
              <w:t>3</w:t>
            </w:r>
            <w:r>
              <w:rPr>
                <w:rFonts w:hint="eastAsia"/>
                <w:kern w:val="0"/>
                <w:szCs w:val="21"/>
              </w:rPr>
              <w:t>时，以150</w:t>
            </w:r>
            <w:r>
              <w:rPr>
                <w:kern w:val="0"/>
                <w:szCs w:val="21"/>
              </w:rPr>
              <w:t>μg/m</w:t>
            </w:r>
            <w:r>
              <w:rPr>
                <w:kern w:val="0"/>
                <w:szCs w:val="21"/>
                <w:vertAlign w:val="superscript"/>
              </w:rPr>
              <w:t>3</w:t>
            </w:r>
            <w:r>
              <w:rPr>
                <w:rFonts w:hint="eastAsia"/>
                <w:kern w:val="0"/>
                <w:szCs w:val="21"/>
              </w:rPr>
              <w:t>计。</w:t>
            </w:r>
          </w:p>
        </w:tc>
      </w:tr>
    </w:tbl>
    <w:p w14:paraId="23CDA0F7">
      <w:pPr>
        <w:spacing w:line="520" w:lineRule="exact"/>
        <w:jc w:val="center"/>
        <w:rPr>
          <w:rFonts w:eastAsia="黑体"/>
          <w:kern w:val="0"/>
          <w:sz w:val="24"/>
        </w:rPr>
      </w:pPr>
      <w:bookmarkStart w:id="52" w:name="_Ref77760446"/>
      <w:r>
        <w:rPr>
          <w:rFonts w:hint="eastAsia" w:eastAsia="黑体"/>
          <w:kern w:val="0"/>
          <w:sz w:val="24"/>
        </w:rPr>
        <w:t>表</w:t>
      </w:r>
      <w:r>
        <w:rPr>
          <w:rFonts w:eastAsia="黑体"/>
          <w:kern w:val="0"/>
          <w:sz w:val="24"/>
        </w:rPr>
        <w:fldChar w:fldCharType="begin"/>
      </w:r>
      <w:r>
        <w:rPr>
          <w:rFonts w:eastAsia="黑体"/>
          <w:kern w:val="0"/>
          <w:sz w:val="24"/>
        </w:rPr>
        <w:instrText xml:space="preserve"> </w:instrText>
      </w:r>
      <w:r>
        <w:rPr>
          <w:rFonts w:hint="eastAsia" w:eastAsia="黑体"/>
          <w:kern w:val="0"/>
          <w:sz w:val="24"/>
        </w:rPr>
        <w:instrText xml:space="preserve">STYLEREF 1 \s</w:instrText>
      </w:r>
      <w:r>
        <w:rPr>
          <w:rFonts w:eastAsia="黑体"/>
          <w:kern w:val="0"/>
          <w:sz w:val="24"/>
        </w:rPr>
        <w:instrText xml:space="preserve"> </w:instrText>
      </w:r>
      <w:r>
        <w:rPr>
          <w:rFonts w:eastAsia="黑体"/>
          <w:kern w:val="0"/>
          <w:sz w:val="24"/>
        </w:rPr>
        <w:fldChar w:fldCharType="separate"/>
      </w:r>
      <w:r>
        <w:rPr>
          <w:rFonts w:eastAsia="黑体"/>
          <w:kern w:val="0"/>
          <w:sz w:val="24"/>
        </w:rPr>
        <w:t>1</w:t>
      </w:r>
      <w:r>
        <w:rPr>
          <w:rFonts w:eastAsia="黑体"/>
          <w:kern w:val="0"/>
          <w:sz w:val="24"/>
        </w:rPr>
        <w:fldChar w:fldCharType="end"/>
      </w:r>
      <w:r>
        <w:rPr>
          <w:rFonts w:eastAsia="黑体"/>
          <w:kern w:val="0"/>
          <w:sz w:val="24"/>
        </w:rPr>
        <w:noBreakHyphen/>
      </w:r>
      <w:r>
        <w:rPr>
          <w:rFonts w:eastAsia="黑体"/>
          <w:kern w:val="0"/>
          <w:sz w:val="24"/>
        </w:rPr>
        <w:fldChar w:fldCharType="begin"/>
      </w:r>
      <w:r>
        <w:rPr>
          <w:rFonts w:eastAsia="黑体"/>
          <w:kern w:val="0"/>
          <w:sz w:val="24"/>
        </w:rPr>
        <w:instrText xml:space="preserve"> </w:instrText>
      </w:r>
      <w:r>
        <w:rPr>
          <w:rFonts w:hint="eastAsia" w:eastAsia="黑体"/>
          <w:kern w:val="0"/>
          <w:sz w:val="24"/>
        </w:rPr>
        <w:instrText xml:space="preserve">SEQ 表 \* ARABIC \s 1</w:instrText>
      </w:r>
      <w:r>
        <w:rPr>
          <w:rFonts w:eastAsia="黑体"/>
          <w:kern w:val="0"/>
          <w:sz w:val="24"/>
        </w:rPr>
        <w:instrText xml:space="preserve"> </w:instrText>
      </w:r>
      <w:r>
        <w:rPr>
          <w:rFonts w:eastAsia="黑体"/>
          <w:kern w:val="0"/>
          <w:sz w:val="24"/>
        </w:rPr>
        <w:fldChar w:fldCharType="separate"/>
      </w:r>
      <w:r>
        <w:rPr>
          <w:rFonts w:eastAsia="黑体"/>
          <w:kern w:val="0"/>
          <w:sz w:val="24"/>
        </w:rPr>
        <w:t>16</w:t>
      </w:r>
      <w:r>
        <w:rPr>
          <w:rFonts w:eastAsia="黑体"/>
          <w:kern w:val="0"/>
          <w:sz w:val="24"/>
        </w:rPr>
        <w:fldChar w:fldCharType="end"/>
      </w:r>
      <w:bookmarkEnd w:id="52"/>
      <w:r>
        <w:rPr>
          <w:rFonts w:eastAsia="黑体"/>
          <w:kern w:val="0"/>
          <w:sz w:val="24"/>
        </w:rPr>
        <w:t xml:space="preserve">  建筑施工场界环境噪声排放标准</w:t>
      </w:r>
    </w:p>
    <w:tbl>
      <w:tblPr>
        <w:tblStyle w:val="6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5"/>
        <w:gridCol w:w="1704"/>
        <w:gridCol w:w="1395"/>
        <w:gridCol w:w="4264"/>
      </w:tblGrid>
      <w:tr w14:paraId="6188F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vMerge w:val="restart"/>
            <w:shd w:val="clear" w:color="auto" w:fill="auto"/>
            <w:vAlign w:val="center"/>
          </w:tcPr>
          <w:p w14:paraId="22A4F4A8">
            <w:pPr>
              <w:spacing w:line="260" w:lineRule="exact"/>
              <w:jc w:val="center"/>
              <w:rPr>
                <w:rFonts w:hAnsi="宋体"/>
                <w:kern w:val="0"/>
                <w:szCs w:val="21"/>
              </w:rPr>
            </w:pPr>
            <w:r>
              <w:rPr>
                <w:rFonts w:hint="eastAsia" w:hAnsi="宋体"/>
                <w:kern w:val="0"/>
                <w:szCs w:val="21"/>
              </w:rPr>
              <w:t>施工噪声</w:t>
            </w:r>
          </w:p>
        </w:tc>
        <w:tc>
          <w:tcPr>
            <w:tcW w:w="999" w:type="pct"/>
            <w:shd w:val="clear" w:color="auto" w:fill="auto"/>
            <w:vAlign w:val="center"/>
          </w:tcPr>
          <w:p w14:paraId="2D4A8B1A">
            <w:pPr>
              <w:spacing w:line="260" w:lineRule="exact"/>
              <w:jc w:val="center"/>
              <w:rPr>
                <w:kern w:val="0"/>
                <w:szCs w:val="21"/>
              </w:rPr>
            </w:pPr>
            <w:r>
              <w:rPr>
                <w:rFonts w:hint="eastAsia"/>
                <w:kern w:val="0"/>
                <w:szCs w:val="21"/>
              </w:rPr>
              <w:t>昼间</w:t>
            </w:r>
          </w:p>
        </w:tc>
        <w:tc>
          <w:tcPr>
            <w:tcW w:w="818" w:type="pct"/>
            <w:shd w:val="clear" w:color="auto" w:fill="auto"/>
            <w:vAlign w:val="center"/>
          </w:tcPr>
          <w:p w14:paraId="1FC73585">
            <w:pPr>
              <w:spacing w:line="260" w:lineRule="exact"/>
              <w:jc w:val="center"/>
              <w:rPr>
                <w:rFonts w:hAnsi="宋体"/>
                <w:kern w:val="0"/>
                <w:szCs w:val="21"/>
              </w:rPr>
            </w:pPr>
            <w:r>
              <w:rPr>
                <w:rFonts w:hint="eastAsia" w:hAnsi="宋体"/>
                <w:kern w:val="0"/>
                <w:szCs w:val="21"/>
              </w:rPr>
              <w:t>夜间</w:t>
            </w:r>
          </w:p>
        </w:tc>
        <w:tc>
          <w:tcPr>
            <w:tcW w:w="2500" w:type="pct"/>
            <w:shd w:val="clear" w:color="auto" w:fill="auto"/>
            <w:vAlign w:val="center"/>
          </w:tcPr>
          <w:p w14:paraId="385CF753">
            <w:pPr>
              <w:spacing w:line="260" w:lineRule="exact"/>
              <w:jc w:val="center"/>
              <w:rPr>
                <w:rFonts w:hAnsi="宋体"/>
                <w:kern w:val="0"/>
                <w:szCs w:val="21"/>
              </w:rPr>
            </w:pPr>
            <w:r>
              <w:rPr>
                <w:rFonts w:hint="eastAsia" w:hAnsi="宋体"/>
                <w:kern w:val="0"/>
                <w:szCs w:val="21"/>
              </w:rPr>
              <w:t>标准来源</w:t>
            </w:r>
          </w:p>
        </w:tc>
      </w:tr>
      <w:tr w14:paraId="78D9A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vMerge w:val="continue"/>
            <w:shd w:val="clear" w:color="auto" w:fill="auto"/>
            <w:vAlign w:val="center"/>
          </w:tcPr>
          <w:p w14:paraId="5E04D34D">
            <w:pPr>
              <w:spacing w:line="260" w:lineRule="exact"/>
              <w:jc w:val="center"/>
              <w:rPr>
                <w:rFonts w:hAnsi="宋体"/>
                <w:kern w:val="0"/>
                <w:szCs w:val="21"/>
                <w:vertAlign w:val="subscript"/>
              </w:rPr>
            </w:pPr>
          </w:p>
        </w:tc>
        <w:tc>
          <w:tcPr>
            <w:tcW w:w="999" w:type="pct"/>
            <w:shd w:val="clear" w:color="auto" w:fill="auto"/>
            <w:vAlign w:val="center"/>
          </w:tcPr>
          <w:p w14:paraId="7A2B191F">
            <w:pPr>
              <w:spacing w:line="260" w:lineRule="exact"/>
              <w:jc w:val="center"/>
              <w:rPr>
                <w:rFonts w:hAnsi="宋体"/>
                <w:kern w:val="0"/>
                <w:szCs w:val="21"/>
              </w:rPr>
            </w:pPr>
            <w:r>
              <w:rPr>
                <w:rFonts w:hAnsi="宋体"/>
                <w:kern w:val="0"/>
                <w:szCs w:val="21"/>
              </w:rPr>
              <w:t>70dB</w:t>
            </w:r>
            <w:r>
              <w:rPr>
                <w:rFonts w:hint="eastAsia" w:hAnsi="宋体"/>
                <w:kern w:val="0"/>
                <w:szCs w:val="21"/>
              </w:rPr>
              <w:t>（</w:t>
            </w:r>
            <w:r>
              <w:rPr>
                <w:rFonts w:hAnsi="宋体"/>
                <w:kern w:val="0"/>
                <w:szCs w:val="21"/>
              </w:rPr>
              <w:t>A</w:t>
            </w:r>
            <w:r>
              <w:rPr>
                <w:rFonts w:hint="eastAsia" w:hAnsi="宋体"/>
                <w:kern w:val="0"/>
                <w:szCs w:val="21"/>
              </w:rPr>
              <w:t>）</w:t>
            </w:r>
          </w:p>
        </w:tc>
        <w:tc>
          <w:tcPr>
            <w:tcW w:w="818" w:type="pct"/>
            <w:shd w:val="clear" w:color="auto" w:fill="auto"/>
            <w:vAlign w:val="center"/>
          </w:tcPr>
          <w:p w14:paraId="626FA688">
            <w:pPr>
              <w:spacing w:line="260" w:lineRule="exact"/>
              <w:jc w:val="center"/>
              <w:rPr>
                <w:kern w:val="0"/>
                <w:szCs w:val="21"/>
              </w:rPr>
            </w:pPr>
            <w:r>
              <w:rPr>
                <w:kern w:val="0"/>
                <w:szCs w:val="21"/>
              </w:rPr>
              <w:t>55dB</w:t>
            </w:r>
            <w:r>
              <w:rPr>
                <w:rFonts w:hint="eastAsia"/>
                <w:kern w:val="0"/>
                <w:szCs w:val="21"/>
              </w:rPr>
              <w:t>（</w:t>
            </w:r>
            <w:r>
              <w:rPr>
                <w:kern w:val="0"/>
                <w:szCs w:val="21"/>
              </w:rPr>
              <w:t>A</w:t>
            </w:r>
            <w:r>
              <w:rPr>
                <w:rFonts w:hint="eastAsia"/>
                <w:kern w:val="0"/>
                <w:szCs w:val="21"/>
              </w:rPr>
              <w:t>）</w:t>
            </w:r>
          </w:p>
        </w:tc>
        <w:tc>
          <w:tcPr>
            <w:tcW w:w="2500" w:type="pct"/>
            <w:shd w:val="clear" w:color="auto" w:fill="auto"/>
            <w:vAlign w:val="center"/>
          </w:tcPr>
          <w:p w14:paraId="70549B60">
            <w:pPr>
              <w:spacing w:line="260" w:lineRule="exact"/>
              <w:jc w:val="center"/>
              <w:rPr>
                <w:rFonts w:hAnsi="宋体"/>
                <w:kern w:val="0"/>
                <w:szCs w:val="21"/>
              </w:rPr>
            </w:pPr>
            <w:r>
              <w:rPr>
                <w:rFonts w:hint="eastAsia" w:hAnsi="宋体"/>
                <w:kern w:val="0"/>
                <w:szCs w:val="21"/>
              </w:rPr>
              <w:t>《建筑施工场界环境噪声排放标准》（</w:t>
            </w:r>
            <w:r>
              <w:rPr>
                <w:rFonts w:hAnsi="宋体"/>
                <w:kern w:val="0"/>
                <w:szCs w:val="21"/>
              </w:rPr>
              <w:t>GB12523-2011</w:t>
            </w:r>
            <w:r>
              <w:rPr>
                <w:rFonts w:hint="eastAsia" w:hAnsi="宋体"/>
                <w:kern w:val="0"/>
                <w:szCs w:val="21"/>
              </w:rPr>
              <w:t>）表1</w:t>
            </w:r>
          </w:p>
        </w:tc>
      </w:tr>
      <w:bookmarkEnd w:id="51"/>
    </w:tbl>
    <w:p w14:paraId="3C2F5AB8">
      <w:pPr>
        <w:pStyle w:val="3"/>
        <w:rPr>
          <w:kern w:val="0"/>
        </w:rPr>
      </w:pPr>
      <w:bookmarkStart w:id="53" w:name="_Toc198733151"/>
      <w:r>
        <w:rPr>
          <w:rFonts w:hint="eastAsia"/>
          <w:kern w:val="0"/>
        </w:rPr>
        <w:t>相关</w:t>
      </w:r>
      <w:r>
        <w:rPr>
          <w:kern w:val="0"/>
        </w:rPr>
        <w:t>政策</w:t>
      </w:r>
      <w:r>
        <w:rPr>
          <w:rFonts w:hint="eastAsia"/>
          <w:kern w:val="0"/>
        </w:rPr>
        <w:t>及</w:t>
      </w:r>
      <w:r>
        <w:rPr>
          <w:kern w:val="0"/>
        </w:rPr>
        <w:t>规范符合性分析</w:t>
      </w:r>
      <w:bookmarkEnd w:id="53"/>
    </w:p>
    <w:p w14:paraId="63ED5CBB">
      <w:pPr>
        <w:pStyle w:val="4"/>
        <w:rPr>
          <w:kern w:val="0"/>
        </w:rPr>
      </w:pPr>
      <w:r>
        <w:rPr>
          <w:rFonts w:hint="eastAsia"/>
          <w:kern w:val="0"/>
        </w:rPr>
        <w:t>《中华人民共和国湿地保护法》符合性</w:t>
      </w:r>
      <w:r>
        <w:rPr>
          <w:kern w:val="0"/>
        </w:rPr>
        <w:t>分析</w:t>
      </w:r>
    </w:p>
    <w:p w14:paraId="72B42F09">
      <w:pPr>
        <w:pStyle w:val="85"/>
        <w:ind w:firstLine="480"/>
        <w:rPr>
          <w:kern w:val="0"/>
        </w:rPr>
      </w:pPr>
      <w:r>
        <w:rPr>
          <w:rFonts w:hint="eastAsia"/>
          <w:kern w:val="0"/>
        </w:rPr>
        <w:t>根据</w:t>
      </w:r>
      <w:r>
        <w:rPr>
          <w:kern w:val="0"/>
        </w:rPr>
        <w:t>《</w:t>
      </w:r>
      <w:r>
        <w:rPr>
          <w:rFonts w:hint="eastAsia"/>
          <w:kern w:val="0"/>
        </w:rPr>
        <w:t>中华</w:t>
      </w:r>
      <w:r>
        <w:rPr>
          <w:kern w:val="0"/>
        </w:rPr>
        <w:t>人民共和国湿地保护法》</w:t>
      </w:r>
      <w:r>
        <w:rPr>
          <w:rFonts w:hint="eastAsia"/>
          <w:kern w:val="0"/>
        </w:rPr>
        <w:t>：</w:t>
      </w:r>
    </w:p>
    <w:p w14:paraId="0C17B959">
      <w:pPr>
        <w:pStyle w:val="85"/>
        <w:ind w:firstLine="480"/>
        <w:rPr>
          <w:kern w:val="0"/>
        </w:rPr>
      </w:pPr>
      <w:r>
        <w:rPr>
          <w:kern w:val="0"/>
        </w:rPr>
        <w:t>1</w:t>
      </w:r>
      <w:r>
        <w:rPr>
          <w:rFonts w:hint="eastAsia"/>
          <w:kern w:val="0"/>
        </w:rPr>
        <w:t>、</w:t>
      </w:r>
      <w:r>
        <w:rPr>
          <w:kern w:val="0"/>
        </w:rPr>
        <w:t>禁止占用国家重要湿地，国家重大项目、防灾减灾项目、重要水利及保护设施项目、湿地保护项目等除外。</w:t>
      </w:r>
    </w:p>
    <w:p w14:paraId="00FD79C3">
      <w:pPr>
        <w:pStyle w:val="85"/>
        <w:ind w:firstLine="480"/>
        <w:rPr>
          <w:kern w:val="0"/>
        </w:rPr>
      </w:pPr>
      <w:r>
        <w:rPr>
          <w:kern w:val="0"/>
        </w:rPr>
        <w:t>2</w:t>
      </w:r>
      <w:r>
        <w:rPr>
          <w:rFonts w:hint="eastAsia"/>
          <w:kern w:val="0"/>
        </w:rPr>
        <w:t>、</w:t>
      </w:r>
      <w:r>
        <w:rPr>
          <w:kern w:val="0"/>
        </w:rPr>
        <w:t>第二十八条</w:t>
      </w:r>
      <w:r>
        <w:rPr>
          <w:rFonts w:hint="eastAsia"/>
          <w:kern w:val="0"/>
        </w:rPr>
        <w:t xml:space="preserve">  </w:t>
      </w:r>
      <w:r>
        <w:rPr>
          <w:kern w:val="0"/>
        </w:rPr>
        <w:t>禁止下列破坏湿地及其生态功能的行为：</w:t>
      </w:r>
    </w:p>
    <w:p w14:paraId="1734D63B">
      <w:pPr>
        <w:pStyle w:val="85"/>
        <w:ind w:firstLine="480"/>
        <w:rPr>
          <w:kern w:val="0"/>
        </w:rPr>
      </w:pPr>
      <w:r>
        <w:rPr>
          <w:kern w:val="0"/>
        </w:rPr>
        <w:t>（一）开（围）垦、排干自然湿地，永久性截断自然湿地水源；</w:t>
      </w:r>
    </w:p>
    <w:p w14:paraId="610B453D">
      <w:pPr>
        <w:pStyle w:val="85"/>
        <w:ind w:firstLine="480"/>
        <w:rPr>
          <w:kern w:val="0"/>
        </w:rPr>
      </w:pPr>
      <w:r>
        <w:rPr>
          <w:kern w:val="0"/>
        </w:rPr>
        <w:t>（二）擅自填埋自然湿地，擅自采砂、采矿、取土；</w:t>
      </w:r>
    </w:p>
    <w:p w14:paraId="086C1629">
      <w:pPr>
        <w:pStyle w:val="85"/>
        <w:ind w:firstLine="480"/>
        <w:rPr>
          <w:kern w:val="0"/>
        </w:rPr>
      </w:pPr>
      <w:r>
        <w:rPr>
          <w:kern w:val="0"/>
        </w:rPr>
        <w:t>（三）排放不符合水污染物排放标准的工业废水、生活污水及其他污染湿地的废水、污水，倾倒、堆放、丢弃、遗撒固体废物；</w:t>
      </w:r>
    </w:p>
    <w:p w14:paraId="359AC85C">
      <w:pPr>
        <w:pStyle w:val="85"/>
        <w:ind w:firstLine="480"/>
        <w:rPr>
          <w:kern w:val="0"/>
        </w:rPr>
      </w:pPr>
      <w:r>
        <w:rPr>
          <w:kern w:val="0"/>
        </w:rPr>
        <w:t>（四）过度放牧或者滥采野生植物，过度捕捞或者灭绝式捕捞，过度施肥、投药、投放饵料等污染湿地的种植养殖行为；</w:t>
      </w:r>
    </w:p>
    <w:p w14:paraId="0E05445F">
      <w:pPr>
        <w:pStyle w:val="85"/>
        <w:ind w:firstLine="480"/>
        <w:rPr>
          <w:kern w:val="0"/>
        </w:rPr>
      </w:pPr>
      <w:r>
        <w:rPr>
          <w:kern w:val="0"/>
        </w:rPr>
        <w:t>（五）其他破坏湿地及其生态功能的行为。</w:t>
      </w:r>
    </w:p>
    <w:p w14:paraId="6116604B">
      <w:pPr>
        <w:pStyle w:val="85"/>
        <w:ind w:firstLine="480"/>
        <w:rPr>
          <w:kern w:val="0"/>
        </w:rPr>
      </w:pPr>
      <w:r>
        <w:rPr>
          <w:rFonts w:hint="eastAsia"/>
          <w:kern w:val="0"/>
        </w:rPr>
        <w:t>3、</w:t>
      </w:r>
      <w:r>
        <w:rPr>
          <w:kern w:val="0"/>
        </w:rPr>
        <w:t>第三十一条　国务院水行政主管部门和地方各级人民政府应当加强对河流、湖泊范围内湿地的管理和保护，因地制宜采取水系连通、清淤疏浚、水源涵养与水土保持等治理修复措施，</w:t>
      </w:r>
    </w:p>
    <w:p w14:paraId="240B4E52">
      <w:pPr>
        <w:pStyle w:val="85"/>
        <w:ind w:firstLine="480"/>
        <w:rPr>
          <w:kern w:val="0"/>
        </w:rPr>
      </w:pPr>
      <w:r>
        <w:rPr>
          <w:rFonts w:hint="eastAsia"/>
          <w:kern w:val="0"/>
        </w:rPr>
        <w:t>本工程实施</w:t>
      </w:r>
      <w:r>
        <w:rPr>
          <w:kern w:val="0"/>
        </w:rPr>
        <w:t>后，</w:t>
      </w:r>
      <w:r>
        <w:rPr>
          <w:rFonts w:hint="eastAsia"/>
          <w:kern w:val="0"/>
        </w:rPr>
        <w:t>除护坡外，无永久构筑物，不属于新增建设用地，为</w:t>
      </w:r>
      <w:r>
        <w:rPr>
          <w:kern w:val="0"/>
        </w:rPr>
        <w:t>湿地保护项目，</w:t>
      </w:r>
      <w:r>
        <w:rPr>
          <w:rFonts w:hint="eastAsia"/>
          <w:kern w:val="0"/>
        </w:rPr>
        <w:t>项目不在</w:t>
      </w:r>
      <w:r>
        <w:rPr>
          <w:kern w:val="0"/>
        </w:rPr>
        <w:t>禁止之列。</w:t>
      </w:r>
    </w:p>
    <w:p w14:paraId="60C87834">
      <w:pPr>
        <w:pStyle w:val="85"/>
        <w:ind w:firstLine="480"/>
        <w:rPr>
          <w:kern w:val="0"/>
        </w:rPr>
      </w:pPr>
      <w:r>
        <w:rPr>
          <w:rFonts w:hint="eastAsia"/>
          <w:kern w:val="0"/>
        </w:rPr>
        <w:t>本</w:t>
      </w:r>
      <w:r>
        <w:rPr>
          <w:kern w:val="0"/>
        </w:rPr>
        <w:t>项目不属于</w:t>
      </w:r>
      <w:r>
        <w:rPr>
          <w:rFonts w:hint="eastAsia"/>
          <w:kern w:val="0"/>
        </w:rPr>
        <w:t>《中华人民共和国湿地保护法》第二十八条所</w:t>
      </w:r>
      <w:r>
        <w:rPr>
          <w:kern w:val="0"/>
        </w:rPr>
        <w:t>禁止的行为。</w:t>
      </w:r>
    </w:p>
    <w:p w14:paraId="05B8499F">
      <w:pPr>
        <w:pStyle w:val="85"/>
        <w:ind w:firstLine="480"/>
        <w:rPr>
          <w:kern w:val="0"/>
        </w:rPr>
      </w:pPr>
      <w:r>
        <w:rPr>
          <w:rFonts w:hint="eastAsia"/>
          <w:kern w:val="0"/>
        </w:rPr>
        <w:t>本项目</w:t>
      </w:r>
      <w:bookmarkStart w:id="54" w:name="OLE_LINK14"/>
      <w:r>
        <w:rPr>
          <w:kern w:val="0"/>
        </w:rPr>
        <w:t>采用</w:t>
      </w:r>
      <w:r>
        <w:rPr>
          <w:rFonts w:hint="eastAsia"/>
          <w:kern w:val="0"/>
        </w:rPr>
        <w:t>河道基底修复及微地形梳理、构建恢复生态缓冲带、水生态构建及水生植物恢复等</w:t>
      </w:r>
      <w:r>
        <w:rPr>
          <w:kern w:val="0"/>
        </w:rPr>
        <w:t>措施</w:t>
      </w:r>
      <w:r>
        <w:rPr>
          <w:rFonts w:hint="eastAsia"/>
          <w:kern w:val="0"/>
        </w:rPr>
        <w:t>对河道</w:t>
      </w:r>
      <w:r>
        <w:rPr>
          <w:kern w:val="0"/>
        </w:rPr>
        <w:t>进行</w:t>
      </w:r>
      <w:r>
        <w:rPr>
          <w:rFonts w:hint="eastAsia"/>
          <w:kern w:val="0"/>
        </w:rPr>
        <w:t>生态</w:t>
      </w:r>
      <w:r>
        <w:rPr>
          <w:kern w:val="0"/>
        </w:rPr>
        <w:t>修复</w:t>
      </w:r>
      <w:bookmarkEnd w:id="54"/>
      <w:r>
        <w:rPr>
          <w:kern w:val="0"/>
        </w:rPr>
        <w:t>，符合</w:t>
      </w:r>
      <w:r>
        <w:rPr>
          <w:rFonts w:hint="eastAsia"/>
          <w:kern w:val="0"/>
        </w:rPr>
        <w:t>《中华人民共和国湿地保护法》第三十一</w:t>
      </w:r>
      <w:r>
        <w:rPr>
          <w:kern w:val="0"/>
        </w:rPr>
        <w:t>条</w:t>
      </w:r>
      <w:r>
        <w:rPr>
          <w:rFonts w:hint="eastAsia"/>
          <w:kern w:val="0"/>
        </w:rPr>
        <w:t>鼓励采取</w:t>
      </w:r>
      <w:r>
        <w:rPr>
          <w:kern w:val="0"/>
        </w:rPr>
        <w:t>的湿地修复措施。</w:t>
      </w:r>
    </w:p>
    <w:p w14:paraId="6B9F6620">
      <w:pPr>
        <w:pStyle w:val="85"/>
        <w:ind w:firstLine="480"/>
        <w:rPr>
          <w:kern w:val="0"/>
        </w:rPr>
      </w:pPr>
      <w:r>
        <w:rPr>
          <w:rFonts w:hint="eastAsia"/>
          <w:kern w:val="0"/>
        </w:rPr>
        <w:t>因此</w:t>
      </w:r>
      <w:r>
        <w:rPr>
          <w:kern w:val="0"/>
        </w:rPr>
        <w:t>项目的实施符合</w:t>
      </w:r>
      <w:r>
        <w:rPr>
          <w:rFonts w:hint="eastAsia"/>
          <w:kern w:val="0"/>
        </w:rPr>
        <w:t>《中华人民共和国湿地保护法》</w:t>
      </w:r>
      <w:r>
        <w:rPr>
          <w:kern w:val="0"/>
        </w:rPr>
        <w:t>的相关要求。</w:t>
      </w:r>
    </w:p>
    <w:p w14:paraId="0609FBA3">
      <w:pPr>
        <w:pStyle w:val="4"/>
      </w:pPr>
      <w:r>
        <w:rPr>
          <w:rFonts w:hint="eastAsia"/>
        </w:rPr>
        <w:t>《河北省湿地保护条例》符合性分析</w:t>
      </w:r>
    </w:p>
    <w:p w14:paraId="768345B9">
      <w:pPr>
        <w:pStyle w:val="85"/>
        <w:ind w:firstLine="480"/>
        <w:rPr>
          <w:kern w:val="0"/>
        </w:rPr>
      </w:pPr>
      <w:r>
        <w:rPr>
          <w:rFonts w:hint="eastAsia"/>
          <w:kern w:val="0"/>
        </w:rPr>
        <w:t xml:space="preserve">根据《河北省湿地保护条例》，“第二十五条 </w:t>
      </w:r>
      <w:r>
        <w:rPr>
          <w:kern w:val="0"/>
        </w:rPr>
        <w:t xml:space="preserve"> </w:t>
      </w:r>
      <w:r>
        <w:rPr>
          <w:rFonts w:hint="eastAsia"/>
          <w:kern w:val="0"/>
        </w:rPr>
        <w:t>建设项目对湿地生态系统产生影响的，应当依法进行环境影响评价。建设单位编制的环境影响评价文件应当包括湿地生态功能影响评价内容，并有相应的湿地保护方案。建设单位应当严格按照湿地保护方案进行施工，减少对湿地生态系统的影响，避免对湿地生态功能的损害”。</w:t>
      </w:r>
    </w:p>
    <w:p w14:paraId="2516B282">
      <w:pPr>
        <w:pStyle w:val="85"/>
        <w:ind w:firstLine="480"/>
        <w:rPr>
          <w:kern w:val="0"/>
        </w:rPr>
      </w:pPr>
      <w:r>
        <w:rPr>
          <w:rFonts w:hint="eastAsia"/>
          <w:kern w:val="0"/>
        </w:rPr>
        <w:t xml:space="preserve">根据《河北省湿地保护条例》，“第二十九条 </w:t>
      </w:r>
      <w:r>
        <w:rPr>
          <w:kern w:val="0"/>
        </w:rPr>
        <w:t xml:space="preserve"> </w:t>
      </w:r>
      <w:r>
        <w:rPr>
          <w:rFonts w:hint="eastAsia"/>
          <w:kern w:val="0"/>
        </w:rPr>
        <w:t>禁止在湿地内从事下列行为：</w:t>
      </w:r>
    </w:p>
    <w:p w14:paraId="72CAF912">
      <w:pPr>
        <w:pStyle w:val="85"/>
        <w:ind w:firstLine="480"/>
        <w:rPr>
          <w:kern w:val="0"/>
        </w:rPr>
      </w:pPr>
      <w:r>
        <w:rPr>
          <w:rFonts w:hint="eastAsia"/>
          <w:kern w:val="0"/>
        </w:rPr>
        <w:t>（一）擅自占用、围垦、填埋或者排干湿地；</w:t>
      </w:r>
    </w:p>
    <w:p w14:paraId="6FC20B31">
      <w:pPr>
        <w:pStyle w:val="85"/>
        <w:ind w:firstLine="480"/>
        <w:rPr>
          <w:kern w:val="0"/>
        </w:rPr>
      </w:pPr>
      <w:r>
        <w:rPr>
          <w:rFonts w:hint="eastAsia"/>
          <w:kern w:val="0"/>
        </w:rPr>
        <w:t>（二）擅自取用或者截断湿地水源；</w:t>
      </w:r>
    </w:p>
    <w:p w14:paraId="0234471F">
      <w:pPr>
        <w:pStyle w:val="85"/>
        <w:ind w:firstLine="480"/>
        <w:rPr>
          <w:kern w:val="0"/>
        </w:rPr>
      </w:pPr>
      <w:r>
        <w:rPr>
          <w:rFonts w:hint="eastAsia"/>
          <w:kern w:val="0"/>
        </w:rPr>
        <w:t>（三）破坏水生动物洄游通道或者野生动物栖息地；</w:t>
      </w:r>
    </w:p>
    <w:p w14:paraId="2A992E87">
      <w:pPr>
        <w:pStyle w:val="85"/>
        <w:ind w:firstLine="480"/>
        <w:rPr>
          <w:kern w:val="0"/>
        </w:rPr>
      </w:pPr>
      <w:r>
        <w:rPr>
          <w:rFonts w:hint="eastAsia"/>
          <w:kern w:val="0"/>
        </w:rPr>
        <w:t>（四）擅自采砂、取土；</w:t>
      </w:r>
    </w:p>
    <w:p w14:paraId="519AC8B6">
      <w:pPr>
        <w:pStyle w:val="85"/>
        <w:ind w:firstLine="480"/>
        <w:rPr>
          <w:kern w:val="0"/>
        </w:rPr>
      </w:pPr>
      <w:r>
        <w:rPr>
          <w:rFonts w:hint="eastAsia"/>
          <w:kern w:val="0"/>
        </w:rPr>
        <w:t>（五）向湿地违法排污；</w:t>
      </w:r>
    </w:p>
    <w:p w14:paraId="3A12CC87">
      <w:pPr>
        <w:pStyle w:val="85"/>
        <w:ind w:firstLine="480"/>
        <w:rPr>
          <w:kern w:val="0"/>
        </w:rPr>
      </w:pPr>
      <w:r>
        <w:rPr>
          <w:rFonts w:hint="eastAsia"/>
          <w:kern w:val="0"/>
        </w:rPr>
        <w:t>（六）捡拾鸟卵，捕猎野生动物；</w:t>
      </w:r>
    </w:p>
    <w:p w14:paraId="7E3D2BC9">
      <w:pPr>
        <w:pStyle w:val="85"/>
        <w:ind w:firstLine="480"/>
        <w:rPr>
          <w:kern w:val="0"/>
        </w:rPr>
      </w:pPr>
      <w:r>
        <w:rPr>
          <w:rFonts w:hint="eastAsia"/>
          <w:kern w:val="0"/>
        </w:rPr>
        <w:t>（七）擅自引进外来物种；</w:t>
      </w:r>
    </w:p>
    <w:p w14:paraId="0BC5A892">
      <w:pPr>
        <w:pStyle w:val="85"/>
        <w:ind w:firstLine="480"/>
        <w:rPr>
          <w:kern w:val="0"/>
        </w:rPr>
      </w:pPr>
      <w:r>
        <w:rPr>
          <w:rFonts w:hint="eastAsia"/>
          <w:kern w:val="0"/>
        </w:rPr>
        <w:t>（八）破坏或者移动湿地界标、围栏、围网等保护设施；</w:t>
      </w:r>
    </w:p>
    <w:p w14:paraId="38E0A7E8">
      <w:pPr>
        <w:pStyle w:val="85"/>
        <w:ind w:firstLine="480"/>
        <w:rPr>
          <w:kern w:val="0"/>
        </w:rPr>
      </w:pPr>
      <w:r>
        <w:rPr>
          <w:rFonts w:hint="eastAsia"/>
          <w:kern w:val="0"/>
        </w:rPr>
        <w:t>（九）其他破坏湿地及其生态功能或者改变湿地用途的行为。</w:t>
      </w:r>
    </w:p>
    <w:p w14:paraId="1D9631F8">
      <w:pPr>
        <w:pStyle w:val="85"/>
        <w:ind w:firstLine="480"/>
        <w:rPr>
          <w:kern w:val="0"/>
        </w:rPr>
      </w:pPr>
      <w:r>
        <w:rPr>
          <w:rFonts w:hint="eastAsia"/>
          <w:kern w:val="0"/>
        </w:rPr>
        <w:t>本项目为河道生态恢复性质，工程实施期间不可避免会对工程区内湿地造成影响，本环境影响报告书已对湿地生态系统产生影响进行了评价，并完善了相应的生态保护措施，其中包括通过严格河道内施工方案来保护河道湿地，减轻对工程区及周边湿地生态系统的影响。项目在河道湿地内施工内容不属于条例中禁止的行为，项目本身为河道生态修复工程，不会破坏河道湿地和排干湿地，不会改变湿地用途，符合条例中相关要求。</w:t>
      </w:r>
    </w:p>
    <w:p w14:paraId="12AB3921">
      <w:pPr>
        <w:pStyle w:val="4"/>
      </w:pPr>
      <w:r>
        <w:rPr>
          <w:rFonts w:hint="eastAsia"/>
        </w:rPr>
        <w:t>《国家级自然公园管理办法（试行）》（林保规〔2023〕4号）</w:t>
      </w:r>
    </w:p>
    <w:p w14:paraId="254FF724">
      <w:pPr>
        <w:pStyle w:val="85"/>
        <w:ind w:firstLine="480"/>
        <w:rPr>
          <w:kern w:val="0"/>
        </w:rPr>
      </w:pPr>
      <w:r>
        <w:rPr>
          <w:rFonts w:hint="eastAsia"/>
          <w:kern w:val="0"/>
        </w:rPr>
        <w:t>根据国家林业和草原局印发的《国家级自然公园管理办法（试行）》（林保规〔2023〕4号）：</w:t>
      </w:r>
    </w:p>
    <w:p w14:paraId="07C8D3C8">
      <w:pPr>
        <w:pStyle w:val="85"/>
        <w:ind w:firstLine="480"/>
        <w:rPr>
          <w:kern w:val="0"/>
        </w:rPr>
      </w:pPr>
      <w:r>
        <w:rPr>
          <w:rFonts w:hint="eastAsia"/>
          <w:kern w:val="0"/>
        </w:rPr>
        <w:t>第十八条 严格保护国家级自然公园内的森林、草原、湿地、荒漠、海洋、水域、生物等珍贵自然资源，以及自然遗迹、自然景观和文物古迹等人文景观。在国家级自然公园内开展相关活动和设施建设，不得擅自改变其自然状态和历史风貌。</w:t>
      </w:r>
    </w:p>
    <w:p w14:paraId="3E715FDF">
      <w:pPr>
        <w:pStyle w:val="85"/>
        <w:ind w:firstLine="480"/>
        <w:rPr>
          <w:kern w:val="0"/>
        </w:rPr>
      </w:pPr>
      <w:r>
        <w:rPr>
          <w:rFonts w:hint="eastAsia"/>
          <w:kern w:val="0"/>
        </w:rPr>
        <w:t>禁止擅自在国家级自然公园内从事采矿、房地产、开发区、高尔夫球场、风力光伏电场等不符合管控要求的开发活动。禁止违规侵占国家级自然公园，排放不符合水污染物排放标准的工业废水、生活污水及其他的废水、污水，倾倒、堆放、丢弃、遗撒固体废物等污染生态环境的行为。</w:t>
      </w:r>
    </w:p>
    <w:p w14:paraId="1E77BB0A">
      <w:pPr>
        <w:pStyle w:val="85"/>
        <w:ind w:firstLine="480"/>
        <w:rPr>
          <w:kern w:val="0"/>
        </w:rPr>
      </w:pPr>
      <w:r>
        <w:rPr>
          <w:rFonts w:hint="eastAsia"/>
          <w:kern w:val="0"/>
        </w:rPr>
        <w:t>第十九条 国家级自然公园范围内除国家重大项目外，仅允许对生态功能不造成破坏的有限人为活动：</w:t>
      </w:r>
    </w:p>
    <w:p w14:paraId="724F3DFB">
      <w:pPr>
        <w:pStyle w:val="85"/>
        <w:ind w:firstLine="480"/>
        <w:rPr>
          <w:kern w:val="0"/>
        </w:rPr>
      </w:pPr>
      <w:r>
        <w:rPr>
          <w:rFonts w:hint="eastAsia"/>
          <w:kern w:val="0"/>
        </w:rPr>
        <w:t>（一）自然公园内居民和其他合法权益主体依法依规开展的生产生活及设施建设。</w:t>
      </w:r>
    </w:p>
    <w:p w14:paraId="6509ADBC">
      <w:pPr>
        <w:pStyle w:val="85"/>
        <w:ind w:firstLine="480"/>
        <w:rPr>
          <w:kern w:val="0"/>
        </w:rPr>
      </w:pPr>
      <w:r>
        <w:rPr>
          <w:rFonts w:hint="eastAsia"/>
          <w:kern w:val="0"/>
        </w:rPr>
        <w:t>（二）符合自然公园保护管理要求的文化、体育活动和必要的配套设施建设。</w:t>
      </w:r>
    </w:p>
    <w:p w14:paraId="3F5AE056">
      <w:pPr>
        <w:pStyle w:val="85"/>
        <w:ind w:firstLine="480"/>
        <w:rPr>
          <w:kern w:val="0"/>
        </w:rPr>
      </w:pPr>
      <w:r>
        <w:rPr>
          <w:rFonts w:hint="eastAsia"/>
          <w:kern w:val="0"/>
        </w:rPr>
        <w:t>（三）符合生态保护红线管控要求的其他活动和设施建设。</w:t>
      </w:r>
    </w:p>
    <w:p w14:paraId="1C5D1152">
      <w:pPr>
        <w:pStyle w:val="85"/>
        <w:ind w:firstLine="480"/>
        <w:rPr>
          <w:kern w:val="0"/>
        </w:rPr>
      </w:pPr>
      <w:r>
        <w:rPr>
          <w:rFonts w:hint="eastAsia"/>
          <w:kern w:val="0"/>
        </w:rPr>
        <w:t>（四）法律法规和国家政策允许在自然公园内开展的其他活动。</w:t>
      </w:r>
    </w:p>
    <w:p w14:paraId="17A2146B">
      <w:pPr>
        <w:pStyle w:val="85"/>
        <w:ind w:firstLine="480"/>
        <w:rPr>
          <w:kern w:val="0"/>
        </w:rPr>
      </w:pPr>
      <w:r>
        <w:rPr>
          <w:rFonts w:hint="eastAsia"/>
          <w:kern w:val="0"/>
        </w:rPr>
        <w:t>本项目为符合生态保护红线管控要求的湿地生态修复工程，构建恢复生态缓冲带、河道基底修复及微地形梳理、水生态构建及水生植物恢复等，未明显改变河道自然状态，符合上述规定。</w:t>
      </w:r>
    </w:p>
    <w:p w14:paraId="3D25A3A6">
      <w:pPr>
        <w:pStyle w:val="4"/>
      </w:pPr>
      <w:r>
        <w:rPr>
          <w:rFonts w:hint="eastAsia"/>
        </w:rPr>
        <w:t>《</w:t>
      </w:r>
      <w:bookmarkStart w:id="55" w:name="OLE_LINK11"/>
      <w:r>
        <w:rPr>
          <w:rFonts w:hint="eastAsia"/>
        </w:rPr>
        <w:t>河北滦平潮河国家湿地公园管理办法(试行)</w:t>
      </w:r>
      <w:bookmarkEnd w:id="55"/>
      <w:r>
        <w:rPr>
          <w:rFonts w:hint="eastAsia"/>
        </w:rPr>
        <w:t>》符合性分析</w:t>
      </w:r>
    </w:p>
    <w:p w14:paraId="44A4B0C2">
      <w:pPr>
        <w:pStyle w:val="85"/>
        <w:ind w:firstLine="480"/>
        <w:rPr>
          <w:kern w:val="0"/>
        </w:rPr>
      </w:pPr>
      <w:r>
        <w:rPr>
          <w:rFonts w:hint="eastAsia"/>
          <w:kern w:val="0"/>
        </w:rPr>
        <w:t>本工程有24.36hm</w:t>
      </w:r>
      <w:r>
        <w:rPr>
          <w:rFonts w:hint="eastAsia"/>
          <w:kern w:val="0"/>
          <w:vertAlign w:val="superscript"/>
        </w:rPr>
        <w:t>2</w:t>
      </w:r>
      <w:r>
        <w:rPr>
          <w:rFonts w:hint="eastAsia"/>
          <w:kern w:val="0"/>
        </w:rPr>
        <w:t>的区域位于河北滦平潮河国家湿地公园范围内。根据《河北滦平潮河国家湿地公园管理办法(试行)》，相关规定如下：</w:t>
      </w:r>
    </w:p>
    <w:p w14:paraId="4D86480C">
      <w:pPr>
        <w:pStyle w:val="85"/>
        <w:ind w:firstLine="480"/>
        <w:rPr>
          <w:kern w:val="0"/>
        </w:rPr>
      </w:pPr>
      <w:r>
        <w:rPr>
          <w:rFonts w:hint="eastAsia"/>
          <w:kern w:val="0"/>
        </w:rPr>
        <w:t>第十三条 禁止在湿地公园及其外围保护地带、周边景观控制区内建设污染环境的生产设施、设置废弃物倾倒或填埋场地。</w:t>
      </w:r>
    </w:p>
    <w:p w14:paraId="0BA1C453">
      <w:pPr>
        <w:pStyle w:val="85"/>
        <w:ind w:firstLine="480"/>
        <w:rPr>
          <w:kern w:val="0"/>
        </w:rPr>
      </w:pPr>
      <w:r>
        <w:rPr>
          <w:rFonts w:hint="eastAsia"/>
          <w:kern w:val="0"/>
        </w:rPr>
        <w:t>第二十条 禁止引进任何</w:t>
      </w:r>
      <w:bookmarkStart w:id="56" w:name="_Hlk195868420"/>
      <w:r>
        <w:rPr>
          <w:rFonts w:hint="eastAsia"/>
          <w:kern w:val="0"/>
        </w:rPr>
        <w:t>可能造成湿地公园生态环境破坏的外来物种</w:t>
      </w:r>
      <w:bookmarkEnd w:id="56"/>
      <w:r>
        <w:rPr>
          <w:rFonts w:hint="eastAsia"/>
          <w:kern w:val="0"/>
        </w:rPr>
        <w:t>。未经湿地公园管理机构同意，不得在湿地公园内放生动物。</w:t>
      </w:r>
    </w:p>
    <w:p w14:paraId="57F55B26">
      <w:pPr>
        <w:pStyle w:val="85"/>
        <w:ind w:firstLine="480"/>
        <w:rPr>
          <w:kern w:val="0"/>
        </w:rPr>
      </w:pPr>
      <w:r>
        <w:rPr>
          <w:rFonts w:hint="eastAsia"/>
          <w:kern w:val="0"/>
        </w:rPr>
        <w:t>第二十一条 严格禁止在湿地公园内狩猎、捕鸟。</w:t>
      </w:r>
    </w:p>
    <w:p w14:paraId="1311D996">
      <w:pPr>
        <w:pStyle w:val="85"/>
        <w:ind w:firstLine="480"/>
        <w:rPr>
          <w:kern w:val="0"/>
        </w:rPr>
      </w:pPr>
      <w:r>
        <w:rPr>
          <w:rFonts w:hint="eastAsia"/>
          <w:kern w:val="0"/>
        </w:rPr>
        <w:t>第二十二条 禁止设置掠夺性捕捞设施，严禁毒鱼、炸鱼、电鱼等违法捕捞行为。</w:t>
      </w:r>
    </w:p>
    <w:p w14:paraId="00950C46">
      <w:pPr>
        <w:pStyle w:val="85"/>
        <w:ind w:firstLine="480"/>
        <w:rPr>
          <w:kern w:val="0"/>
        </w:rPr>
      </w:pPr>
      <w:r>
        <w:rPr>
          <w:rFonts w:hint="eastAsia"/>
          <w:kern w:val="0"/>
        </w:rPr>
        <w:t>第二十三条 禁止砍伐、移植、损毁湿地公园内的树木。严格控制在湿地公园内采集植物。因科研需要，确需在湿地公园内采集植物物种、标本、繁殖材料的，应当经湿地公园管理机构同意，在指定的范围、地点限量采集。</w:t>
      </w:r>
    </w:p>
    <w:p w14:paraId="7104802A">
      <w:pPr>
        <w:pStyle w:val="85"/>
        <w:ind w:firstLine="480"/>
        <w:rPr>
          <w:kern w:val="0"/>
        </w:rPr>
      </w:pPr>
      <w:r>
        <w:rPr>
          <w:rFonts w:hint="eastAsia"/>
          <w:kern w:val="0"/>
        </w:rPr>
        <w:t>第二十四条 湿地公园内禁止下列行为:</w:t>
      </w:r>
    </w:p>
    <w:p w14:paraId="54B5C7F0">
      <w:pPr>
        <w:pStyle w:val="85"/>
        <w:ind w:firstLine="480"/>
        <w:rPr>
          <w:kern w:val="0"/>
        </w:rPr>
      </w:pPr>
      <w:r>
        <w:rPr>
          <w:rFonts w:hint="eastAsia"/>
          <w:kern w:val="0"/>
        </w:rPr>
        <w:t>(一)攀折、刻划、钉拴、摇晃树木，损坏绿地草坪，擅自采摘花草、果实等;</w:t>
      </w:r>
    </w:p>
    <w:p w14:paraId="5CC43128">
      <w:pPr>
        <w:pStyle w:val="85"/>
        <w:ind w:firstLine="480"/>
        <w:rPr>
          <w:kern w:val="0"/>
        </w:rPr>
      </w:pPr>
      <w:r>
        <w:rPr>
          <w:rFonts w:hint="eastAsia"/>
          <w:kern w:val="0"/>
        </w:rPr>
        <w:t>(二)在景物上涂写、刻划、张贴等;</w:t>
      </w:r>
    </w:p>
    <w:p w14:paraId="6D9EA5BE">
      <w:pPr>
        <w:pStyle w:val="85"/>
        <w:ind w:firstLine="480"/>
        <w:rPr>
          <w:kern w:val="0"/>
        </w:rPr>
      </w:pPr>
      <w:r>
        <w:rPr>
          <w:rFonts w:hint="eastAsia"/>
          <w:kern w:val="0"/>
        </w:rPr>
        <w:t>(三)损坏游览、服务等公共设施和其他设施;</w:t>
      </w:r>
    </w:p>
    <w:p w14:paraId="7A495E89">
      <w:pPr>
        <w:pStyle w:val="85"/>
        <w:ind w:firstLine="480"/>
        <w:rPr>
          <w:kern w:val="0"/>
        </w:rPr>
      </w:pPr>
      <w:r>
        <w:rPr>
          <w:rFonts w:hint="eastAsia"/>
          <w:kern w:val="0"/>
        </w:rPr>
        <w:t>(四)野炊、超过规定范围烧香点烛等;</w:t>
      </w:r>
    </w:p>
    <w:p w14:paraId="6BBC98FD">
      <w:pPr>
        <w:pStyle w:val="85"/>
        <w:ind w:firstLine="480"/>
        <w:rPr>
          <w:kern w:val="0"/>
        </w:rPr>
      </w:pPr>
      <w:r>
        <w:rPr>
          <w:rFonts w:hint="eastAsia"/>
          <w:kern w:val="0"/>
        </w:rPr>
        <w:t>(五)未经管理机构批准擅自进行种植和养殖的:(六)游泳、洗澡、洗涤污物的;</w:t>
      </w:r>
    </w:p>
    <w:p w14:paraId="3D461F6A">
      <w:pPr>
        <w:pStyle w:val="85"/>
        <w:ind w:firstLine="480"/>
        <w:rPr>
          <w:kern w:val="0"/>
        </w:rPr>
      </w:pPr>
      <w:r>
        <w:rPr>
          <w:rFonts w:hint="eastAsia"/>
          <w:kern w:val="0"/>
        </w:rPr>
        <w:t>为。</w:t>
      </w:r>
    </w:p>
    <w:p w14:paraId="3DBD0BCF">
      <w:pPr>
        <w:pStyle w:val="85"/>
        <w:ind w:firstLine="480"/>
        <w:rPr>
          <w:kern w:val="0"/>
        </w:rPr>
      </w:pPr>
      <w:r>
        <w:rPr>
          <w:rFonts w:hint="eastAsia"/>
          <w:kern w:val="0"/>
        </w:rPr>
        <w:t>(七)其他破坏湿地公园生态资源和人文历史风貌资源的行为。</w:t>
      </w:r>
    </w:p>
    <w:p w14:paraId="6DF3A833">
      <w:pPr>
        <w:pStyle w:val="85"/>
        <w:ind w:firstLine="480"/>
        <w:rPr>
          <w:kern w:val="0"/>
        </w:rPr>
      </w:pPr>
      <w:r>
        <w:rPr>
          <w:rFonts w:hint="eastAsia"/>
          <w:kern w:val="0"/>
        </w:rPr>
        <w:t>本项目通过开展河道基底修复及微地形梳理、构建恢复生态缓冲带、水生态构建及水生植物恢复等，对滦河干流实施生态保护修复。本项目的建设，有利于改善河水环境质量，恢复河流生态廊道功能，降低入潮河污染物。项目不属于污染环境的生产设施；不设置废弃物倾倒或填埋场地；项目恢复生态缓冲带、水生生态构建及水生植被恢复所选用的物种为当地常见物种，不属于可能造成湿地公园生态环境破坏的外来物种；也不属于河北滦平潮河国家湿地公园管理办法(试行)第二十一条至二十四条所禁止的事项。</w:t>
      </w:r>
    </w:p>
    <w:p w14:paraId="4019F255">
      <w:pPr>
        <w:pStyle w:val="85"/>
        <w:ind w:firstLine="480"/>
        <w:rPr>
          <w:kern w:val="0"/>
        </w:rPr>
      </w:pPr>
      <w:r>
        <w:rPr>
          <w:rFonts w:hint="eastAsia"/>
          <w:kern w:val="0"/>
        </w:rPr>
        <w:t>综上，本工程符合河北滦平潮河国家湿地公园管理办法(试行)相关要求。</w:t>
      </w:r>
    </w:p>
    <w:p w14:paraId="7FB813BD">
      <w:pPr>
        <w:pStyle w:val="4"/>
        <w:rPr>
          <w:kern w:val="0"/>
        </w:rPr>
      </w:pPr>
      <w:r>
        <w:rPr>
          <w:rFonts w:hint="eastAsia"/>
          <w:kern w:val="0"/>
        </w:rPr>
        <w:t>产业</w:t>
      </w:r>
      <w:r>
        <w:rPr>
          <w:kern w:val="0"/>
        </w:rPr>
        <w:t>政策符合性分析</w:t>
      </w:r>
    </w:p>
    <w:p w14:paraId="53DA4420">
      <w:pPr>
        <w:pStyle w:val="5"/>
        <w:rPr>
          <w:kern w:val="0"/>
        </w:rPr>
      </w:pPr>
      <w:r>
        <w:rPr>
          <w:rFonts w:hint="eastAsia"/>
          <w:kern w:val="0"/>
        </w:rPr>
        <w:t>《产业结构调整指导目录(20</w:t>
      </w:r>
      <w:r>
        <w:rPr>
          <w:kern w:val="0"/>
        </w:rPr>
        <w:t>24</w:t>
      </w:r>
      <w:r>
        <w:rPr>
          <w:rFonts w:hint="eastAsia"/>
          <w:kern w:val="0"/>
        </w:rPr>
        <w:t>年本)》(国家发展改革委令第</w:t>
      </w:r>
      <w:r>
        <w:rPr>
          <w:kern w:val="0"/>
        </w:rPr>
        <w:t>7</w:t>
      </w:r>
      <w:r>
        <w:rPr>
          <w:rFonts w:hint="eastAsia"/>
          <w:kern w:val="0"/>
        </w:rPr>
        <w:t>号)</w:t>
      </w:r>
    </w:p>
    <w:p w14:paraId="7774733C">
      <w:pPr>
        <w:pStyle w:val="85"/>
        <w:ind w:firstLine="480"/>
        <w:rPr>
          <w:rFonts w:asciiTheme="minorEastAsia" w:hAnsiTheme="minorEastAsia" w:eastAsiaTheme="minorEastAsia"/>
          <w:kern w:val="0"/>
        </w:rPr>
      </w:pPr>
      <w:r>
        <w:rPr>
          <w:rFonts w:hint="eastAsia"/>
          <w:kern w:val="0"/>
        </w:rPr>
        <w:t>根据国家《产业结构调整指导目录</w:t>
      </w:r>
      <w:r>
        <w:rPr>
          <w:kern w:val="0"/>
        </w:rPr>
        <w:t>(2024</w:t>
      </w:r>
      <w:r>
        <w:rPr>
          <w:rFonts w:hint="eastAsia"/>
          <w:kern w:val="0"/>
        </w:rPr>
        <w:t>年本</w:t>
      </w:r>
      <w:r>
        <w:rPr>
          <w:kern w:val="0"/>
        </w:rPr>
        <w:t>)</w:t>
      </w:r>
      <w:r>
        <w:rPr>
          <w:rFonts w:hint="eastAsia"/>
          <w:kern w:val="0"/>
        </w:rPr>
        <w:t>》</w:t>
      </w:r>
      <w:r>
        <w:rPr>
          <w:kern w:val="0"/>
        </w:rPr>
        <w:t>(</w:t>
      </w:r>
      <w:r>
        <w:rPr>
          <w:rFonts w:hint="eastAsia"/>
          <w:kern w:val="0"/>
        </w:rPr>
        <w:t>国家发展改革委令第</w:t>
      </w:r>
      <w:r>
        <w:rPr>
          <w:kern w:val="0"/>
        </w:rPr>
        <w:t>7</w:t>
      </w:r>
      <w:r>
        <w:rPr>
          <w:rFonts w:hint="eastAsia"/>
          <w:kern w:val="0"/>
        </w:rPr>
        <w:t>号</w:t>
      </w:r>
      <w:r>
        <w:rPr>
          <w:kern w:val="0"/>
        </w:rPr>
        <w:t>)</w:t>
      </w:r>
      <w:r>
        <w:rPr>
          <w:rFonts w:hint="eastAsia"/>
          <w:kern w:val="0"/>
        </w:rPr>
        <w:t>，滦平县潮河干流河道水质改善与生态修复工程属于</w:t>
      </w:r>
      <w:r>
        <w:rPr>
          <w:rFonts w:asciiTheme="minorEastAsia" w:hAnsiTheme="minorEastAsia" w:eastAsiaTheme="minorEastAsia"/>
          <w:kern w:val="0"/>
        </w:rPr>
        <w:t>“</w:t>
      </w:r>
      <w:r>
        <w:rPr>
          <w:rFonts w:hint="eastAsia"/>
          <w:kern w:val="0"/>
        </w:rPr>
        <w:t>二</w:t>
      </w:r>
      <w:r>
        <w:rPr>
          <w:kern w:val="0"/>
        </w:rPr>
        <w:t>、</w:t>
      </w:r>
      <w:r>
        <w:rPr>
          <w:rFonts w:hint="eastAsia"/>
          <w:kern w:val="0"/>
        </w:rPr>
        <w:t>水利</w:t>
      </w:r>
      <w:r>
        <w:rPr>
          <w:kern w:val="0"/>
        </w:rPr>
        <w:t>——3</w:t>
      </w:r>
      <w:r>
        <w:rPr>
          <w:rFonts w:hint="eastAsia"/>
          <w:kern w:val="0"/>
        </w:rPr>
        <w:t>、</w:t>
      </w:r>
      <w:r>
        <w:rPr>
          <w:kern w:val="0"/>
        </w:rPr>
        <w:t>……</w:t>
      </w:r>
      <w:r>
        <w:rPr>
          <w:rFonts w:hint="eastAsia"/>
          <w:kern w:val="0"/>
        </w:rPr>
        <w:t>江河湖库清淤疏浚工程</w:t>
      </w:r>
      <w:r>
        <w:rPr>
          <w:kern w:val="0"/>
        </w:rPr>
        <w:t>……</w:t>
      </w:r>
      <w:r>
        <w:rPr>
          <w:rFonts w:hint="eastAsia"/>
          <w:kern w:val="0"/>
        </w:rPr>
        <w:t>、</w:t>
      </w:r>
      <w:r>
        <w:rPr>
          <w:kern w:val="0"/>
        </w:rPr>
        <w:t>4</w:t>
      </w:r>
      <w:r>
        <w:rPr>
          <w:rFonts w:hint="eastAsia"/>
          <w:kern w:val="0"/>
        </w:rPr>
        <w:t>、水生态保护修复：水生态系统及地下水保护与修复工程</w:t>
      </w:r>
      <w:r>
        <w:rPr>
          <w:kern w:val="0"/>
        </w:rPr>
        <w:t>……</w:t>
      </w:r>
      <w:r>
        <w:rPr>
          <w:rFonts w:asciiTheme="minorEastAsia" w:hAnsiTheme="minorEastAsia" w:eastAsiaTheme="minorEastAsia"/>
          <w:kern w:val="0"/>
        </w:rPr>
        <w:t>”</w:t>
      </w:r>
      <w:r>
        <w:rPr>
          <w:rFonts w:hint="eastAsia" w:asciiTheme="minorEastAsia" w:hAnsiTheme="minorEastAsia" w:eastAsiaTheme="minorEastAsia"/>
          <w:kern w:val="0"/>
        </w:rPr>
        <w:t>，</w:t>
      </w:r>
      <w:r>
        <w:rPr>
          <w:rFonts w:asciiTheme="minorEastAsia" w:hAnsiTheme="minorEastAsia" w:eastAsiaTheme="minorEastAsia"/>
          <w:kern w:val="0"/>
        </w:rPr>
        <w:t>为</w:t>
      </w:r>
      <w:r>
        <w:rPr>
          <w:rFonts w:hint="eastAsia"/>
          <w:kern w:val="0"/>
        </w:rPr>
        <w:t>鼓励类</w:t>
      </w:r>
      <w:r>
        <w:rPr>
          <w:rFonts w:hint="eastAsia" w:asciiTheme="minorEastAsia" w:hAnsiTheme="minorEastAsia" w:eastAsiaTheme="minorEastAsia"/>
          <w:kern w:val="0"/>
        </w:rPr>
        <w:t>项目。</w:t>
      </w:r>
    </w:p>
    <w:p w14:paraId="1ED134C7">
      <w:pPr>
        <w:pStyle w:val="5"/>
        <w:rPr>
          <w:kern w:val="0"/>
        </w:rPr>
      </w:pPr>
      <w:r>
        <w:rPr>
          <w:rFonts w:hint="eastAsia"/>
          <w:kern w:val="0"/>
        </w:rPr>
        <w:t>《市场准入负面清单（202</w:t>
      </w:r>
      <w:r>
        <w:rPr>
          <w:kern w:val="0"/>
        </w:rPr>
        <w:t>5</w:t>
      </w:r>
      <w:r>
        <w:rPr>
          <w:rFonts w:hint="eastAsia"/>
          <w:kern w:val="0"/>
        </w:rPr>
        <w:t>年版）》</w:t>
      </w:r>
    </w:p>
    <w:p w14:paraId="4E3F5BFE">
      <w:pPr>
        <w:pStyle w:val="85"/>
        <w:ind w:firstLine="480"/>
        <w:rPr>
          <w:kern w:val="0"/>
        </w:rPr>
      </w:pPr>
      <w:r>
        <w:rPr>
          <w:rFonts w:hint="eastAsia"/>
          <w:kern w:val="0"/>
        </w:rPr>
        <w:t>根据《市场准入负面清单（202</w:t>
      </w:r>
      <w:r>
        <w:rPr>
          <w:kern w:val="0"/>
        </w:rPr>
        <w:t>5</w:t>
      </w:r>
      <w:r>
        <w:rPr>
          <w:rFonts w:hint="eastAsia"/>
          <w:kern w:val="0"/>
        </w:rPr>
        <w:t>年版）》，</w:t>
      </w:r>
      <w:r>
        <w:rPr>
          <w:kern w:val="0"/>
        </w:rPr>
        <w:t>本项目</w:t>
      </w:r>
      <w:r>
        <w:rPr>
          <w:rFonts w:hint="eastAsia"/>
          <w:kern w:val="0"/>
        </w:rPr>
        <w:t>不属于《市场准入负面清单（202</w:t>
      </w:r>
      <w:r>
        <w:rPr>
          <w:kern w:val="0"/>
        </w:rPr>
        <w:t>5</w:t>
      </w:r>
      <w:r>
        <w:rPr>
          <w:rFonts w:hint="eastAsia"/>
          <w:kern w:val="0"/>
        </w:rPr>
        <w:t>年版）》禁止准入类建设项目。</w:t>
      </w:r>
    </w:p>
    <w:p w14:paraId="6B4750D3">
      <w:pPr>
        <w:pStyle w:val="5"/>
        <w:rPr>
          <w:kern w:val="0"/>
        </w:rPr>
      </w:pPr>
      <w:r>
        <w:rPr>
          <w:rFonts w:hint="eastAsia"/>
          <w:kern w:val="0"/>
        </w:rPr>
        <w:t>《</w:t>
      </w:r>
      <w:bookmarkStart w:id="57" w:name="OLE_LINK9"/>
      <w:r>
        <w:rPr>
          <w:rFonts w:hint="eastAsia"/>
          <w:kern w:val="0"/>
        </w:rPr>
        <w:t>关于加强重要生态功能区及周边区域环境管理强化环境</w:t>
      </w:r>
      <w:r>
        <w:rPr>
          <w:kern w:val="0"/>
        </w:rPr>
        <w:t>执法监管</w:t>
      </w:r>
      <w:r>
        <w:rPr>
          <w:rFonts w:hint="eastAsia"/>
          <w:kern w:val="0"/>
        </w:rPr>
        <w:t>的通知</w:t>
      </w:r>
      <w:bookmarkEnd w:id="57"/>
      <w:r>
        <w:rPr>
          <w:rFonts w:hint="eastAsia"/>
          <w:kern w:val="0"/>
        </w:rPr>
        <w:t>》</w:t>
      </w:r>
      <w:r>
        <w:rPr>
          <w:kern w:val="0"/>
        </w:rPr>
        <w:t>（[2018]192号）</w:t>
      </w:r>
    </w:p>
    <w:p w14:paraId="3D9F2A49">
      <w:pPr>
        <w:pStyle w:val="85"/>
        <w:ind w:firstLine="480"/>
        <w:rPr>
          <w:kern w:val="0"/>
        </w:rPr>
      </w:pPr>
      <w:r>
        <w:rPr>
          <w:rFonts w:hint="eastAsia"/>
          <w:kern w:val="0"/>
        </w:rPr>
        <w:t>项目与《关于加强重要生态功能区及周边区域环境管理强化环境执法监管的通知》的符合性分析见</w:t>
      </w:r>
      <w:r>
        <w:rPr>
          <w:kern w:val="0"/>
        </w:rPr>
        <w:fldChar w:fldCharType="begin"/>
      </w:r>
      <w:r>
        <w:rPr>
          <w:kern w:val="0"/>
        </w:rPr>
        <w:instrText xml:space="preserve"> </w:instrText>
      </w:r>
      <w:r>
        <w:rPr>
          <w:rFonts w:hint="eastAsia"/>
          <w:kern w:val="0"/>
        </w:rPr>
        <w:instrText xml:space="preserve">REF _Ref82017851 \h</w:instrText>
      </w:r>
      <w:r>
        <w:rPr>
          <w:kern w:val="0"/>
        </w:rPr>
        <w:instrText xml:space="preserve">  \* MERGEFORMAT </w:instrText>
      </w:r>
      <w:r>
        <w:rPr>
          <w:kern w:val="0"/>
        </w:rPr>
        <w:fldChar w:fldCharType="separate"/>
      </w:r>
      <w:r>
        <w:rPr>
          <w:rFonts w:hint="eastAsia" w:eastAsia="黑体"/>
          <w:bCs/>
          <w:kern w:val="0"/>
          <w:szCs w:val="32"/>
        </w:rPr>
        <w:t>表</w:t>
      </w:r>
      <w:r>
        <w:rPr>
          <w:rFonts w:eastAsia="黑体"/>
          <w:bCs/>
          <w:kern w:val="0"/>
          <w:szCs w:val="32"/>
        </w:rPr>
        <w:t>1</w:t>
      </w:r>
      <w:r>
        <w:rPr>
          <w:rFonts w:eastAsia="黑体"/>
          <w:bCs/>
          <w:kern w:val="0"/>
          <w:szCs w:val="32"/>
        </w:rPr>
        <w:noBreakHyphen/>
      </w:r>
      <w:r>
        <w:rPr>
          <w:rFonts w:eastAsia="黑体"/>
          <w:bCs/>
          <w:kern w:val="0"/>
          <w:szCs w:val="32"/>
        </w:rPr>
        <w:t>17</w:t>
      </w:r>
      <w:r>
        <w:rPr>
          <w:kern w:val="0"/>
        </w:rPr>
        <w:fldChar w:fldCharType="end"/>
      </w:r>
      <w:r>
        <w:rPr>
          <w:rFonts w:hint="eastAsia"/>
          <w:kern w:val="0"/>
        </w:rPr>
        <w:t>。</w:t>
      </w:r>
    </w:p>
    <w:p w14:paraId="270AE597">
      <w:pPr>
        <w:pStyle w:val="85"/>
        <w:ind w:firstLine="480"/>
        <w:jc w:val="center"/>
        <w:rPr>
          <w:rFonts w:eastAsia="黑体"/>
          <w:bCs/>
          <w:kern w:val="0"/>
          <w:szCs w:val="32"/>
        </w:rPr>
      </w:pPr>
      <w:bookmarkStart w:id="58" w:name="_Ref82017851"/>
      <w:r>
        <w:rPr>
          <w:rFonts w:hint="eastAsia" w:eastAsia="黑体"/>
          <w:bCs/>
          <w:kern w:val="0"/>
          <w:szCs w:val="32"/>
        </w:rPr>
        <w:t>表</w:t>
      </w:r>
      <w:r>
        <w:rPr>
          <w:rFonts w:eastAsia="黑体"/>
          <w:bCs/>
          <w:kern w:val="0"/>
          <w:szCs w:val="32"/>
        </w:rPr>
        <w:fldChar w:fldCharType="begin"/>
      </w:r>
      <w:r>
        <w:rPr>
          <w:rFonts w:eastAsia="黑体"/>
          <w:bCs/>
          <w:kern w:val="0"/>
          <w:szCs w:val="32"/>
        </w:rPr>
        <w:instrText xml:space="preserve"> </w:instrText>
      </w:r>
      <w:r>
        <w:rPr>
          <w:rFonts w:hint="eastAsia" w:eastAsia="黑体"/>
          <w:bCs/>
          <w:kern w:val="0"/>
          <w:szCs w:val="32"/>
        </w:rPr>
        <w:instrText xml:space="preserve">STYLEREF 1 \s</w:instrText>
      </w:r>
      <w:r>
        <w:rPr>
          <w:rFonts w:eastAsia="黑体"/>
          <w:bCs/>
          <w:kern w:val="0"/>
          <w:szCs w:val="32"/>
        </w:rPr>
        <w:instrText xml:space="preserve"> </w:instrText>
      </w:r>
      <w:r>
        <w:rPr>
          <w:rFonts w:eastAsia="黑体"/>
          <w:bCs/>
          <w:kern w:val="0"/>
          <w:szCs w:val="32"/>
        </w:rPr>
        <w:fldChar w:fldCharType="separate"/>
      </w:r>
      <w:r>
        <w:rPr>
          <w:rFonts w:eastAsia="黑体"/>
          <w:bCs/>
          <w:kern w:val="0"/>
          <w:szCs w:val="32"/>
        </w:rPr>
        <w:t>1</w:t>
      </w:r>
      <w:r>
        <w:rPr>
          <w:rFonts w:eastAsia="黑体"/>
          <w:bCs/>
          <w:kern w:val="0"/>
          <w:szCs w:val="32"/>
        </w:rPr>
        <w:fldChar w:fldCharType="end"/>
      </w:r>
      <w:r>
        <w:rPr>
          <w:rFonts w:eastAsia="黑体"/>
          <w:bCs/>
          <w:kern w:val="0"/>
          <w:szCs w:val="32"/>
        </w:rPr>
        <w:noBreakHyphen/>
      </w:r>
      <w:r>
        <w:rPr>
          <w:rFonts w:eastAsia="黑体"/>
          <w:bCs/>
          <w:kern w:val="0"/>
          <w:szCs w:val="32"/>
        </w:rPr>
        <w:fldChar w:fldCharType="begin"/>
      </w:r>
      <w:r>
        <w:rPr>
          <w:rFonts w:eastAsia="黑体"/>
          <w:bCs/>
          <w:kern w:val="0"/>
          <w:szCs w:val="32"/>
        </w:rPr>
        <w:instrText xml:space="preserve"> </w:instrText>
      </w:r>
      <w:r>
        <w:rPr>
          <w:rFonts w:hint="eastAsia" w:eastAsia="黑体"/>
          <w:bCs/>
          <w:kern w:val="0"/>
          <w:szCs w:val="32"/>
        </w:rPr>
        <w:instrText xml:space="preserve">SEQ 表 \* ARABIC \s 1</w:instrText>
      </w:r>
      <w:r>
        <w:rPr>
          <w:rFonts w:eastAsia="黑体"/>
          <w:bCs/>
          <w:kern w:val="0"/>
          <w:szCs w:val="32"/>
        </w:rPr>
        <w:instrText xml:space="preserve"> </w:instrText>
      </w:r>
      <w:r>
        <w:rPr>
          <w:rFonts w:eastAsia="黑体"/>
          <w:bCs/>
          <w:kern w:val="0"/>
          <w:szCs w:val="32"/>
        </w:rPr>
        <w:fldChar w:fldCharType="separate"/>
      </w:r>
      <w:r>
        <w:rPr>
          <w:rFonts w:eastAsia="黑体"/>
          <w:bCs/>
          <w:kern w:val="0"/>
          <w:szCs w:val="32"/>
        </w:rPr>
        <w:t>17</w:t>
      </w:r>
      <w:r>
        <w:rPr>
          <w:rFonts w:eastAsia="黑体"/>
          <w:bCs/>
          <w:kern w:val="0"/>
          <w:szCs w:val="32"/>
        </w:rPr>
        <w:fldChar w:fldCharType="end"/>
      </w:r>
      <w:bookmarkEnd w:id="58"/>
      <w:r>
        <w:rPr>
          <w:rFonts w:eastAsia="黑体"/>
          <w:bCs/>
          <w:kern w:val="0"/>
          <w:szCs w:val="32"/>
        </w:rPr>
        <w:t xml:space="preserve">  与文件的符合性分析一览表</w:t>
      </w:r>
    </w:p>
    <w:tbl>
      <w:tblPr>
        <w:tblStyle w:val="6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567"/>
        <w:gridCol w:w="3598"/>
        <w:gridCol w:w="1157"/>
      </w:tblGrid>
      <w:tr w14:paraId="58210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2143" w:type="pct"/>
            <w:tcBorders>
              <w:top w:val="single" w:color="auto" w:sz="4" w:space="0"/>
              <w:left w:val="single" w:color="auto" w:sz="4" w:space="0"/>
              <w:bottom w:val="single" w:color="auto" w:sz="4" w:space="0"/>
              <w:right w:val="single" w:color="auto" w:sz="4" w:space="0"/>
            </w:tcBorders>
            <w:vAlign w:val="center"/>
          </w:tcPr>
          <w:p w14:paraId="6816A553">
            <w:pPr>
              <w:adjustRightInd w:val="0"/>
              <w:snapToGrid w:val="0"/>
              <w:spacing w:line="360" w:lineRule="exact"/>
              <w:jc w:val="center"/>
              <w:rPr>
                <w:bCs/>
                <w:kern w:val="0"/>
                <w:szCs w:val="21"/>
              </w:rPr>
            </w:pPr>
            <w:r>
              <w:rPr>
                <w:bCs/>
                <w:kern w:val="0"/>
                <w:szCs w:val="21"/>
              </w:rPr>
              <w:t>文件要求</w:t>
            </w:r>
          </w:p>
        </w:tc>
        <w:tc>
          <w:tcPr>
            <w:tcW w:w="2162" w:type="pct"/>
            <w:tcBorders>
              <w:top w:val="single" w:color="auto" w:sz="4" w:space="0"/>
              <w:left w:val="single" w:color="auto" w:sz="4" w:space="0"/>
              <w:bottom w:val="single" w:color="auto" w:sz="4" w:space="0"/>
              <w:right w:val="single" w:color="auto" w:sz="4" w:space="0"/>
            </w:tcBorders>
            <w:vAlign w:val="center"/>
          </w:tcPr>
          <w:p w14:paraId="47D14854">
            <w:pPr>
              <w:adjustRightInd w:val="0"/>
              <w:snapToGrid w:val="0"/>
              <w:spacing w:line="360" w:lineRule="exact"/>
              <w:jc w:val="center"/>
              <w:rPr>
                <w:bCs/>
                <w:kern w:val="0"/>
                <w:szCs w:val="21"/>
              </w:rPr>
            </w:pPr>
            <w:r>
              <w:rPr>
                <w:bCs/>
                <w:kern w:val="0"/>
                <w:szCs w:val="21"/>
              </w:rPr>
              <w:t>项目情况</w:t>
            </w:r>
          </w:p>
        </w:tc>
        <w:tc>
          <w:tcPr>
            <w:tcW w:w="695" w:type="pct"/>
            <w:tcBorders>
              <w:top w:val="single" w:color="auto" w:sz="4" w:space="0"/>
              <w:left w:val="single" w:color="auto" w:sz="4" w:space="0"/>
              <w:bottom w:val="single" w:color="auto" w:sz="4" w:space="0"/>
              <w:right w:val="single" w:color="auto" w:sz="4" w:space="0"/>
            </w:tcBorders>
            <w:vAlign w:val="center"/>
          </w:tcPr>
          <w:p w14:paraId="42D09CED">
            <w:pPr>
              <w:adjustRightInd w:val="0"/>
              <w:snapToGrid w:val="0"/>
              <w:spacing w:line="360" w:lineRule="exact"/>
              <w:jc w:val="center"/>
              <w:rPr>
                <w:bCs/>
                <w:kern w:val="0"/>
                <w:szCs w:val="21"/>
              </w:rPr>
            </w:pPr>
            <w:r>
              <w:rPr>
                <w:bCs/>
                <w:kern w:val="0"/>
                <w:szCs w:val="21"/>
              </w:rPr>
              <w:t>是否符合</w:t>
            </w:r>
          </w:p>
        </w:tc>
      </w:tr>
      <w:tr w14:paraId="5193C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2143" w:type="pct"/>
            <w:tcBorders>
              <w:top w:val="single" w:color="auto" w:sz="4" w:space="0"/>
              <w:left w:val="single" w:color="auto" w:sz="4" w:space="0"/>
              <w:bottom w:val="single" w:color="auto" w:sz="4" w:space="0"/>
              <w:right w:val="single" w:color="auto" w:sz="4" w:space="0"/>
            </w:tcBorders>
            <w:vAlign w:val="center"/>
          </w:tcPr>
          <w:p w14:paraId="05C396A8">
            <w:pPr>
              <w:adjustRightInd w:val="0"/>
              <w:snapToGrid w:val="0"/>
              <w:spacing w:line="360" w:lineRule="exact"/>
              <w:jc w:val="center"/>
              <w:rPr>
                <w:bCs/>
                <w:kern w:val="0"/>
                <w:szCs w:val="21"/>
              </w:rPr>
            </w:pPr>
            <w:r>
              <w:rPr>
                <w:bCs/>
                <w:kern w:val="0"/>
                <w:szCs w:val="21"/>
              </w:rPr>
              <w:t>1.</w:t>
            </w:r>
            <w:r>
              <w:rPr>
                <w:kern w:val="0"/>
              </w:rPr>
              <w:t xml:space="preserve"> </w:t>
            </w:r>
            <w:r>
              <w:rPr>
                <w:bCs/>
                <w:kern w:val="0"/>
                <w:szCs w:val="21"/>
              </w:rPr>
              <w:t>各级生态环境部门和行政审批部门要坚持依法行政，对</w:t>
            </w:r>
            <w:r>
              <w:rPr>
                <w:rFonts w:hint="eastAsia"/>
                <w:bCs/>
                <w:kern w:val="0"/>
                <w:szCs w:val="21"/>
              </w:rPr>
              <w:t>涉及</w:t>
            </w:r>
            <w:r>
              <w:rPr>
                <w:bCs/>
                <w:kern w:val="0"/>
                <w:szCs w:val="21"/>
              </w:rPr>
              <w:t>生态功能区域的各类</w:t>
            </w:r>
            <w:r>
              <w:rPr>
                <w:rFonts w:hint="eastAsia"/>
                <w:bCs/>
                <w:kern w:val="0"/>
                <w:szCs w:val="21"/>
              </w:rPr>
              <w:t>开发</w:t>
            </w:r>
            <w:r>
              <w:rPr>
                <w:bCs/>
                <w:kern w:val="0"/>
                <w:szCs w:val="21"/>
              </w:rPr>
              <w:t>建设项目</w:t>
            </w:r>
            <w:r>
              <w:rPr>
                <w:rFonts w:hint="eastAsia"/>
                <w:bCs/>
                <w:kern w:val="0"/>
                <w:szCs w:val="21"/>
              </w:rPr>
              <w:t>环保</w:t>
            </w:r>
            <w:r>
              <w:rPr>
                <w:bCs/>
                <w:kern w:val="0"/>
                <w:szCs w:val="21"/>
              </w:rPr>
              <w:t>审批严格把关，对处于法律法规规定禁止建设区域的建设项目一律不得审批环评文件</w:t>
            </w:r>
          </w:p>
        </w:tc>
        <w:tc>
          <w:tcPr>
            <w:tcW w:w="2162" w:type="pct"/>
            <w:tcBorders>
              <w:top w:val="single" w:color="auto" w:sz="4" w:space="0"/>
              <w:left w:val="single" w:color="auto" w:sz="4" w:space="0"/>
              <w:bottom w:val="single" w:color="auto" w:sz="4" w:space="0"/>
              <w:right w:val="single" w:color="auto" w:sz="4" w:space="0"/>
            </w:tcBorders>
            <w:vAlign w:val="center"/>
          </w:tcPr>
          <w:p w14:paraId="3B7769BF">
            <w:pPr>
              <w:adjustRightInd w:val="0"/>
              <w:snapToGrid w:val="0"/>
              <w:spacing w:line="360" w:lineRule="exact"/>
              <w:jc w:val="left"/>
              <w:rPr>
                <w:bCs/>
                <w:kern w:val="0"/>
                <w:szCs w:val="21"/>
              </w:rPr>
            </w:pPr>
            <w:r>
              <w:rPr>
                <w:rFonts w:hint="eastAsia"/>
                <w:bCs/>
                <w:kern w:val="0"/>
                <w:szCs w:val="21"/>
              </w:rPr>
              <w:t>本项目为生态修复</w:t>
            </w:r>
            <w:r>
              <w:rPr>
                <w:bCs/>
                <w:kern w:val="0"/>
                <w:szCs w:val="21"/>
              </w:rPr>
              <w:t>项目</w:t>
            </w:r>
            <w:r>
              <w:rPr>
                <w:rFonts w:hint="eastAsia"/>
                <w:bCs/>
                <w:kern w:val="0"/>
                <w:szCs w:val="21"/>
              </w:rPr>
              <w:t>，不属于</w:t>
            </w:r>
            <w:r>
              <w:rPr>
                <w:bCs/>
                <w:kern w:val="0"/>
                <w:szCs w:val="21"/>
              </w:rPr>
              <w:t>开发建设类项目</w:t>
            </w:r>
            <w:r>
              <w:rPr>
                <w:rFonts w:hint="eastAsia"/>
                <w:bCs/>
                <w:kern w:val="0"/>
                <w:szCs w:val="21"/>
              </w:rPr>
              <w:t>。</w:t>
            </w:r>
          </w:p>
        </w:tc>
        <w:tc>
          <w:tcPr>
            <w:tcW w:w="695" w:type="pct"/>
            <w:tcBorders>
              <w:top w:val="single" w:color="auto" w:sz="4" w:space="0"/>
              <w:left w:val="single" w:color="auto" w:sz="4" w:space="0"/>
              <w:bottom w:val="single" w:color="auto" w:sz="4" w:space="0"/>
              <w:right w:val="single" w:color="auto" w:sz="4" w:space="0"/>
            </w:tcBorders>
            <w:vAlign w:val="center"/>
          </w:tcPr>
          <w:p w14:paraId="6F209F7F">
            <w:pPr>
              <w:adjustRightInd w:val="0"/>
              <w:snapToGrid w:val="0"/>
              <w:spacing w:line="360" w:lineRule="exact"/>
              <w:jc w:val="center"/>
              <w:rPr>
                <w:bCs/>
                <w:kern w:val="0"/>
                <w:szCs w:val="21"/>
              </w:rPr>
            </w:pPr>
            <w:r>
              <w:rPr>
                <w:bCs/>
                <w:kern w:val="0"/>
                <w:szCs w:val="21"/>
              </w:rPr>
              <w:t>符合</w:t>
            </w:r>
          </w:p>
        </w:tc>
      </w:tr>
      <w:tr w14:paraId="4A43C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2143" w:type="pct"/>
            <w:tcBorders>
              <w:top w:val="single" w:color="auto" w:sz="4" w:space="0"/>
              <w:left w:val="single" w:color="auto" w:sz="4" w:space="0"/>
              <w:bottom w:val="single" w:color="auto" w:sz="4" w:space="0"/>
              <w:right w:val="single" w:color="auto" w:sz="4" w:space="0"/>
            </w:tcBorders>
            <w:vAlign w:val="center"/>
          </w:tcPr>
          <w:p w14:paraId="2D34A2A1">
            <w:pPr>
              <w:adjustRightInd w:val="0"/>
              <w:snapToGrid w:val="0"/>
              <w:spacing w:line="360" w:lineRule="exact"/>
              <w:jc w:val="center"/>
              <w:rPr>
                <w:bCs/>
                <w:kern w:val="0"/>
                <w:szCs w:val="21"/>
              </w:rPr>
            </w:pPr>
            <w:r>
              <w:rPr>
                <w:bCs/>
                <w:kern w:val="0"/>
                <w:szCs w:val="21"/>
              </w:rPr>
              <w:t>2、</w:t>
            </w:r>
            <w:r>
              <w:rPr>
                <w:rFonts w:hint="eastAsia"/>
                <w:bCs/>
                <w:kern w:val="0"/>
                <w:szCs w:val="21"/>
              </w:rPr>
              <w:t>严查重要生态功能区违法违规建设项目。严格饮用水水源保护区、自然保护区、风景名胜区、森林公园、地质公园等环境敏感区域及周边地区开发建设管理。在上述环境敏感区域内，严禁建设污染环境、破坏资源和景观的生产设施。</w:t>
            </w:r>
          </w:p>
        </w:tc>
        <w:tc>
          <w:tcPr>
            <w:tcW w:w="2162" w:type="pct"/>
            <w:tcBorders>
              <w:top w:val="single" w:color="auto" w:sz="4" w:space="0"/>
              <w:left w:val="single" w:color="auto" w:sz="4" w:space="0"/>
              <w:bottom w:val="single" w:color="auto" w:sz="4" w:space="0"/>
              <w:right w:val="single" w:color="auto" w:sz="4" w:space="0"/>
            </w:tcBorders>
            <w:vAlign w:val="center"/>
          </w:tcPr>
          <w:p w14:paraId="574FD60D">
            <w:pPr>
              <w:adjustRightInd w:val="0"/>
              <w:snapToGrid w:val="0"/>
              <w:spacing w:line="360" w:lineRule="exact"/>
              <w:jc w:val="left"/>
              <w:rPr>
                <w:bCs/>
                <w:kern w:val="0"/>
                <w:szCs w:val="21"/>
              </w:rPr>
            </w:pPr>
            <w:r>
              <w:rPr>
                <w:bCs/>
                <w:kern w:val="0"/>
                <w:szCs w:val="21"/>
              </w:rPr>
              <w:t>本项目属于生态修复</w:t>
            </w:r>
            <w:r>
              <w:rPr>
                <w:rFonts w:hint="eastAsia"/>
                <w:bCs/>
                <w:kern w:val="0"/>
                <w:szCs w:val="21"/>
              </w:rPr>
              <w:t>项目</w:t>
            </w:r>
            <w:r>
              <w:rPr>
                <w:bCs/>
                <w:kern w:val="0"/>
                <w:szCs w:val="21"/>
              </w:rPr>
              <w:t>，</w:t>
            </w:r>
            <w:r>
              <w:rPr>
                <w:rFonts w:hint="eastAsia"/>
                <w:bCs/>
                <w:kern w:val="0"/>
                <w:szCs w:val="21"/>
              </w:rPr>
              <w:t>不属于</w:t>
            </w:r>
            <w:r>
              <w:rPr>
                <w:bCs/>
                <w:kern w:val="0"/>
                <w:szCs w:val="21"/>
              </w:rPr>
              <w:t>开发建设类项目</w:t>
            </w:r>
            <w:r>
              <w:rPr>
                <w:rFonts w:hint="eastAsia"/>
                <w:bCs/>
                <w:kern w:val="0"/>
                <w:szCs w:val="21"/>
              </w:rPr>
              <w:t>，</w:t>
            </w:r>
            <w:r>
              <w:rPr>
                <w:bCs/>
                <w:kern w:val="0"/>
                <w:szCs w:val="21"/>
              </w:rPr>
              <w:t>不属于</w:t>
            </w:r>
            <w:r>
              <w:rPr>
                <w:rFonts w:hint="eastAsia"/>
                <w:bCs/>
                <w:kern w:val="0"/>
                <w:szCs w:val="21"/>
              </w:rPr>
              <w:t>污染环境、破坏资源和景观的生产设施。且</w:t>
            </w:r>
            <w:r>
              <w:rPr>
                <w:bCs/>
                <w:kern w:val="0"/>
                <w:szCs w:val="21"/>
              </w:rPr>
              <w:t>项目实施后对</w:t>
            </w:r>
            <w:r>
              <w:rPr>
                <w:rFonts w:hint="eastAsia"/>
                <w:bCs/>
                <w:kern w:val="0"/>
                <w:szCs w:val="21"/>
              </w:rPr>
              <w:t>潮河水质及生态</w:t>
            </w:r>
            <w:r>
              <w:rPr>
                <w:bCs/>
                <w:kern w:val="0"/>
                <w:szCs w:val="21"/>
              </w:rPr>
              <w:t>环境</w:t>
            </w:r>
            <w:r>
              <w:rPr>
                <w:rFonts w:hint="eastAsia"/>
                <w:bCs/>
                <w:kern w:val="0"/>
                <w:szCs w:val="21"/>
              </w:rPr>
              <w:t>产生</w:t>
            </w:r>
            <w:r>
              <w:rPr>
                <w:bCs/>
                <w:kern w:val="0"/>
                <w:szCs w:val="21"/>
              </w:rPr>
              <w:t>正</w:t>
            </w:r>
            <w:r>
              <w:rPr>
                <w:rFonts w:hint="eastAsia"/>
                <w:bCs/>
                <w:kern w:val="0"/>
                <w:szCs w:val="21"/>
              </w:rPr>
              <w:t>影响</w:t>
            </w:r>
            <w:r>
              <w:rPr>
                <w:bCs/>
                <w:kern w:val="0"/>
                <w:szCs w:val="21"/>
              </w:rPr>
              <w:t>。</w:t>
            </w:r>
          </w:p>
        </w:tc>
        <w:tc>
          <w:tcPr>
            <w:tcW w:w="695" w:type="pct"/>
            <w:tcBorders>
              <w:top w:val="single" w:color="auto" w:sz="4" w:space="0"/>
              <w:left w:val="single" w:color="auto" w:sz="4" w:space="0"/>
              <w:bottom w:val="single" w:color="auto" w:sz="4" w:space="0"/>
              <w:right w:val="single" w:color="auto" w:sz="4" w:space="0"/>
            </w:tcBorders>
            <w:vAlign w:val="center"/>
          </w:tcPr>
          <w:p w14:paraId="2CD38937">
            <w:pPr>
              <w:adjustRightInd w:val="0"/>
              <w:snapToGrid w:val="0"/>
              <w:spacing w:line="360" w:lineRule="exact"/>
              <w:jc w:val="center"/>
              <w:rPr>
                <w:bCs/>
                <w:kern w:val="0"/>
                <w:szCs w:val="21"/>
              </w:rPr>
            </w:pPr>
            <w:r>
              <w:rPr>
                <w:bCs/>
                <w:kern w:val="0"/>
                <w:szCs w:val="21"/>
              </w:rPr>
              <w:t>符合</w:t>
            </w:r>
          </w:p>
        </w:tc>
      </w:tr>
      <w:tr w14:paraId="4D2BE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2143" w:type="pct"/>
            <w:tcBorders>
              <w:top w:val="single" w:color="auto" w:sz="4" w:space="0"/>
              <w:left w:val="single" w:color="auto" w:sz="4" w:space="0"/>
              <w:bottom w:val="single" w:color="auto" w:sz="4" w:space="0"/>
              <w:right w:val="single" w:color="auto" w:sz="4" w:space="0"/>
            </w:tcBorders>
            <w:vAlign w:val="center"/>
          </w:tcPr>
          <w:p w14:paraId="302EC29E">
            <w:pPr>
              <w:adjustRightInd w:val="0"/>
              <w:snapToGrid w:val="0"/>
              <w:spacing w:line="360" w:lineRule="exact"/>
              <w:jc w:val="center"/>
              <w:rPr>
                <w:bCs/>
                <w:kern w:val="0"/>
                <w:szCs w:val="21"/>
              </w:rPr>
            </w:pPr>
            <w:r>
              <w:rPr>
                <w:bCs/>
                <w:kern w:val="0"/>
                <w:szCs w:val="21"/>
              </w:rPr>
              <w:t>3</w:t>
            </w:r>
            <w:r>
              <w:rPr>
                <w:rFonts w:hint="eastAsia"/>
                <w:bCs/>
                <w:kern w:val="0"/>
                <w:szCs w:val="21"/>
              </w:rPr>
              <w:t>、加强重要生态涵养区、水源涵养区生态保护。未经批准，不得在重要生态功能区外围地带的生态缓冲带从事开挖石材、破坏林木植被、挤占行洪河道、矿山开发、采砂挖堤等破坏生态环境的活动。在重要的水源保护区上游干流、支流沿岸的规划建设，应划定至少50-100米的生态缓冲带和生态绿化廊道，确保河流、湿地生态系统功能不受破坏和污染影响。对于重要的水体、生态功能区、野生动植物保护区、重要湿地等重要生态功能区外围地带，在规划建设中同样要按照有关规定设立生态缓冲带和生态绿化廊，确保其生态功能维持改善。</w:t>
            </w:r>
          </w:p>
        </w:tc>
        <w:tc>
          <w:tcPr>
            <w:tcW w:w="2162" w:type="pct"/>
            <w:tcBorders>
              <w:top w:val="single" w:color="auto" w:sz="4" w:space="0"/>
              <w:left w:val="single" w:color="auto" w:sz="4" w:space="0"/>
              <w:bottom w:val="single" w:color="auto" w:sz="4" w:space="0"/>
              <w:right w:val="single" w:color="auto" w:sz="4" w:space="0"/>
            </w:tcBorders>
            <w:vAlign w:val="center"/>
          </w:tcPr>
          <w:p w14:paraId="0CECE452">
            <w:pPr>
              <w:adjustRightInd w:val="0"/>
              <w:snapToGrid w:val="0"/>
              <w:spacing w:line="360" w:lineRule="exact"/>
              <w:jc w:val="left"/>
              <w:rPr>
                <w:bCs/>
                <w:kern w:val="0"/>
                <w:szCs w:val="21"/>
              </w:rPr>
            </w:pPr>
            <w:r>
              <w:rPr>
                <w:rFonts w:hint="eastAsia"/>
                <w:bCs/>
                <w:kern w:val="0"/>
                <w:szCs w:val="21"/>
              </w:rPr>
              <w:t>本项目通过开展河道基底修复及微地形梳理、构建恢复生态缓冲带、水生态构建及水生植物恢复等，对潮河进行生态保护修复。本项目的建设，有利于改善潮河水质和潮河生态环境。</w:t>
            </w:r>
          </w:p>
        </w:tc>
        <w:tc>
          <w:tcPr>
            <w:tcW w:w="695" w:type="pct"/>
            <w:tcBorders>
              <w:top w:val="single" w:color="auto" w:sz="4" w:space="0"/>
              <w:left w:val="single" w:color="auto" w:sz="4" w:space="0"/>
              <w:bottom w:val="single" w:color="auto" w:sz="4" w:space="0"/>
              <w:right w:val="single" w:color="auto" w:sz="4" w:space="0"/>
            </w:tcBorders>
            <w:vAlign w:val="center"/>
          </w:tcPr>
          <w:p w14:paraId="76FFC4C0">
            <w:pPr>
              <w:adjustRightInd w:val="0"/>
              <w:snapToGrid w:val="0"/>
              <w:spacing w:line="360" w:lineRule="exact"/>
              <w:jc w:val="center"/>
              <w:rPr>
                <w:bCs/>
                <w:kern w:val="0"/>
                <w:szCs w:val="21"/>
              </w:rPr>
            </w:pPr>
            <w:r>
              <w:rPr>
                <w:rFonts w:hint="eastAsia"/>
                <w:bCs/>
                <w:kern w:val="0"/>
                <w:szCs w:val="21"/>
              </w:rPr>
              <w:t>符合</w:t>
            </w:r>
          </w:p>
        </w:tc>
      </w:tr>
    </w:tbl>
    <w:p w14:paraId="35582A43">
      <w:pPr>
        <w:pStyle w:val="3"/>
        <w:rPr>
          <w:kern w:val="0"/>
        </w:rPr>
      </w:pPr>
      <w:bookmarkStart w:id="59" w:name="_Toc198733152"/>
      <w:r>
        <w:rPr>
          <w:rFonts w:hint="eastAsia"/>
          <w:kern w:val="0"/>
        </w:rPr>
        <w:t>相关</w:t>
      </w:r>
      <w:r>
        <w:rPr>
          <w:kern w:val="0"/>
        </w:rPr>
        <w:t>规划及环境功能区划</w:t>
      </w:r>
      <w:r>
        <w:rPr>
          <w:rFonts w:hint="eastAsia"/>
          <w:kern w:val="0"/>
        </w:rPr>
        <w:t>符合性</w:t>
      </w:r>
      <w:r>
        <w:rPr>
          <w:kern w:val="0"/>
        </w:rPr>
        <w:t>分析</w:t>
      </w:r>
      <w:bookmarkEnd w:id="59"/>
    </w:p>
    <w:p w14:paraId="4351696F">
      <w:pPr>
        <w:pStyle w:val="4"/>
      </w:pPr>
      <w:r>
        <w:rPr>
          <w:rFonts w:hint="eastAsia"/>
        </w:rPr>
        <w:t>功能区规划</w:t>
      </w:r>
    </w:p>
    <w:p w14:paraId="22F1EACD">
      <w:pPr>
        <w:pStyle w:val="85"/>
        <w:ind w:firstLine="480"/>
      </w:pPr>
      <w:r>
        <w:rPr>
          <w:rFonts w:hint="eastAsia"/>
        </w:rPr>
        <w:t>1、《全国生态功能区规划》符合性</w:t>
      </w:r>
    </w:p>
    <w:p w14:paraId="32533F39">
      <w:pPr>
        <w:pStyle w:val="85"/>
        <w:ind w:firstLine="480"/>
      </w:pPr>
      <w:r>
        <w:t>根据《全国生态功能区规划（修编版）》中区划方案，拟建项目所在位置为Ⅰ-01-06京津冀北部水源涵养功能区。该区主要生态问题为：水资源过度开发，环境污染加剧；森林生态系统质量低，水源涵养功能与土壤保持功能弱，水土流失和水库泥沙淤积比较严重；水库周边地区人口较密集，农业生产及养殖业等面源污染问题比较突出；地质灾害敏感程度高，泥石流和滑坡时有发生。</w:t>
      </w:r>
    </w:p>
    <w:p w14:paraId="607B6FC2">
      <w:pPr>
        <w:pStyle w:val="85"/>
        <w:ind w:firstLine="480"/>
      </w:pPr>
      <w:r>
        <w:t>拟建项目为河湖整治项目，</w:t>
      </w:r>
      <w:r>
        <w:rPr>
          <w:rFonts w:hint="eastAsia"/>
        </w:rPr>
        <w:t>项目建设内容包括河道基底修复及微地形梳理、构建恢复生态缓冲带、水生态构建及水生植物恢复等，项目实施后，能够改善潮河水质和生态环境。项目符合《全国生态功能区规划》相关要求。</w:t>
      </w:r>
    </w:p>
    <w:p w14:paraId="66248D7E">
      <w:pPr>
        <w:pStyle w:val="85"/>
        <w:ind w:firstLine="480"/>
      </w:pPr>
      <w:r>
        <w:rPr>
          <w:rFonts w:hint="eastAsia"/>
        </w:rPr>
        <w:t>2、《河北省生态功能区规划》符合性</w:t>
      </w:r>
    </w:p>
    <w:p w14:paraId="0E4170D0">
      <w:pPr>
        <w:pStyle w:val="85"/>
        <w:ind w:firstLine="480"/>
      </w:pPr>
      <w:r>
        <w:rPr>
          <w:rFonts w:hint="eastAsia"/>
        </w:rPr>
        <w:t>拟建项目区域为《河北省生态功能区规划》中属于Ⅱ河北山地生态区Ⅱ1冀北及燕山山地森林生态亚区中Ⅱ1-</w:t>
      </w:r>
      <w:r>
        <w:t>3</w:t>
      </w:r>
      <w:r>
        <w:rPr>
          <w:rFonts w:hint="eastAsia"/>
        </w:rPr>
        <w:t xml:space="preserve"> 燕山山地中部生物多样性、水资源保护服务功能区。</w:t>
      </w:r>
    </w:p>
    <w:p w14:paraId="0EC47D53">
      <w:pPr>
        <w:pStyle w:val="85"/>
        <w:ind w:firstLine="480"/>
      </w:pPr>
      <w:r>
        <w:rPr>
          <w:rFonts w:hint="eastAsia"/>
        </w:rPr>
        <w:t>主要生态环境问题：本区为低山丘陵地区，地势相对较低，河谷宽阔，人口较多，工农业生产能力较强，人类活动影响较大。致使植被破坏严重，水土流失加剧，河流污染严重，生态系统保护措施有待进一步加强。本区铁、磷等矿产开采，生态系统破坏严重，造成新的水土流失。</w:t>
      </w:r>
    </w:p>
    <w:p w14:paraId="50CAB31A">
      <w:pPr>
        <w:pStyle w:val="85"/>
        <w:ind w:firstLine="480"/>
      </w:pPr>
      <w:r>
        <w:t>保护目标：</w:t>
      </w:r>
      <w:r>
        <w:rPr>
          <w:rFonts w:hint="eastAsia"/>
        </w:rPr>
        <w:t>该区属生物多样性保护重要地区、水源保护极重要地区和土壤侵蚀敏感区。保护目标是：（1）保护森林生态系统，加大退耕还林还草力度。（2）加强水源保护，防止水土流失。（3）保护生物多样性</w:t>
      </w:r>
      <w:r>
        <w:t>。</w:t>
      </w:r>
    </w:p>
    <w:p w14:paraId="1B1BC1BF">
      <w:pPr>
        <w:pStyle w:val="85"/>
        <w:ind w:firstLine="480"/>
      </w:pPr>
      <w:r>
        <w:t>保护措施和发展方向：</w:t>
      </w:r>
      <w:r>
        <w:rPr>
          <w:rFonts w:hint="eastAsia"/>
        </w:rPr>
        <w:t>本区应大力实施封山育林育草，在中酸性土壤上可种植华北落叶松、油松、栎树和山杨。在石灰岩山地可种侧柏、栎树。在河滩地可种柳、杨、槐、榆等。加大退耕还林还草力度，调整农林牧生产方式，水保林，防风固沙林，经济林相结合，乔灌草相结合，维持生物多样性。加强污染治理，控制生产生活污水排放，保护水源。加强丘陵岗地水利设施建设，提高抗灾能力</w:t>
      </w:r>
      <w:r>
        <w:t>。</w:t>
      </w:r>
    </w:p>
    <w:p w14:paraId="6486D635">
      <w:pPr>
        <w:pStyle w:val="85"/>
        <w:ind w:firstLine="480"/>
      </w:pPr>
      <w:r>
        <w:rPr>
          <w:rFonts w:hint="eastAsia"/>
        </w:rPr>
        <w:t>拟建项目为潮河干流水质改善与生态修复工程，项目在施工建设过程中加强生态修复，尽量减少施工临时占地，做到临时占地施工期结束后立即进行植被恢复，确保因工程建设造成的新增水土流失得到有效预防和治理。同时拟建项目主要对河道进行清淤疏浚，构建恢复生态缓冲带、水生态构建及水生植物恢复等，不涉及资源开发，项目实施后，不但可以提高行洪流畅性，亦有助于水质改善，促进水生生态环境的改善。综上所述，项目符合《河北省生态功能区规划》相关要求。</w:t>
      </w:r>
    </w:p>
    <w:p w14:paraId="30537913">
      <w:pPr>
        <w:pStyle w:val="85"/>
        <w:ind w:firstLine="480"/>
      </w:pPr>
      <w:r>
        <w:rPr>
          <w:rFonts w:hint="eastAsia"/>
        </w:rPr>
        <w:t>3、《河北省主体功能区规划》符合性</w:t>
      </w:r>
    </w:p>
    <w:p w14:paraId="272E6B47">
      <w:pPr>
        <w:pStyle w:val="85"/>
        <w:ind w:firstLine="480"/>
      </w:pPr>
      <w:r>
        <w:rPr>
          <w:rFonts w:hint="eastAsia"/>
        </w:rPr>
        <w:t>评价区位于《河北省主体功能区规划》中省级重点生态功能区——冀北燕山山区。</w:t>
      </w:r>
    </w:p>
    <w:p w14:paraId="1C282F90">
      <w:pPr>
        <w:pStyle w:val="85"/>
        <w:ind w:firstLine="480"/>
      </w:pPr>
      <w:r>
        <w:rPr>
          <w:rFonts w:hint="eastAsia"/>
        </w:rPr>
        <w:t>功能定位：京津和冀东地区生态屏障，地表水源涵养区，河北林业和生物多样性保护的重点区，文化和生态旅游区，绿色农牧产品和生态产业基地，金属和非金属矿采选生产基地。</w:t>
      </w:r>
    </w:p>
    <w:p w14:paraId="65433F39">
      <w:pPr>
        <w:pStyle w:val="85"/>
        <w:ind w:firstLine="480"/>
      </w:pPr>
      <w:r>
        <w:rPr>
          <w:rFonts w:hint="eastAsia"/>
        </w:rPr>
        <w:t>发展方向：（1）生态建设。加强永定河、潮白河和滦河流域综合治理，提升中游地区生态保护功能。重点建设水源涵养、水土保持、造林绿化、农田水利等工程，继续实施风沙源治理、退耕还林、三北防护林、首都水资源恢复和保护等重点生态工程。加快推进农业节水、稻改旱、禁牧舍饲等生态工程建设。（2）产业发展。大力发展生态文化旅游和休闲度假产业。积极开发风能资源，有序开发煤铁等矿产资源，建设绿色农产品和生态产业基地，积极发展林业、果品业。加强节水工程建设和基本农田保护。（3）城镇建设和人口分布。实施据点式开发，促进集聚发展，加强骨干道路沿线小城镇和中心村建设。控制人口总量，积极引导农村人口向优化开发区域和重点开发区域转移；加快生态移民步伐，引导自然村人口向中心村和城镇转移。（4）公共基础设施。加大财政转移支付力度，增加公共财政支出。加强公共交通、文化教育、医疗卫生等公共服务设施建设。大力实施饮水安全工程，有效解决山区农村人畜饮水困难。继续提高村村通配套水平、通达深度和保养能力，改善农村生产生活条件，增强农村养老、新农合等社会保障能力，提高公共服务水平。</w:t>
      </w:r>
    </w:p>
    <w:p w14:paraId="4BCBA0F5">
      <w:pPr>
        <w:pStyle w:val="85"/>
        <w:ind w:firstLine="480"/>
      </w:pPr>
      <w:r>
        <w:rPr>
          <w:rFonts w:hint="eastAsia"/>
        </w:rPr>
        <w:t>拟建项目为潮河干流水质改善与生态修复工程，项目实施后，有助于水质改善，促进水生生态环境的改善，属于首都水资源恢复和保护项目，拟建项目符合《河北省主体功能区规划》发展方向。</w:t>
      </w:r>
    </w:p>
    <w:p w14:paraId="0D9536E8">
      <w:pPr>
        <w:pStyle w:val="85"/>
        <w:ind w:firstLine="480"/>
      </w:pPr>
      <w:r>
        <w:rPr>
          <w:rFonts w:hint="eastAsia"/>
        </w:rPr>
        <w:t>4、《河北省水生态环境保护规划》符合性</w:t>
      </w:r>
    </w:p>
    <w:p w14:paraId="237C4C22">
      <w:pPr>
        <w:pStyle w:val="85"/>
        <w:ind w:firstLine="480"/>
      </w:pPr>
      <w:r>
        <w:rPr>
          <w:rFonts w:hint="eastAsia"/>
        </w:rPr>
        <w:t>根据《河北省水生态环境保护规划》第三十二节要求：“十四五”时期，潮白河重点提升城镇及农村污水处理水平控制水体富营养化。到2025年，吴村断面水质达到类，古北口、后城断面水质保持Ⅱ类。重点任务:</w:t>
      </w:r>
      <w:r>
        <w:rPr>
          <w:rFonts w:asciiTheme="minorEastAsia" w:hAnsiTheme="minorEastAsia" w:eastAsiaTheme="minorEastAsia"/>
        </w:rPr>
        <w:t>……</w:t>
      </w:r>
      <w:r>
        <w:rPr>
          <w:rFonts w:hint="eastAsia"/>
        </w:rPr>
        <w:t>(2)定期打捞清理河道内浮萍、绿藻、垃圾、杂物等，及时割除河道内笮草等植物。选择适宜河段种植苦草、黑藻等水生植物，提升水生生态系统物种多样性，防止藻类大量生长。</w:t>
      </w:r>
      <w:r>
        <w:rPr>
          <w:rFonts w:ascii="宋体" w:hAnsi="宋体"/>
        </w:rPr>
        <w:t>……</w:t>
      </w:r>
      <w:r>
        <w:rPr>
          <w:rFonts w:hint="eastAsia"/>
        </w:rPr>
        <w:t>”</w:t>
      </w:r>
    </w:p>
    <w:p w14:paraId="1C6A3E3C">
      <w:pPr>
        <w:pStyle w:val="85"/>
        <w:ind w:firstLine="480"/>
      </w:pPr>
      <w:r>
        <w:rPr>
          <w:rFonts w:hint="eastAsia"/>
        </w:rPr>
        <w:t>拟建项目为滦平县潮河干流河道水质改善与生态修复工程，项目建设内容 包括河道基底修复及微地形梳理、构建恢复生态缓冲带、水生态构建及水生植物恢复等。项目实施后，能够改善滦河水质。综上所述，项目的建设有助于下游古北口断面水质稳定保持Ⅱ类，项目生态恢复工程可提升水生生态系统物种多样性，符合《河北省水生态环境保护规划》对潮白河的管理要求。</w:t>
      </w:r>
    </w:p>
    <w:p w14:paraId="2BE244EE">
      <w:pPr>
        <w:pStyle w:val="4"/>
      </w:pPr>
      <w:r>
        <w:rPr>
          <w:rFonts w:hint="eastAsia"/>
        </w:rPr>
        <w:t>相关规划符合性</w:t>
      </w:r>
    </w:p>
    <w:p w14:paraId="19582A8E">
      <w:pPr>
        <w:pStyle w:val="85"/>
        <w:ind w:firstLine="480"/>
      </w:pPr>
      <w:r>
        <w:rPr>
          <w:rFonts w:hint="eastAsia"/>
        </w:rPr>
        <w:t>拟建项目与各类规划符合性分析见下表。</w:t>
      </w:r>
    </w:p>
    <w:p w14:paraId="71CE080F">
      <w:pPr>
        <w:pStyle w:val="85"/>
        <w:ind w:firstLine="480"/>
        <w:jc w:val="center"/>
        <w:rPr>
          <w:rFonts w:eastAsia="黑体"/>
          <w:bCs/>
          <w:kern w:val="0"/>
          <w:szCs w:val="32"/>
        </w:rPr>
      </w:pPr>
      <w:r>
        <w:rPr>
          <w:rFonts w:hint="eastAsia" w:eastAsia="黑体"/>
          <w:bCs/>
          <w:kern w:val="0"/>
          <w:szCs w:val="32"/>
        </w:rPr>
        <w:t>表</w:t>
      </w:r>
      <w:r>
        <w:rPr>
          <w:rFonts w:eastAsia="黑体"/>
          <w:bCs/>
          <w:kern w:val="0"/>
          <w:szCs w:val="32"/>
        </w:rPr>
        <w:fldChar w:fldCharType="begin"/>
      </w:r>
      <w:r>
        <w:rPr>
          <w:rFonts w:eastAsia="黑体"/>
          <w:bCs/>
          <w:kern w:val="0"/>
          <w:szCs w:val="32"/>
        </w:rPr>
        <w:instrText xml:space="preserve"> </w:instrText>
      </w:r>
      <w:r>
        <w:rPr>
          <w:rFonts w:hint="eastAsia" w:eastAsia="黑体"/>
          <w:bCs/>
          <w:kern w:val="0"/>
          <w:szCs w:val="32"/>
        </w:rPr>
        <w:instrText xml:space="preserve">STYLEREF 1 \s</w:instrText>
      </w:r>
      <w:r>
        <w:rPr>
          <w:rFonts w:eastAsia="黑体"/>
          <w:bCs/>
          <w:kern w:val="0"/>
          <w:szCs w:val="32"/>
        </w:rPr>
        <w:instrText xml:space="preserve"> </w:instrText>
      </w:r>
      <w:r>
        <w:rPr>
          <w:rFonts w:eastAsia="黑体"/>
          <w:bCs/>
          <w:kern w:val="0"/>
          <w:szCs w:val="32"/>
        </w:rPr>
        <w:fldChar w:fldCharType="separate"/>
      </w:r>
      <w:r>
        <w:rPr>
          <w:rFonts w:eastAsia="黑体"/>
          <w:bCs/>
          <w:kern w:val="0"/>
          <w:szCs w:val="32"/>
        </w:rPr>
        <w:t>1</w:t>
      </w:r>
      <w:r>
        <w:rPr>
          <w:rFonts w:eastAsia="黑体"/>
          <w:bCs/>
          <w:kern w:val="0"/>
          <w:szCs w:val="32"/>
        </w:rPr>
        <w:fldChar w:fldCharType="end"/>
      </w:r>
      <w:r>
        <w:rPr>
          <w:rFonts w:eastAsia="黑体"/>
          <w:bCs/>
          <w:kern w:val="0"/>
          <w:szCs w:val="32"/>
        </w:rPr>
        <w:noBreakHyphen/>
      </w:r>
      <w:r>
        <w:rPr>
          <w:rFonts w:eastAsia="黑体"/>
          <w:bCs/>
          <w:kern w:val="0"/>
          <w:szCs w:val="32"/>
        </w:rPr>
        <w:fldChar w:fldCharType="begin"/>
      </w:r>
      <w:r>
        <w:rPr>
          <w:rFonts w:eastAsia="黑体"/>
          <w:bCs/>
          <w:kern w:val="0"/>
          <w:szCs w:val="32"/>
        </w:rPr>
        <w:instrText xml:space="preserve"> </w:instrText>
      </w:r>
      <w:r>
        <w:rPr>
          <w:rFonts w:hint="eastAsia" w:eastAsia="黑体"/>
          <w:bCs/>
          <w:kern w:val="0"/>
          <w:szCs w:val="32"/>
        </w:rPr>
        <w:instrText xml:space="preserve">SEQ 表 \* ARABIC \s 1</w:instrText>
      </w:r>
      <w:r>
        <w:rPr>
          <w:rFonts w:eastAsia="黑体"/>
          <w:bCs/>
          <w:kern w:val="0"/>
          <w:szCs w:val="32"/>
        </w:rPr>
        <w:instrText xml:space="preserve"> </w:instrText>
      </w:r>
      <w:r>
        <w:rPr>
          <w:rFonts w:eastAsia="黑体"/>
          <w:bCs/>
          <w:kern w:val="0"/>
          <w:szCs w:val="32"/>
        </w:rPr>
        <w:fldChar w:fldCharType="separate"/>
      </w:r>
      <w:r>
        <w:rPr>
          <w:rFonts w:eastAsia="黑体"/>
          <w:bCs/>
          <w:kern w:val="0"/>
          <w:szCs w:val="32"/>
        </w:rPr>
        <w:t>18</w:t>
      </w:r>
      <w:r>
        <w:rPr>
          <w:rFonts w:eastAsia="黑体"/>
          <w:bCs/>
          <w:kern w:val="0"/>
          <w:szCs w:val="32"/>
        </w:rPr>
        <w:fldChar w:fldCharType="end"/>
      </w:r>
      <w:r>
        <w:rPr>
          <w:rFonts w:eastAsia="黑体"/>
          <w:bCs/>
          <w:kern w:val="0"/>
          <w:szCs w:val="32"/>
        </w:rPr>
        <w:t xml:space="preserve">  </w:t>
      </w:r>
      <w:r>
        <w:rPr>
          <w:rFonts w:hint="eastAsia" w:eastAsia="黑体"/>
          <w:bCs/>
          <w:kern w:val="0"/>
          <w:szCs w:val="32"/>
        </w:rPr>
        <w:t>相关规划</w:t>
      </w:r>
      <w:r>
        <w:rPr>
          <w:rFonts w:eastAsia="黑体"/>
          <w:bCs/>
          <w:kern w:val="0"/>
          <w:szCs w:val="32"/>
        </w:rPr>
        <w:t>符合性分析一览表</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9"/>
        <w:gridCol w:w="1686"/>
        <w:gridCol w:w="3803"/>
        <w:gridCol w:w="2054"/>
        <w:gridCol w:w="426"/>
      </w:tblGrid>
      <w:tr w14:paraId="36234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Align w:val="center"/>
          </w:tcPr>
          <w:p w14:paraId="2153008C">
            <w:pPr>
              <w:pStyle w:val="85"/>
              <w:spacing w:line="240" w:lineRule="auto"/>
              <w:ind w:firstLine="0" w:firstLineChars="0"/>
              <w:jc w:val="center"/>
              <w:rPr>
                <w:rFonts w:ascii="宋体" w:hAnsi="宋体"/>
                <w:sz w:val="21"/>
                <w:szCs w:val="21"/>
              </w:rPr>
            </w:pPr>
            <w:r>
              <w:rPr>
                <w:rFonts w:hint="eastAsia" w:ascii="宋体" w:hAnsi="宋体"/>
                <w:sz w:val="21"/>
                <w:szCs w:val="21"/>
              </w:rPr>
              <w:t>序号</w:t>
            </w:r>
          </w:p>
        </w:tc>
        <w:tc>
          <w:tcPr>
            <w:tcW w:w="5246" w:type="dxa"/>
            <w:gridSpan w:val="2"/>
            <w:vAlign w:val="center"/>
          </w:tcPr>
          <w:p w14:paraId="694ED427">
            <w:pPr>
              <w:pStyle w:val="85"/>
              <w:spacing w:line="240" w:lineRule="auto"/>
              <w:ind w:firstLine="0" w:firstLineChars="0"/>
              <w:jc w:val="center"/>
              <w:rPr>
                <w:rFonts w:ascii="宋体" w:hAnsi="宋体"/>
                <w:sz w:val="21"/>
                <w:szCs w:val="21"/>
              </w:rPr>
            </w:pPr>
            <w:r>
              <w:rPr>
                <w:rFonts w:hint="eastAsia" w:ascii="宋体" w:hAnsi="宋体"/>
                <w:sz w:val="21"/>
                <w:szCs w:val="21"/>
              </w:rPr>
              <w:t>相关规划要求</w:t>
            </w:r>
          </w:p>
        </w:tc>
        <w:tc>
          <w:tcPr>
            <w:tcW w:w="2069" w:type="dxa"/>
            <w:vAlign w:val="center"/>
          </w:tcPr>
          <w:p w14:paraId="102DB928">
            <w:pPr>
              <w:pStyle w:val="85"/>
              <w:spacing w:line="240" w:lineRule="auto"/>
              <w:ind w:firstLine="0" w:firstLineChars="0"/>
              <w:jc w:val="center"/>
              <w:rPr>
                <w:rFonts w:ascii="宋体" w:hAnsi="宋体"/>
                <w:sz w:val="21"/>
                <w:szCs w:val="21"/>
              </w:rPr>
            </w:pPr>
            <w:r>
              <w:rPr>
                <w:rFonts w:hint="eastAsia" w:ascii="宋体" w:hAnsi="宋体"/>
                <w:sz w:val="21"/>
                <w:szCs w:val="21"/>
              </w:rPr>
              <w:t>本项目</w:t>
            </w:r>
          </w:p>
        </w:tc>
        <w:tc>
          <w:tcPr>
            <w:tcW w:w="426" w:type="dxa"/>
            <w:vAlign w:val="center"/>
          </w:tcPr>
          <w:p w14:paraId="4524F6F7">
            <w:pPr>
              <w:pStyle w:val="85"/>
              <w:spacing w:line="240" w:lineRule="auto"/>
              <w:ind w:firstLine="0" w:firstLineChars="0"/>
              <w:jc w:val="center"/>
              <w:rPr>
                <w:rFonts w:ascii="宋体" w:hAnsi="宋体"/>
                <w:sz w:val="21"/>
                <w:szCs w:val="21"/>
              </w:rPr>
            </w:pPr>
            <w:r>
              <w:rPr>
                <w:rFonts w:hint="eastAsia" w:ascii="宋体" w:hAnsi="宋体"/>
                <w:sz w:val="21"/>
                <w:szCs w:val="21"/>
              </w:rPr>
              <w:t>结论</w:t>
            </w:r>
          </w:p>
        </w:tc>
      </w:tr>
      <w:tr w14:paraId="304BA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Align w:val="center"/>
          </w:tcPr>
          <w:p w14:paraId="036E8229">
            <w:pPr>
              <w:pStyle w:val="85"/>
              <w:spacing w:line="240" w:lineRule="auto"/>
              <w:ind w:firstLine="0" w:firstLineChars="0"/>
              <w:rPr>
                <w:rFonts w:ascii="宋体" w:hAnsi="宋体"/>
                <w:sz w:val="21"/>
                <w:szCs w:val="21"/>
              </w:rPr>
            </w:pPr>
            <w:r>
              <w:rPr>
                <w:rFonts w:hint="eastAsia" w:ascii="宋体" w:hAnsi="宋体"/>
                <w:sz w:val="21"/>
                <w:szCs w:val="21"/>
              </w:rPr>
              <w:t>1</w:t>
            </w:r>
          </w:p>
        </w:tc>
        <w:tc>
          <w:tcPr>
            <w:tcW w:w="1414" w:type="dxa"/>
            <w:vAlign w:val="center"/>
          </w:tcPr>
          <w:p w14:paraId="418409D4">
            <w:pPr>
              <w:pStyle w:val="85"/>
              <w:spacing w:line="240" w:lineRule="auto"/>
              <w:ind w:firstLine="0" w:firstLineChars="0"/>
              <w:rPr>
                <w:rFonts w:ascii="宋体" w:hAnsi="宋体"/>
                <w:sz w:val="21"/>
                <w:szCs w:val="21"/>
              </w:rPr>
            </w:pPr>
            <w:r>
              <w:rPr>
                <w:rFonts w:hint="eastAsia" w:ascii="宋体" w:hAnsi="宋体"/>
                <w:sz w:val="21"/>
                <w:szCs w:val="21"/>
              </w:rPr>
              <w:t>《河北省人民政府关于印发&lt;河北省生态环境保护“十 四五”规划&gt;的通知》(冀政 字[2022]2号)</w:t>
            </w:r>
          </w:p>
        </w:tc>
        <w:tc>
          <w:tcPr>
            <w:tcW w:w="3832" w:type="dxa"/>
            <w:vAlign w:val="center"/>
          </w:tcPr>
          <w:p w14:paraId="0179E6EE">
            <w:pPr>
              <w:pStyle w:val="85"/>
              <w:spacing w:line="240" w:lineRule="auto"/>
              <w:ind w:firstLine="0" w:firstLineChars="0"/>
              <w:rPr>
                <w:rFonts w:ascii="宋体" w:hAnsi="宋体"/>
                <w:sz w:val="21"/>
                <w:szCs w:val="21"/>
              </w:rPr>
            </w:pPr>
            <w:r>
              <w:rPr>
                <w:rFonts w:hint="eastAsia" w:ascii="宋体" w:hAnsi="宋体"/>
                <w:sz w:val="21"/>
                <w:szCs w:val="21"/>
              </w:rPr>
              <w:t>六、“三水”统筹，打造良好水生态环境(五)积极推动水生态修复。3.推进水生态保护修复。在重要河流干流、支流和重点湖库周边划定生态缓冲带，强化岸线用途管制。严控、整治不符合水源涵养区、水域岸线、河湖缓冲带等保护要求的人类活动。以重要河湖湿地、沿海自然湿地和张家口、承德为重点，加快推进水生态保护和修复。开展重点流域水生态专项调查和生态系统健康评估。</w:t>
            </w:r>
          </w:p>
        </w:tc>
        <w:tc>
          <w:tcPr>
            <w:tcW w:w="2069" w:type="dxa"/>
            <w:vMerge w:val="restart"/>
            <w:vAlign w:val="center"/>
          </w:tcPr>
          <w:p w14:paraId="3C9CF4EE">
            <w:pPr>
              <w:pStyle w:val="85"/>
              <w:spacing w:line="240" w:lineRule="auto"/>
              <w:ind w:firstLine="0" w:firstLineChars="0"/>
              <w:rPr>
                <w:rFonts w:ascii="宋体" w:hAnsi="宋体"/>
                <w:sz w:val="21"/>
                <w:szCs w:val="21"/>
              </w:rPr>
            </w:pPr>
            <w:r>
              <w:rPr>
                <w:rFonts w:hint="eastAsia" w:ascii="宋体" w:hAnsi="宋体"/>
                <w:sz w:val="21"/>
                <w:szCs w:val="21"/>
              </w:rPr>
              <w:t xml:space="preserve">拟建项目为滦平县潮河干流河道水质改善与生态修复工程，项目建设内容 包括河道基底修复及微地形梳理、构建恢复生态缓冲带、水生态构建及水生植物恢复等。项目实施后有利于降低入潮河污染物，改善河水环境质量，恢复河流生态廊道功能。 </w:t>
            </w:r>
          </w:p>
        </w:tc>
        <w:tc>
          <w:tcPr>
            <w:tcW w:w="426" w:type="dxa"/>
            <w:vAlign w:val="center"/>
          </w:tcPr>
          <w:p w14:paraId="6C6D1857">
            <w:pPr>
              <w:pStyle w:val="85"/>
              <w:spacing w:line="240" w:lineRule="auto"/>
              <w:ind w:firstLine="0" w:firstLineChars="0"/>
              <w:rPr>
                <w:rFonts w:ascii="宋体" w:hAnsi="宋体"/>
                <w:sz w:val="21"/>
                <w:szCs w:val="21"/>
              </w:rPr>
            </w:pPr>
            <w:r>
              <w:rPr>
                <w:rFonts w:hint="eastAsia" w:ascii="宋体" w:hAnsi="宋体"/>
                <w:sz w:val="21"/>
                <w:szCs w:val="21"/>
              </w:rPr>
              <w:t>符合</w:t>
            </w:r>
          </w:p>
        </w:tc>
      </w:tr>
      <w:tr w14:paraId="15FCB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Align w:val="center"/>
          </w:tcPr>
          <w:p w14:paraId="61DEBBFB">
            <w:pPr>
              <w:pStyle w:val="85"/>
              <w:spacing w:line="240" w:lineRule="auto"/>
              <w:ind w:firstLine="0" w:firstLineChars="0"/>
              <w:rPr>
                <w:rFonts w:ascii="宋体" w:hAnsi="宋体"/>
                <w:sz w:val="21"/>
                <w:szCs w:val="21"/>
              </w:rPr>
            </w:pPr>
            <w:r>
              <w:rPr>
                <w:rFonts w:hint="eastAsia" w:ascii="宋体" w:hAnsi="宋体"/>
                <w:sz w:val="21"/>
                <w:szCs w:val="21"/>
              </w:rPr>
              <w:t>2</w:t>
            </w:r>
          </w:p>
        </w:tc>
        <w:tc>
          <w:tcPr>
            <w:tcW w:w="1414" w:type="dxa"/>
            <w:vAlign w:val="center"/>
          </w:tcPr>
          <w:p w14:paraId="38DE7AEE">
            <w:pPr>
              <w:pStyle w:val="85"/>
              <w:spacing w:line="240" w:lineRule="auto"/>
              <w:ind w:firstLine="0" w:firstLineChars="0"/>
              <w:rPr>
                <w:rFonts w:ascii="宋体" w:hAnsi="宋体"/>
                <w:sz w:val="21"/>
                <w:szCs w:val="21"/>
              </w:rPr>
            </w:pPr>
            <w:r>
              <w:rPr>
                <w:rFonts w:hint="eastAsia" w:ascii="宋体" w:hAnsi="宋体"/>
                <w:sz w:val="21"/>
                <w:szCs w:val="21"/>
              </w:rPr>
              <w:t>《承德市人民政府关于印发&lt;承德市生态环境保护“十四五”规划&gt;的通知》(承市政字[2022]16号)</w:t>
            </w:r>
          </w:p>
        </w:tc>
        <w:tc>
          <w:tcPr>
            <w:tcW w:w="3832" w:type="dxa"/>
            <w:vAlign w:val="center"/>
          </w:tcPr>
          <w:p w14:paraId="4A1EC1C5">
            <w:pPr>
              <w:pStyle w:val="85"/>
              <w:spacing w:line="240" w:lineRule="auto"/>
              <w:ind w:firstLine="0" w:firstLineChars="0"/>
              <w:rPr>
                <w:rFonts w:ascii="宋体" w:hAnsi="宋体"/>
                <w:sz w:val="21"/>
                <w:szCs w:val="21"/>
              </w:rPr>
            </w:pPr>
            <w:r>
              <w:rPr>
                <w:rFonts w:hint="eastAsia" w:ascii="宋体" w:hAnsi="宋体"/>
                <w:sz w:val="21"/>
                <w:szCs w:val="21"/>
              </w:rPr>
              <w:t>全面实施重点流域水环境综合整治。突出源头控 制、水陆统筹、减排扩容、系统治理，统筹“水资 源、水生态、水环境”协同保护治理，坚持分流域 分段、分部门治理和统筹上下游、左右岸、陆域与 水域、地表与地下、点源与面源联动治理相结合 以流域控制单元为基础，强化精准施策和水质管 控，强力推进治污项目建设，着力构筑水环境生态 屏障。按照“流域统筹、系统治理，循因施策、源 头防控，以人为本、人水和谐”原则，以滦河、潮 河、阴河及其支流为重点，全面开展河道生态护岸 和河流缓冲带建设、岸线和河道生态修复等工程 全力打造滦河、潮河生态廊道</w:t>
            </w:r>
          </w:p>
        </w:tc>
        <w:tc>
          <w:tcPr>
            <w:tcW w:w="2069" w:type="dxa"/>
            <w:vMerge w:val="continue"/>
            <w:vAlign w:val="center"/>
          </w:tcPr>
          <w:p w14:paraId="18FC7D15">
            <w:pPr>
              <w:pStyle w:val="85"/>
              <w:spacing w:line="240" w:lineRule="auto"/>
              <w:ind w:firstLine="0" w:firstLineChars="0"/>
              <w:rPr>
                <w:rFonts w:ascii="宋体" w:hAnsi="宋体"/>
                <w:sz w:val="21"/>
                <w:szCs w:val="21"/>
              </w:rPr>
            </w:pPr>
          </w:p>
        </w:tc>
        <w:tc>
          <w:tcPr>
            <w:tcW w:w="426" w:type="dxa"/>
            <w:vAlign w:val="center"/>
          </w:tcPr>
          <w:p w14:paraId="2957524A">
            <w:pPr>
              <w:pStyle w:val="85"/>
              <w:spacing w:line="240" w:lineRule="auto"/>
              <w:ind w:firstLine="0" w:firstLineChars="0"/>
              <w:rPr>
                <w:rFonts w:ascii="宋体" w:hAnsi="宋体"/>
                <w:sz w:val="21"/>
                <w:szCs w:val="21"/>
              </w:rPr>
            </w:pPr>
            <w:r>
              <w:rPr>
                <w:rFonts w:hint="eastAsia" w:ascii="宋体" w:hAnsi="宋体"/>
                <w:sz w:val="21"/>
                <w:szCs w:val="21"/>
              </w:rPr>
              <w:t>符合</w:t>
            </w:r>
          </w:p>
        </w:tc>
      </w:tr>
      <w:tr w14:paraId="613E9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Align w:val="center"/>
          </w:tcPr>
          <w:p w14:paraId="1BB3BB75">
            <w:pPr>
              <w:pStyle w:val="85"/>
              <w:spacing w:line="240" w:lineRule="auto"/>
              <w:ind w:firstLine="0" w:firstLineChars="0"/>
              <w:rPr>
                <w:rFonts w:ascii="宋体" w:hAnsi="宋体"/>
                <w:sz w:val="21"/>
                <w:szCs w:val="21"/>
              </w:rPr>
            </w:pPr>
            <w:r>
              <w:rPr>
                <w:rFonts w:hint="eastAsia" w:ascii="宋体" w:hAnsi="宋体"/>
                <w:sz w:val="21"/>
                <w:szCs w:val="21"/>
              </w:rPr>
              <w:t>3</w:t>
            </w:r>
          </w:p>
        </w:tc>
        <w:tc>
          <w:tcPr>
            <w:tcW w:w="1414" w:type="dxa"/>
            <w:vAlign w:val="center"/>
          </w:tcPr>
          <w:p w14:paraId="592B49EC">
            <w:pPr>
              <w:pStyle w:val="85"/>
              <w:spacing w:line="240" w:lineRule="auto"/>
              <w:ind w:firstLine="0" w:firstLineChars="0"/>
              <w:rPr>
                <w:rFonts w:ascii="宋体" w:hAnsi="宋体"/>
                <w:sz w:val="21"/>
                <w:szCs w:val="21"/>
              </w:rPr>
            </w:pPr>
            <w:bookmarkStart w:id="60" w:name="OLE_LINK13"/>
            <w:r>
              <w:rPr>
                <w:rFonts w:hint="eastAsia" w:ascii="宋体" w:hAnsi="宋体"/>
                <w:sz w:val="21"/>
                <w:szCs w:val="21"/>
              </w:rPr>
              <w:t>《承德市国土空间总体规划(2021-2035年)》</w:t>
            </w:r>
            <w:bookmarkEnd w:id="60"/>
          </w:p>
        </w:tc>
        <w:tc>
          <w:tcPr>
            <w:tcW w:w="3832" w:type="dxa"/>
            <w:vAlign w:val="center"/>
          </w:tcPr>
          <w:p w14:paraId="6CBFDB71">
            <w:pPr>
              <w:pStyle w:val="85"/>
              <w:spacing w:line="240" w:lineRule="auto"/>
              <w:ind w:firstLine="0" w:firstLineChars="0"/>
              <w:rPr>
                <w:rFonts w:ascii="宋体" w:hAnsi="宋体"/>
                <w:sz w:val="21"/>
                <w:szCs w:val="21"/>
              </w:rPr>
            </w:pPr>
            <w:r>
              <w:rPr>
                <w:rFonts w:hint="eastAsia" w:ascii="宋体" w:hAnsi="宋体"/>
                <w:sz w:val="21"/>
                <w:szCs w:val="21"/>
              </w:rPr>
              <w:t>第 61 条 推进水环境与水生态修复 以瀑河、柳河、潮河、伊逊河等河流为重点，实施河道生态修复与防洪工程。主要工程包括滦河干流及主要支流河道综合整治工程、平泉市瀑河流域水环境综合治理工程、营子区柳河、寿王坟老牛河水 环境综合治理工程、</w:t>
            </w:r>
            <w:bookmarkStart w:id="61" w:name="OLE_LINK10"/>
            <w:r>
              <w:rPr>
                <w:rFonts w:hint="eastAsia" w:ascii="宋体" w:hAnsi="宋体"/>
                <w:sz w:val="21"/>
                <w:szCs w:val="21"/>
              </w:rPr>
              <w:t>潮河中心流域综合治理工程</w:t>
            </w:r>
            <w:bookmarkEnd w:id="61"/>
            <w:r>
              <w:rPr>
                <w:rFonts w:hint="eastAsia" w:ascii="宋体" w:hAnsi="宋体"/>
                <w:sz w:val="21"/>
                <w:szCs w:val="21"/>
              </w:rPr>
              <w:t>、 宽城县河湖整治项目、丰宁县潮河干流县城上游及喇嘛山西沟支流河道生态修复项目、滦河干流和小滦河、伊逊河、蚁蚂吐河等接坝河流生态治理修复 工程等。到 2035 年，生态治理河道 1500 千米以上。</w:t>
            </w:r>
          </w:p>
        </w:tc>
        <w:tc>
          <w:tcPr>
            <w:tcW w:w="2069" w:type="dxa"/>
            <w:vAlign w:val="center"/>
          </w:tcPr>
          <w:p w14:paraId="17526FCB">
            <w:pPr>
              <w:pStyle w:val="85"/>
              <w:spacing w:line="240" w:lineRule="auto"/>
              <w:ind w:firstLine="0" w:firstLineChars="0"/>
              <w:rPr>
                <w:rFonts w:ascii="宋体" w:hAnsi="宋体"/>
                <w:sz w:val="21"/>
                <w:szCs w:val="21"/>
              </w:rPr>
            </w:pPr>
            <w:r>
              <w:rPr>
                <w:rFonts w:hint="eastAsia" w:ascii="宋体" w:hAnsi="宋体"/>
                <w:sz w:val="21"/>
                <w:szCs w:val="21"/>
              </w:rPr>
              <w:t>拟建项目属于河道生态修复工程；属于潮河流域综合治理工程</w:t>
            </w:r>
          </w:p>
        </w:tc>
        <w:tc>
          <w:tcPr>
            <w:tcW w:w="426" w:type="dxa"/>
            <w:vAlign w:val="center"/>
          </w:tcPr>
          <w:p w14:paraId="50978E65">
            <w:pPr>
              <w:pStyle w:val="85"/>
              <w:spacing w:line="240" w:lineRule="auto"/>
              <w:ind w:firstLine="0" w:firstLineChars="0"/>
              <w:rPr>
                <w:rFonts w:ascii="宋体" w:hAnsi="宋体"/>
                <w:sz w:val="21"/>
                <w:szCs w:val="21"/>
              </w:rPr>
            </w:pPr>
            <w:r>
              <w:rPr>
                <w:rFonts w:hint="eastAsia" w:ascii="宋体" w:hAnsi="宋体"/>
                <w:sz w:val="21"/>
                <w:szCs w:val="21"/>
              </w:rPr>
              <w:t>符合</w:t>
            </w:r>
          </w:p>
        </w:tc>
      </w:tr>
      <w:tr w14:paraId="2F221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Align w:val="center"/>
          </w:tcPr>
          <w:p w14:paraId="3903D785">
            <w:pPr>
              <w:pStyle w:val="85"/>
              <w:spacing w:line="240" w:lineRule="auto"/>
              <w:ind w:firstLine="0" w:firstLineChars="0"/>
              <w:rPr>
                <w:rFonts w:ascii="宋体" w:hAnsi="宋体"/>
                <w:sz w:val="21"/>
                <w:szCs w:val="21"/>
              </w:rPr>
            </w:pPr>
            <w:r>
              <w:rPr>
                <w:rFonts w:hint="eastAsia" w:ascii="宋体" w:hAnsi="宋体"/>
                <w:sz w:val="21"/>
                <w:szCs w:val="21"/>
              </w:rPr>
              <w:t>4</w:t>
            </w:r>
          </w:p>
        </w:tc>
        <w:tc>
          <w:tcPr>
            <w:tcW w:w="1414" w:type="dxa"/>
            <w:vAlign w:val="center"/>
          </w:tcPr>
          <w:p w14:paraId="636FCAF4">
            <w:pPr>
              <w:pStyle w:val="85"/>
              <w:spacing w:line="240" w:lineRule="auto"/>
              <w:ind w:firstLine="0" w:firstLineChars="0"/>
              <w:rPr>
                <w:rFonts w:ascii="宋体" w:hAnsi="宋体"/>
                <w:sz w:val="21"/>
                <w:szCs w:val="21"/>
              </w:rPr>
            </w:pPr>
            <w:bookmarkStart w:id="62" w:name="_Hlk195865032"/>
            <w:r>
              <w:rPr>
                <w:rFonts w:hint="eastAsia" w:ascii="宋体" w:hAnsi="宋体"/>
                <w:sz w:val="21"/>
                <w:szCs w:val="21"/>
              </w:rPr>
              <w:t>《承德市潮河流域生态环境保护规划（2018-2025）》</w:t>
            </w:r>
            <w:bookmarkEnd w:id="62"/>
          </w:p>
        </w:tc>
        <w:tc>
          <w:tcPr>
            <w:tcW w:w="3832" w:type="dxa"/>
            <w:vAlign w:val="center"/>
          </w:tcPr>
          <w:p w14:paraId="539A4193">
            <w:pPr>
              <w:pStyle w:val="85"/>
              <w:spacing w:line="240" w:lineRule="auto"/>
              <w:ind w:firstLine="0" w:firstLineChars="0"/>
              <w:rPr>
                <w:rFonts w:ascii="宋体" w:hAnsi="宋体"/>
                <w:sz w:val="21"/>
                <w:szCs w:val="21"/>
              </w:rPr>
            </w:pPr>
            <w:r>
              <w:rPr>
                <w:rFonts w:hint="eastAsia" w:ascii="宋体" w:hAnsi="宋体"/>
                <w:sz w:val="21"/>
                <w:szCs w:val="21"/>
              </w:rPr>
              <w:t>3</w:t>
            </w:r>
            <w:r>
              <w:rPr>
                <w:rFonts w:ascii="宋体" w:hAnsi="宋体"/>
                <w:sz w:val="21"/>
                <w:szCs w:val="21"/>
              </w:rPr>
              <w:t>.1</w:t>
            </w:r>
            <w:r>
              <w:rPr>
                <w:rFonts w:hint="eastAsia" w:ascii="宋体" w:hAnsi="宋体"/>
                <w:sz w:val="21"/>
                <w:szCs w:val="21"/>
              </w:rPr>
              <w:t>指导思想：“把建设好首都水源涵养功能区和生态环境支撑区作为根本遵循，以保证潮河水环境质量稳定达标且持续向好为核心，严守生态保护红线，留足生态缓冲空间，系统推进水污染治理、水生态修复、水资源保护</w:t>
            </w:r>
            <w:r>
              <w:rPr>
                <w:rFonts w:ascii="宋体" w:hAnsi="宋体"/>
                <w:sz w:val="21"/>
                <w:szCs w:val="21"/>
              </w:rPr>
              <w:t>……</w:t>
            </w:r>
            <w:r>
              <w:rPr>
                <w:rFonts w:hint="eastAsia" w:ascii="宋体" w:hAnsi="宋体"/>
                <w:sz w:val="21"/>
                <w:szCs w:val="21"/>
              </w:rPr>
              <w:t>”</w:t>
            </w:r>
          </w:p>
          <w:p w14:paraId="52C9D0F9">
            <w:pPr>
              <w:pStyle w:val="85"/>
              <w:spacing w:line="240" w:lineRule="auto"/>
              <w:ind w:firstLine="0" w:firstLineChars="0"/>
              <w:rPr>
                <w:rFonts w:ascii="宋体" w:hAnsi="宋体"/>
                <w:sz w:val="21"/>
                <w:szCs w:val="21"/>
              </w:rPr>
            </w:pPr>
            <w:r>
              <w:rPr>
                <w:rFonts w:hint="eastAsia" w:ascii="宋体" w:hAnsi="宋体"/>
                <w:sz w:val="21"/>
                <w:szCs w:val="21"/>
              </w:rPr>
              <w:t>附表 规划重点项目清单中：（四）生态修复类项目25个，其中包括河流生态缓冲带建设工程——在潮河干流及主要支流的一定范围内建设河流生态缓冲带。</w:t>
            </w:r>
          </w:p>
        </w:tc>
        <w:tc>
          <w:tcPr>
            <w:tcW w:w="2069" w:type="dxa"/>
            <w:vAlign w:val="center"/>
          </w:tcPr>
          <w:p w14:paraId="2362D499">
            <w:pPr>
              <w:pStyle w:val="85"/>
              <w:spacing w:line="240" w:lineRule="auto"/>
              <w:ind w:firstLine="0" w:firstLineChars="0"/>
              <w:rPr>
                <w:rFonts w:ascii="宋体" w:hAnsi="宋体"/>
                <w:sz w:val="21"/>
                <w:szCs w:val="21"/>
              </w:rPr>
            </w:pPr>
            <w:r>
              <w:rPr>
                <w:rFonts w:hint="eastAsia" w:ascii="宋体" w:hAnsi="宋体"/>
                <w:sz w:val="21"/>
                <w:szCs w:val="21"/>
              </w:rPr>
              <w:t>拟建项目为滦平县潮河干流河道水质改善与生态修复工程，项目建设内容 包括河道基底修复及微地形梳理、构建恢复生态缓冲带、水生态构建及水生植物恢复等。</w:t>
            </w:r>
          </w:p>
        </w:tc>
        <w:tc>
          <w:tcPr>
            <w:tcW w:w="426" w:type="dxa"/>
            <w:vAlign w:val="center"/>
          </w:tcPr>
          <w:p w14:paraId="2182B9E4">
            <w:pPr>
              <w:pStyle w:val="85"/>
              <w:spacing w:line="240" w:lineRule="auto"/>
              <w:ind w:firstLine="0" w:firstLineChars="0"/>
              <w:rPr>
                <w:rFonts w:ascii="宋体" w:hAnsi="宋体"/>
                <w:sz w:val="21"/>
                <w:szCs w:val="21"/>
              </w:rPr>
            </w:pPr>
            <w:r>
              <w:rPr>
                <w:rFonts w:hint="eastAsia" w:ascii="宋体" w:hAnsi="宋体"/>
                <w:sz w:val="21"/>
                <w:szCs w:val="21"/>
              </w:rPr>
              <w:t>符合</w:t>
            </w:r>
          </w:p>
        </w:tc>
      </w:tr>
    </w:tbl>
    <w:p w14:paraId="42B12D1B">
      <w:pPr>
        <w:pStyle w:val="85"/>
        <w:ind w:firstLine="480"/>
        <w:rPr>
          <w:highlight w:val="yellow"/>
        </w:rPr>
      </w:pPr>
      <w:r>
        <w:t>由上表可知，拟建项目符合《河北省人民政府关于印发&lt;河北省生态环境保 护“十四五”规划&gt;的通知》(冀政字[2022]2 号)、《承德市人民政府关于印发&lt; 承德市生态环境保护“十四五”规划&gt;的通知》(承市政字[2022]16号)、《承德市国土空间总体规划(2021-2035 年)》</w:t>
      </w:r>
      <w:r>
        <w:rPr>
          <w:rFonts w:hint="eastAsia"/>
        </w:rPr>
        <w:t>《承德市潮河流域生态环境保护规划（2018-2025）》</w:t>
      </w:r>
      <w:r>
        <w:t>中相关要求。</w:t>
      </w:r>
    </w:p>
    <w:p w14:paraId="172571F6">
      <w:pPr>
        <w:pStyle w:val="3"/>
        <w:rPr>
          <w:kern w:val="0"/>
        </w:rPr>
      </w:pPr>
      <w:bookmarkStart w:id="63" w:name="_Toc198733153"/>
      <w:r>
        <w:rPr>
          <w:rFonts w:hint="eastAsia"/>
          <w:kern w:val="0"/>
        </w:rPr>
        <w:t>“三线一单”符合性分析</w:t>
      </w:r>
      <w:bookmarkEnd w:id="63"/>
    </w:p>
    <w:p w14:paraId="1E55C696">
      <w:pPr>
        <w:pStyle w:val="4"/>
        <w:rPr>
          <w:kern w:val="0"/>
        </w:rPr>
      </w:pPr>
      <w:r>
        <w:rPr>
          <w:rFonts w:hint="eastAsia"/>
          <w:kern w:val="0"/>
        </w:rPr>
        <w:t>“三线一单”文件符合性分析</w:t>
      </w:r>
    </w:p>
    <w:p w14:paraId="0864CECF">
      <w:pPr>
        <w:pStyle w:val="5"/>
      </w:pPr>
      <w:r>
        <w:rPr>
          <w:rFonts w:hint="eastAsia"/>
        </w:rPr>
        <w:t>河北省“三线一单”文件符合性分析</w:t>
      </w:r>
    </w:p>
    <w:p w14:paraId="2F37D621">
      <w:pPr>
        <w:pStyle w:val="85"/>
        <w:ind w:firstLine="480"/>
      </w:pPr>
      <w:r>
        <w:rPr>
          <w:rFonts w:hint="eastAsia"/>
        </w:rPr>
        <w:t>拟建项目与《河北省人民政府关于加快实施“三线一单”生态环境分区管控的意见》(冀政字[2020]71 号)符合性分析见下表。</w:t>
      </w:r>
    </w:p>
    <w:p w14:paraId="11D2F5FA">
      <w:pPr>
        <w:pStyle w:val="85"/>
        <w:ind w:firstLine="480"/>
        <w:jc w:val="center"/>
        <w:rPr>
          <w:rFonts w:eastAsia="黑体"/>
          <w:bCs/>
          <w:kern w:val="0"/>
          <w:szCs w:val="32"/>
        </w:rPr>
      </w:pPr>
      <w:r>
        <w:rPr>
          <w:rFonts w:hint="eastAsia" w:eastAsia="黑体"/>
          <w:bCs/>
          <w:kern w:val="0"/>
          <w:szCs w:val="32"/>
        </w:rPr>
        <w:t>表</w:t>
      </w:r>
      <w:r>
        <w:rPr>
          <w:rFonts w:eastAsia="黑体"/>
          <w:bCs/>
          <w:kern w:val="0"/>
          <w:szCs w:val="32"/>
        </w:rPr>
        <w:fldChar w:fldCharType="begin"/>
      </w:r>
      <w:r>
        <w:rPr>
          <w:rFonts w:eastAsia="黑体"/>
          <w:bCs/>
          <w:kern w:val="0"/>
          <w:szCs w:val="32"/>
        </w:rPr>
        <w:instrText xml:space="preserve"> </w:instrText>
      </w:r>
      <w:r>
        <w:rPr>
          <w:rFonts w:hint="eastAsia" w:eastAsia="黑体"/>
          <w:bCs/>
          <w:kern w:val="0"/>
          <w:szCs w:val="32"/>
        </w:rPr>
        <w:instrText xml:space="preserve">STYLEREF 1 \s</w:instrText>
      </w:r>
      <w:r>
        <w:rPr>
          <w:rFonts w:eastAsia="黑体"/>
          <w:bCs/>
          <w:kern w:val="0"/>
          <w:szCs w:val="32"/>
        </w:rPr>
        <w:instrText xml:space="preserve"> </w:instrText>
      </w:r>
      <w:r>
        <w:rPr>
          <w:rFonts w:eastAsia="黑体"/>
          <w:bCs/>
          <w:kern w:val="0"/>
          <w:szCs w:val="32"/>
        </w:rPr>
        <w:fldChar w:fldCharType="separate"/>
      </w:r>
      <w:r>
        <w:rPr>
          <w:rFonts w:eastAsia="黑体"/>
          <w:bCs/>
          <w:kern w:val="0"/>
          <w:szCs w:val="32"/>
        </w:rPr>
        <w:t>1</w:t>
      </w:r>
      <w:r>
        <w:rPr>
          <w:rFonts w:eastAsia="黑体"/>
          <w:bCs/>
          <w:kern w:val="0"/>
          <w:szCs w:val="32"/>
        </w:rPr>
        <w:fldChar w:fldCharType="end"/>
      </w:r>
      <w:r>
        <w:rPr>
          <w:rFonts w:eastAsia="黑体"/>
          <w:bCs/>
          <w:kern w:val="0"/>
          <w:szCs w:val="32"/>
        </w:rPr>
        <w:noBreakHyphen/>
      </w:r>
      <w:r>
        <w:rPr>
          <w:rFonts w:eastAsia="黑体"/>
          <w:bCs/>
          <w:kern w:val="0"/>
          <w:szCs w:val="32"/>
        </w:rPr>
        <w:fldChar w:fldCharType="begin"/>
      </w:r>
      <w:r>
        <w:rPr>
          <w:rFonts w:eastAsia="黑体"/>
          <w:bCs/>
          <w:kern w:val="0"/>
          <w:szCs w:val="32"/>
        </w:rPr>
        <w:instrText xml:space="preserve"> </w:instrText>
      </w:r>
      <w:r>
        <w:rPr>
          <w:rFonts w:hint="eastAsia" w:eastAsia="黑体"/>
          <w:bCs/>
          <w:kern w:val="0"/>
          <w:szCs w:val="32"/>
        </w:rPr>
        <w:instrText xml:space="preserve">SEQ 表 \* ARABIC \s 1</w:instrText>
      </w:r>
      <w:r>
        <w:rPr>
          <w:rFonts w:eastAsia="黑体"/>
          <w:bCs/>
          <w:kern w:val="0"/>
          <w:szCs w:val="32"/>
        </w:rPr>
        <w:instrText xml:space="preserve"> </w:instrText>
      </w:r>
      <w:r>
        <w:rPr>
          <w:rFonts w:eastAsia="黑体"/>
          <w:bCs/>
          <w:kern w:val="0"/>
          <w:szCs w:val="32"/>
        </w:rPr>
        <w:fldChar w:fldCharType="separate"/>
      </w:r>
      <w:r>
        <w:rPr>
          <w:rFonts w:eastAsia="黑体"/>
          <w:bCs/>
          <w:kern w:val="0"/>
          <w:szCs w:val="32"/>
        </w:rPr>
        <w:t>19</w:t>
      </w:r>
      <w:r>
        <w:rPr>
          <w:rFonts w:eastAsia="黑体"/>
          <w:bCs/>
          <w:kern w:val="0"/>
          <w:szCs w:val="32"/>
        </w:rPr>
        <w:fldChar w:fldCharType="end"/>
      </w:r>
      <w:r>
        <w:rPr>
          <w:rFonts w:eastAsia="黑体"/>
          <w:bCs/>
          <w:kern w:val="0"/>
          <w:szCs w:val="32"/>
        </w:rPr>
        <w:t xml:space="preserve">  </w:t>
      </w:r>
      <w:r>
        <w:rPr>
          <w:rFonts w:hint="eastAsia" w:eastAsia="黑体"/>
          <w:bCs/>
          <w:kern w:val="0"/>
          <w:szCs w:val="32"/>
        </w:rPr>
        <w:t>“河北省‘三线一单’文件”符合性分析</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3252"/>
        <w:gridCol w:w="3976"/>
        <w:gridCol w:w="460"/>
      </w:tblGrid>
      <w:tr w14:paraId="35B71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396869E">
            <w:pPr>
              <w:pStyle w:val="85"/>
              <w:spacing w:line="240" w:lineRule="auto"/>
              <w:ind w:firstLine="0" w:firstLineChars="0"/>
              <w:rPr>
                <w:rFonts w:ascii="宋体" w:hAnsi="宋体"/>
                <w:sz w:val="21"/>
                <w:szCs w:val="21"/>
              </w:rPr>
            </w:pPr>
            <w:r>
              <w:rPr>
                <w:rFonts w:hint="eastAsia" w:ascii="宋体" w:hAnsi="宋体"/>
                <w:sz w:val="21"/>
                <w:szCs w:val="21"/>
              </w:rPr>
              <w:t>管控</w:t>
            </w:r>
          </w:p>
        </w:tc>
        <w:tc>
          <w:tcPr>
            <w:tcW w:w="0" w:type="auto"/>
            <w:vAlign w:val="center"/>
          </w:tcPr>
          <w:p w14:paraId="10B721E9">
            <w:pPr>
              <w:pStyle w:val="85"/>
              <w:spacing w:line="240" w:lineRule="auto"/>
              <w:ind w:firstLine="0" w:firstLineChars="0"/>
              <w:rPr>
                <w:rFonts w:ascii="宋体" w:hAnsi="宋体"/>
                <w:sz w:val="21"/>
                <w:szCs w:val="21"/>
              </w:rPr>
            </w:pPr>
            <w:r>
              <w:rPr>
                <w:rFonts w:hint="eastAsia" w:ascii="宋体" w:hAnsi="宋体"/>
                <w:sz w:val="21"/>
                <w:szCs w:val="21"/>
              </w:rPr>
              <w:t>管控要求</w:t>
            </w:r>
          </w:p>
        </w:tc>
        <w:tc>
          <w:tcPr>
            <w:tcW w:w="0" w:type="auto"/>
            <w:vAlign w:val="center"/>
          </w:tcPr>
          <w:p w14:paraId="5C9C9832">
            <w:pPr>
              <w:pStyle w:val="85"/>
              <w:spacing w:line="240" w:lineRule="auto"/>
              <w:ind w:firstLine="0" w:firstLineChars="0"/>
              <w:rPr>
                <w:rFonts w:ascii="宋体" w:hAnsi="宋体"/>
                <w:sz w:val="21"/>
                <w:szCs w:val="21"/>
              </w:rPr>
            </w:pPr>
            <w:r>
              <w:rPr>
                <w:rFonts w:hint="eastAsia" w:ascii="宋体" w:hAnsi="宋体"/>
                <w:sz w:val="21"/>
                <w:szCs w:val="21"/>
              </w:rPr>
              <w:t>本项目</w:t>
            </w:r>
          </w:p>
        </w:tc>
        <w:tc>
          <w:tcPr>
            <w:tcW w:w="0" w:type="auto"/>
            <w:vAlign w:val="center"/>
          </w:tcPr>
          <w:p w14:paraId="7E87AAF9">
            <w:pPr>
              <w:pStyle w:val="85"/>
              <w:spacing w:line="240" w:lineRule="auto"/>
              <w:ind w:firstLine="0" w:firstLineChars="0"/>
              <w:rPr>
                <w:rFonts w:ascii="宋体" w:hAnsi="宋体"/>
                <w:sz w:val="21"/>
                <w:szCs w:val="21"/>
              </w:rPr>
            </w:pPr>
            <w:r>
              <w:rPr>
                <w:rFonts w:hint="eastAsia" w:ascii="宋体" w:hAnsi="宋体"/>
                <w:sz w:val="21"/>
                <w:szCs w:val="21"/>
              </w:rPr>
              <w:t>结论</w:t>
            </w:r>
          </w:p>
        </w:tc>
      </w:tr>
      <w:tr w14:paraId="6B05C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4C594372">
            <w:pPr>
              <w:pStyle w:val="85"/>
              <w:spacing w:line="240" w:lineRule="auto"/>
              <w:ind w:firstLine="0" w:firstLineChars="0"/>
              <w:rPr>
                <w:rFonts w:ascii="宋体" w:hAnsi="宋体"/>
                <w:sz w:val="21"/>
                <w:szCs w:val="21"/>
              </w:rPr>
            </w:pPr>
            <w:r>
              <w:rPr>
                <w:rFonts w:hint="eastAsia" w:ascii="宋体" w:hAnsi="宋体"/>
                <w:sz w:val="21"/>
                <w:szCs w:val="21"/>
              </w:rPr>
              <w:t>一、总体要求</w:t>
            </w:r>
          </w:p>
        </w:tc>
        <w:tc>
          <w:tcPr>
            <w:tcW w:w="0" w:type="auto"/>
            <w:vAlign w:val="center"/>
          </w:tcPr>
          <w:p w14:paraId="177D5C5C">
            <w:pPr>
              <w:pStyle w:val="85"/>
              <w:spacing w:line="240" w:lineRule="auto"/>
              <w:ind w:firstLine="0" w:firstLineChars="0"/>
              <w:rPr>
                <w:rFonts w:ascii="宋体" w:hAnsi="宋体"/>
                <w:sz w:val="21"/>
                <w:szCs w:val="21"/>
              </w:rPr>
            </w:pPr>
            <w:r>
              <w:rPr>
                <w:rFonts w:hint="eastAsia" w:ascii="宋体" w:hAnsi="宋体"/>
                <w:sz w:val="21"/>
                <w:szCs w:val="21"/>
              </w:rPr>
              <w:t>生态保护红线。重要生态功能区域生态功能不降低、面积不减少、性质不改变</w:t>
            </w:r>
          </w:p>
        </w:tc>
        <w:tc>
          <w:tcPr>
            <w:tcW w:w="0" w:type="auto"/>
            <w:vAlign w:val="center"/>
          </w:tcPr>
          <w:p w14:paraId="3F4CF722">
            <w:pPr>
              <w:pStyle w:val="85"/>
              <w:spacing w:line="240" w:lineRule="auto"/>
              <w:ind w:firstLine="0" w:firstLineChars="0"/>
              <w:rPr>
                <w:rFonts w:ascii="宋体" w:hAnsi="宋体"/>
                <w:sz w:val="21"/>
                <w:szCs w:val="21"/>
              </w:rPr>
            </w:pPr>
            <w:r>
              <w:rPr>
                <w:rFonts w:hint="eastAsia" w:ascii="宋体" w:hAnsi="宋体"/>
                <w:sz w:val="21"/>
                <w:szCs w:val="21"/>
              </w:rPr>
              <w:t>本项目有28.72hm</w:t>
            </w:r>
            <w:r>
              <w:rPr>
                <w:rFonts w:hint="eastAsia" w:ascii="宋体" w:hAnsi="宋体"/>
                <w:sz w:val="21"/>
                <w:szCs w:val="21"/>
                <w:vertAlign w:val="superscript"/>
              </w:rPr>
              <w:t>2</w:t>
            </w:r>
            <w:r>
              <w:rPr>
                <w:rFonts w:hint="eastAsia" w:ascii="宋体" w:hAnsi="宋体"/>
                <w:sz w:val="21"/>
                <w:szCs w:val="21"/>
              </w:rPr>
              <w:t>的区域位于生态保护红线范围内。本项目通过开展河道基底修复及微地形梳理、构建恢复生态缓冲带、水生态构建及水生植物恢复等，对滦河干流实施生态保护修复。本项目的建设，有利于改善河水环境质量，恢复河流生态廊道功能，降低入潮河污染物。</w:t>
            </w:r>
          </w:p>
        </w:tc>
        <w:tc>
          <w:tcPr>
            <w:tcW w:w="0" w:type="auto"/>
            <w:vAlign w:val="center"/>
          </w:tcPr>
          <w:p w14:paraId="06B1B8A9">
            <w:pPr>
              <w:pStyle w:val="85"/>
              <w:spacing w:line="240" w:lineRule="auto"/>
              <w:ind w:firstLine="0" w:firstLineChars="0"/>
              <w:rPr>
                <w:rFonts w:ascii="宋体" w:hAnsi="宋体"/>
                <w:sz w:val="21"/>
                <w:szCs w:val="21"/>
              </w:rPr>
            </w:pPr>
            <w:r>
              <w:rPr>
                <w:rFonts w:hint="eastAsia" w:ascii="宋体" w:hAnsi="宋体"/>
                <w:sz w:val="21"/>
                <w:szCs w:val="21"/>
              </w:rPr>
              <w:t>符合</w:t>
            </w:r>
          </w:p>
        </w:tc>
      </w:tr>
      <w:tr w14:paraId="4C593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58D6FE9E">
            <w:pPr>
              <w:pStyle w:val="85"/>
              <w:spacing w:line="240" w:lineRule="auto"/>
              <w:ind w:firstLine="0" w:firstLineChars="0"/>
              <w:rPr>
                <w:rFonts w:ascii="宋体" w:hAnsi="宋体"/>
                <w:sz w:val="21"/>
                <w:szCs w:val="21"/>
              </w:rPr>
            </w:pPr>
          </w:p>
        </w:tc>
        <w:tc>
          <w:tcPr>
            <w:tcW w:w="0" w:type="auto"/>
            <w:vAlign w:val="center"/>
          </w:tcPr>
          <w:p w14:paraId="4AF2D4BB">
            <w:pPr>
              <w:pStyle w:val="85"/>
              <w:spacing w:line="240" w:lineRule="auto"/>
              <w:ind w:firstLine="0" w:firstLineChars="0"/>
              <w:rPr>
                <w:rFonts w:ascii="宋体" w:hAnsi="宋体"/>
                <w:sz w:val="21"/>
                <w:szCs w:val="21"/>
              </w:rPr>
            </w:pPr>
            <w:r>
              <w:rPr>
                <w:rFonts w:hint="eastAsia" w:ascii="宋体" w:hAnsi="宋体"/>
                <w:sz w:val="21"/>
                <w:szCs w:val="21"/>
              </w:rPr>
              <w:t>环境质量底线。到2025年，地表水国考断面优良(Ⅲ类以上)比例、近岸海域优良海水比例逐步提升；PM2.5年均浓度持续降低、优良天数比例稳步提升；土壤受污染耕地安全利用率、污染地块安全利用率进一步提升。</w:t>
            </w:r>
          </w:p>
        </w:tc>
        <w:tc>
          <w:tcPr>
            <w:tcW w:w="0" w:type="auto"/>
            <w:vAlign w:val="center"/>
          </w:tcPr>
          <w:p w14:paraId="60D7E1E6">
            <w:pPr>
              <w:pStyle w:val="85"/>
              <w:spacing w:line="240" w:lineRule="auto"/>
              <w:ind w:firstLine="0" w:firstLineChars="0"/>
              <w:rPr>
                <w:rFonts w:ascii="宋体" w:hAnsi="宋体"/>
                <w:sz w:val="21"/>
                <w:szCs w:val="21"/>
              </w:rPr>
            </w:pPr>
            <w:r>
              <w:rPr>
                <w:rFonts w:hint="eastAsia" w:ascii="宋体" w:hAnsi="宋体"/>
                <w:sz w:val="21"/>
                <w:szCs w:val="21"/>
              </w:rPr>
              <w:t>拟建项目实施后不涉及废水、废气及固体废物排放。</w:t>
            </w:r>
          </w:p>
        </w:tc>
        <w:tc>
          <w:tcPr>
            <w:tcW w:w="0" w:type="auto"/>
            <w:vAlign w:val="center"/>
          </w:tcPr>
          <w:p w14:paraId="550217D5">
            <w:pPr>
              <w:pStyle w:val="85"/>
              <w:spacing w:line="240" w:lineRule="auto"/>
              <w:ind w:firstLine="0" w:firstLineChars="0"/>
              <w:rPr>
                <w:rFonts w:ascii="宋体" w:hAnsi="宋体"/>
                <w:sz w:val="21"/>
                <w:szCs w:val="21"/>
              </w:rPr>
            </w:pPr>
            <w:r>
              <w:rPr>
                <w:rFonts w:hint="eastAsia" w:ascii="宋体" w:hAnsi="宋体"/>
                <w:sz w:val="21"/>
                <w:szCs w:val="21"/>
              </w:rPr>
              <w:t>不涉及</w:t>
            </w:r>
          </w:p>
        </w:tc>
      </w:tr>
      <w:tr w14:paraId="2F681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16158967">
            <w:pPr>
              <w:pStyle w:val="85"/>
              <w:spacing w:line="240" w:lineRule="auto"/>
              <w:ind w:firstLine="0" w:firstLineChars="0"/>
              <w:rPr>
                <w:rFonts w:ascii="宋体" w:hAnsi="宋体"/>
                <w:sz w:val="21"/>
                <w:szCs w:val="21"/>
              </w:rPr>
            </w:pPr>
          </w:p>
        </w:tc>
        <w:tc>
          <w:tcPr>
            <w:tcW w:w="0" w:type="auto"/>
            <w:vAlign w:val="center"/>
          </w:tcPr>
          <w:p w14:paraId="5344E51F">
            <w:pPr>
              <w:pStyle w:val="85"/>
              <w:spacing w:line="240" w:lineRule="auto"/>
              <w:ind w:firstLine="0" w:firstLineChars="0"/>
              <w:rPr>
                <w:rFonts w:ascii="宋体" w:hAnsi="宋体"/>
                <w:sz w:val="21"/>
                <w:szCs w:val="21"/>
              </w:rPr>
            </w:pPr>
            <w:r>
              <w:rPr>
                <w:rFonts w:hint="eastAsia" w:ascii="宋体" w:hAnsi="宋体"/>
                <w:sz w:val="21"/>
                <w:szCs w:val="21"/>
              </w:rPr>
              <w:t>资源利用上线。以保障生态安全、改善环境质量为核心，合理确定全省资源利用上线目标，实现水资源与水环境、能源与大气环境、岸线与海洋环境的协同管控。</w:t>
            </w:r>
          </w:p>
        </w:tc>
        <w:tc>
          <w:tcPr>
            <w:tcW w:w="0" w:type="auto"/>
            <w:vAlign w:val="center"/>
          </w:tcPr>
          <w:p w14:paraId="1516B2A7">
            <w:pPr>
              <w:pStyle w:val="85"/>
              <w:spacing w:line="240" w:lineRule="auto"/>
              <w:ind w:firstLine="0" w:firstLineChars="0"/>
              <w:rPr>
                <w:rFonts w:ascii="宋体" w:hAnsi="宋体"/>
                <w:sz w:val="21"/>
                <w:szCs w:val="21"/>
              </w:rPr>
            </w:pPr>
            <w:r>
              <w:rPr>
                <w:rFonts w:hint="eastAsia" w:ascii="宋体" w:hAnsi="宋体"/>
                <w:sz w:val="21"/>
                <w:szCs w:val="21"/>
              </w:rPr>
              <w:t>拟建项目实施后不涉及水资源消耗。</w:t>
            </w:r>
          </w:p>
        </w:tc>
        <w:tc>
          <w:tcPr>
            <w:tcW w:w="0" w:type="auto"/>
            <w:vAlign w:val="center"/>
          </w:tcPr>
          <w:p w14:paraId="22D062B9">
            <w:pPr>
              <w:pStyle w:val="85"/>
              <w:spacing w:line="240" w:lineRule="auto"/>
              <w:ind w:firstLine="0" w:firstLineChars="0"/>
              <w:rPr>
                <w:rFonts w:ascii="宋体" w:hAnsi="宋体"/>
                <w:sz w:val="21"/>
                <w:szCs w:val="21"/>
              </w:rPr>
            </w:pPr>
            <w:r>
              <w:rPr>
                <w:rFonts w:hint="eastAsia" w:ascii="宋体" w:hAnsi="宋体"/>
                <w:sz w:val="21"/>
                <w:szCs w:val="21"/>
              </w:rPr>
              <w:t>不涉及</w:t>
            </w:r>
          </w:p>
        </w:tc>
      </w:tr>
      <w:tr w14:paraId="44399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46C3A300">
            <w:pPr>
              <w:pStyle w:val="85"/>
              <w:spacing w:line="240" w:lineRule="auto"/>
              <w:ind w:firstLine="0" w:firstLineChars="0"/>
              <w:rPr>
                <w:rFonts w:ascii="宋体" w:hAnsi="宋体"/>
                <w:sz w:val="21"/>
                <w:szCs w:val="21"/>
              </w:rPr>
            </w:pPr>
            <w:r>
              <w:rPr>
                <w:rFonts w:hint="eastAsia" w:ascii="宋体" w:hAnsi="宋体"/>
                <w:sz w:val="21"/>
                <w:szCs w:val="21"/>
              </w:rPr>
              <w:t>二、构建生态环境分区管控体系</w:t>
            </w:r>
          </w:p>
        </w:tc>
        <w:tc>
          <w:tcPr>
            <w:tcW w:w="0" w:type="auto"/>
            <w:vAlign w:val="center"/>
          </w:tcPr>
          <w:p w14:paraId="5A512478">
            <w:pPr>
              <w:pStyle w:val="85"/>
              <w:spacing w:line="240" w:lineRule="auto"/>
              <w:ind w:firstLine="0" w:firstLineChars="0"/>
              <w:rPr>
                <w:rFonts w:ascii="宋体" w:hAnsi="宋体"/>
                <w:sz w:val="21"/>
                <w:szCs w:val="21"/>
              </w:rPr>
            </w:pPr>
            <w:r>
              <w:rPr>
                <w:rFonts w:hint="eastAsia" w:ascii="宋体" w:hAnsi="宋体"/>
                <w:sz w:val="21"/>
                <w:szCs w:val="21"/>
              </w:rPr>
              <w:t>1.优先保护单元。严格落实生态保护红线管理 要求，除有限人为活动外，依法依规禁止其他城镇和建设活动。一般生态空间突出生态保 护，严禁不符合主体功能定位的各类开发活动，严禁任意改变用途。重大引水工程、白洋淀入淀河流两侧范围严格执行引调水工程等相关法律规定。</w:t>
            </w:r>
          </w:p>
        </w:tc>
        <w:tc>
          <w:tcPr>
            <w:tcW w:w="0" w:type="auto"/>
            <w:vAlign w:val="center"/>
          </w:tcPr>
          <w:p w14:paraId="75F0F7E4">
            <w:pPr>
              <w:pStyle w:val="85"/>
              <w:spacing w:line="240" w:lineRule="auto"/>
              <w:ind w:firstLine="0" w:firstLineChars="0"/>
              <w:rPr>
                <w:rFonts w:ascii="宋体" w:hAnsi="宋体"/>
                <w:sz w:val="21"/>
                <w:szCs w:val="21"/>
              </w:rPr>
            </w:pPr>
            <w:r>
              <w:rPr>
                <w:rFonts w:hint="eastAsia" w:ascii="宋体" w:hAnsi="宋体"/>
                <w:sz w:val="21"/>
                <w:szCs w:val="21"/>
              </w:rPr>
              <w:t>根据《划定并严守生态保护红线 的若干意见》，拟建项目为河湖整治项目，不属于开发性、生产性建设活动，项目涉及生态保护红线（28.72hm</w:t>
            </w:r>
            <w:r>
              <w:rPr>
                <w:rFonts w:ascii="宋体" w:hAnsi="宋体"/>
                <w:sz w:val="21"/>
                <w:szCs w:val="21"/>
                <w:vertAlign w:val="superscript"/>
              </w:rPr>
              <w:t>2</w:t>
            </w:r>
            <w:r>
              <w:rPr>
                <w:rFonts w:hint="eastAsia" w:ascii="宋体" w:hAnsi="宋体"/>
                <w:sz w:val="21"/>
                <w:szCs w:val="21"/>
              </w:rPr>
              <w:t>）。项目实施后不会降低重要生态功能区域生态功能、不会减少重要生态功能区域面积、不会改变重要生态功能区域性质，同时拟建项目实施后还能一定程度改善水质，提升生态功能区生态系统质量。</w:t>
            </w:r>
          </w:p>
        </w:tc>
        <w:tc>
          <w:tcPr>
            <w:tcW w:w="0" w:type="auto"/>
            <w:vAlign w:val="center"/>
          </w:tcPr>
          <w:p w14:paraId="3862E009">
            <w:pPr>
              <w:pStyle w:val="85"/>
              <w:spacing w:line="240" w:lineRule="auto"/>
              <w:ind w:firstLine="0" w:firstLineChars="0"/>
              <w:rPr>
                <w:rFonts w:ascii="宋体" w:hAnsi="宋体"/>
                <w:sz w:val="21"/>
                <w:szCs w:val="21"/>
              </w:rPr>
            </w:pPr>
            <w:r>
              <w:rPr>
                <w:rFonts w:hint="eastAsia" w:ascii="宋体" w:hAnsi="宋体"/>
                <w:sz w:val="21"/>
                <w:szCs w:val="21"/>
              </w:rPr>
              <w:t>符合</w:t>
            </w:r>
          </w:p>
        </w:tc>
      </w:tr>
      <w:tr w14:paraId="7BD9C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52BDD59E">
            <w:pPr>
              <w:pStyle w:val="85"/>
              <w:spacing w:line="240" w:lineRule="auto"/>
              <w:ind w:firstLine="0" w:firstLineChars="0"/>
              <w:rPr>
                <w:rFonts w:ascii="宋体" w:hAnsi="宋体"/>
                <w:sz w:val="21"/>
                <w:szCs w:val="21"/>
              </w:rPr>
            </w:pPr>
          </w:p>
        </w:tc>
        <w:tc>
          <w:tcPr>
            <w:tcW w:w="0" w:type="auto"/>
            <w:vAlign w:val="center"/>
          </w:tcPr>
          <w:p w14:paraId="57B8F220">
            <w:pPr>
              <w:pStyle w:val="85"/>
              <w:spacing w:line="240" w:lineRule="auto"/>
              <w:ind w:firstLine="0" w:firstLineChars="0"/>
              <w:rPr>
                <w:rFonts w:ascii="宋体" w:hAnsi="宋体"/>
                <w:sz w:val="21"/>
                <w:szCs w:val="21"/>
              </w:rPr>
            </w:pPr>
            <w:r>
              <w:rPr>
                <w:rFonts w:hint="eastAsia" w:ascii="宋体" w:hAnsi="宋体"/>
                <w:sz w:val="21"/>
                <w:szCs w:val="21"/>
              </w:rPr>
              <w:t>2.重点管控单元。城镇重点管控单元。优化工业布局，有序实施高污染、高排放工业企业整 改或搬迁退出；强化交通污染源管控；完善污 水治理设施；加快城镇河流水系环境整治；加 强工业污染场地环境风险防控和开发再利用监管。农业农村重点管控单元。优化规模化畜禽养殖 布局，加快农村生态环境综合整治，逐步推进 农村污水和生活垃圾治理；减少化肥农药施用 量，优化农业种植结构，推动秸秆综合利用； 控制地下水超采区农业地下水开采。</w:t>
            </w:r>
          </w:p>
        </w:tc>
        <w:tc>
          <w:tcPr>
            <w:tcW w:w="0" w:type="auto"/>
            <w:vAlign w:val="center"/>
          </w:tcPr>
          <w:p w14:paraId="6D2DACC2">
            <w:pPr>
              <w:pStyle w:val="85"/>
              <w:spacing w:line="240" w:lineRule="auto"/>
              <w:ind w:firstLine="0" w:firstLineChars="0"/>
              <w:rPr>
                <w:rFonts w:ascii="宋体" w:hAnsi="宋体"/>
                <w:sz w:val="21"/>
                <w:szCs w:val="21"/>
              </w:rPr>
            </w:pPr>
            <w:r>
              <w:rPr>
                <w:rFonts w:hint="eastAsia" w:ascii="宋体" w:hAnsi="宋体"/>
                <w:sz w:val="21"/>
                <w:szCs w:val="21"/>
              </w:rPr>
              <w:t>拟建项目为河湖整治项目，不属于城镇河流段。</w:t>
            </w:r>
          </w:p>
        </w:tc>
        <w:tc>
          <w:tcPr>
            <w:tcW w:w="0" w:type="auto"/>
            <w:vAlign w:val="center"/>
          </w:tcPr>
          <w:p w14:paraId="0C498757">
            <w:pPr>
              <w:pStyle w:val="85"/>
              <w:spacing w:line="240" w:lineRule="auto"/>
              <w:ind w:firstLine="0" w:firstLineChars="0"/>
              <w:rPr>
                <w:rFonts w:ascii="宋体" w:hAnsi="宋体"/>
                <w:sz w:val="21"/>
                <w:szCs w:val="21"/>
              </w:rPr>
            </w:pPr>
            <w:r>
              <w:rPr>
                <w:rFonts w:hint="eastAsia" w:ascii="宋体" w:hAnsi="宋体"/>
                <w:sz w:val="21"/>
                <w:szCs w:val="21"/>
              </w:rPr>
              <w:t>不涉及</w:t>
            </w:r>
          </w:p>
        </w:tc>
      </w:tr>
      <w:tr w14:paraId="2ABA9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7148D9C5">
            <w:pPr>
              <w:pStyle w:val="85"/>
              <w:spacing w:line="240" w:lineRule="auto"/>
              <w:ind w:firstLine="0" w:firstLineChars="0"/>
              <w:rPr>
                <w:rFonts w:ascii="宋体" w:hAnsi="宋体"/>
                <w:sz w:val="21"/>
                <w:szCs w:val="21"/>
              </w:rPr>
            </w:pPr>
          </w:p>
        </w:tc>
        <w:tc>
          <w:tcPr>
            <w:tcW w:w="0" w:type="auto"/>
            <w:vAlign w:val="center"/>
          </w:tcPr>
          <w:p w14:paraId="12D7536E">
            <w:pPr>
              <w:pStyle w:val="85"/>
              <w:spacing w:line="240" w:lineRule="auto"/>
              <w:ind w:firstLine="0" w:firstLineChars="0"/>
              <w:rPr>
                <w:rFonts w:ascii="宋体" w:hAnsi="宋体"/>
                <w:sz w:val="21"/>
                <w:szCs w:val="21"/>
              </w:rPr>
            </w:pPr>
            <w:r>
              <w:rPr>
                <w:rFonts w:hint="eastAsia" w:ascii="宋体" w:hAnsi="宋体"/>
                <w:sz w:val="21"/>
                <w:szCs w:val="21"/>
              </w:rPr>
              <w:t>3.一般管控单元。严格执行国家和省关于产业准入、总量控制和污染物排放标准等管控要 求。</w:t>
            </w:r>
          </w:p>
        </w:tc>
        <w:tc>
          <w:tcPr>
            <w:tcW w:w="0" w:type="auto"/>
            <w:vAlign w:val="center"/>
          </w:tcPr>
          <w:p w14:paraId="69A855FC">
            <w:pPr>
              <w:pStyle w:val="85"/>
              <w:spacing w:line="240" w:lineRule="auto"/>
              <w:ind w:firstLine="0" w:firstLineChars="0"/>
              <w:rPr>
                <w:rFonts w:ascii="宋体" w:hAnsi="宋体"/>
                <w:sz w:val="21"/>
                <w:szCs w:val="21"/>
              </w:rPr>
            </w:pPr>
            <w:r>
              <w:rPr>
                <w:rFonts w:hint="eastAsia" w:ascii="宋体" w:hAnsi="宋体"/>
                <w:sz w:val="21"/>
                <w:szCs w:val="21"/>
              </w:rPr>
              <w:t>拟建项目不涉及污染物排放。</w:t>
            </w:r>
          </w:p>
        </w:tc>
        <w:tc>
          <w:tcPr>
            <w:tcW w:w="0" w:type="auto"/>
            <w:vAlign w:val="center"/>
          </w:tcPr>
          <w:p w14:paraId="79F79922">
            <w:pPr>
              <w:pStyle w:val="85"/>
              <w:spacing w:line="240" w:lineRule="auto"/>
              <w:ind w:firstLine="0" w:firstLineChars="0"/>
              <w:rPr>
                <w:rFonts w:ascii="宋体" w:hAnsi="宋体"/>
                <w:sz w:val="21"/>
                <w:szCs w:val="21"/>
              </w:rPr>
            </w:pPr>
            <w:r>
              <w:rPr>
                <w:rFonts w:hint="eastAsia" w:ascii="宋体" w:hAnsi="宋体"/>
                <w:sz w:val="21"/>
                <w:szCs w:val="21"/>
              </w:rPr>
              <w:t>不涉及</w:t>
            </w:r>
          </w:p>
        </w:tc>
      </w:tr>
    </w:tbl>
    <w:p w14:paraId="4822822E">
      <w:pPr>
        <w:pStyle w:val="85"/>
        <w:ind w:firstLine="480"/>
      </w:pPr>
      <w:r>
        <w:rPr>
          <w:rFonts w:hint="eastAsia"/>
        </w:rPr>
        <w:t>综上拟建项目的实施符合《河北省人民政府关于加快实施“三线一单”生态环境分区管控的意见》的有关要求。</w:t>
      </w:r>
    </w:p>
    <w:p w14:paraId="789FE165">
      <w:pPr>
        <w:pStyle w:val="5"/>
      </w:pPr>
      <w:r>
        <w:rPr>
          <w:rFonts w:hint="eastAsia"/>
        </w:rPr>
        <w:t>承德市“三线一单”文件符合性分析</w:t>
      </w:r>
    </w:p>
    <w:p w14:paraId="3D40BB26">
      <w:pPr>
        <w:pStyle w:val="85"/>
        <w:ind w:firstLine="480"/>
      </w:pPr>
      <w:r>
        <w:rPr>
          <w:rFonts w:hint="eastAsia"/>
        </w:rPr>
        <w:t>拟建项目与《承德市人民政府关于实施“三线一单”生态环境分区管控的意见》（承市政字[2021]17 号）符合性分析见下表。</w:t>
      </w:r>
    </w:p>
    <w:p w14:paraId="172C8BB6">
      <w:pPr>
        <w:pStyle w:val="85"/>
        <w:ind w:firstLine="480"/>
        <w:jc w:val="center"/>
      </w:pPr>
      <w:r>
        <w:rPr>
          <w:rFonts w:hint="eastAsia" w:eastAsia="黑体"/>
          <w:bCs/>
          <w:kern w:val="0"/>
          <w:szCs w:val="32"/>
        </w:rPr>
        <w:t>表</w:t>
      </w:r>
      <w:r>
        <w:rPr>
          <w:rFonts w:eastAsia="黑体"/>
          <w:bCs/>
          <w:kern w:val="0"/>
          <w:szCs w:val="32"/>
        </w:rPr>
        <w:fldChar w:fldCharType="begin"/>
      </w:r>
      <w:r>
        <w:rPr>
          <w:rFonts w:eastAsia="黑体"/>
          <w:bCs/>
          <w:kern w:val="0"/>
          <w:szCs w:val="32"/>
        </w:rPr>
        <w:instrText xml:space="preserve"> </w:instrText>
      </w:r>
      <w:r>
        <w:rPr>
          <w:rFonts w:hint="eastAsia" w:eastAsia="黑体"/>
          <w:bCs/>
          <w:kern w:val="0"/>
          <w:szCs w:val="32"/>
        </w:rPr>
        <w:instrText xml:space="preserve">STYLEREF 1 \s</w:instrText>
      </w:r>
      <w:r>
        <w:rPr>
          <w:rFonts w:eastAsia="黑体"/>
          <w:bCs/>
          <w:kern w:val="0"/>
          <w:szCs w:val="32"/>
        </w:rPr>
        <w:instrText xml:space="preserve"> </w:instrText>
      </w:r>
      <w:r>
        <w:rPr>
          <w:rFonts w:eastAsia="黑体"/>
          <w:bCs/>
          <w:kern w:val="0"/>
          <w:szCs w:val="32"/>
        </w:rPr>
        <w:fldChar w:fldCharType="separate"/>
      </w:r>
      <w:r>
        <w:rPr>
          <w:rFonts w:eastAsia="黑体"/>
          <w:bCs/>
          <w:kern w:val="0"/>
          <w:szCs w:val="32"/>
        </w:rPr>
        <w:t>1</w:t>
      </w:r>
      <w:r>
        <w:rPr>
          <w:rFonts w:eastAsia="黑体"/>
          <w:bCs/>
          <w:kern w:val="0"/>
          <w:szCs w:val="32"/>
        </w:rPr>
        <w:fldChar w:fldCharType="end"/>
      </w:r>
      <w:r>
        <w:rPr>
          <w:rFonts w:eastAsia="黑体"/>
          <w:bCs/>
          <w:kern w:val="0"/>
          <w:szCs w:val="32"/>
        </w:rPr>
        <w:noBreakHyphen/>
      </w:r>
      <w:r>
        <w:rPr>
          <w:rFonts w:eastAsia="黑体"/>
          <w:bCs/>
          <w:kern w:val="0"/>
          <w:szCs w:val="32"/>
        </w:rPr>
        <w:fldChar w:fldCharType="begin"/>
      </w:r>
      <w:r>
        <w:rPr>
          <w:rFonts w:eastAsia="黑体"/>
          <w:bCs/>
          <w:kern w:val="0"/>
          <w:szCs w:val="32"/>
        </w:rPr>
        <w:instrText xml:space="preserve"> </w:instrText>
      </w:r>
      <w:r>
        <w:rPr>
          <w:rFonts w:hint="eastAsia" w:eastAsia="黑体"/>
          <w:bCs/>
          <w:kern w:val="0"/>
          <w:szCs w:val="32"/>
        </w:rPr>
        <w:instrText xml:space="preserve">SEQ 表 \* ARABIC \s 1</w:instrText>
      </w:r>
      <w:r>
        <w:rPr>
          <w:rFonts w:eastAsia="黑体"/>
          <w:bCs/>
          <w:kern w:val="0"/>
          <w:szCs w:val="32"/>
        </w:rPr>
        <w:instrText xml:space="preserve"> </w:instrText>
      </w:r>
      <w:r>
        <w:rPr>
          <w:rFonts w:eastAsia="黑体"/>
          <w:bCs/>
          <w:kern w:val="0"/>
          <w:szCs w:val="32"/>
        </w:rPr>
        <w:fldChar w:fldCharType="separate"/>
      </w:r>
      <w:r>
        <w:rPr>
          <w:rFonts w:eastAsia="黑体"/>
          <w:bCs/>
          <w:kern w:val="0"/>
          <w:szCs w:val="32"/>
        </w:rPr>
        <w:t>20</w:t>
      </w:r>
      <w:r>
        <w:rPr>
          <w:rFonts w:eastAsia="黑体"/>
          <w:bCs/>
          <w:kern w:val="0"/>
          <w:szCs w:val="32"/>
        </w:rPr>
        <w:fldChar w:fldCharType="end"/>
      </w:r>
      <w:r>
        <w:rPr>
          <w:rFonts w:eastAsia="黑体"/>
          <w:bCs/>
          <w:kern w:val="0"/>
          <w:szCs w:val="32"/>
        </w:rPr>
        <w:t xml:space="preserve">  </w:t>
      </w:r>
      <w:r>
        <w:rPr>
          <w:rFonts w:hint="eastAsia" w:eastAsia="黑体"/>
          <w:bCs/>
          <w:kern w:val="0"/>
          <w:szCs w:val="32"/>
        </w:rPr>
        <w:t>“承德市‘三线一单’文件”符合性分析</w:t>
      </w:r>
    </w:p>
    <w:tbl>
      <w:tblPr>
        <w:tblStyle w:val="265"/>
        <w:tblW w:w="0" w:type="auto"/>
        <w:tblInd w:w="115" w:type="dxa"/>
        <w:tblLayout w:type="autofit"/>
        <w:tblCellMar>
          <w:top w:w="0" w:type="dxa"/>
          <w:left w:w="0" w:type="dxa"/>
          <w:bottom w:w="0" w:type="dxa"/>
          <w:right w:w="0" w:type="dxa"/>
        </w:tblCellMar>
      </w:tblPr>
      <w:tblGrid>
        <w:gridCol w:w="737"/>
        <w:gridCol w:w="3984"/>
        <w:gridCol w:w="3218"/>
        <w:gridCol w:w="268"/>
      </w:tblGrid>
      <w:tr w14:paraId="3B17B338">
        <w:tblPrEx>
          <w:tblCellMar>
            <w:top w:w="0" w:type="dxa"/>
            <w:left w:w="0" w:type="dxa"/>
            <w:bottom w:w="0" w:type="dxa"/>
            <w:right w:w="0" w:type="dxa"/>
          </w:tblCellMar>
        </w:tblPrEx>
        <w:tc>
          <w:tcPr>
            <w:tcW w:w="0" w:type="auto"/>
            <w:tcBorders>
              <w:top w:val="single" w:color="000000" w:sz="8" w:space="0"/>
              <w:left w:val="single" w:color="000000" w:sz="8" w:space="0"/>
              <w:bottom w:val="single" w:color="000000" w:sz="4" w:space="0"/>
              <w:right w:val="single" w:color="000000" w:sz="4" w:space="0"/>
            </w:tcBorders>
            <w:vAlign w:val="center"/>
          </w:tcPr>
          <w:p w14:paraId="6D6823C8">
            <w:pPr>
              <w:pStyle w:val="85"/>
              <w:autoSpaceDE w:val="0"/>
              <w:autoSpaceDN w:val="0"/>
              <w:spacing w:line="240" w:lineRule="auto"/>
              <w:ind w:firstLine="0" w:firstLineChars="0"/>
              <w:rPr>
                <w:rFonts w:ascii="宋体" w:hAnsi="宋体"/>
                <w:kern w:val="2"/>
                <w:sz w:val="21"/>
                <w:szCs w:val="21"/>
                <w:lang w:eastAsia="zh-CN"/>
              </w:rPr>
            </w:pPr>
            <w:r>
              <w:rPr>
                <w:rFonts w:ascii="宋体" w:hAnsi="宋体"/>
                <w:kern w:val="2"/>
                <w:sz w:val="21"/>
                <w:szCs w:val="21"/>
                <w:lang w:eastAsia="zh-CN"/>
              </w:rPr>
              <w:t>管控</w:t>
            </w:r>
          </w:p>
        </w:tc>
        <w:tc>
          <w:tcPr>
            <w:tcW w:w="3984" w:type="dxa"/>
            <w:tcBorders>
              <w:top w:val="single" w:color="000000" w:sz="8" w:space="0"/>
              <w:left w:val="single" w:color="000000" w:sz="4" w:space="0"/>
              <w:bottom w:val="single" w:color="000000" w:sz="4" w:space="0"/>
              <w:right w:val="single" w:color="000000" w:sz="4" w:space="0"/>
            </w:tcBorders>
            <w:vAlign w:val="center"/>
          </w:tcPr>
          <w:p w14:paraId="4F319868">
            <w:pPr>
              <w:pStyle w:val="85"/>
              <w:autoSpaceDE w:val="0"/>
              <w:autoSpaceDN w:val="0"/>
              <w:spacing w:line="240" w:lineRule="auto"/>
              <w:ind w:firstLine="0" w:firstLineChars="0"/>
              <w:rPr>
                <w:rFonts w:ascii="宋体" w:hAnsi="宋体"/>
                <w:kern w:val="2"/>
                <w:sz w:val="21"/>
                <w:szCs w:val="21"/>
                <w:lang w:eastAsia="zh-CN"/>
              </w:rPr>
            </w:pPr>
            <w:r>
              <w:rPr>
                <w:rFonts w:ascii="宋体" w:hAnsi="宋体"/>
                <w:kern w:val="2"/>
                <w:sz w:val="21"/>
                <w:szCs w:val="21"/>
                <w:lang w:eastAsia="zh-CN"/>
              </w:rPr>
              <w:t>管控要求</w:t>
            </w:r>
          </w:p>
        </w:tc>
        <w:tc>
          <w:tcPr>
            <w:tcW w:w="3218" w:type="dxa"/>
            <w:tcBorders>
              <w:top w:val="single" w:color="000000" w:sz="8" w:space="0"/>
              <w:left w:val="single" w:color="000000" w:sz="4" w:space="0"/>
              <w:bottom w:val="single" w:color="000000" w:sz="4" w:space="0"/>
              <w:right w:val="single" w:color="000000" w:sz="4" w:space="0"/>
            </w:tcBorders>
            <w:vAlign w:val="center"/>
          </w:tcPr>
          <w:p w14:paraId="3CB0A539">
            <w:pPr>
              <w:pStyle w:val="85"/>
              <w:autoSpaceDE w:val="0"/>
              <w:autoSpaceDN w:val="0"/>
              <w:spacing w:line="240" w:lineRule="auto"/>
              <w:ind w:firstLine="0" w:firstLineChars="0"/>
              <w:rPr>
                <w:rFonts w:ascii="宋体" w:hAnsi="宋体"/>
                <w:kern w:val="2"/>
                <w:sz w:val="21"/>
                <w:szCs w:val="21"/>
                <w:lang w:eastAsia="zh-CN"/>
              </w:rPr>
            </w:pPr>
            <w:r>
              <w:rPr>
                <w:rFonts w:ascii="宋体" w:hAnsi="宋体"/>
                <w:kern w:val="2"/>
                <w:sz w:val="21"/>
                <w:szCs w:val="21"/>
                <w:lang w:eastAsia="zh-CN"/>
              </w:rPr>
              <w:t>拟建项目相关内容</w:t>
            </w:r>
          </w:p>
        </w:tc>
        <w:tc>
          <w:tcPr>
            <w:tcW w:w="0" w:type="auto"/>
            <w:tcBorders>
              <w:top w:val="single" w:color="000000" w:sz="8" w:space="0"/>
              <w:left w:val="single" w:color="000000" w:sz="4" w:space="0"/>
              <w:bottom w:val="single" w:color="000000" w:sz="4" w:space="0"/>
              <w:right w:val="single" w:color="000000" w:sz="8" w:space="0"/>
            </w:tcBorders>
            <w:vAlign w:val="center"/>
          </w:tcPr>
          <w:p w14:paraId="4A1C4F36">
            <w:pPr>
              <w:pStyle w:val="85"/>
              <w:autoSpaceDE w:val="0"/>
              <w:autoSpaceDN w:val="0"/>
              <w:spacing w:line="240" w:lineRule="auto"/>
              <w:ind w:firstLine="0" w:firstLineChars="0"/>
              <w:rPr>
                <w:rFonts w:ascii="宋体" w:hAnsi="宋体"/>
                <w:kern w:val="2"/>
                <w:sz w:val="21"/>
                <w:szCs w:val="21"/>
                <w:lang w:eastAsia="zh-CN"/>
              </w:rPr>
            </w:pPr>
            <w:r>
              <w:rPr>
                <w:rFonts w:hint="eastAsia" w:ascii="宋体" w:hAnsi="宋体"/>
                <w:kern w:val="2"/>
                <w:sz w:val="21"/>
                <w:szCs w:val="21"/>
                <w:lang w:eastAsia="zh-CN"/>
              </w:rPr>
              <w:t>结论</w:t>
            </w:r>
          </w:p>
        </w:tc>
      </w:tr>
      <w:tr w14:paraId="3EADCAC3">
        <w:tblPrEx>
          <w:tblCellMar>
            <w:top w:w="0" w:type="dxa"/>
            <w:left w:w="0" w:type="dxa"/>
            <w:bottom w:w="0" w:type="dxa"/>
            <w:right w:w="0" w:type="dxa"/>
          </w:tblCellMar>
        </w:tblPrEx>
        <w:tc>
          <w:tcPr>
            <w:tcW w:w="0" w:type="auto"/>
            <w:vMerge w:val="restart"/>
            <w:tcBorders>
              <w:top w:val="single" w:color="000000" w:sz="4" w:space="0"/>
              <w:left w:val="single" w:color="000000" w:sz="8" w:space="0"/>
              <w:right w:val="single" w:color="000000" w:sz="4" w:space="0"/>
            </w:tcBorders>
            <w:vAlign w:val="center"/>
          </w:tcPr>
          <w:p w14:paraId="223C9DE4">
            <w:pPr>
              <w:pStyle w:val="85"/>
              <w:autoSpaceDE w:val="0"/>
              <w:autoSpaceDN w:val="0"/>
              <w:spacing w:line="240" w:lineRule="auto"/>
              <w:ind w:firstLine="0" w:firstLineChars="0"/>
              <w:rPr>
                <w:rFonts w:ascii="宋体" w:hAnsi="宋体"/>
                <w:kern w:val="2"/>
                <w:sz w:val="21"/>
                <w:szCs w:val="21"/>
                <w:lang w:eastAsia="zh-CN"/>
              </w:rPr>
            </w:pPr>
            <w:r>
              <w:rPr>
                <w:rFonts w:ascii="宋体" w:hAnsi="宋体"/>
                <w:kern w:val="2"/>
                <w:sz w:val="21"/>
                <w:szCs w:val="21"/>
                <w:lang w:eastAsia="zh-CN"/>
              </w:rPr>
              <w:t>一、总体要求</w:t>
            </w:r>
          </w:p>
        </w:tc>
        <w:tc>
          <w:tcPr>
            <w:tcW w:w="3984" w:type="dxa"/>
            <w:tcBorders>
              <w:top w:val="single" w:color="000000" w:sz="4" w:space="0"/>
              <w:left w:val="single" w:color="000000" w:sz="4" w:space="0"/>
              <w:bottom w:val="single" w:color="000000" w:sz="4" w:space="0"/>
              <w:right w:val="single" w:color="000000" w:sz="4" w:space="0"/>
            </w:tcBorders>
            <w:vAlign w:val="center"/>
          </w:tcPr>
          <w:p w14:paraId="0A82061A">
            <w:pPr>
              <w:pStyle w:val="85"/>
              <w:autoSpaceDE w:val="0"/>
              <w:autoSpaceDN w:val="0"/>
              <w:spacing w:line="240" w:lineRule="auto"/>
              <w:ind w:firstLine="0" w:firstLineChars="0"/>
              <w:rPr>
                <w:rFonts w:ascii="宋体" w:hAnsi="宋体"/>
                <w:kern w:val="2"/>
                <w:sz w:val="21"/>
                <w:szCs w:val="21"/>
                <w:lang w:eastAsia="zh-CN"/>
              </w:rPr>
            </w:pPr>
            <w:r>
              <w:rPr>
                <w:rFonts w:ascii="宋体" w:hAnsi="宋体"/>
                <w:kern w:val="2"/>
                <w:sz w:val="21"/>
                <w:szCs w:val="21"/>
                <w:lang w:eastAsia="zh-CN"/>
              </w:rPr>
              <w:t xml:space="preserve">到2025年，建立健全以“三线一单”为核心的生态环境分区管控体系，生态功能持续改善，资源利用效率持续提升，环境质量持续好转。环境治理体系和治理能力现代化取得重大提升。 </w:t>
            </w:r>
          </w:p>
        </w:tc>
        <w:tc>
          <w:tcPr>
            <w:tcW w:w="3218" w:type="dxa"/>
            <w:tcBorders>
              <w:top w:val="single" w:color="000000" w:sz="4" w:space="0"/>
              <w:left w:val="single" w:color="000000" w:sz="4" w:space="0"/>
              <w:bottom w:val="single" w:color="000000" w:sz="4" w:space="0"/>
              <w:right w:val="single" w:color="000000" w:sz="4" w:space="0"/>
            </w:tcBorders>
            <w:vAlign w:val="center"/>
          </w:tcPr>
          <w:p w14:paraId="3930D7DB">
            <w:pPr>
              <w:pStyle w:val="85"/>
              <w:autoSpaceDE w:val="0"/>
              <w:autoSpaceDN w:val="0"/>
              <w:spacing w:line="240" w:lineRule="auto"/>
              <w:ind w:firstLine="0" w:firstLineChars="0"/>
              <w:rPr>
                <w:rFonts w:ascii="宋体" w:hAnsi="宋体"/>
                <w:kern w:val="2"/>
                <w:sz w:val="21"/>
                <w:szCs w:val="21"/>
                <w:lang w:eastAsia="zh-CN"/>
              </w:rPr>
            </w:pPr>
            <w:r>
              <w:rPr>
                <w:rFonts w:ascii="宋体" w:hAnsi="宋体"/>
                <w:kern w:val="2"/>
                <w:sz w:val="21"/>
                <w:szCs w:val="21"/>
                <w:lang w:eastAsia="zh-CN"/>
              </w:rPr>
              <w:t>拟建项目实施后不涉及废水、废气及固体废物排放。项目实施后能显著改善</w:t>
            </w:r>
            <w:r>
              <w:rPr>
                <w:rFonts w:hint="eastAsia" w:ascii="宋体" w:hAnsi="宋体"/>
                <w:kern w:val="2"/>
                <w:sz w:val="21"/>
                <w:szCs w:val="21"/>
                <w:lang w:eastAsia="zh-CN"/>
              </w:rPr>
              <w:t>潮河</w:t>
            </w:r>
            <w:r>
              <w:rPr>
                <w:rFonts w:ascii="宋体" w:hAnsi="宋体"/>
                <w:kern w:val="2"/>
                <w:sz w:val="21"/>
                <w:szCs w:val="21"/>
                <w:lang w:eastAsia="zh-CN"/>
              </w:rPr>
              <w:t xml:space="preserve">生态环境质量。 </w:t>
            </w:r>
          </w:p>
        </w:tc>
        <w:tc>
          <w:tcPr>
            <w:tcW w:w="0" w:type="auto"/>
            <w:tcBorders>
              <w:top w:val="single" w:color="000000" w:sz="4" w:space="0"/>
              <w:left w:val="single" w:color="000000" w:sz="4" w:space="0"/>
              <w:bottom w:val="single" w:color="000000" w:sz="4" w:space="0"/>
              <w:right w:val="single" w:color="000000" w:sz="8" w:space="0"/>
            </w:tcBorders>
            <w:vAlign w:val="center"/>
          </w:tcPr>
          <w:p w14:paraId="21D5C02E">
            <w:pPr>
              <w:pStyle w:val="85"/>
              <w:autoSpaceDE w:val="0"/>
              <w:autoSpaceDN w:val="0"/>
              <w:spacing w:line="240" w:lineRule="auto"/>
              <w:ind w:firstLine="0" w:firstLineChars="0"/>
              <w:rPr>
                <w:rFonts w:ascii="宋体" w:hAnsi="宋体"/>
                <w:kern w:val="2"/>
                <w:sz w:val="21"/>
                <w:szCs w:val="21"/>
                <w:lang w:eastAsia="zh-CN"/>
              </w:rPr>
            </w:pPr>
          </w:p>
          <w:p w14:paraId="203A7376">
            <w:pPr>
              <w:pStyle w:val="85"/>
              <w:autoSpaceDE w:val="0"/>
              <w:autoSpaceDN w:val="0"/>
              <w:spacing w:line="240" w:lineRule="auto"/>
              <w:ind w:firstLine="0" w:firstLineChars="0"/>
              <w:rPr>
                <w:rFonts w:ascii="宋体" w:hAnsi="宋体"/>
                <w:kern w:val="2"/>
                <w:sz w:val="21"/>
                <w:szCs w:val="21"/>
                <w:lang w:eastAsia="zh-CN"/>
              </w:rPr>
            </w:pPr>
          </w:p>
          <w:p w14:paraId="7D6C4C08">
            <w:pPr>
              <w:pStyle w:val="85"/>
              <w:autoSpaceDE w:val="0"/>
              <w:autoSpaceDN w:val="0"/>
              <w:spacing w:line="240" w:lineRule="auto"/>
              <w:ind w:firstLine="0" w:firstLineChars="0"/>
              <w:rPr>
                <w:rFonts w:ascii="宋体" w:hAnsi="宋体"/>
                <w:kern w:val="2"/>
                <w:sz w:val="21"/>
                <w:szCs w:val="21"/>
                <w:lang w:eastAsia="zh-CN"/>
              </w:rPr>
            </w:pPr>
            <w:r>
              <w:rPr>
                <w:rFonts w:ascii="宋体" w:hAnsi="宋体"/>
                <w:kern w:val="2"/>
                <w:sz w:val="21"/>
                <w:szCs w:val="21"/>
                <w:lang w:eastAsia="zh-CN"/>
              </w:rPr>
              <w:t xml:space="preserve">符合 </w:t>
            </w:r>
          </w:p>
        </w:tc>
      </w:tr>
      <w:tr w14:paraId="341FEA7B">
        <w:tblPrEx>
          <w:tblCellMar>
            <w:top w:w="0" w:type="dxa"/>
            <w:left w:w="0" w:type="dxa"/>
            <w:bottom w:w="0" w:type="dxa"/>
            <w:right w:w="0" w:type="dxa"/>
          </w:tblCellMar>
        </w:tblPrEx>
        <w:tc>
          <w:tcPr>
            <w:tcW w:w="0" w:type="auto"/>
            <w:vMerge w:val="continue"/>
            <w:tcBorders>
              <w:left w:val="single" w:color="000000" w:sz="8" w:space="0"/>
              <w:bottom w:val="single" w:color="000000" w:sz="4" w:space="0"/>
              <w:right w:val="single" w:color="000000" w:sz="4" w:space="0"/>
            </w:tcBorders>
            <w:vAlign w:val="center"/>
          </w:tcPr>
          <w:p w14:paraId="2C487E6C">
            <w:pPr>
              <w:pStyle w:val="85"/>
              <w:autoSpaceDE w:val="0"/>
              <w:autoSpaceDN w:val="0"/>
              <w:spacing w:line="240" w:lineRule="auto"/>
              <w:ind w:firstLine="0" w:firstLineChars="0"/>
              <w:rPr>
                <w:rFonts w:ascii="宋体" w:hAnsi="宋体"/>
                <w:kern w:val="2"/>
                <w:sz w:val="21"/>
                <w:szCs w:val="21"/>
                <w:lang w:eastAsia="zh-CN"/>
              </w:rPr>
            </w:pPr>
          </w:p>
        </w:tc>
        <w:tc>
          <w:tcPr>
            <w:tcW w:w="3984" w:type="dxa"/>
            <w:tcBorders>
              <w:top w:val="single" w:color="000000" w:sz="4" w:space="0"/>
              <w:left w:val="single" w:color="000000" w:sz="4" w:space="0"/>
              <w:bottom w:val="single" w:color="000000" w:sz="4" w:space="0"/>
              <w:right w:val="single" w:color="000000" w:sz="4" w:space="0"/>
            </w:tcBorders>
            <w:vAlign w:val="center"/>
          </w:tcPr>
          <w:p w14:paraId="7426B811">
            <w:pPr>
              <w:pStyle w:val="85"/>
              <w:autoSpaceDE w:val="0"/>
              <w:autoSpaceDN w:val="0"/>
              <w:spacing w:line="240" w:lineRule="auto"/>
              <w:ind w:firstLine="0" w:firstLineChars="0"/>
              <w:rPr>
                <w:rFonts w:ascii="宋体" w:hAnsi="宋体"/>
                <w:kern w:val="2"/>
                <w:sz w:val="21"/>
                <w:szCs w:val="21"/>
                <w:lang w:eastAsia="zh-CN"/>
              </w:rPr>
            </w:pPr>
            <w:r>
              <w:rPr>
                <w:rFonts w:ascii="宋体" w:hAnsi="宋体"/>
                <w:kern w:val="2"/>
                <w:sz w:val="21"/>
                <w:szCs w:val="21"/>
                <w:lang w:eastAsia="zh-CN"/>
              </w:rPr>
              <w:t xml:space="preserve">到2035年，全市生态环境持续好转，生态系统质量和服务功能得到进一步提升，绿色生产生活方式广泛形成，建成社会稳定、经济高质量发展 天蓝水碧土净的美丽承德。 </w:t>
            </w:r>
          </w:p>
        </w:tc>
        <w:tc>
          <w:tcPr>
            <w:tcW w:w="3218" w:type="dxa"/>
            <w:tcBorders>
              <w:top w:val="single" w:color="000000" w:sz="4" w:space="0"/>
              <w:left w:val="single" w:color="000000" w:sz="4" w:space="0"/>
              <w:bottom w:val="single" w:color="000000" w:sz="4" w:space="0"/>
              <w:right w:val="single" w:color="000000" w:sz="4" w:space="0"/>
            </w:tcBorders>
            <w:vAlign w:val="center"/>
          </w:tcPr>
          <w:p w14:paraId="08DDD099">
            <w:pPr>
              <w:pStyle w:val="85"/>
              <w:autoSpaceDE w:val="0"/>
              <w:autoSpaceDN w:val="0"/>
              <w:spacing w:line="240" w:lineRule="auto"/>
              <w:ind w:firstLine="0" w:firstLineChars="0"/>
              <w:rPr>
                <w:rFonts w:ascii="宋体" w:hAnsi="宋体"/>
                <w:kern w:val="2"/>
                <w:sz w:val="21"/>
                <w:szCs w:val="21"/>
                <w:lang w:eastAsia="zh-CN"/>
              </w:rPr>
            </w:pPr>
            <w:r>
              <w:rPr>
                <w:rFonts w:ascii="宋体" w:hAnsi="宋体"/>
                <w:kern w:val="2"/>
                <w:sz w:val="21"/>
                <w:szCs w:val="21"/>
                <w:lang w:eastAsia="zh-CN"/>
              </w:rPr>
              <w:t>项目实施后能显著改善</w:t>
            </w:r>
            <w:r>
              <w:rPr>
                <w:rFonts w:hint="eastAsia" w:ascii="宋体" w:hAnsi="宋体"/>
                <w:kern w:val="2"/>
                <w:sz w:val="21"/>
                <w:szCs w:val="21"/>
                <w:lang w:eastAsia="zh-CN"/>
              </w:rPr>
              <w:t>潮河</w:t>
            </w:r>
            <w:r>
              <w:rPr>
                <w:rFonts w:ascii="宋体" w:hAnsi="宋体"/>
                <w:kern w:val="2"/>
                <w:sz w:val="21"/>
                <w:szCs w:val="21"/>
                <w:lang w:eastAsia="zh-CN"/>
              </w:rPr>
              <w:t>生态环境质量。</w:t>
            </w:r>
          </w:p>
        </w:tc>
        <w:tc>
          <w:tcPr>
            <w:tcW w:w="0" w:type="auto"/>
            <w:tcBorders>
              <w:top w:val="single" w:color="000000" w:sz="4" w:space="0"/>
              <w:left w:val="single" w:color="000000" w:sz="4" w:space="0"/>
              <w:bottom w:val="single" w:color="000000" w:sz="4" w:space="0"/>
              <w:right w:val="single" w:color="000000" w:sz="8" w:space="0"/>
            </w:tcBorders>
            <w:vAlign w:val="center"/>
          </w:tcPr>
          <w:p w14:paraId="409825D2">
            <w:pPr>
              <w:pStyle w:val="85"/>
              <w:autoSpaceDE w:val="0"/>
              <w:autoSpaceDN w:val="0"/>
              <w:spacing w:line="240" w:lineRule="auto"/>
              <w:ind w:firstLine="0" w:firstLineChars="0"/>
              <w:rPr>
                <w:rFonts w:ascii="宋体" w:hAnsi="宋体"/>
                <w:kern w:val="2"/>
                <w:sz w:val="21"/>
                <w:szCs w:val="21"/>
                <w:lang w:eastAsia="zh-CN"/>
              </w:rPr>
            </w:pPr>
          </w:p>
          <w:p w14:paraId="27EFB186">
            <w:pPr>
              <w:pStyle w:val="85"/>
              <w:autoSpaceDE w:val="0"/>
              <w:autoSpaceDN w:val="0"/>
              <w:spacing w:line="240" w:lineRule="auto"/>
              <w:ind w:firstLine="0" w:firstLineChars="0"/>
              <w:rPr>
                <w:rFonts w:ascii="宋体" w:hAnsi="宋体"/>
                <w:kern w:val="2"/>
                <w:sz w:val="21"/>
                <w:szCs w:val="21"/>
                <w:lang w:eastAsia="zh-CN"/>
              </w:rPr>
            </w:pPr>
          </w:p>
          <w:p w14:paraId="317A190E">
            <w:pPr>
              <w:pStyle w:val="85"/>
              <w:autoSpaceDE w:val="0"/>
              <w:autoSpaceDN w:val="0"/>
              <w:spacing w:line="240" w:lineRule="auto"/>
              <w:ind w:firstLine="0" w:firstLineChars="0"/>
              <w:rPr>
                <w:rFonts w:ascii="宋体" w:hAnsi="宋体"/>
                <w:kern w:val="2"/>
                <w:sz w:val="21"/>
                <w:szCs w:val="21"/>
                <w:lang w:eastAsia="zh-CN"/>
              </w:rPr>
            </w:pPr>
            <w:r>
              <w:rPr>
                <w:rFonts w:ascii="宋体" w:hAnsi="宋体"/>
                <w:kern w:val="2"/>
                <w:sz w:val="21"/>
                <w:szCs w:val="21"/>
                <w:lang w:eastAsia="zh-CN"/>
              </w:rPr>
              <w:t xml:space="preserve">符合 </w:t>
            </w:r>
          </w:p>
        </w:tc>
      </w:tr>
      <w:tr w14:paraId="6D1DFD3D">
        <w:tblPrEx>
          <w:tblCellMar>
            <w:top w:w="0" w:type="dxa"/>
            <w:left w:w="0" w:type="dxa"/>
            <w:bottom w:w="0" w:type="dxa"/>
            <w:right w:w="0" w:type="dxa"/>
          </w:tblCellMar>
        </w:tblPrEx>
        <w:tc>
          <w:tcPr>
            <w:tcW w:w="0" w:type="auto"/>
            <w:vMerge w:val="restart"/>
            <w:tcBorders>
              <w:top w:val="single" w:color="000000" w:sz="4" w:space="0"/>
              <w:left w:val="single" w:color="000000" w:sz="8" w:space="0"/>
              <w:right w:val="single" w:color="000000" w:sz="4" w:space="0"/>
            </w:tcBorders>
            <w:vAlign w:val="center"/>
          </w:tcPr>
          <w:p w14:paraId="7777D17A">
            <w:pPr>
              <w:pStyle w:val="85"/>
              <w:autoSpaceDE w:val="0"/>
              <w:autoSpaceDN w:val="0"/>
              <w:spacing w:line="240" w:lineRule="auto"/>
              <w:ind w:firstLine="0" w:firstLineChars="0"/>
              <w:rPr>
                <w:rFonts w:ascii="宋体" w:hAnsi="宋体"/>
                <w:kern w:val="2"/>
                <w:sz w:val="21"/>
                <w:szCs w:val="21"/>
                <w:lang w:eastAsia="zh-CN"/>
              </w:rPr>
            </w:pPr>
            <w:r>
              <w:rPr>
                <w:rFonts w:ascii="宋体" w:hAnsi="宋体"/>
                <w:kern w:val="2"/>
                <w:sz w:val="21"/>
                <w:szCs w:val="21"/>
                <w:lang w:eastAsia="zh-CN"/>
              </w:rPr>
              <w:t xml:space="preserve">二、构建 生态环 境分区 管控体 系 </w:t>
            </w:r>
          </w:p>
        </w:tc>
        <w:tc>
          <w:tcPr>
            <w:tcW w:w="3984" w:type="dxa"/>
            <w:tcBorders>
              <w:top w:val="single" w:color="000000" w:sz="4" w:space="0"/>
              <w:left w:val="single" w:color="000000" w:sz="4" w:space="0"/>
              <w:bottom w:val="single" w:color="000000" w:sz="4" w:space="0"/>
              <w:right w:val="single" w:color="000000" w:sz="4" w:space="0"/>
            </w:tcBorders>
            <w:vAlign w:val="center"/>
          </w:tcPr>
          <w:p w14:paraId="24C80636">
            <w:pPr>
              <w:pStyle w:val="85"/>
              <w:autoSpaceDE w:val="0"/>
              <w:autoSpaceDN w:val="0"/>
              <w:spacing w:line="240" w:lineRule="auto"/>
              <w:ind w:firstLine="0" w:firstLineChars="0"/>
              <w:rPr>
                <w:rFonts w:ascii="宋体" w:hAnsi="宋体"/>
                <w:kern w:val="2"/>
                <w:sz w:val="21"/>
                <w:szCs w:val="21"/>
                <w:lang w:eastAsia="zh-CN"/>
              </w:rPr>
            </w:pPr>
            <w:r>
              <w:rPr>
                <w:rFonts w:ascii="宋体" w:hAnsi="宋体"/>
                <w:kern w:val="2"/>
                <w:sz w:val="21"/>
                <w:szCs w:val="21"/>
                <w:lang w:eastAsia="zh-CN"/>
              </w:rPr>
              <w:t xml:space="preserve">1.优先保护单元。严格落实生态保护红线管理要求，除有限人为活动外，依法依规禁止其他城镇 和建设活动。一般生态空间突出生态保护，严禁 不符合主体功能定位的各类开发活动，严禁任意 改变用途。 </w:t>
            </w:r>
          </w:p>
        </w:tc>
        <w:tc>
          <w:tcPr>
            <w:tcW w:w="3218" w:type="dxa"/>
            <w:tcBorders>
              <w:top w:val="single" w:color="000000" w:sz="4" w:space="0"/>
              <w:left w:val="single" w:color="000000" w:sz="4" w:space="0"/>
              <w:bottom w:val="single" w:color="000000" w:sz="4" w:space="0"/>
              <w:right w:val="single" w:color="000000" w:sz="4" w:space="0"/>
            </w:tcBorders>
            <w:vAlign w:val="center"/>
          </w:tcPr>
          <w:p w14:paraId="28A2FBCB">
            <w:pPr>
              <w:pStyle w:val="85"/>
              <w:autoSpaceDE w:val="0"/>
              <w:autoSpaceDN w:val="0"/>
              <w:spacing w:line="240" w:lineRule="auto"/>
              <w:ind w:firstLine="0" w:firstLineChars="0"/>
              <w:rPr>
                <w:rFonts w:ascii="宋体" w:hAnsi="宋体"/>
                <w:kern w:val="2"/>
                <w:sz w:val="21"/>
                <w:szCs w:val="21"/>
                <w:lang w:eastAsia="zh-CN"/>
              </w:rPr>
            </w:pPr>
            <w:r>
              <w:rPr>
                <w:rFonts w:ascii="宋体" w:hAnsi="宋体"/>
                <w:kern w:val="2"/>
                <w:sz w:val="21"/>
                <w:szCs w:val="21"/>
                <w:lang w:eastAsia="zh-CN"/>
              </w:rPr>
              <w:t>拟建项目为河湖整治项目，不属于开发性、生产性建设活动，</w:t>
            </w:r>
            <w:r>
              <w:rPr>
                <w:rFonts w:hint="eastAsia" w:ascii="宋体" w:hAnsi="宋体"/>
                <w:kern w:val="2"/>
                <w:sz w:val="21"/>
                <w:szCs w:val="21"/>
                <w:lang w:eastAsia="zh-CN"/>
              </w:rPr>
              <w:t>本项目有28.72hm2的区域位于生态保护红线范围内。本项目通过开展河道基底修复及微地形梳理、构建恢复生态缓冲带、水生态构建及水生植物恢复等，对滦河干流实施生态保护修复</w:t>
            </w:r>
            <w:r>
              <w:rPr>
                <w:rFonts w:ascii="宋体" w:hAnsi="宋体"/>
                <w:kern w:val="2"/>
                <w:sz w:val="21"/>
                <w:szCs w:val="21"/>
                <w:lang w:eastAsia="zh-CN"/>
              </w:rPr>
              <w:t xml:space="preserve">。项目实施后不会降低重要生态功能区域生态功 能、不会减少重要生态功能区域面积、不会改变重要生态功能区域性质，项目实施还能一定程度提升生态系统质量。 </w:t>
            </w:r>
          </w:p>
        </w:tc>
        <w:tc>
          <w:tcPr>
            <w:tcW w:w="0" w:type="auto"/>
            <w:tcBorders>
              <w:top w:val="single" w:color="000000" w:sz="4" w:space="0"/>
              <w:left w:val="single" w:color="000000" w:sz="4" w:space="0"/>
              <w:bottom w:val="single" w:color="000000" w:sz="4" w:space="0"/>
              <w:right w:val="single" w:color="000000" w:sz="8" w:space="0"/>
            </w:tcBorders>
            <w:vAlign w:val="center"/>
          </w:tcPr>
          <w:p w14:paraId="6C61559B">
            <w:pPr>
              <w:pStyle w:val="85"/>
              <w:autoSpaceDE w:val="0"/>
              <w:autoSpaceDN w:val="0"/>
              <w:spacing w:line="240" w:lineRule="auto"/>
              <w:ind w:firstLine="0" w:firstLineChars="0"/>
              <w:rPr>
                <w:rFonts w:ascii="宋体" w:hAnsi="宋体"/>
                <w:kern w:val="2"/>
                <w:sz w:val="21"/>
                <w:szCs w:val="21"/>
                <w:lang w:eastAsia="zh-CN"/>
              </w:rPr>
            </w:pPr>
            <w:r>
              <w:rPr>
                <w:rFonts w:ascii="宋体" w:hAnsi="宋体"/>
                <w:kern w:val="2"/>
                <w:sz w:val="21"/>
                <w:szCs w:val="21"/>
                <w:lang w:eastAsia="zh-CN"/>
              </w:rPr>
              <w:t xml:space="preserve">符合 </w:t>
            </w:r>
          </w:p>
        </w:tc>
      </w:tr>
      <w:tr w14:paraId="5A27679D">
        <w:tblPrEx>
          <w:tblCellMar>
            <w:top w:w="0" w:type="dxa"/>
            <w:left w:w="0" w:type="dxa"/>
            <w:bottom w:w="0" w:type="dxa"/>
            <w:right w:w="0" w:type="dxa"/>
          </w:tblCellMar>
        </w:tblPrEx>
        <w:tc>
          <w:tcPr>
            <w:tcW w:w="0" w:type="auto"/>
            <w:vMerge w:val="continue"/>
            <w:tcBorders>
              <w:left w:val="single" w:color="000000" w:sz="8" w:space="0"/>
              <w:right w:val="single" w:color="000000" w:sz="4" w:space="0"/>
            </w:tcBorders>
            <w:vAlign w:val="center"/>
          </w:tcPr>
          <w:p w14:paraId="3288F696">
            <w:pPr>
              <w:pStyle w:val="85"/>
              <w:autoSpaceDE w:val="0"/>
              <w:autoSpaceDN w:val="0"/>
              <w:spacing w:line="240" w:lineRule="auto"/>
              <w:ind w:firstLine="0" w:firstLineChars="0"/>
              <w:rPr>
                <w:rFonts w:ascii="宋体" w:hAnsi="宋体"/>
                <w:kern w:val="2"/>
                <w:sz w:val="21"/>
                <w:szCs w:val="21"/>
                <w:lang w:eastAsia="zh-CN"/>
              </w:rPr>
            </w:pPr>
          </w:p>
        </w:tc>
        <w:tc>
          <w:tcPr>
            <w:tcW w:w="3984" w:type="dxa"/>
            <w:tcBorders>
              <w:top w:val="single" w:color="000000" w:sz="4" w:space="0"/>
              <w:left w:val="single" w:color="000000" w:sz="4" w:space="0"/>
              <w:bottom w:val="single" w:color="000000" w:sz="4" w:space="0"/>
              <w:right w:val="single" w:color="000000" w:sz="4" w:space="0"/>
            </w:tcBorders>
            <w:vAlign w:val="center"/>
          </w:tcPr>
          <w:p w14:paraId="4B68A1D9">
            <w:pPr>
              <w:pStyle w:val="85"/>
              <w:autoSpaceDE w:val="0"/>
              <w:autoSpaceDN w:val="0"/>
              <w:spacing w:line="240" w:lineRule="auto"/>
              <w:ind w:firstLine="0" w:firstLineChars="0"/>
              <w:rPr>
                <w:rFonts w:ascii="宋体" w:hAnsi="宋体"/>
                <w:kern w:val="2"/>
                <w:sz w:val="21"/>
                <w:szCs w:val="21"/>
                <w:lang w:eastAsia="zh-CN"/>
              </w:rPr>
            </w:pPr>
            <w:r>
              <w:rPr>
                <w:rFonts w:ascii="宋体" w:hAnsi="宋体"/>
                <w:kern w:val="2"/>
                <w:sz w:val="21"/>
                <w:szCs w:val="21"/>
                <w:lang w:eastAsia="zh-CN"/>
              </w:rPr>
              <w:t xml:space="preserve">2.重点管控单元。城镇重点管控单元：优化工业 布局，有序实施高污染、高排放工业企业整改或 搬迁退出；强化交通污染源管控；完善污水治理 设施；加快城镇河流水系环境整治；加强工业污 染场地环境风险防控和开发再利用监管。 省级以上产业园区重点管控单元：严格产业准 入，完善园区设施建设，推动设施提标改造；实 施污染物总量控制，落实排污许可证制度；强化 资源利用效率和地下水开采管控。 农业农村重点管控单元：优化规模化畜禽养殖布 局，加快农村生态环境综合整治，逐步推进农村 污水和生活垃圾治理；减少化肥农药施用量，优 化农业种植结构，推动秸秆综合利用。 </w:t>
            </w:r>
          </w:p>
        </w:tc>
        <w:tc>
          <w:tcPr>
            <w:tcW w:w="3218" w:type="dxa"/>
            <w:tcBorders>
              <w:top w:val="single" w:color="000000" w:sz="4" w:space="0"/>
              <w:left w:val="single" w:color="000000" w:sz="4" w:space="0"/>
              <w:bottom w:val="single" w:color="000000" w:sz="4" w:space="0"/>
              <w:right w:val="single" w:color="000000" w:sz="4" w:space="0"/>
            </w:tcBorders>
            <w:vAlign w:val="center"/>
          </w:tcPr>
          <w:p w14:paraId="36456091">
            <w:pPr>
              <w:pStyle w:val="85"/>
              <w:autoSpaceDE w:val="0"/>
              <w:autoSpaceDN w:val="0"/>
              <w:spacing w:line="240" w:lineRule="auto"/>
              <w:ind w:firstLine="0" w:firstLineChars="0"/>
              <w:rPr>
                <w:rFonts w:ascii="宋体" w:hAnsi="宋体"/>
                <w:kern w:val="2"/>
                <w:sz w:val="21"/>
                <w:szCs w:val="21"/>
                <w:lang w:eastAsia="zh-CN"/>
              </w:rPr>
            </w:pPr>
            <w:r>
              <w:rPr>
                <w:rFonts w:ascii="宋体" w:hAnsi="宋体"/>
                <w:kern w:val="2"/>
                <w:sz w:val="21"/>
                <w:szCs w:val="21"/>
                <w:lang w:eastAsia="zh-CN"/>
              </w:rPr>
              <w:t>拟建项目为河湖整治项目，</w:t>
            </w:r>
            <w:r>
              <w:rPr>
                <w:rFonts w:hint="eastAsia" w:ascii="宋体" w:hAnsi="宋体"/>
                <w:kern w:val="0"/>
                <w:sz w:val="21"/>
                <w:szCs w:val="21"/>
                <w:lang w:eastAsia="zh-CN"/>
              </w:rPr>
              <w:t>不属于城镇河流段。</w:t>
            </w:r>
          </w:p>
        </w:tc>
        <w:tc>
          <w:tcPr>
            <w:tcW w:w="0" w:type="auto"/>
            <w:tcBorders>
              <w:top w:val="single" w:color="000000" w:sz="4" w:space="0"/>
              <w:left w:val="single" w:color="000000" w:sz="4" w:space="0"/>
              <w:bottom w:val="single" w:color="000000" w:sz="4" w:space="0"/>
              <w:right w:val="single" w:color="000000" w:sz="8" w:space="0"/>
            </w:tcBorders>
            <w:vAlign w:val="center"/>
          </w:tcPr>
          <w:p w14:paraId="38095C51">
            <w:pPr>
              <w:pStyle w:val="85"/>
              <w:autoSpaceDE w:val="0"/>
              <w:autoSpaceDN w:val="0"/>
              <w:spacing w:line="240" w:lineRule="auto"/>
              <w:ind w:firstLine="0" w:firstLineChars="0"/>
              <w:rPr>
                <w:rFonts w:ascii="宋体" w:hAnsi="宋体"/>
                <w:kern w:val="2"/>
                <w:sz w:val="21"/>
                <w:szCs w:val="21"/>
                <w:lang w:eastAsia="zh-CN"/>
              </w:rPr>
            </w:pPr>
            <w:r>
              <w:rPr>
                <w:rFonts w:hint="eastAsia" w:ascii="宋体" w:hAnsi="宋体"/>
                <w:kern w:val="2"/>
                <w:sz w:val="21"/>
                <w:szCs w:val="21"/>
                <w:lang w:eastAsia="zh-CN"/>
              </w:rPr>
              <w:t>不涉及</w:t>
            </w:r>
          </w:p>
        </w:tc>
      </w:tr>
      <w:tr w14:paraId="14CF381D">
        <w:tblPrEx>
          <w:tblCellMar>
            <w:top w:w="0" w:type="dxa"/>
            <w:left w:w="0" w:type="dxa"/>
            <w:bottom w:w="0" w:type="dxa"/>
            <w:right w:w="0" w:type="dxa"/>
          </w:tblCellMar>
        </w:tblPrEx>
        <w:tc>
          <w:tcPr>
            <w:tcW w:w="0" w:type="auto"/>
            <w:vMerge w:val="continue"/>
            <w:tcBorders>
              <w:left w:val="single" w:color="000000" w:sz="8" w:space="0"/>
              <w:bottom w:val="single" w:color="000000" w:sz="8" w:space="0"/>
              <w:right w:val="single" w:color="000000" w:sz="4" w:space="0"/>
            </w:tcBorders>
            <w:vAlign w:val="center"/>
          </w:tcPr>
          <w:p w14:paraId="785C8DCF">
            <w:pPr>
              <w:pStyle w:val="85"/>
              <w:autoSpaceDE w:val="0"/>
              <w:autoSpaceDN w:val="0"/>
              <w:spacing w:line="240" w:lineRule="auto"/>
              <w:ind w:firstLine="0" w:firstLineChars="0"/>
              <w:rPr>
                <w:rFonts w:ascii="宋体" w:hAnsi="宋体"/>
                <w:kern w:val="0"/>
                <w:sz w:val="21"/>
                <w:szCs w:val="21"/>
                <w:lang w:eastAsia="en-US"/>
              </w:rPr>
            </w:pPr>
          </w:p>
        </w:tc>
        <w:tc>
          <w:tcPr>
            <w:tcW w:w="3984" w:type="dxa"/>
            <w:tcBorders>
              <w:top w:val="single" w:color="000000" w:sz="4" w:space="0"/>
              <w:left w:val="single" w:color="000000" w:sz="4" w:space="0"/>
              <w:bottom w:val="single" w:color="000000" w:sz="8" w:space="0"/>
              <w:right w:val="single" w:color="000000" w:sz="4" w:space="0"/>
            </w:tcBorders>
            <w:vAlign w:val="center"/>
          </w:tcPr>
          <w:p w14:paraId="11B941A0">
            <w:pPr>
              <w:pStyle w:val="85"/>
              <w:autoSpaceDE w:val="0"/>
              <w:autoSpaceDN w:val="0"/>
              <w:spacing w:line="240" w:lineRule="auto"/>
              <w:ind w:firstLine="0" w:firstLineChars="0"/>
              <w:rPr>
                <w:rFonts w:ascii="宋体" w:hAnsi="宋体"/>
                <w:kern w:val="0"/>
                <w:sz w:val="21"/>
                <w:szCs w:val="21"/>
                <w:lang w:eastAsia="zh-CN"/>
              </w:rPr>
            </w:pPr>
            <w:r>
              <w:rPr>
                <w:rFonts w:hint="eastAsia" w:ascii="宋体" w:hAnsi="宋体"/>
                <w:kern w:val="0"/>
                <w:sz w:val="21"/>
                <w:szCs w:val="21"/>
                <w:lang w:eastAsia="zh-CN"/>
              </w:rPr>
              <w:t>3.一般管控单元。严格执行国家和省关于产业 准入、总量控制和污染物排放标准等管控要 求。</w:t>
            </w:r>
          </w:p>
        </w:tc>
        <w:tc>
          <w:tcPr>
            <w:tcW w:w="3218" w:type="dxa"/>
            <w:tcBorders>
              <w:top w:val="single" w:color="000000" w:sz="4" w:space="0"/>
              <w:left w:val="single" w:color="000000" w:sz="4" w:space="0"/>
              <w:bottom w:val="single" w:color="000000" w:sz="8" w:space="0"/>
              <w:right w:val="single" w:color="000000" w:sz="4" w:space="0"/>
            </w:tcBorders>
            <w:vAlign w:val="center"/>
          </w:tcPr>
          <w:p w14:paraId="0B1761AF">
            <w:pPr>
              <w:pStyle w:val="85"/>
              <w:autoSpaceDE w:val="0"/>
              <w:autoSpaceDN w:val="0"/>
              <w:spacing w:line="240" w:lineRule="auto"/>
              <w:ind w:firstLine="0" w:firstLineChars="0"/>
              <w:rPr>
                <w:rFonts w:ascii="宋体" w:hAnsi="宋体"/>
                <w:kern w:val="0"/>
                <w:sz w:val="21"/>
                <w:szCs w:val="21"/>
                <w:lang w:eastAsia="zh-CN"/>
              </w:rPr>
            </w:pPr>
            <w:r>
              <w:rPr>
                <w:rFonts w:hint="eastAsia" w:ascii="宋体" w:hAnsi="宋体"/>
                <w:kern w:val="0"/>
                <w:sz w:val="21"/>
                <w:szCs w:val="21"/>
                <w:lang w:eastAsia="zh-CN"/>
              </w:rPr>
              <w:t>项目不涉及污染物排放。</w:t>
            </w:r>
          </w:p>
        </w:tc>
        <w:tc>
          <w:tcPr>
            <w:tcW w:w="0" w:type="auto"/>
            <w:tcBorders>
              <w:top w:val="single" w:color="000000" w:sz="4" w:space="0"/>
              <w:left w:val="single" w:color="000000" w:sz="4" w:space="0"/>
              <w:bottom w:val="single" w:color="000000" w:sz="8" w:space="0"/>
              <w:right w:val="single" w:color="000000" w:sz="8" w:space="0"/>
            </w:tcBorders>
            <w:vAlign w:val="center"/>
          </w:tcPr>
          <w:p w14:paraId="1B0B1FCA">
            <w:pPr>
              <w:pStyle w:val="85"/>
              <w:autoSpaceDE w:val="0"/>
              <w:autoSpaceDN w:val="0"/>
              <w:spacing w:line="240" w:lineRule="auto"/>
              <w:ind w:firstLine="0" w:firstLineChars="0"/>
              <w:rPr>
                <w:rFonts w:ascii="宋体" w:hAnsi="宋体"/>
                <w:kern w:val="0"/>
                <w:sz w:val="21"/>
                <w:szCs w:val="21"/>
                <w:lang w:eastAsia="zh-CN"/>
              </w:rPr>
            </w:pPr>
            <w:r>
              <w:rPr>
                <w:rFonts w:hint="eastAsia" w:ascii="宋体" w:hAnsi="宋体"/>
                <w:kern w:val="0"/>
                <w:sz w:val="21"/>
                <w:szCs w:val="21"/>
                <w:lang w:eastAsia="zh-CN"/>
              </w:rPr>
              <w:t>不涉及</w:t>
            </w:r>
          </w:p>
        </w:tc>
      </w:tr>
    </w:tbl>
    <w:p w14:paraId="353C4298">
      <w:pPr>
        <w:pStyle w:val="85"/>
        <w:ind w:firstLine="480"/>
      </w:pPr>
      <w:r>
        <w:rPr>
          <w:rFonts w:hint="eastAsia"/>
        </w:rPr>
        <w:t>综上拟建项目的实施符合《承德市人民政府关于实施“三线一单”生态环境分区管控的意见》的有关要求。</w:t>
      </w:r>
    </w:p>
    <w:p w14:paraId="453E7F29">
      <w:pPr>
        <w:pStyle w:val="4"/>
      </w:pPr>
      <w:r>
        <w:rPr>
          <w:rFonts w:hint="eastAsia"/>
        </w:rPr>
        <w:t>与《承德市人民政府关于发布承德市生态环境分区管控准入清单（2023年版）的通知》（承德市人民政府，2024年5月27日）符合性分析</w:t>
      </w:r>
    </w:p>
    <w:p w14:paraId="3917A709">
      <w:pPr>
        <w:pStyle w:val="5"/>
      </w:pPr>
      <w:r>
        <w:rPr>
          <w:rFonts w:hint="eastAsia"/>
        </w:rPr>
        <w:t>与承德市生态环境准入清单总体要求符合性分析</w:t>
      </w:r>
    </w:p>
    <w:p w14:paraId="6D9D2A5C">
      <w:pPr>
        <w:pStyle w:val="85"/>
        <w:ind w:firstLine="480"/>
      </w:pPr>
      <w:r>
        <w:rPr>
          <w:rFonts w:hint="eastAsia"/>
        </w:rPr>
        <w:t>拟建项目与承德市生态环境准入清单总体要求（与本项目相关部分）符合性分析见下表。</w:t>
      </w:r>
    </w:p>
    <w:p w14:paraId="1E98FC8B">
      <w:pPr>
        <w:pStyle w:val="85"/>
        <w:ind w:firstLine="480"/>
        <w:jc w:val="center"/>
      </w:pPr>
      <w:r>
        <w:rPr>
          <w:rFonts w:hint="eastAsia" w:eastAsia="黑体"/>
          <w:bCs/>
          <w:kern w:val="0"/>
          <w:szCs w:val="32"/>
        </w:rPr>
        <w:t>表</w:t>
      </w:r>
      <w:r>
        <w:rPr>
          <w:rFonts w:eastAsia="黑体"/>
          <w:bCs/>
          <w:kern w:val="0"/>
          <w:szCs w:val="32"/>
        </w:rPr>
        <w:fldChar w:fldCharType="begin"/>
      </w:r>
      <w:r>
        <w:rPr>
          <w:rFonts w:eastAsia="黑体"/>
          <w:bCs/>
          <w:kern w:val="0"/>
          <w:szCs w:val="32"/>
        </w:rPr>
        <w:instrText xml:space="preserve"> </w:instrText>
      </w:r>
      <w:r>
        <w:rPr>
          <w:rFonts w:hint="eastAsia" w:eastAsia="黑体"/>
          <w:bCs/>
          <w:kern w:val="0"/>
          <w:szCs w:val="32"/>
        </w:rPr>
        <w:instrText xml:space="preserve">STYLEREF 1 \s</w:instrText>
      </w:r>
      <w:r>
        <w:rPr>
          <w:rFonts w:eastAsia="黑体"/>
          <w:bCs/>
          <w:kern w:val="0"/>
          <w:szCs w:val="32"/>
        </w:rPr>
        <w:instrText xml:space="preserve"> </w:instrText>
      </w:r>
      <w:r>
        <w:rPr>
          <w:rFonts w:eastAsia="黑体"/>
          <w:bCs/>
          <w:kern w:val="0"/>
          <w:szCs w:val="32"/>
        </w:rPr>
        <w:fldChar w:fldCharType="separate"/>
      </w:r>
      <w:r>
        <w:rPr>
          <w:rFonts w:eastAsia="黑体"/>
          <w:bCs/>
          <w:kern w:val="0"/>
          <w:szCs w:val="32"/>
        </w:rPr>
        <w:t>1</w:t>
      </w:r>
      <w:r>
        <w:rPr>
          <w:rFonts w:eastAsia="黑体"/>
          <w:bCs/>
          <w:kern w:val="0"/>
          <w:szCs w:val="32"/>
        </w:rPr>
        <w:fldChar w:fldCharType="end"/>
      </w:r>
      <w:r>
        <w:rPr>
          <w:rFonts w:eastAsia="黑体"/>
          <w:bCs/>
          <w:kern w:val="0"/>
          <w:szCs w:val="32"/>
        </w:rPr>
        <w:noBreakHyphen/>
      </w:r>
      <w:r>
        <w:rPr>
          <w:rFonts w:eastAsia="黑体"/>
          <w:bCs/>
          <w:kern w:val="0"/>
          <w:szCs w:val="32"/>
        </w:rPr>
        <w:fldChar w:fldCharType="begin"/>
      </w:r>
      <w:r>
        <w:rPr>
          <w:rFonts w:eastAsia="黑体"/>
          <w:bCs/>
          <w:kern w:val="0"/>
          <w:szCs w:val="32"/>
        </w:rPr>
        <w:instrText xml:space="preserve"> </w:instrText>
      </w:r>
      <w:r>
        <w:rPr>
          <w:rFonts w:hint="eastAsia" w:eastAsia="黑体"/>
          <w:bCs/>
          <w:kern w:val="0"/>
          <w:szCs w:val="32"/>
        </w:rPr>
        <w:instrText xml:space="preserve">SEQ 表 \* ARABIC \s 1</w:instrText>
      </w:r>
      <w:r>
        <w:rPr>
          <w:rFonts w:eastAsia="黑体"/>
          <w:bCs/>
          <w:kern w:val="0"/>
          <w:szCs w:val="32"/>
        </w:rPr>
        <w:instrText xml:space="preserve"> </w:instrText>
      </w:r>
      <w:r>
        <w:rPr>
          <w:rFonts w:eastAsia="黑体"/>
          <w:bCs/>
          <w:kern w:val="0"/>
          <w:szCs w:val="32"/>
        </w:rPr>
        <w:fldChar w:fldCharType="separate"/>
      </w:r>
      <w:r>
        <w:rPr>
          <w:rFonts w:eastAsia="黑体"/>
          <w:bCs/>
          <w:kern w:val="0"/>
          <w:szCs w:val="32"/>
        </w:rPr>
        <w:t>21</w:t>
      </w:r>
      <w:r>
        <w:rPr>
          <w:rFonts w:eastAsia="黑体"/>
          <w:bCs/>
          <w:kern w:val="0"/>
          <w:szCs w:val="32"/>
        </w:rPr>
        <w:fldChar w:fldCharType="end"/>
      </w:r>
      <w:r>
        <w:rPr>
          <w:rFonts w:eastAsia="黑体"/>
          <w:bCs/>
          <w:kern w:val="0"/>
          <w:szCs w:val="32"/>
        </w:rPr>
        <w:t xml:space="preserve">  </w:t>
      </w:r>
      <w:r>
        <w:rPr>
          <w:rFonts w:hint="eastAsia" w:eastAsia="黑体"/>
          <w:bCs/>
          <w:kern w:val="0"/>
          <w:szCs w:val="32"/>
        </w:rPr>
        <w:t>承德市生态环境准入清单总体要求（相关部分）符合性分析</w:t>
      </w:r>
    </w:p>
    <w:tbl>
      <w:tblPr>
        <w:tblStyle w:val="265"/>
        <w:tblW w:w="5000" w:type="pct"/>
        <w:tblInd w:w="0" w:type="dxa"/>
        <w:tblLayout w:type="autofit"/>
        <w:tblCellMar>
          <w:top w:w="0" w:type="dxa"/>
          <w:left w:w="0" w:type="dxa"/>
          <w:bottom w:w="0" w:type="dxa"/>
          <w:right w:w="0" w:type="dxa"/>
        </w:tblCellMar>
      </w:tblPr>
      <w:tblGrid>
        <w:gridCol w:w="501"/>
        <w:gridCol w:w="612"/>
        <w:gridCol w:w="5730"/>
        <w:gridCol w:w="1060"/>
        <w:gridCol w:w="429"/>
      </w:tblGrid>
      <w:tr w14:paraId="4053F8E6">
        <w:tc>
          <w:tcPr>
            <w:tcW w:w="5000" w:type="pct"/>
            <w:gridSpan w:val="5"/>
            <w:tcBorders>
              <w:top w:val="single" w:color="000000" w:sz="8" w:space="0"/>
              <w:left w:val="single" w:color="000000" w:sz="8" w:space="0"/>
              <w:bottom w:val="single" w:color="000000" w:sz="4" w:space="0"/>
              <w:right w:val="single" w:color="000000" w:sz="8" w:space="0"/>
            </w:tcBorders>
            <w:vAlign w:val="center"/>
          </w:tcPr>
          <w:p w14:paraId="24327F8D">
            <w:pPr>
              <w:pStyle w:val="85"/>
              <w:autoSpaceDE w:val="0"/>
              <w:autoSpaceDN w:val="0"/>
              <w:spacing w:line="240" w:lineRule="auto"/>
              <w:ind w:firstLine="0" w:firstLineChars="0"/>
              <w:jc w:val="center"/>
              <w:rPr>
                <w:rFonts w:ascii="宋体" w:hAnsi="宋体"/>
                <w:kern w:val="0"/>
                <w:sz w:val="21"/>
                <w:szCs w:val="21"/>
                <w:lang w:eastAsia="en-US"/>
              </w:rPr>
            </w:pPr>
            <w:r>
              <w:rPr>
                <w:rFonts w:hint="eastAsia" w:ascii="宋体" w:hAnsi="宋体"/>
                <w:kern w:val="0"/>
                <w:sz w:val="21"/>
                <w:szCs w:val="21"/>
                <w:lang w:eastAsia="zh-CN"/>
              </w:rPr>
              <w:t>生态保护红线</w:t>
            </w:r>
          </w:p>
        </w:tc>
      </w:tr>
      <w:tr w14:paraId="6A844B12">
        <w:tblPrEx>
          <w:tblCellMar>
            <w:top w:w="0" w:type="dxa"/>
            <w:left w:w="0" w:type="dxa"/>
            <w:bottom w:w="0" w:type="dxa"/>
            <w:right w:w="0" w:type="dxa"/>
          </w:tblCellMar>
        </w:tblPrEx>
        <w:tc>
          <w:tcPr>
            <w:tcW w:w="317" w:type="pct"/>
            <w:tcBorders>
              <w:top w:val="single" w:color="000000" w:sz="8" w:space="0"/>
              <w:left w:val="single" w:color="000000" w:sz="8" w:space="0"/>
              <w:bottom w:val="single" w:color="000000" w:sz="4" w:space="0"/>
              <w:right w:val="single" w:color="000000" w:sz="4" w:space="0"/>
            </w:tcBorders>
            <w:vAlign w:val="center"/>
          </w:tcPr>
          <w:p w14:paraId="26F9843D">
            <w:pPr>
              <w:pStyle w:val="85"/>
              <w:autoSpaceDE w:val="0"/>
              <w:autoSpaceDN w:val="0"/>
              <w:spacing w:line="240" w:lineRule="auto"/>
              <w:ind w:firstLine="0" w:firstLineChars="0"/>
              <w:rPr>
                <w:rFonts w:ascii="宋体" w:hAnsi="宋体"/>
                <w:kern w:val="2"/>
                <w:sz w:val="21"/>
                <w:szCs w:val="21"/>
                <w:lang w:eastAsia="zh-CN"/>
              </w:rPr>
            </w:pPr>
            <w:r>
              <w:rPr>
                <w:rFonts w:ascii="宋体" w:hAnsi="宋体"/>
                <w:kern w:val="2"/>
                <w:sz w:val="21"/>
                <w:szCs w:val="21"/>
                <w:lang w:eastAsia="zh-CN"/>
              </w:rPr>
              <w:t xml:space="preserve">要素 </w:t>
            </w:r>
          </w:p>
          <w:p w14:paraId="4D52D66D">
            <w:pPr>
              <w:pStyle w:val="85"/>
              <w:autoSpaceDE w:val="0"/>
              <w:autoSpaceDN w:val="0"/>
              <w:spacing w:line="240" w:lineRule="auto"/>
              <w:ind w:firstLine="0" w:firstLineChars="0"/>
              <w:rPr>
                <w:rFonts w:ascii="宋体" w:hAnsi="宋体"/>
                <w:kern w:val="2"/>
                <w:sz w:val="21"/>
                <w:szCs w:val="21"/>
                <w:lang w:eastAsia="zh-CN"/>
              </w:rPr>
            </w:pPr>
            <w:r>
              <w:rPr>
                <w:rFonts w:ascii="宋体" w:hAnsi="宋体"/>
                <w:kern w:val="2"/>
                <w:sz w:val="21"/>
                <w:szCs w:val="21"/>
                <w:lang w:eastAsia="zh-CN"/>
              </w:rPr>
              <w:t xml:space="preserve">属性 </w:t>
            </w:r>
          </w:p>
        </w:tc>
        <w:tc>
          <w:tcPr>
            <w:tcW w:w="383" w:type="pct"/>
            <w:tcBorders>
              <w:top w:val="single" w:color="000000" w:sz="8" w:space="0"/>
              <w:left w:val="single" w:color="000000" w:sz="4" w:space="0"/>
              <w:bottom w:val="single" w:color="000000" w:sz="4" w:space="0"/>
              <w:right w:val="single" w:color="000000" w:sz="4" w:space="0"/>
            </w:tcBorders>
            <w:vAlign w:val="center"/>
          </w:tcPr>
          <w:p w14:paraId="7DF8EB43">
            <w:pPr>
              <w:pStyle w:val="85"/>
              <w:autoSpaceDE w:val="0"/>
              <w:autoSpaceDN w:val="0"/>
              <w:spacing w:line="240" w:lineRule="auto"/>
              <w:ind w:firstLine="0" w:firstLineChars="0"/>
              <w:rPr>
                <w:rFonts w:ascii="宋体" w:hAnsi="宋体"/>
                <w:kern w:val="2"/>
                <w:sz w:val="21"/>
                <w:szCs w:val="21"/>
                <w:lang w:eastAsia="zh-CN"/>
              </w:rPr>
            </w:pPr>
            <w:r>
              <w:rPr>
                <w:rFonts w:ascii="宋体" w:hAnsi="宋体"/>
                <w:kern w:val="2"/>
                <w:sz w:val="21"/>
                <w:szCs w:val="21"/>
                <w:lang w:eastAsia="zh-CN"/>
              </w:rPr>
              <w:t xml:space="preserve">类别 </w:t>
            </w:r>
          </w:p>
        </w:tc>
        <w:tc>
          <w:tcPr>
            <w:tcW w:w="3454" w:type="pct"/>
            <w:tcBorders>
              <w:top w:val="single" w:color="000000" w:sz="8" w:space="0"/>
              <w:left w:val="single" w:color="000000" w:sz="4" w:space="0"/>
              <w:bottom w:val="single" w:color="000000" w:sz="4" w:space="0"/>
              <w:right w:val="single" w:color="000000" w:sz="4" w:space="0"/>
            </w:tcBorders>
            <w:vAlign w:val="center"/>
          </w:tcPr>
          <w:p w14:paraId="5166571C">
            <w:pPr>
              <w:pStyle w:val="85"/>
              <w:autoSpaceDE w:val="0"/>
              <w:autoSpaceDN w:val="0"/>
              <w:spacing w:line="240" w:lineRule="auto"/>
              <w:ind w:firstLine="0" w:firstLineChars="0"/>
              <w:rPr>
                <w:rFonts w:ascii="宋体" w:hAnsi="宋体"/>
                <w:kern w:val="2"/>
                <w:sz w:val="21"/>
                <w:szCs w:val="21"/>
                <w:lang w:eastAsia="zh-CN"/>
              </w:rPr>
            </w:pPr>
            <w:r>
              <w:rPr>
                <w:rFonts w:ascii="宋体" w:hAnsi="宋体"/>
                <w:kern w:val="2"/>
                <w:sz w:val="21"/>
                <w:szCs w:val="21"/>
                <w:lang w:eastAsia="zh-CN"/>
              </w:rPr>
              <w:t xml:space="preserve">管控要求 </w:t>
            </w:r>
          </w:p>
        </w:tc>
        <w:tc>
          <w:tcPr>
            <w:tcW w:w="573" w:type="pct"/>
            <w:tcBorders>
              <w:top w:val="single" w:color="000000" w:sz="8" w:space="0"/>
              <w:left w:val="single" w:color="000000" w:sz="4" w:space="0"/>
              <w:bottom w:val="single" w:color="000000" w:sz="4" w:space="0"/>
              <w:right w:val="single" w:color="000000" w:sz="4" w:space="0"/>
            </w:tcBorders>
            <w:vAlign w:val="center"/>
          </w:tcPr>
          <w:p w14:paraId="593728C7">
            <w:pPr>
              <w:pStyle w:val="85"/>
              <w:autoSpaceDE w:val="0"/>
              <w:autoSpaceDN w:val="0"/>
              <w:spacing w:line="240" w:lineRule="auto"/>
              <w:ind w:firstLine="0" w:firstLineChars="0"/>
              <w:rPr>
                <w:rFonts w:ascii="宋体" w:hAnsi="宋体"/>
                <w:kern w:val="2"/>
                <w:sz w:val="21"/>
                <w:szCs w:val="21"/>
                <w:lang w:eastAsia="zh-CN"/>
              </w:rPr>
            </w:pPr>
            <w:r>
              <w:rPr>
                <w:rFonts w:hint="eastAsia" w:ascii="宋体" w:hAnsi="宋体"/>
                <w:kern w:val="2"/>
                <w:sz w:val="21"/>
                <w:szCs w:val="21"/>
                <w:lang w:eastAsia="zh-CN"/>
              </w:rPr>
              <w:t>本项目</w:t>
            </w:r>
          </w:p>
        </w:tc>
        <w:tc>
          <w:tcPr>
            <w:tcW w:w="273" w:type="pct"/>
            <w:tcBorders>
              <w:top w:val="single" w:color="000000" w:sz="8" w:space="0"/>
              <w:left w:val="single" w:color="000000" w:sz="4" w:space="0"/>
              <w:bottom w:val="single" w:color="000000" w:sz="4" w:space="0"/>
              <w:right w:val="single" w:color="000000" w:sz="8" w:space="0"/>
            </w:tcBorders>
            <w:vAlign w:val="center"/>
          </w:tcPr>
          <w:p w14:paraId="34243B53">
            <w:pPr>
              <w:pStyle w:val="85"/>
              <w:autoSpaceDE w:val="0"/>
              <w:autoSpaceDN w:val="0"/>
              <w:spacing w:line="240" w:lineRule="auto"/>
              <w:ind w:firstLine="0" w:firstLineChars="0"/>
              <w:rPr>
                <w:rFonts w:ascii="宋体" w:hAnsi="宋体"/>
                <w:kern w:val="2"/>
                <w:sz w:val="21"/>
                <w:szCs w:val="21"/>
                <w:lang w:eastAsia="zh-CN"/>
              </w:rPr>
            </w:pPr>
            <w:r>
              <w:rPr>
                <w:rFonts w:ascii="宋体" w:hAnsi="宋体"/>
                <w:kern w:val="2"/>
                <w:sz w:val="21"/>
                <w:szCs w:val="21"/>
                <w:lang w:eastAsia="zh-CN"/>
              </w:rPr>
              <w:t>分析</w:t>
            </w:r>
          </w:p>
          <w:p w14:paraId="6D04C19B">
            <w:pPr>
              <w:pStyle w:val="85"/>
              <w:autoSpaceDE w:val="0"/>
              <w:autoSpaceDN w:val="0"/>
              <w:spacing w:line="240" w:lineRule="auto"/>
              <w:ind w:firstLine="0" w:firstLineChars="0"/>
              <w:rPr>
                <w:rFonts w:ascii="宋体" w:hAnsi="宋体"/>
                <w:kern w:val="2"/>
                <w:sz w:val="21"/>
                <w:szCs w:val="21"/>
                <w:lang w:eastAsia="zh-CN"/>
              </w:rPr>
            </w:pPr>
            <w:r>
              <w:rPr>
                <w:rFonts w:ascii="宋体" w:hAnsi="宋体"/>
                <w:kern w:val="2"/>
                <w:sz w:val="21"/>
                <w:szCs w:val="21"/>
                <w:lang w:eastAsia="zh-CN"/>
              </w:rPr>
              <w:t>结果</w:t>
            </w:r>
          </w:p>
        </w:tc>
      </w:tr>
      <w:tr w14:paraId="2EEB7296">
        <w:tblPrEx>
          <w:tblCellMar>
            <w:top w:w="0" w:type="dxa"/>
            <w:left w:w="0" w:type="dxa"/>
            <w:bottom w:w="0" w:type="dxa"/>
            <w:right w:w="0" w:type="dxa"/>
          </w:tblCellMar>
        </w:tblPrEx>
        <w:tc>
          <w:tcPr>
            <w:tcW w:w="317" w:type="pct"/>
            <w:tcBorders>
              <w:top w:val="single" w:color="000000" w:sz="4" w:space="0"/>
              <w:left w:val="single" w:color="000000" w:sz="8" w:space="0"/>
              <w:right w:val="single" w:color="000000" w:sz="4" w:space="0"/>
            </w:tcBorders>
            <w:vAlign w:val="center"/>
          </w:tcPr>
          <w:p w14:paraId="6D9DE7C8">
            <w:pPr>
              <w:pStyle w:val="85"/>
              <w:autoSpaceDE w:val="0"/>
              <w:autoSpaceDN w:val="0"/>
              <w:spacing w:line="240" w:lineRule="auto"/>
              <w:ind w:firstLine="0" w:firstLineChars="0"/>
              <w:rPr>
                <w:rFonts w:ascii="宋体" w:hAnsi="宋体"/>
                <w:kern w:val="2"/>
                <w:sz w:val="21"/>
                <w:szCs w:val="21"/>
                <w:lang w:eastAsia="zh-CN"/>
              </w:rPr>
            </w:pPr>
            <w:r>
              <w:rPr>
                <w:rFonts w:ascii="宋体" w:hAnsi="宋体"/>
                <w:kern w:val="2"/>
                <w:sz w:val="21"/>
                <w:szCs w:val="21"/>
                <w:lang w:eastAsia="zh-CN"/>
              </w:rPr>
              <w:t>生态 保护 红线</w:t>
            </w:r>
          </w:p>
        </w:tc>
        <w:tc>
          <w:tcPr>
            <w:tcW w:w="383" w:type="pct"/>
            <w:tcBorders>
              <w:top w:val="single" w:color="000000" w:sz="4" w:space="0"/>
              <w:left w:val="single" w:color="000000" w:sz="4" w:space="0"/>
              <w:right w:val="single" w:color="000000" w:sz="4" w:space="0"/>
            </w:tcBorders>
            <w:vAlign w:val="center"/>
          </w:tcPr>
          <w:p w14:paraId="49F6AAE5">
            <w:pPr>
              <w:pStyle w:val="85"/>
              <w:autoSpaceDE w:val="0"/>
              <w:autoSpaceDN w:val="0"/>
              <w:spacing w:line="240" w:lineRule="auto"/>
              <w:ind w:firstLine="0" w:firstLineChars="0"/>
              <w:rPr>
                <w:rFonts w:ascii="宋体" w:hAnsi="宋体"/>
                <w:kern w:val="2"/>
                <w:sz w:val="21"/>
                <w:szCs w:val="21"/>
                <w:lang w:eastAsia="zh-CN"/>
              </w:rPr>
            </w:pPr>
            <w:r>
              <w:rPr>
                <w:rFonts w:ascii="宋体" w:hAnsi="宋体"/>
                <w:kern w:val="2"/>
                <w:sz w:val="21"/>
                <w:szCs w:val="21"/>
                <w:lang w:eastAsia="zh-CN"/>
              </w:rPr>
              <w:t>正面 清单</w:t>
            </w:r>
          </w:p>
        </w:tc>
        <w:tc>
          <w:tcPr>
            <w:tcW w:w="3454" w:type="pct"/>
            <w:tcBorders>
              <w:top w:val="single" w:color="000000" w:sz="4" w:space="0"/>
              <w:left w:val="single" w:color="000000" w:sz="4" w:space="0"/>
              <w:bottom w:val="single" w:color="000000" w:sz="4" w:space="0"/>
              <w:right w:val="single" w:color="000000" w:sz="4" w:space="0"/>
            </w:tcBorders>
            <w:vAlign w:val="center"/>
          </w:tcPr>
          <w:p w14:paraId="1706F5CD">
            <w:pPr>
              <w:pStyle w:val="85"/>
              <w:autoSpaceDE w:val="0"/>
              <w:autoSpaceDN w:val="0"/>
              <w:spacing w:line="240" w:lineRule="auto"/>
              <w:ind w:firstLine="0" w:firstLineChars="0"/>
              <w:rPr>
                <w:rFonts w:ascii="宋体" w:hAnsi="宋体"/>
                <w:kern w:val="2"/>
                <w:sz w:val="21"/>
                <w:szCs w:val="21"/>
                <w:lang w:eastAsia="zh-CN"/>
              </w:rPr>
            </w:pPr>
            <w:r>
              <w:rPr>
                <w:rFonts w:ascii="宋体" w:hAnsi="宋体"/>
                <w:kern w:val="2"/>
                <w:sz w:val="21"/>
                <w:szCs w:val="21"/>
                <w:lang w:eastAsia="zh-CN"/>
              </w:rPr>
              <w:t>生态保护红线内自然保护地核心保护区准入目录：</w:t>
            </w:r>
          </w:p>
          <w:p w14:paraId="1AFD103E">
            <w:pPr>
              <w:pStyle w:val="85"/>
              <w:autoSpaceDE w:val="0"/>
              <w:autoSpaceDN w:val="0"/>
              <w:spacing w:line="240" w:lineRule="auto"/>
              <w:ind w:firstLine="0" w:firstLineChars="0"/>
              <w:rPr>
                <w:rFonts w:ascii="宋体" w:hAnsi="宋体"/>
                <w:kern w:val="2"/>
                <w:sz w:val="21"/>
                <w:szCs w:val="21"/>
                <w:lang w:eastAsia="zh-CN"/>
              </w:rPr>
            </w:pPr>
            <w:r>
              <w:rPr>
                <w:rFonts w:ascii="宋体" w:hAnsi="宋体"/>
                <w:kern w:val="2"/>
                <w:sz w:val="21"/>
                <w:szCs w:val="21"/>
                <w:lang w:eastAsia="zh-CN"/>
              </w:rPr>
              <w:t>原则上禁止人为活动，经依法批准的科学研究观测、调查监测、</w:t>
            </w:r>
            <w:r>
              <w:rPr>
                <w:rFonts w:ascii="宋体" w:hAnsi="宋体"/>
                <w:b/>
                <w:bCs/>
                <w:kern w:val="2"/>
                <w:sz w:val="21"/>
                <w:szCs w:val="21"/>
                <w:lang w:eastAsia="zh-CN"/>
              </w:rPr>
              <w:t>生态修复</w:t>
            </w:r>
            <w:r>
              <w:rPr>
                <w:rFonts w:ascii="宋体" w:hAnsi="宋体"/>
                <w:kern w:val="2"/>
                <w:sz w:val="21"/>
                <w:szCs w:val="21"/>
                <w:lang w:eastAsia="zh-CN"/>
              </w:rPr>
              <w:t xml:space="preserve">等法律、法规和国家有关规定允许的活动除外。 </w:t>
            </w:r>
          </w:p>
          <w:p w14:paraId="472F1952">
            <w:pPr>
              <w:pStyle w:val="85"/>
              <w:autoSpaceDE w:val="0"/>
              <w:autoSpaceDN w:val="0"/>
              <w:spacing w:line="240" w:lineRule="auto"/>
              <w:ind w:firstLine="0" w:firstLineChars="0"/>
              <w:rPr>
                <w:rFonts w:ascii="宋体" w:hAnsi="宋体"/>
                <w:kern w:val="2"/>
                <w:sz w:val="21"/>
                <w:szCs w:val="21"/>
                <w:lang w:eastAsia="zh-CN"/>
              </w:rPr>
            </w:pPr>
            <w:r>
              <w:rPr>
                <w:rFonts w:ascii="宋体" w:hAnsi="宋体"/>
                <w:kern w:val="2"/>
                <w:sz w:val="21"/>
                <w:szCs w:val="21"/>
                <w:lang w:eastAsia="zh-CN"/>
              </w:rPr>
              <w:t>生态保护红线内、自然保护地核心保护区外准入目录：生态保护红线内自然保护区、风景名胜区、饮用水水源保护区等区 域，依照法律法规执行。规范管控对生态功能不造成破坏的有限人 为活动，禁止开发性、生产性建设活动，在符合法律法规的前提下， 仅允许以下对生态功能不造成破坏的有限人为活动。</w:t>
            </w:r>
          </w:p>
          <w:p w14:paraId="0115F113">
            <w:pPr>
              <w:pStyle w:val="85"/>
              <w:autoSpaceDE w:val="0"/>
              <w:autoSpaceDN w:val="0"/>
              <w:spacing w:line="240" w:lineRule="auto"/>
              <w:ind w:firstLine="0" w:firstLineChars="0"/>
              <w:rPr>
                <w:rFonts w:ascii="宋体" w:hAnsi="宋体"/>
                <w:kern w:val="2"/>
                <w:sz w:val="21"/>
                <w:szCs w:val="21"/>
                <w:lang w:eastAsia="zh-CN"/>
              </w:rPr>
            </w:pPr>
            <w:r>
              <w:rPr>
                <w:rFonts w:ascii="宋体" w:hAnsi="宋体"/>
                <w:kern w:val="2"/>
                <w:sz w:val="21"/>
                <w:szCs w:val="21"/>
                <w:lang w:eastAsia="zh-CN"/>
              </w:rPr>
              <w:t>……</w:t>
            </w:r>
          </w:p>
          <w:p w14:paraId="1B8AE616">
            <w:pPr>
              <w:pStyle w:val="85"/>
              <w:autoSpaceDE w:val="0"/>
              <w:autoSpaceDN w:val="0"/>
              <w:spacing w:line="240" w:lineRule="auto"/>
              <w:ind w:firstLine="0" w:firstLineChars="0"/>
              <w:rPr>
                <w:rFonts w:ascii="宋体" w:hAnsi="宋体"/>
                <w:kern w:val="2"/>
                <w:sz w:val="21"/>
                <w:szCs w:val="21"/>
                <w:lang w:eastAsia="zh-CN"/>
              </w:rPr>
            </w:pPr>
            <w:r>
              <w:rPr>
                <w:rFonts w:hint="eastAsia" w:ascii="宋体" w:hAnsi="宋体"/>
                <w:kern w:val="2"/>
                <w:sz w:val="21"/>
                <w:szCs w:val="21"/>
                <w:lang w:eastAsia="zh-CN"/>
              </w:rPr>
              <w:t>（8）依据县级以上国土空间规划和生态保护修复专项规划开展的</w:t>
            </w:r>
            <w:r>
              <w:rPr>
                <w:rFonts w:hint="eastAsia" w:ascii="宋体" w:hAnsi="宋体"/>
                <w:b/>
                <w:bCs/>
                <w:kern w:val="2"/>
                <w:sz w:val="21"/>
                <w:szCs w:val="21"/>
                <w:lang w:eastAsia="zh-CN"/>
              </w:rPr>
              <w:t>生态修复。</w:t>
            </w:r>
          </w:p>
          <w:p w14:paraId="01106E73">
            <w:pPr>
              <w:pStyle w:val="85"/>
              <w:autoSpaceDE w:val="0"/>
              <w:autoSpaceDN w:val="0"/>
              <w:spacing w:line="240" w:lineRule="auto"/>
              <w:ind w:firstLine="0" w:firstLineChars="0"/>
              <w:rPr>
                <w:rFonts w:ascii="宋体" w:hAnsi="宋体"/>
                <w:kern w:val="2"/>
                <w:sz w:val="21"/>
                <w:szCs w:val="21"/>
                <w:lang w:eastAsia="zh-CN"/>
              </w:rPr>
            </w:pPr>
            <w:r>
              <w:rPr>
                <w:rFonts w:ascii="宋体" w:hAnsi="宋体"/>
                <w:kern w:val="2"/>
                <w:sz w:val="21"/>
                <w:szCs w:val="21"/>
                <w:lang w:eastAsia="zh-CN"/>
              </w:rPr>
              <w:t>……</w:t>
            </w:r>
          </w:p>
        </w:tc>
        <w:tc>
          <w:tcPr>
            <w:tcW w:w="573" w:type="pct"/>
            <w:tcBorders>
              <w:top w:val="single" w:color="000000" w:sz="4" w:space="0"/>
              <w:left w:val="single" w:color="000000" w:sz="4" w:space="0"/>
              <w:right w:val="single" w:color="000000" w:sz="4" w:space="0"/>
            </w:tcBorders>
            <w:vAlign w:val="center"/>
          </w:tcPr>
          <w:p w14:paraId="22DC8404">
            <w:pPr>
              <w:pStyle w:val="85"/>
              <w:autoSpaceDE w:val="0"/>
              <w:autoSpaceDN w:val="0"/>
              <w:spacing w:line="240" w:lineRule="auto"/>
              <w:ind w:firstLine="0" w:firstLineChars="0"/>
              <w:rPr>
                <w:rFonts w:ascii="宋体" w:hAnsi="宋体"/>
                <w:kern w:val="2"/>
                <w:sz w:val="21"/>
                <w:szCs w:val="21"/>
                <w:lang w:eastAsia="zh-CN"/>
              </w:rPr>
            </w:pPr>
            <w:r>
              <w:rPr>
                <w:rFonts w:ascii="宋体" w:hAnsi="宋体"/>
                <w:kern w:val="2"/>
                <w:sz w:val="21"/>
                <w:szCs w:val="21"/>
                <w:lang w:eastAsia="zh-CN"/>
              </w:rPr>
              <w:t>拟建项目 为河湖整 治项目，部分河段涉及生态保护红线，</w:t>
            </w:r>
            <w:r>
              <w:rPr>
                <w:rFonts w:hint="eastAsia" w:ascii="宋体" w:hAnsi="宋体"/>
                <w:kern w:val="2"/>
                <w:sz w:val="21"/>
                <w:szCs w:val="21"/>
                <w:lang w:eastAsia="zh-CN"/>
              </w:rPr>
              <w:t>项目属于《承德市国土空间总体规划(2021-2035年)》规划的生态修复项目</w:t>
            </w:r>
            <w:r>
              <w:rPr>
                <w:rFonts w:ascii="宋体" w:hAnsi="宋体"/>
                <w:kern w:val="2"/>
                <w:sz w:val="21"/>
                <w:szCs w:val="21"/>
                <w:lang w:eastAsia="zh-CN"/>
              </w:rPr>
              <w:t xml:space="preserve"> </w:t>
            </w:r>
          </w:p>
        </w:tc>
        <w:tc>
          <w:tcPr>
            <w:tcW w:w="273" w:type="pct"/>
            <w:tcBorders>
              <w:top w:val="single" w:color="000000" w:sz="4" w:space="0"/>
              <w:left w:val="single" w:color="000000" w:sz="4" w:space="0"/>
              <w:right w:val="single" w:color="000000" w:sz="8" w:space="0"/>
            </w:tcBorders>
            <w:vAlign w:val="center"/>
          </w:tcPr>
          <w:p w14:paraId="18F5F602">
            <w:pPr>
              <w:pStyle w:val="85"/>
              <w:autoSpaceDE w:val="0"/>
              <w:autoSpaceDN w:val="0"/>
              <w:spacing w:line="240" w:lineRule="auto"/>
              <w:ind w:firstLine="0" w:firstLineChars="0"/>
              <w:rPr>
                <w:rFonts w:ascii="宋体" w:hAnsi="宋体"/>
                <w:kern w:val="2"/>
                <w:sz w:val="21"/>
                <w:szCs w:val="21"/>
                <w:lang w:eastAsia="zh-CN"/>
              </w:rPr>
            </w:pPr>
            <w:r>
              <w:rPr>
                <w:rFonts w:ascii="宋体" w:hAnsi="宋体"/>
                <w:kern w:val="2"/>
                <w:sz w:val="21"/>
                <w:szCs w:val="21"/>
                <w:lang w:eastAsia="zh-CN"/>
              </w:rPr>
              <w:t>符合</w:t>
            </w:r>
          </w:p>
        </w:tc>
      </w:tr>
      <w:tr w14:paraId="17EB63FC">
        <w:tblPrEx>
          <w:tblCellMar>
            <w:top w:w="0" w:type="dxa"/>
            <w:left w:w="0" w:type="dxa"/>
            <w:bottom w:w="0" w:type="dxa"/>
            <w:right w:w="0" w:type="dxa"/>
          </w:tblCellMar>
        </w:tblPrEx>
        <w:tc>
          <w:tcPr>
            <w:tcW w:w="5000" w:type="pct"/>
            <w:gridSpan w:val="5"/>
            <w:tcBorders>
              <w:top w:val="single" w:color="000000" w:sz="4" w:space="0"/>
              <w:left w:val="single" w:color="000000" w:sz="8" w:space="0"/>
              <w:right w:val="single" w:color="000000" w:sz="8" w:space="0"/>
            </w:tcBorders>
            <w:vAlign w:val="center"/>
          </w:tcPr>
          <w:p w14:paraId="229A6397">
            <w:pPr>
              <w:pStyle w:val="85"/>
              <w:autoSpaceDE w:val="0"/>
              <w:autoSpaceDN w:val="0"/>
              <w:spacing w:line="240" w:lineRule="auto"/>
              <w:ind w:firstLine="0" w:firstLineChars="0"/>
              <w:jc w:val="center"/>
              <w:rPr>
                <w:rFonts w:ascii="宋体" w:hAnsi="宋体"/>
                <w:kern w:val="0"/>
                <w:sz w:val="21"/>
                <w:szCs w:val="21"/>
                <w:lang w:eastAsia="en-US"/>
              </w:rPr>
            </w:pPr>
            <w:r>
              <w:rPr>
                <w:rFonts w:hint="eastAsia" w:ascii="宋体" w:hAnsi="宋体"/>
                <w:kern w:val="0"/>
                <w:sz w:val="21"/>
                <w:szCs w:val="21"/>
                <w:lang w:eastAsia="zh-CN"/>
              </w:rPr>
              <w:t>湿地自然公园</w:t>
            </w:r>
          </w:p>
        </w:tc>
      </w:tr>
      <w:tr w14:paraId="335E7584">
        <w:tblPrEx>
          <w:tblCellMar>
            <w:top w:w="0" w:type="dxa"/>
            <w:left w:w="0" w:type="dxa"/>
            <w:bottom w:w="0" w:type="dxa"/>
            <w:right w:w="0" w:type="dxa"/>
          </w:tblCellMar>
        </w:tblPrEx>
        <w:tc>
          <w:tcPr>
            <w:tcW w:w="317" w:type="pct"/>
            <w:tcBorders>
              <w:top w:val="single" w:color="auto" w:sz="4" w:space="0"/>
              <w:left w:val="single" w:color="auto" w:sz="4" w:space="0"/>
              <w:bottom w:val="single" w:color="auto" w:sz="4" w:space="0"/>
              <w:right w:val="single" w:color="auto" w:sz="4" w:space="0"/>
            </w:tcBorders>
            <w:vAlign w:val="center"/>
          </w:tcPr>
          <w:p w14:paraId="56F808F9">
            <w:pPr>
              <w:pStyle w:val="85"/>
              <w:autoSpaceDE w:val="0"/>
              <w:autoSpaceDN w:val="0"/>
              <w:spacing w:line="240" w:lineRule="auto"/>
              <w:ind w:firstLine="0" w:firstLineChars="0"/>
              <w:rPr>
                <w:rFonts w:ascii="宋体" w:hAnsi="宋体"/>
                <w:kern w:val="2"/>
                <w:sz w:val="21"/>
                <w:szCs w:val="21"/>
                <w:lang w:eastAsia="zh-CN"/>
              </w:rPr>
            </w:pPr>
            <w:r>
              <w:rPr>
                <w:rFonts w:ascii="宋体" w:hAnsi="宋体"/>
                <w:kern w:val="2"/>
                <w:sz w:val="21"/>
                <w:szCs w:val="21"/>
                <w:lang w:eastAsia="zh-CN"/>
              </w:rPr>
              <w:t xml:space="preserve">要素 属性 </w:t>
            </w:r>
          </w:p>
        </w:tc>
        <w:tc>
          <w:tcPr>
            <w:tcW w:w="383" w:type="pct"/>
            <w:tcBorders>
              <w:top w:val="single" w:color="auto" w:sz="4" w:space="0"/>
              <w:left w:val="single" w:color="auto" w:sz="4" w:space="0"/>
              <w:bottom w:val="single" w:color="auto" w:sz="4" w:space="0"/>
              <w:right w:val="single" w:color="auto" w:sz="4" w:space="0"/>
            </w:tcBorders>
            <w:vAlign w:val="center"/>
          </w:tcPr>
          <w:p w14:paraId="047D16B9">
            <w:pPr>
              <w:pStyle w:val="85"/>
              <w:autoSpaceDE w:val="0"/>
              <w:autoSpaceDN w:val="0"/>
              <w:spacing w:line="240" w:lineRule="auto"/>
              <w:ind w:firstLine="0" w:firstLineChars="0"/>
              <w:rPr>
                <w:rFonts w:ascii="宋体" w:hAnsi="宋体"/>
                <w:kern w:val="2"/>
                <w:sz w:val="21"/>
                <w:szCs w:val="21"/>
                <w:lang w:eastAsia="zh-CN"/>
              </w:rPr>
            </w:pPr>
            <w:r>
              <w:rPr>
                <w:rFonts w:hint="eastAsia" w:ascii="宋体" w:hAnsi="宋体"/>
                <w:kern w:val="2"/>
                <w:sz w:val="21"/>
                <w:szCs w:val="21"/>
                <w:lang w:eastAsia="zh-CN"/>
              </w:rPr>
              <w:t>管控纬度</w:t>
            </w:r>
          </w:p>
        </w:tc>
        <w:tc>
          <w:tcPr>
            <w:tcW w:w="3454" w:type="pct"/>
            <w:tcBorders>
              <w:top w:val="single" w:color="auto" w:sz="4" w:space="0"/>
              <w:left w:val="single" w:color="auto" w:sz="4" w:space="0"/>
              <w:bottom w:val="single" w:color="auto" w:sz="4" w:space="0"/>
              <w:right w:val="single" w:color="auto" w:sz="4" w:space="0"/>
            </w:tcBorders>
            <w:vAlign w:val="center"/>
          </w:tcPr>
          <w:p w14:paraId="4DDD57A7">
            <w:pPr>
              <w:pStyle w:val="85"/>
              <w:autoSpaceDE w:val="0"/>
              <w:autoSpaceDN w:val="0"/>
              <w:spacing w:line="240" w:lineRule="auto"/>
              <w:ind w:firstLine="0" w:firstLineChars="0"/>
              <w:rPr>
                <w:rFonts w:ascii="宋体" w:hAnsi="宋体"/>
                <w:kern w:val="2"/>
                <w:sz w:val="21"/>
                <w:szCs w:val="21"/>
                <w:lang w:eastAsia="zh-CN"/>
              </w:rPr>
            </w:pPr>
            <w:r>
              <w:rPr>
                <w:rFonts w:ascii="宋体" w:hAnsi="宋体"/>
                <w:kern w:val="2"/>
                <w:sz w:val="21"/>
                <w:szCs w:val="21"/>
                <w:lang w:eastAsia="zh-CN"/>
              </w:rPr>
              <w:t xml:space="preserve">管控要求 </w:t>
            </w:r>
          </w:p>
        </w:tc>
        <w:tc>
          <w:tcPr>
            <w:tcW w:w="573" w:type="pct"/>
            <w:tcBorders>
              <w:top w:val="single" w:color="auto" w:sz="4" w:space="0"/>
              <w:left w:val="single" w:color="auto" w:sz="4" w:space="0"/>
              <w:bottom w:val="single" w:color="auto" w:sz="4" w:space="0"/>
              <w:right w:val="single" w:color="auto" w:sz="4" w:space="0"/>
            </w:tcBorders>
            <w:vAlign w:val="center"/>
          </w:tcPr>
          <w:p w14:paraId="3F786E18">
            <w:pPr>
              <w:pStyle w:val="85"/>
              <w:autoSpaceDE w:val="0"/>
              <w:autoSpaceDN w:val="0"/>
              <w:spacing w:line="240" w:lineRule="auto"/>
              <w:ind w:firstLine="0" w:firstLineChars="0"/>
              <w:rPr>
                <w:rFonts w:ascii="宋体" w:hAnsi="宋体"/>
                <w:kern w:val="2"/>
                <w:sz w:val="21"/>
                <w:szCs w:val="21"/>
                <w:lang w:eastAsia="zh-CN"/>
              </w:rPr>
            </w:pPr>
            <w:r>
              <w:rPr>
                <w:rFonts w:ascii="宋体" w:hAnsi="宋体"/>
                <w:kern w:val="2"/>
                <w:sz w:val="21"/>
                <w:szCs w:val="21"/>
                <w:lang w:eastAsia="zh-CN"/>
              </w:rPr>
              <w:t xml:space="preserve">拟建项目 相关内容 </w:t>
            </w:r>
          </w:p>
        </w:tc>
        <w:tc>
          <w:tcPr>
            <w:tcW w:w="273" w:type="pct"/>
            <w:tcBorders>
              <w:top w:val="single" w:color="auto" w:sz="4" w:space="0"/>
              <w:left w:val="single" w:color="auto" w:sz="4" w:space="0"/>
              <w:bottom w:val="single" w:color="auto" w:sz="4" w:space="0"/>
              <w:right w:val="single" w:color="auto" w:sz="4" w:space="0"/>
            </w:tcBorders>
            <w:vAlign w:val="center"/>
          </w:tcPr>
          <w:p w14:paraId="0A24730D">
            <w:pPr>
              <w:pStyle w:val="85"/>
              <w:autoSpaceDE w:val="0"/>
              <w:autoSpaceDN w:val="0"/>
              <w:spacing w:line="240" w:lineRule="auto"/>
              <w:ind w:firstLine="0" w:firstLineChars="0"/>
              <w:rPr>
                <w:rFonts w:ascii="宋体" w:hAnsi="宋体"/>
                <w:kern w:val="2"/>
                <w:sz w:val="21"/>
                <w:szCs w:val="21"/>
                <w:lang w:eastAsia="zh-CN"/>
              </w:rPr>
            </w:pPr>
            <w:r>
              <w:rPr>
                <w:rFonts w:ascii="宋体" w:hAnsi="宋体"/>
                <w:kern w:val="2"/>
                <w:sz w:val="21"/>
                <w:szCs w:val="21"/>
                <w:lang w:eastAsia="zh-CN"/>
              </w:rPr>
              <w:t>分析 结果</w:t>
            </w:r>
          </w:p>
        </w:tc>
      </w:tr>
      <w:tr w14:paraId="00FCE260">
        <w:tblPrEx>
          <w:tblCellMar>
            <w:top w:w="0" w:type="dxa"/>
            <w:left w:w="0" w:type="dxa"/>
            <w:bottom w:w="0" w:type="dxa"/>
            <w:right w:w="0" w:type="dxa"/>
          </w:tblCellMar>
        </w:tblPrEx>
        <w:tc>
          <w:tcPr>
            <w:tcW w:w="317" w:type="pct"/>
            <w:vMerge w:val="restart"/>
            <w:tcBorders>
              <w:top w:val="single" w:color="auto" w:sz="4" w:space="0"/>
              <w:left w:val="single" w:color="auto" w:sz="4" w:space="0"/>
              <w:bottom w:val="single" w:color="auto" w:sz="4" w:space="0"/>
              <w:right w:val="single" w:color="auto" w:sz="4" w:space="0"/>
            </w:tcBorders>
            <w:vAlign w:val="center"/>
          </w:tcPr>
          <w:p w14:paraId="0D843248">
            <w:pPr>
              <w:pStyle w:val="85"/>
              <w:autoSpaceDE w:val="0"/>
              <w:autoSpaceDN w:val="0"/>
              <w:spacing w:line="240" w:lineRule="auto"/>
              <w:ind w:firstLine="0" w:firstLineChars="0"/>
              <w:rPr>
                <w:rFonts w:ascii="宋体" w:hAnsi="宋体"/>
                <w:kern w:val="2"/>
                <w:sz w:val="21"/>
                <w:szCs w:val="21"/>
                <w:lang w:eastAsia="zh-CN"/>
              </w:rPr>
            </w:pPr>
            <w:r>
              <w:rPr>
                <w:rFonts w:hint="eastAsia" w:ascii="宋体" w:hAnsi="宋体"/>
                <w:kern w:val="2"/>
                <w:sz w:val="21"/>
                <w:szCs w:val="21"/>
                <w:lang w:eastAsia="zh-CN"/>
              </w:rPr>
              <w:t>湿地自然公园</w:t>
            </w:r>
          </w:p>
        </w:tc>
        <w:tc>
          <w:tcPr>
            <w:tcW w:w="383" w:type="pct"/>
            <w:tcBorders>
              <w:top w:val="single" w:color="auto" w:sz="4" w:space="0"/>
              <w:left w:val="single" w:color="auto" w:sz="4" w:space="0"/>
              <w:bottom w:val="single" w:color="auto" w:sz="4" w:space="0"/>
              <w:right w:val="single" w:color="auto" w:sz="4" w:space="0"/>
            </w:tcBorders>
            <w:vAlign w:val="center"/>
          </w:tcPr>
          <w:p w14:paraId="5CFDEBB3">
            <w:pPr>
              <w:pStyle w:val="85"/>
              <w:autoSpaceDE w:val="0"/>
              <w:autoSpaceDN w:val="0"/>
              <w:spacing w:line="240" w:lineRule="auto"/>
              <w:ind w:firstLine="0" w:firstLineChars="0"/>
              <w:rPr>
                <w:rFonts w:ascii="宋体" w:hAnsi="宋体"/>
                <w:kern w:val="2"/>
                <w:sz w:val="21"/>
                <w:szCs w:val="21"/>
                <w:lang w:eastAsia="zh-CN"/>
              </w:rPr>
            </w:pPr>
            <w:r>
              <w:rPr>
                <w:rFonts w:hint="eastAsia" w:ascii="宋体" w:hAnsi="宋体"/>
                <w:kern w:val="2"/>
                <w:sz w:val="21"/>
                <w:szCs w:val="21"/>
                <w:lang w:eastAsia="zh-CN"/>
              </w:rPr>
              <w:t>空间布局约束</w:t>
            </w:r>
          </w:p>
        </w:tc>
        <w:tc>
          <w:tcPr>
            <w:tcW w:w="3454" w:type="pct"/>
            <w:tcBorders>
              <w:top w:val="single" w:color="auto" w:sz="4" w:space="0"/>
              <w:left w:val="single" w:color="auto" w:sz="4" w:space="0"/>
              <w:bottom w:val="single" w:color="auto" w:sz="4" w:space="0"/>
              <w:right w:val="single" w:color="auto" w:sz="4" w:space="0"/>
            </w:tcBorders>
            <w:vAlign w:val="center"/>
          </w:tcPr>
          <w:p w14:paraId="4A9D6905">
            <w:pPr>
              <w:pStyle w:val="85"/>
              <w:autoSpaceDE w:val="0"/>
              <w:autoSpaceDN w:val="0"/>
              <w:spacing w:line="240" w:lineRule="auto"/>
              <w:ind w:firstLine="0" w:firstLineChars="0"/>
              <w:rPr>
                <w:rFonts w:ascii="宋体" w:hAnsi="宋体"/>
                <w:kern w:val="2"/>
                <w:sz w:val="21"/>
                <w:szCs w:val="21"/>
                <w:lang w:eastAsia="zh-CN"/>
              </w:rPr>
            </w:pPr>
            <w:r>
              <w:rPr>
                <w:rFonts w:ascii="宋体" w:hAnsi="宋体"/>
                <w:kern w:val="2"/>
                <w:sz w:val="21"/>
                <w:szCs w:val="21"/>
                <w:lang w:eastAsia="zh-CN"/>
              </w:rPr>
              <w:t>……</w:t>
            </w:r>
          </w:p>
          <w:p w14:paraId="09CF3A5A">
            <w:pPr>
              <w:pStyle w:val="85"/>
              <w:autoSpaceDE w:val="0"/>
              <w:autoSpaceDN w:val="0"/>
              <w:spacing w:line="240" w:lineRule="auto"/>
              <w:ind w:firstLine="0" w:firstLineChars="0"/>
              <w:rPr>
                <w:rFonts w:ascii="宋体" w:hAnsi="宋体"/>
                <w:kern w:val="2"/>
                <w:sz w:val="21"/>
                <w:szCs w:val="21"/>
                <w:lang w:eastAsia="zh-CN"/>
              </w:rPr>
            </w:pPr>
            <w:r>
              <w:rPr>
                <w:rFonts w:hint="eastAsia" w:ascii="宋体" w:hAnsi="宋体"/>
                <w:kern w:val="2"/>
                <w:sz w:val="21"/>
                <w:szCs w:val="21"/>
                <w:lang w:eastAsia="zh-CN"/>
              </w:rPr>
              <w:t>3.禁止擅自在国家级湿地自然公园内从事采矿、房地产、开发区、高尔夫球场、风力光伏电场等不符合管控要求的开发活动。</w:t>
            </w:r>
          </w:p>
          <w:p w14:paraId="50D689B9">
            <w:pPr>
              <w:pStyle w:val="85"/>
              <w:autoSpaceDE w:val="0"/>
              <w:autoSpaceDN w:val="0"/>
              <w:spacing w:line="240" w:lineRule="auto"/>
              <w:ind w:firstLine="0" w:firstLineChars="0"/>
              <w:rPr>
                <w:rFonts w:ascii="宋体" w:hAnsi="宋体"/>
                <w:kern w:val="2"/>
                <w:sz w:val="21"/>
                <w:szCs w:val="21"/>
                <w:lang w:eastAsia="zh-CN"/>
              </w:rPr>
            </w:pPr>
            <w:r>
              <w:rPr>
                <w:rFonts w:hint="eastAsia" w:ascii="宋体" w:hAnsi="宋体"/>
                <w:kern w:val="2"/>
                <w:sz w:val="21"/>
                <w:szCs w:val="21"/>
                <w:lang w:eastAsia="zh-CN"/>
              </w:rPr>
              <w:t>4.禁止在湿地内从事下列行为：</w:t>
            </w:r>
          </w:p>
          <w:p w14:paraId="6DFE3821">
            <w:pPr>
              <w:pStyle w:val="85"/>
              <w:autoSpaceDE w:val="0"/>
              <w:autoSpaceDN w:val="0"/>
              <w:spacing w:line="240" w:lineRule="auto"/>
              <w:ind w:firstLine="0" w:firstLineChars="0"/>
              <w:rPr>
                <w:rFonts w:ascii="宋体" w:hAnsi="宋体"/>
                <w:kern w:val="2"/>
                <w:sz w:val="21"/>
                <w:szCs w:val="21"/>
                <w:lang w:eastAsia="zh-CN"/>
              </w:rPr>
            </w:pPr>
            <w:r>
              <w:rPr>
                <w:rFonts w:hint="eastAsia" w:ascii="宋体" w:hAnsi="宋体"/>
                <w:kern w:val="2"/>
                <w:sz w:val="21"/>
                <w:szCs w:val="21"/>
                <w:lang w:eastAsia="zh-CN"/>
              </w:rPr>
              <w:t>（1）擅自占用、围垦、填埋或者排干湿地；</w:t>
            </w:r>
          </w:p>
          <w:p w14:paraId="4CBC34FC">
            <w:pPr>
              <w:pStyle w:val="85"/>
              <w:autoSpaceDE w:val="0"/>
              <w:autoSpaceDN w:val="0"/>
              <w:spacing w:line="240" w:lineRule="auto"/>
              <w:ind w:firstLine="0" w:firstLineChars="0"/>
              <w:rPr>
                <w:rFonts w:ascii="宋体" w:hAnsi="宋体"/>
                <w:kern w:val="2"/>
                <w:sz w:val="21"/>
                <w:szCs w:val="21"/>
                <w:lang w:eastAsia="zh-CN"/>
              </w:rPr>
            </w:pPr>
            <w:r>
              <w:rPr>
                <w:rFonts w:hint="eastAsia" w:ascii="宋体" w:hAnsi="宋体"/>
                <w:kern w:val="2"/>
                <w:sz w:val="21"/>
                <w:szCs w:val="21"/>
                <w:lang w:eastAsia="zh-CN"/>
              </w:rPr>
              <w:t>（2）擅自取用或者截断湿地水源；</w:t>
            </w:r>
          </w:p>
          <w:p w14:paraId="6B499012">
            <w:pPr>
              <w:pStyle w:val="85"/>
              <w:autoSpaceDE w:val="0"/>
              <w:autoSpaceDN w:val="0"/>
              <w:spacing w:line="240" w:lineRule="auto"/>
              <w:ind w:firstLine="0" w:firstLineChars="0"/>
              <w:rPr>
                <w:rFonts w:ascii="宋体" w:hAnsi="宋体"/>
                <w:kern w:val="2"/>
                <w:sz w:val="21"/>
                <w:szCs w:val="21"/>
                <w:lang w:eastAsia="zh-CN"/>
              </w:rPr>
            </w:pPr>
            <w:r>
              <w:rPr>
                <w:rFonts w:hint="eastAsia" w:ascii="宋体" w:hAnsi="宋体"/>
                <w:kern w:val="2"/>
                <w:sz w:val="21"/>
                <w:szCs w:val="21"/>
                <w:lang w:eastAsia="zh-CN"/>
              </w:rPr>
              <w:t>（3）破坏水生动物洄游通道或者野生动物栖息地；</w:t>
            </w:r>
          </w:p>
          <w:p w14:paraId="0028EB4B">
            <w:pPr>
              <w:pStyle w:val="85"/>
              <w:autoSpaceDE w:val="0"/>
              <w:autoSpaceDN w:val="0"/>
              <w:spacing w:line="240" w:lineRule="auto"/>
              <w:ind w:firstLine="0" w:firstLineChars="0"/>
              <w:rPr>
                <w:rFonts w:ascii="宋体" w:hAnsi="宋体"/>
                <w:kern w:val="2"/>
                <w:sz w:val="21"/>
                <w:szCs w:val="21"/>
                <w:lang w:eastAsia="zh-CN"/>
              </w:rPr>
            </w:pPr>
            <w:r>
              <w:rPr>
                <w:rFonts w:hint="eastAsia" w:ascii="宋体" w:hAnsi="宋体"/>
                <w:kern w:val="2"/>
                <w:sz w:val="21"/>
                <w:szCs w:val="21"/>
                <w:lang w:eastAsia="zh-CN"/>
              </w:rPr>
              <w:t>（4）擅自采砂、 取土；</w:t>
            </w:r>
          </w:p>
          <w:p w14:paraId="3CD74D53">
            <w:pPr>
              <w:pStyle w:val="85"/>
              <w:autoSpaceDE w:val="0"/>
              <w:autoSpaceDN w:val="0"/>
              <w:spacing w:line="240" w:lineRule="auto"/>
              <w:ind w:firstLine="0" w:firstLineChars="0"/>
              <w:rPr>
                <w:rFonts w:ascii="宋体" w:hAnsi="宋体"/>
                <w:kern w:val="2"/>
                <w:sz w:val="21"/>
                <w:szCs w:val="21"/>
                <w:lang w:eastAsia="zh-CN"/>
              </w:rPr>
            </w:pPr>
            <w:r>
              <w:rPr>
                <w:rFonts w:hint="eastAsia" w:ascii="宋体" w:hAnsi="宋体"/>
                <w:kern w:val="2"/>
                <w:sz w:val="21"/>
                <w:szCs w:val="21"/>
                <w:lang w:eastAsia="zh-CN"/>
              </w:rPr>
              <w:t>（5）向湿地违法排污；</w:t>
            </w:r>
          </w:p>
          <w:p w14:paraId="2ABE4205">
            <w:pPr>
              <w:pStyle w:val="85"/>
              <w:autoSpaceDE w:val="0"/>
              <w:autoSpaceDN w:val="0"/>
              <w:spacing w:line="240" w:lineRule="auto"/>
              <w:ind w:firstLine="0" w:firstLineChars="0"/>
              <w:rPr>
                <w:rFonts w:ascii="宋体" w:hAnsi="宋体"/>
                <w:kern w:val="2"/>
                <w:sz w:val="21"/>
                <w:szCs w:val="21"/>
                <w:lang w:eastAsia="zh-CN"/>
              </w:rPr>
            </w:pPr>
            <w:r>
              <w:rPr>
                <w:rFonts w:hint="eastAsia" w:ascii="宋体" w:hAnsi="宋体"/>
                <w:kern w:val="2"/>
                <w:sz w:val="21"/>
                <w:szCs w:val="21"/>
                <w:lang w:eastAsia="zh-CN"/>
              </w:rPr>
              <w:t>（6）捡拾鸟卵， 捕猎野生动物；</w:t>
            </w:r>
          </w:p>
          <w:p w14:paraId="5FF78C03">
            <w:pPr>
              <w:pStyle w:val="85"/>
              <w:autoSpaceDE w:val="0"/>
              <w:autoSpaceDN w:val="0"/>
              <w:spacing w:line="240" w:lineRule="auto"/>
              <w:ind w:firstLine="0" w:firstLineChars="0"/>
              <w:rPr>
                <w:rFonts w:ascii="宋体" w:hAnsi="宋体"/>
                <w:kern w:val="2"/>
                <w:sz w:val="21"/>
                <w:szCs w:val="21"/>
                <w:lang w:eastAsia="zh-CN"/>
              </w:rPr>
            </w:pPr>
            <w:r>
              <w:rPr>
                <w:rFonts w:hint="eastAsia" w:ascii="宋体" w:hAnsi="宋体"/>
                <w:kern w:val="2"/>
                <w:sz w:val="21"/>
                <w:szCs w:val="21"/>
                <w:lang w:eastAsia="zh-CN"/>
              </w:rPr>
              <w:t>（7）擅自引进外来物种；</w:t>
            </w:r>
          </w:p>
          <w:p w14:paraId="36C332E5">
            <w:pPr>
              <w:pStyle w:val="85"/>
              <w:autoSpaceDE w:val="0"/>
              <w:autoSpaceDN w:val="0"/>
              <w:spacing w:line="240" w:lineRule="auto"/>
              <w:ind w:firstLine="0" w:firstLineChars="0"/>
              <w:rPr>
                <w:rFonts w:ascii="宋体" w:hAnsi="宋体"/>
                <w:kern w:val="2"/>
                <w:sz w:val="21"/>
                <w:szCs w:val="21"/>
                <w:lang w:eastAsia="zh-CN"/>
              </w:rPr>
            </w:pPr>
            <w:r>
              <w:rPr>
                <w:rFonts w:hint="eastAsia" w:ascii="宋体" w:hAnsi="宋体"/>
                <w:kern w:val="2"/>
                <w:sz w:val="21"/>
                <w:szCs w:val="21"/>
                <w:lang w:eastAsia="zh-CN"/>
              </w:rPr>
              <w:t>（8）破坏或者移动湿地界标、围栏、围网等保护设施；</w:t>
            </w:r>
          </w:p>
          <w:p w14:paraId="798452EE">
            <w:pPr>
              <w:pStyle w:val="85"/>
              <w:autoSpaceDE w:val="0"/>
              <w:autoSpaceDN w:val="0"/>
              <w:spacing w:line="240" w:lineRule="auto"/>
              <w:ind w:firstLine="0" w:firstLineChars="0"/>
              <w:rPr>
                <w:rFonts w:ascii="宋体" w:hAnsi="宋体"/>
                <w:kern w:val="2"/>
                <w:sz w:val="21"/>
                <w:szCs w:val="21"/>
                <w:lang w:eastAsia="zh-CN"/>
              </w:rPr>
            </w:pPr>
            <w:r>
              <w:rPr>
                <w:rFonts w:hint="eastAsia" w:ascii="宋体" w:hAnsi="宋体"/>
                <w:kern w:val="2"/>
                <w:sz w:val="21"/>
                <w:szCs w:val="21"/>
                <w:lang w:eastAsia="zh-CN"/>
              </w:rPr>
              <w:t>（9）其他破坏湿地及其生态功能或者改变湿地用途的行为。</w:t>
            </w:r>
          </w:p>
          <w:p w14:paraId="646E6933">
            <w:pPr>
              <w:pStyle w:val="85"/>
              <w:autoSpaceDE w:val="0"/>
              <w:autoSpaceDN w:val="0"/>
              <w:spacing w:line="240" w:lineRule="auto"/>
              <w:ind w:firstLine="0" w:firstLineChars="0"/>
              <w:rPr>
                <w:rFonts w:ascii="宋体" w:hAnsi="宋体"/>
                <w:kern w:val="2"/>
                <w:sz w:val="21"/>
                <w:szCs w:val="21"/>
                <w:lang w:eastAsia="zh-CN"/>
              </w:rPr>
            </w:pPr>
            <w:r>
              <w:rPr>
                <w:rFonts w:hint="eastAsia" w:ascii="宋体" w:hAnsi="宋体"/>
                <w:kern w:val="2"/>
                <w:sz w:val="21"/>
                <w:szCs w:val="21"/>
                <w:lang w:eastAsia="zh-CN"/>
              </w:rPr>
              <w:t>5.任何单位和个人不得擅自占用湿地或者改变湿地用途。</w:t>
            </w:r>
          </w:p>
          <w:p w14:paraId="31761ED2">
            <w:pPr>
              <w:pStyle w:val="85"/>
              <w:autoSpaceDE w:val="0"/>
              <w:autoSpaceDN w:val="0"/>
              <w:spacing w:line="240" w:lineRule="auto"/>
              <w:ind w:firstLine="0" w:firstLineChars="0"/>
              <w:rPr>
                <w:rFonts w:ascii="宋体" w:hAnsi="宋体"/>
                <w:kern w:val="2"/>
                <w:sz w:val="21"/>
                <w:szCs w:val="21"/>
                <w:lang w:eastAsia="zh-CN"/>
              </w:rPr>
            </w:pPr>
            <w:r>
              <w:rPr>
                <w:rFonts w:hint="eastAsia" w:ascii="宋体" w:hAnsi="宋体"/>
                <w:kern w:val="2"/>
                <w:sz w:val="21"/>
                <w:szCs w:val="21"/>
                <w:lang w:eastAsia="zh-CN"/>
              </w:rPr>
              <w:t>6.国家级湿地公园应划定保育区。根据自然条件和管理需要， 可划分恢复重建区、合理利用区， 实行分区管理。保育区除开展保护、监测、科学研究等必需的保护管理活动外，不得进</w:t>
            </w:r>
          </w:p>
          <w:p w14:paraId="1448160F">
            <w:pPr>
              <w:pStyle w:val="85"/>
              <w:autoSpaceDE w:val="0"/>
              <w:autoSpaceDN w:val="0"/>
              <w:spacing w:line="240" w:lineRule="auto"/>
              <w:ind w:firstLine="0" w:firstLineChars="0"/>
              <w:rPr>
                <w:rFonts w:ascii="宋体" w:hAnsi="宋体"/>
                <w:kern w:val="2"/>
                <w:sz w:val="21"/>
                <w:szCs w:val="21"/>
                <w:lang w:eastAsia="zh-CN"/>
              </w:rPr>
            </w:pPr>
            <w:r>
              <w:rPr>
                <w:rFonts w:hint="eastAsia" w:ascii="宋体" w:hAnsi="宋体"/>
                <w:kern w:val="2"/>
                <w:sz w:val="21"/>
                <w:szCs w:val="21"/>
                <w:lang w:eastAsia="zh-CN"/>
              </w:rPr>
              <w:t>行任何与湿地生态系统保护和管理无关的其他活动。</w:t>
            </w:r>
          </w:p>
        </w:tc>
        <w:tc>
          <w:tcPr>
            <w:tcW w:w="573" w:type="pct"/>
            <w:tcBorders>
              <w:top w:val="single" w:color="auto" w:sz="4" w:space="0"/>
              <w:left w:val="single" w:color="auto" w:sz="4" w:space="0"/>
              <w:bottom w:val="single" w:color="auto" w:sz="4" w:space="0"/>
              <w:right w:val="single" w:color="auto" w:sz="4" w:space="0"/>
            </w:tcBorders>
            <w:vAlign w:val="center"/>
          </w:tcPr>
          <w:p w14:paraId="14D52244">
            <w:pPr>
              <w:pStyle w:val="85"/>
              <w:autoSpaceDE w:val="0"/>
              <w:autoSpaceDN w:val="0"/>
              <w:spacing w:line="240" w:lineRule="auto"/>
              <w:ind w:firstLine="0" w:firstLineChars="0"/>
              <w:rPr>
                <w:rFonts w:ascii="宋体" w:hAnsi="宋体"/>
                <w:kern w:val="2"/>
                <w:sz w:val="21"/>
                <w:szCs w:val="21"/>
                <w:lang w:eastAsia="zh-CN"/>
              </w:rPr>
            </w:pPr>
            <w:r>
              <w:rPr>
                <w:rFonts w:hint="eastAsia" w:ascii="宋体" w:hAnsi="宋体"/>
                <w:kern w:val="2"/>
                <w:sz w:val="21"/>
                <w:szCs w:val="21"/>
                <w:lang w:eastAsia="zh-CN"/>
              </w:rPr>
              <w:t>本项目采用河道基底修复及微地形梳理、构建恢复生态缓冲带、水生态构建及水生植物恢复等措施对河道进行生态修复，不属于禁止从事的事项。</w:t>
            </w:r>
          </w:p>
        </w:tc>
        <w:tc>
          <w:tcPr>
            <w:tcW w:w="273" w:type="pct"/>
            <w:tcBorders>
              <w:top w:val="single" w:color="auto" w:sz="4" w:space="0"/>
              <w:left w:val="single" w:color="auto" w:sz="4" w:space="0"/>
              <w:bottom w:val="single" w:color="auto" w:sz="4" w:space="0"/>
              <w:right w:val="single" w:color="auto" w:sz="4" w:space="0"/>
            </w:tcBorders>
            <w:vAlign w:val="center"/>
          </w:tcPr>
          <w:p w14:paraId="376035CE">
            <w:pPr>
              <w:pStyle w:val="85"/>
              <w:autoSpaceDE w:val="0"/>
              <w:autoSpaceDN w:val="0"/>
              <w:spacing w:line="240" w:lineRule="auto"/>
              <w:ind w:firstLine="0" w:firstLineChars="0"/>
              <w:rPr>
                <w:rFonts w:ascii="宋体" w:hAnsi="宋体"/>
                <w:kern w:val="2"/>
                <w:sz w:val="21"/>
                <w:szCs w:val="21"/>
                <w:lang w:eastAsia="zh-CN"/>
              </w:rPr>
            </w:pPr>
            <w:r>
              <w:rPr>
                <w:rFonts w:hint="eastAsia" w:ascii="宋体" w:hAnsi="宋体"/>
                <w:kern w:val="2"/>
                <w:sz w:val="21"/>
                <w:szCs w:val="21"/>
                <w:lang w:eastAsia="zh-CN"/>
              </w:rPr>
              <w:t>符合</w:t>
            </w:r>
          </w:p>
        </w:tc>
      </w:tr>
      <w:tr w14:paraId="57E214E1">
        <w:tblPrEx>
          <w:tblCellMar>
            <w:top w:w="0" w:type="dxa"/>
            <w:left w:w="0" w:type="dxa"/>
            <w:bottom w:w="0" w:type="dxa"/>
            <w:right w:w="0" w:type="dxa"/>
          </w:tblCellMar>
        </w:tblPrEx>
        <w:tc>
          <w:tcPr>
            <w:tcW w:w="317" w:type="pct"/>
            <w:vMerge w:val="continue"/>
            <w:tcBorders>
              <w:top w:val="single" w:color="auto" w:sz="4" w:space="0"/>
              <w:left w:val="single" w:color="auto" w:sz="4" w:space="0"/>
              <w:bottom w:val="single" w:color="auto" w:sz="4" w:space="0"/>
              <w:right w:val="single" w:color="auto" w:sz="4" w:space="0"/>
            </w:tcBorders>
            <w:vAlign w:val="center"/>
          </w:tcPr>
          <w:p w14:paraId="00853BBE">
            <w:pPr>
              <w:pStyle w:val="85"/>
              <w:autoSpaceDE w:val="0"/>
              <w:autoSpaceDN w:val="0"/>
              <w:spacing w:line="240" w:lineRule="auto"/>
              <w:ind w:firstLine="0" w:firstLineChars="0"/>
              <w:rPr>
                <w:rFonts w:ascii="宋体" w:hAnsi="宋体"/>
                <w:kern w:val="2"/>
                <w:sz w:val="21"/>
                <w:szCs w:val="21"/>
                <w:lang w:eastAsia="zh-CN"/>
              </w:rPr>
            </w:pPr>
          </w:p>
        </w:tc>
        <w:tc>
          <w:tcPr>
            <w:tcW w:w="383" w:type="pct"/>
            <w:tcBorders>
              <w:top w:val="single" w:color="auto" w:sz="4" w:space="0"/>
              <w:left w:val="single" w:color="auto" w:sz="4" w:space="0"/>
              <w:bottom w:val="single" w:color="auto" w:sz="4" w:space="0"/>
              <w:right w:val="single" w:color="auto" w:sz="4" w:space="0"/>
            </w:tcBorders>
            <w:vAlign w:val="center"/>
          </w:tcPr>
          <w:p w14:paraId="1251AAB7">
            <w:pPr>
              <w:pStyle w:val="85"/>
              <w:autoSpaceDE w:val="0"/>
              <w:autoSpaceDN w:val="0"/>
              <w:spacing w:line="240" w:lineRule="auto"/>
              <w:ind w:firstLine="0" w:firstLineChars="0"/>
              <w:rPr>
                <w:rFonts w:ascii="宋体" w:hAnsi="宋体"/>
                <w:kern w:val="2"/>
                <w:sz w:val="21"/>
                <w:szCs w:val="21"/>
                <w:lang w:eastAsia="zh-CN"/>
              </w:rPr>
            </w:pPr>
            <w:r>
              <w:rPr>
                <w:rFonts w:hint="eastAsia" w:ascii="宋体" w:hAnsi="宋体"/>
                <w:kern w:val="2"/>
                <w:sz w:val="21"/>
                <w:szCs w:val="21"/>
                <w:lang w:eastAsia="zh-CN"/>
              </w:rPr>
              <w:t>污染物排放管控</w:t>
            </w:r>
          </w:p>
        </w:tc>
        <w:tc>
          <w:tcPr>
            <w:tcW w:w="3454" w:type="pct"/>
            <w:tcBorders>
              <w:top w:val="single" w:color="auto" w:sz="4" w:space="0"/>
              <w:left w:val="single" w:color="auto" w:sz="4" w:space="0"/>
              <w:bottom w:val="single" w:color="auto" w:sz="4" w:space="0"/>
              <w:right w:val="single" w:color="auto" w:sz="4" w:space="0"/>
            </w:tcBorders>
            <w:vAlign w:val="center"/>
          </w:tcPr>
          <w:p w14:paraId="620EE06B">
            <w:pPr>
              <w:pStyle w:val="85"/>
              <w:autoSpaceDE w:val="0"/>
              <w:autoSpaceDN w:val="0"/>
              <w:spacing w:line="240" w:lineRule="auto"/>
              <w:ind w:firstLine="0" w:firstLineChars="0"/>
              <w:rPr>
                <w:rFonts w:ascii="宋体" w:hAnsi="宋体"/>
                <w:kern w:val="2"/>
                <w:sz w:val="21"/>
                <w:szCs w:val="21"/>
                <w:lang w:eastAsia="zh-CN"/>
              </w:rPr>
            </w:pPr>
            <w:r>
              <w:rPr>
                <w:rFonts w:hint="eastAsia" w:ascii="宋体" w:hAnsi="宋体"/>
                <w:kern w:val="2"/>
                <w:sz w:val="21"/>
                <w:szCs w:val="21"/>
                <w:lang w:eastAsia="zh-CN"/>
              </w:rPr>
              <w:t>1、禁止违规侵占国家级湿地自然公园，排放不符合水污染物排放标准的工业废水、生活污水及其他废水、污水，倾倒、堆放、 丢弃、遗撒固体废物等污染生态环境的行为。</w:t>
            </w:r>
          </w:p>
        </w:tc>
        <w:tc>
          <w:tcPr>
            <w:tcW w:w="573" w:type="pct"/>
            <w:tcBorders>
              <w:top w:val="single" w:color="auto" w:sz="4" w:space="0"/>
              <w:left w:val="single" w:color="auto" w:sz="4" w:space="0"/>
              <w:bottom w:val="single" w:color="auto" w:sz="4" w:space="0"/>
              <w:right w:val="single" w:color="auto" w:sz="4" w:space="0"/>
            </w:tcBorders>
            <w:vAlign w:val="center"/>
          </w:tcPr>
          <w:p w14:paraId="6FC44152">
            <w:pPr>
              <w:pStyle w:val="85"/>
              <w:autoSpaceDE w:val="0"/>
              <w:autoSpaceDN w:val="0"/>
              <w:spacing w:line="240" w:lineRule="auto"/>
              <w:ind w:firstLine="0" w:firstLineChars="0"/>
              <w:rPr>
                <w:rFonts w:ascii="宋体" w:hAnsi="宋体"/>
                <w:kern w:val="2"/>
                <w:sz w:val="21"/>
                <w:szCs w:val="21"/>
                <w:lang w:eastAsia="zh-CN"/>
              </w:rPr>
            </w:pPr>
            <w:r>
              <w:rPr>
                <w:rFonts w:hint="eastAsia" w:ascii="宋体" w:hAnsi="宋体"/>
                <w:kern w:val="2"/>
                <w:sz w:val="21"/>
                <w:szCs w:val="21"/>
                <w:lang w:eastAsia="zh-CN"/>
              </w:rPr>
              <w:t>本项目不排放废气、废水、固废污染物</w:t>
            </w:r>
          </w:p>
        </w:tc>
        <w:tc>
          <w:tcPr>
            <w:tcW w:w="273" w:type="pct"/>
            <w:tcBorders>
              <w:top w:val="single" w:color="auto" w:sz="4" w:space="0"/>
              <w:left w:val="single" w:color="auto" w:sz="4" w:space="0"/>
              <w:bottom w:val="single" w:color="auto" w:sz="4" w:space="0"/>
              <w:right w:val="single" w:color="auto" w:sz="4" w:space="0"/>
            </w:tcBorders>
            <w:vAlign w:val="center"/>
          </w:tcPr>
          <w:p w14:paraId="570AE438">
            <w:pPr>
              <w:pStyle w:val="85"/>
              <w:autoSpaceDE w:val="0"/>
              <w:autoSpaceDN w:val="0"/>
              <w:spacing w:line="240" w:lineRule="auto"/>
              <w:ind w:firstLine="0" w:firstLineChars="0"/>
              <w:rPr>
                <w:rFonts w:ascii="宋体" w:hAnsi="宋体"/>
                <w:kern w:val="2"/>
                <w:sz w:val="21"/>
                <w:szCs w:val="21"/>
                <w:lang w:eastAsia="zh-CN"/>
              </w:rPr>
            </w:pPr>
            <w:r>
              <w:rPr>
                <w:rFonts w:hint="eastAsia" w:ascii="宋体" w:hAnsi="宋体"/>
                <w:kern w:val="2"/>
                <w:sz w:val="21"/>
                <w:szCs w:val="21"/>
                <w:lang w:eastAsia="zh-CN"/>
              </w:rPr>
              <w:t>符合</w:t>
            </w:r>
          </w:p>
        </w:tc>
      </w:tr>
      <w:tr w14:paraId="25030466">
        <w:tblPrEx>
          <w:tblCellMar>
            <w:top w:w="0" w:type="dxa"/>
            <w:left w:w="0" w:type="dxa"/>
            <w:bottom w:w="0" w:type="dxa"/>
            <w:right w:w="0" w:type="dxa"/>
          </w:tblCellMar>
        </w:tblPrEx>
        <w:tc>
          <w:tcPr>
            <w:tcW w:w="317" w:type="pct"/>
            <w:vMerge w:val="continue"/>
            <w:tcBorders>
              <w:top w:val="single" w:color="auto" w:sz="4" w:space="0"/>
              <w:left w:val="single" w:color="auto" w:sz="4" w:space="0"/>
              <w:bottom w:val="single" w:color="auto" w:sz="4" w:space="0"/>
              <w:right w:val="single" w:color="auto" w:sz="4" w:space="0"/>
            </w:tcBorders>
            <w:vAlign w:val="center"/>
          </w:tcPr>
          <w:p w14:paraId="1747E218">
            <w:pPr>
              <w:pStyle w:val="85"/>
              <w:autoSpaceDE w:val="0"/>
              <w:autoSpaceDN w:val="0"/>
              <w:spacing w:line="240" w:lineRule="auto"/>
              <w:ind w:firstLine="0" w:firstLineChars="0"/>
              <w:rPr>
                <w:rFonts w:ascii="宋体" w:hAnsi="宋体"/>
                <w:kern w:val="2"/>
                <w:sz w:val="21"/>
                <w:szCs w:val="21"/>
                <w:lang w:eastAsia="zh-CN"/>
              </w:rPr>
            </w:pPr>
          </w:p>
        </w:tc>
        <w:tc>
          <w:tcPr>
            <w:tcW w:w="383" w:type="pct"/>
            <w:tcBorders>
              <w:top w:val="single" w:color="auto" w:sz="4" w:space="0"/>
              <w:left w:val="single" w:color="auto" w:sz="4" w:space="0"/>
              <w:bottom w:val="single" w:color="auto" w:sz="4" w:space="0"/>
              <w:right w:val="single" w:color="auto" w:sz="4" w:space="0"/>
            </w:tcBorders>
            <w:vAlign w:val="center"/>
          </w:tcPr>
          <w:p w14:paraId="3BB96AD7">
            <w:pPr>
              <w:pStyle w:val="85"/>
              <w:autoSpaceDE w:val="0"/>
              <w:autoSpaceDN w:val="0"/>
              <w:spacing w:line="240" w:lineRule="auto"/>
              <w:ind w:firstLine="0" w:firstLineChars="0"/>
              <w:rPr>
                <w:rFonts w:ascii="宋体" w:hAnsi="宋体"/>
                <w:kern w:val="2"/>
                <w:sz w:val="21"/>
                <w:szCs w:val="21"/>
                <w:lang w:eastAsia="zh-CN"/>
              </w:rPr>
            </w:pPr>
            <w:r>
              <w:rPr>
                <w:rFonts w:hint="eastAsia" w:ascii="宋体" w:hAnsi="宋体"/>
                <w:kern w:val="2"/>
                <w:sz w:val="21"/>
                <w:szCs w:val="21"/>
                <w:lang w:eastAsia="zh-CN"/>
              </w:rPr>
              <w:t>环境风险防控</w:t>
            </w:r>
          </w:p>
        </w:tc>
        <w:tc>
          <w:tcPr>
            <w:tcW w:w="3454" w:type="pct"/>
            <w:tcBorders>
              <w:top w:val="single" w:color="auto" w:sz="4" w:space="0"/>
              <w:left w:val="single" w:color="auto" w:sz="4" w:space="0"/>
              <w:bottom w:val="single" w:color="auto" w:sz="4" w:space="0"/>
              <w:right w:val="single" w:color="auto" w:sz="4" w:space="0"/>
            </w:tcBorders>
            <w:vAlign w:val="center"/>
          </w:tcPr>
          <w:p w14:paraId="534495D1">
            <w:pPr>
              <w:pStyle w:val="85"/>
              <w:autoSpaceDE w:val="0"/>
              <w:autoSpaceDN w:val="0"/>
              <w:spacing w:line="240" w:lineRule="auto"/>
              <w:ind w:firstLine="0" w:firstLineChars="0"/>
              <w:rPr>
                <w:rFonts w:ascii="宋体" w:hAnsi="宋体"/>
                <w:kern w:val="2"/>
                <w:sz w:val="21"/>
                <w:szCs w:val="21"/>
                <w:lang w:eastAsia="zh-CN"/>
              </w:rPr>
            </w:pPr>
            <w:r>
              <w:rPr>
                <w:rFonts w:hint="eastAsia" w:ascii="宋体" w:hAnsi="宋体"/>
                <w:kern w:val="2"/>
                <w:sz w:val="21"/>
                <w:szCs w:val="21"/>
                <w:lang w:eastAsia="zh-CN"/>
              </w:rPr>
              <w:t>1.建设项目对湿地生态系统产生影响的， 应当依法进行环境影响评价。</w:t>
            </w:r>
            <w:r>
              <w:rPr>
                <w:rFonts w:hint="eastAsia" w:ascii="宋体" w:hAnsi="宋体"/>
                <w:kern w:val="2"/>
                <w:sz w:val="21"/>
                <w:szCs w:val="21"/>
                <w:lang w:eastAsia="zh-CN"/>
              </w:rPr>
              <w:cr/>
            </w:r>
            <w:r>
              <w:rPr>
                <w:rFonts w:hint="eastAsia" w:ascii="宋体" w:hAnsi="宋体"/>
                <w:kern w:val="2"/>
                <w:sz w:val="21"/>
                <w:szCs w:val="21"/>
                <w:lang w:eastAsia="zh-CN"/>
              </w:rPr>
              <w:t>2.在湿地内从事生产经营、观赏旅游、科学研究、 调查观测、科普教育等活动， 应当避免影响、降低湿地生态功能和对野生生物物种造成损害。</w:t>
            </w:r>
          </w:p>
        </w:tc>
        <w:tc>
          <w:tcPr>
            <w:tcW w:w="573" w:type="pct"/>
            <w:tcBorders>
              <w:top w:val="single" w:color="auto" w:sz="4" w:space="0"/>
              <w:left w:val="single" w:color="auto" w:sz="4" w:space="0"/>
              <w:bottom w:val="single" w:color="auto" w:sz="4" w:space="0"/>
              <w:right w:val="single" w:color="auto" w:sz="4" w:space="0"/>
            </w:tcBorders>
            <w:vAlign w:val="center"/>
          </w:tcPr>
          <w:p w14:paraId="0934595B">
            <w:pPr>
              <w:pStyle w:val="85"/>
              <w:autoSpaceDE w:val="0"/>
              <w:autoSpaceDN w:val="0"/>
              <w:spacing w:line="240" w:lineRule="auto"/>
              <w:ind w:firstLine="0" w:firstLineChars="0"/>
              <w:rPr>
                <w:rFonts w:ascii="宋体" w:hAnsi="宋体"/>
                <w:kern w:val="2"/>
                <w:sz w:val="21"/>
                <w:szCs w:val="21"/>
                <w:lang w:eastAsia="zh-CN"/>
              </w:rPr>
            </w:pPr>
            <w:r>
              <w:rPr>
                <w:rFonts w:hint="eastAsia" w:ascii="宋体" w:hAnsi="宋体"/>
                <w:kern w:val="2"/>
                <w:sz w:val="21"/>
                <w:szCs w:val="21"/>
                <w:lang w:eastAsia="zh-CN"/>
              </w:rPr>
              <w:t>本项目依法编制环境影响报告书。</w:t>
            </w:r>
          </w:p>
        </w:tc>
        <w:tc>
          <w:tcPr>
            <w:tcW w:w="273" w:type="pct"/>
            <w:tcBorders>
              <w:top w:val="single" w:color="auto" w:sz="4" w:space="0"/>
              <w:left w:val="single" w:color="auto" w:sz="4" w:space="0"/>
              <w:bottom w:val="single" w:color="auto" w:sz="4" w:space="0"/>
              <w:right w:val="single" w:color="auto" w:sz="4" w:space="0"/>
            </w:tcBorders>
            <w:vAlign w:val="center"/>
          </w:tcPr>
          <w:p w14:paraId="3854B726">
            <w:pPr>
              <w:pStyle w:val="85"/>
              <w:autoSpaceDE w:val="0"/>
              <w:autoSpaceDN w:val="0"/>
              <w:spacing w:line="240" w:lineRule="auto"/>
              <w:ind w:firstLine="0" w:firstLineChars="0"/>
              <w:rPr>
                <w:rFonts w:ascii="宋体" w:hAnsi="宋体"/>
                <w:kern w:val="2"/>
                <w:sz w:val="21"/>
                <w:szCs w:val="21"/>
                <w:lang w:eastAsia="zh-CN"/>
              </w:rPr>
            </w:pPr>
            <w:r>
              <w:rPr>
                <w:rFonts w:hint="eastAsia" w:ascii="宋体" w:hAnsi="宋体"/>
                <w:kern w:val="2"/>
                <w:sz w:val="21"/>
                <w:szCs w:val="21"/>
                <w:lang w:eastAsia="zh-CN"/>
              </w:rPr>
              <w:t>符合</w:t>
            </w:r>
          </w:p>
        </w:tc>
      </w:tr>
      <w:tr w14:paraId="451B89EE">
        <w:tblPrEx>
          <w:tblCellMar>
            <w:top w:w="0" w:type="dxa"/>
            <w:left w:w="0" w:type="dxa"/>
            <w:bottom w:w="0" w:type="dxa"/>
            <w:right w:w="0" w:type="dxa"/>
          </w:tblCellMar>
        </w:tblPrEx>
        <w:tc>
          <w:tcPr>
            <w:tcW w:w="317" w:type="pct"/>
            <w:vMerge w:val="continue"/>
            <w:tcBorders>
              <w:top w:val="single" w:color="auto" w:sz="4" w:space="0"/>
              <w:left w:val="single" w:color="auto" w:sz="4" w:space="0"/>
              <w:bottom w:val="single" w:color="auto" w:sz="4" w:space="0"/>
              <w:right w:val="single" w:color="auto" w:sz="4" w:space="0"/>
            </w:tcBorders>
            <w:vAlign w:val="center"/>
          </w:tcPr>
          <w:p w14:paraId="7FCC7D7D">
            <w:pPr>
              <w:pStyle w:val="85"/>
              <w:autoSpaceDE w:val="0"/>
              <w:autoSpaceDN w:val="0"/>
              <w:spacing w:line="240" w:lineRule="auto"/>
              <w:ind w:firstLine="0" w:firstLineChars="0"/>
              <w:rPr>
                <w:rFonts w:ascii="宋体" w:hAnsi="宋体"/>
                <w:kern w:val="2"/>
                <w:sz w:val="21"/>
                <w:szCs w:val="21"/>
                <w:lang w:eastAsia="zh-CN"/>
              </w:rPr>
            </w:pPr>
          </w:p>
        </w:tc>
        <w:tc>
          <w:tcPr>
            <w:tcW w:w="383" w:type="pct"/>
            <w:tcBorders>
              <w:top w:val="single" w:color="auto" w:sz="4" w:space="0"/>
              <w:left w:val="single" w:color="auto" w:sz="4" w:space="0"/>
              <w:bottom w:val="single" w:color="auto" w:sz="4" w:space="0"/>
              <w:right w:val="single" w:color="auto" w:sz="4" w:space="0"/>
            </w:tcBorders>
            <w:vAlign w:val="center"/>
          </w:tcPr>
          <w:p w14:paraId="62F72CB4">
            <w:pPr>
              <w:pStyle w:val="85"/>
              <w:autoSpaceDE w:val="0"/>
              <w:autoSpaceDN w:val="0"/>
              <w:spacing w:line="240" w:lineRule="auto"/>
              <w:ind w:firstLine="0" w:firstLineChars="0"/>
              <w:rPr>
                <w:rFonts w:ascii="宋体" w:hAnsi="宋体"/>
                <w:kern w:val="2"/>
                <w:sz w:val="21"/>
                <w:szCs w:val="21"/>
                <w:lang w:eastAsia="zh-CN"/>
              </w:rPr>
            </w:pPr>
            <w:r>
              <w:rPr>
                <w:rFonts w:hint="eastAsia" w:ascii="宋体" w:hAnsi="宋体"/>
                <w:kern w:val="2"/>
                <w:sz w:val="21"/>
                <w:szCs w:val="21"/>
                <w:lang w:eastAsia="zh-CN"/>
              </w:rPr>
              <w:t>资源利用效率</w:t>
            </w:r>
          </w:p>
        </w:tc>
        <w:tc>
          <w:tcPr>
            <w:tcW w:w="3454" w:type="pct"/>
            <w:tcBorders>
              <w:top w:val="single" w:color="auto" w:sz="4" w:space="0"/>
              <w:left w:val="single" w:color="auto" w:sz="4" w:space="0"/>
              <w:bottom w:val="single" w:color="auto" w:sz="4" w:space="0"/>
              <w:right w:val="single" w:color="auto" w:sz="4" w:space="0"/>
            </w:tcBorders>
            <w:vAlign w:val="center"/>
          </w:tcPr>
          <w:p w14:paraId="3F7ADED1">
            <w:pPr>
              <w:pStyle w:val="85"/>
              <w:autoSpaceDE w:val="0"/>
              <w:autoSpaceDN w:val="0"/>
              <w:spacing w:line="240" w:lineRule="auto"/>
              <w:ind w:firstLine="0" w:firstLineChars="0"/>
              <w:rPr>
                <w:rFonts w:ascii="宋体" w:hAnsi="宋体"/>
                <w:kern w:val="2"/>
                <w:sz w:val="21"/>
                <w:szCs w:val="21"/>
                <w:lang w:eastAsia="zh-CN"/>
              </w:rPr>
            </w:pPr>
            <w:r>
              <w:rPr>
                <w:rFonts w:hint="eastAsia" w:ascii="宋体" w:hAnsi="宋体"/>
                <w:kern w:val="2"/>
                <w:sz w:val="21"/>
                <w:szCs w:val="21"/>
                <w:lang w:eastAsia="zh-CN"/>
              </w:rPr>
              <w:t>1.湿地公园管理机构应当定期组织开展湿地资源调查和动态监测， 建立档案， 并根据监测情</w:t>
            </w:r>
            <w:r>
              <w:rPr>
                <w:rFonts w:hint="eastAsia" w:ascii="宋体" w:hAnsi="宋体"/>
                <w:kern w:val="2"/>
                <w:sz w:val="21"/>
                <w:szCs w:val="21"/>
                <w:lang w:eastAsia="zh-CN"/>
              </w:rPr>
              <w:cr/>
            </w:r>
            <w:r>
              <w:rPr>
                <w:rFonts w:hint="eastAsia" w:ascii="宋体" w:hAnsi="宋体"/>
                <w:kern w:val="2"/>
                <w:sz w:val="21"/>
                <w:szCs w:val="21"/>
                <w:lang w:eastAsia="zh-CN"/>
              </w:rPr>
              <w:t>况采取相应的保护管理措施。</w:t>
            </w:r>
            <w:r>
              <w:rPr>
                <w:rFonts w:hint="eastAsia" w:ascii="宋体" w:hAnsi="宋体"/>
                <w:kern w:val="2"/>
                <w:sz w:val="21"/>
                <w:szCs w:val="21"/>
                <w:lang w:eastAsia="zh-CN"/>
              </w:rPr>
              <w:cr/>
            </w:r>
            <w:r>
              <w:rPr>
                <w:rFonts w:hint="eastAsia" w:ascii="宋体" w:hAnsi="宋体"/>
                <w:kern w:val="2"/>
                <w:sz w:val="21"/>
                <w:szCs w:val="21"/>
                <w:lang w:eastAsia="zh-CN"/>
              </w:rPr>
              <w:t>2.湿地自然公园管理单位引导、 支持自然公园内及周边居民发展具有当地特色的绿色产业，</w:t>
            </w:r>
            <w:r>
              <w:rPr>
                <w:rFonts w:hint="eastAsia" w:ascii="宋体" w:hAnsi="宋体"/>
                <w:kern w:val="2"/>
                <w:sz w:val="21"/>
                <w:szCs w:val="21"/>
                <w:lang w:eastAsia="zh-CN"/>
              </w:rPr>
              <w:cr/>
            </w:r>
            <w:r>
              <w:rPr>
                <w:rFonts w:hint="eastAsia" w:ascii="宋体" w:hAnsi="宋体"/>
                <w:kern w:val="2"/>
                <w:sz w:val="21"/>
                <w:szCs w:val="21"/>
                <w:lang w:eastAsia="zh-CN"/>
              </w:rPr>
              <w:t>提供优质生态产品， 培育生态品牌。</w:t>
            </w:r>
            <w:r>
              <w:rPr>
                <w:rFonts w:hint="eastAsia" w:ascii="宋体" w:hAnsi="宋体"/>
                <w:kern w:val="2"/>
                <w:sz w:val="21"/>
                <w:szCs w:val="21"/>
                <w:lang w:eastAsia="zh-CN"/>
              </w:rPr>
              <w:cr/>
            </w:r>
            <w:r>
              <w:rPr>
                <w:rFonts w:hint="eastAsia" w:ascii="宋体" w:hAnsi="宋体"/>
                <w:kern w:val="2"/>
                <w:sz w:val="21"/>
                <w:szCs w:val="21"/>
                <w:lang w:eastAsia="zh-CN"/>
              </w:rPr>
              <w:t>3.利用湿地资源应当符合湿地保护规划， 维护湿地资源的可持续利用， 不得超出湿地资源的</w:t>
            </w:r>
            <w:r>
              <w:rPr>
                <w:rFonts w:hint="eastAsia" w:ascii="宋体" w:hAnsi="宋体"/>
                <w:kern w:val="2"/>
                <w:sz w:val="21"/>
                <w:szCs w:val="21"/>
                <w:lang w:eastAsia="zh-CN"/>
              </w:rPr>
              <w:cr/>
            </w:r>
            <w:r>
              <w:rPr>
                <w:rFonts w:hint="eastAsia" w:ascii="宋体" w:hAnsi="宋体"/>
                <w:kern w:val="2"/>
                <w:sz w:val="21"/>
                <w:szCs w:val="21"/>
                <w:lang w:eastAsia="zh-CN"/>
              </w:rPr>
              <w:t>承载能力。</w:t>
            </w:r>
          </w:p>
        </w:tc>
        <w:tc>
          <w:tcPr>
            <w:tcW w:w="573" w:type="pct"/>
            <w:tcBorders>
              <w:top w:val="single" w:color="auto" w:sz="4" w:space="0"/>
              <w:left w:val="single" w:color="auto" w:sz="4" w:space="0"/>
              <w:bottom w:val="single" w:color="auto" w:sz="4" w:space="0"/>
              <w:right w:val="single" w:color="auto" w:sz="4" w:space="0"/>
            </w:tcBorders>
            <w:vAlign w:val="center"/>
          </w:tcPr>
          <w:p w14:paraId="67C2C134">
            <w:pPr>
              <w:pStyle w:val="85"/>
              <w:autoSpaceDE w:val="0"/>
              <w:autoSpaceDN w:val="0"/>
              <w:spacing w:line="240" w:lineRule="auto"/>
              <w:ind w:firstLine="0" w:firstLineChars="0"/>
              <w:rPr>
                <w:rFonts w:ascii="宋体" w:hAnsi="宋体"/>
                <w:kern w:val="2"/>
                <w:sz w:val="21"/>
                <w:szCs w:val="21"/>
                <w:lang w:eastAsia="zh-CN"/>
              </w:rPr>
            </w:pPr>
            <w:r>
              <w:rPr>
                <w:rFonts w:hint="eastAsia" w:ascii="宋体" w:hAnsi="宋体"/>
                <w:kern w:val="2"/>
                <w:sz w:val="21"/>
                <w:szCs w:val="21"/>
                <w:lang w:eastAsia="zh-CN"/>
              </w:rPr>
              <w:t>本项目不涉及湿地资源利用</w:t>
            </w:r>
          </w:p>
        </w:tc>
        <w:tc>
          <w:tcPr>
            <w:tcW w:w="273" w:type="pct"/>
            <w:tcBorders>
              <w:top w:val="single" w:color="auto" w:sz="4" w:space="0"/>
              <w:left w:val="single" w:color="auto" w:sz="4" w:space="0"/>
              <w:bottom w:val="single" w:color="auto" w:sz="4" w:space="0"/>
              <w:right w:val="single" w:color="auto" w:sz="4" w:space="0"/>
            </w:tcBorders>
            <w:vAlign w:val="center"/>
          </w:tcPr>
          <w:p w14:paraId="357ADA75">
            <w:pPr>
              <w:pStyle w:val="85"/>
              <w:autoSpaceDE w:val="0"/>
              <w:autoSpaceDN w:val="0"/>
              <w:spacing w:line="240" w:lineRule="auto"/>
              <w:ind w:firstLine="0" w:firstLineChars="0"/>
              <w:rPr>
                <w:rFonts w:ascii="宋体" w:hAnsi="宋体"/>
                <w:kern w:val="2"/>
                <w:sz w:val="21"/>
                <w:szCs w:val="21"/>
                <w:lang w:eastAsia="zh-CN"/>
              </w:rPr>
            </w:pPr>
            <w:r>
              <w:rPr>
                <w:rFonts w:hint="eastAsia" w:ascii="宋体" w:hAnsi="宋体"/>
                <w:kern w:val="2"/>
                <w:sz w:val="21"/>
                <w:szCs w:val="21"/>
                <w:lang w:eastAsia="zh-CN"/>
              </w:rPr>
              <w:t>不涉及</w:t>
            </w:r>
          </w:p>
        </w:tc>
      </w:tr>
      <w:tr w14:paraId="0C496BC0">
        <w:tblPrEx>
          <w:tblCellMar>
            <w:top w:w="0" w:type="dxa"/>
            <w:left w:w="0" w:type="dxa"/>
            <w:bottom w:w="0" w:type="dxa"/>
            <w:right w:w="0" w:type="dxa"/>
          </w:tblCellMar>
        </w:tblPrEx>
        <w:tc>
          <w:tcPr>
            <w:tcW w:w="5000" w:type="pct"/>
            <w:gridSpan w:val="5"/>
            <w:tcBorders>
              <w:top w:val="single" w:color="auto" w:sz="4" w:space="0"/>
              <w:left w:val="single" w:color="auto" w:sz="4" w:space="0"/>
              <w:bottom w:val="single" w:color="auto" w:sz="4" w:space="0"/>
              <w:right w:val="single" w:color="auto" w:sz="4" w:space="0"/>
            </w:tcBorders>
            <w:vAlign w:val="center"/>
          </w:tcPr>
          <w:p w14:paraId="5E76BD4F">
            <w:pPr>
              <w:pStyle w:val="85"/>
              <w:autoSpaceDE w:val="0"/>
              <w:autoSpaceDN w:val="0"/>
              <w:spacing w:line="240" w:lineRule="auto"/>
              <w:ind w:firstLine="0" w:firstLineChars="0"/>
              <w:jc w:val="center"/>
              <w:rPr>
                <w:rFonts w:ascii="宋体" w:hAnsi="宋体"/>
                <w:kern w:val="0"/>
                <w:sz w:val="21"/>
                <w:szCs w:val="21"/>
                <w:lang w:eastAsia="en-US"/>
              </w:rPr>
            </w:pPr>
            <w:r>
              <w:rPr>
                <w:rFonts w:hint="eastAsia" w:ascii="宋体" w:hAnsi="宋体"/>
                <w:kern w:val="0"/>
                <w:sz w:val="21"/>
                <w:szCs w:val="21"/>
                <w:lang w:eastAsia="zh-CN"/>
              </w:rPr>
              <w:t>一般生态空间</w:t>
            </w:r>
          </w:p>
        </w:tc>
      </w:tr>
      <w:tr w14:paraId="06666979">
        <w:tblPrEx>
          <w:tblCellMar>
            <w:top w:w="0" w:type="dxa"/>
            <w:left w:w="0" w:type="dxa"/>
            <w:bottom w:w="0" w:type="dxa"/>
            <w:right w:w="0" w:type="dxa"/>
          </w:tblCellMar>
        </w:tblPrEx>
        <w:tc>
          <w:tcPr>
            <w:tcW w:w="4154" w:type="pct"/>
            <w:gridSpan w:val="3"/>
            <w:tcBorders>
              <w:top w:val="single" w:color="auto" w:sz="4" w:space="0"/>
              <w:left w:val="single" w:color="auto" w:sz="4" w:space="0"/>
              <w:bottom w:val="single" w:color="auto" w:sz="4" w:space="0"/>
              <w:right w:val="single" w:color="auto" w:sz="4" w:space="0"/>
            </w:tcBorders>
            <w:vAlign w:val="center"/>
          </w:tcPr>
          <w:p w14:paraId="02E0A517">
            <w:pPr>
              <w:pStyle w:val="85"/>
              <w:autoSpaceDE w:val="0"/>
              <w:autoSpaceDN w:val="0"/>
              <w:spacing w:line="240" w:lineRule="auto"/>
              <w:ind w:firstLine="0" w:firstLineChars="0"/>
              <w:rPr>
                <w:rFonts w:ascii="宋体" w:hAnsi="宋体"/>
                <w:kern w:val="0"/>
                <w:sz w:val="21"/>
                <w:szCs w:val="21"/>
                <w:lang w:eastAsia="zh-CN"/>
              </w:rPr>
            </w:pPr>
            <w:r>
              <w:rPr>
                <w:rFonts w:hint="eastAsia" w:ascii="宋体" w:hAnsi="宋体"/>
                <w:kern w:val="2"/>
                <w:sz w:val="21"/>
                <w:szCs w:val="21"/>
                <w:lang w:eastAsia="zh-CN"/>
              </w:rPr>
              <w:t>本项目不涉及一般生态空间中关于总体管控高要求、水源涵养型、防风固沙型、禁止开发建设活动的要求、限制开发建设活动的要求</w:t>
            </w:r>
          </w:p>
        </w:tc>
        <w:tc>
          <w:tcPr>
            <w:tcW w:w="573" w:type="pct"/>
            <w:tcBorders>
              <w:top w:val="single" w:color="auto" w:sz="4" w:space="0"/>
              <w:left w:val="single" w:color="auto" w:sz="4" w:space="0"/>
              <w:bottom w:val="single" w:color="auto" w:sz="4" w:space="0"/>
              <w:right w:val="single" w:color="auto" w:sz="4" w:space="0"/>
            </w:tcBorders>
            <w:vAlign w:val="center"/>
          </w:tcPr>
          <w:p w14:paraId="7F2A1494">
            <w:pPr>
              <w:pStyle w:val="85"/>
              <w:autoSpaceDE w:val="0"/>
              <w:autoSpaceDN w:val="0"/>
              <w:spacing w:line="240" w:lineRule="auto"/>
              <w:ind w:firstLine="0" w:firstLineChars="0"/>
              <w:rPr>
                <w:rFonts w:ascii="宋体" w:hAnsi="宋体"/>
                <w:kern w:val="0"/>
                <w:sz w:val="21"/>
                <w:szCs w:val="21"/>
                <w:lang w:eastAsia="zh-CN"/>
              </w:rPr>
            </w:pPr>
            <w:r>
              <w:rPr>
                <w:rFonts w:hint="eastAsia" w:ascii="宋体" w:hAnsi="宋体"/>
                <w:kern w:val="0"/>
                <w:sz w:val="21"/>
                <w:szCs w:val="21"/>
                <w:lang w:eastAsia="zh-CN"/>
              </w:rPr>
              <w:t>不涉及</w:t>
            </w:r>
          </w:p>
        </w:tc>
        <w:tc>
          <w:tcPr>
            <w:tcW w:w="273" w:type="pct"/>
            <w:tcBorders>
              <w:top w:val="single" w:color="auto" w:sz="4" w:space="0"/>
              <w:left w:val="single" w:color="auto" w:sz="4" w:space="0"/>
              <w:bottom w:val="single" w:color="auto" w:sz="4" w:space="0"/>
              <w:right w:val="single" w:color="auto" w:sz="4" w:space="0"/>
            </w:tcBorders>
            <w:vAlign w:val="center"/>
          </w:tcPr>
          <w:p w14:paraId="0C647EF0">
            <w:pPr>
              <w:pStyle w:val="85"/>
              <w:autoSpaceDE w:val="0"/>
              <w:autoSpaceDN w:val="0"/>
              <w:spacing w:line="240" w:lineRule="auto"/>
              <w:ind w:firstLine="0" w:firstLineChars="0"/>
              <w:rPr>
                <w:rFonts w:ascii="宋体" w:hAnsi="宋体"/>
                <w:kern w:val="0"/>
                <w:sz w:val="21"/>
                <w:szCs w:val="21"/>
                <w:lang w:eastAsia="zh-CN"/>
              </w:rPr>
            </w:pPr>
            <w:r>
              <w:rPr>
                <w:rFonts w:hint="eastAsia" w:ascii="宋体" w:hAnsi="宋体"/>
                <w:kern w:val="0"/>
                <w:sz w:val="21"/>
                <w:szCs w:val="21"/>
                <w:lang w:eastAsia="zh-CN"/>
              </w:rPr>
              <w:t>不涉及</w:t>
            </w:r>
          </w:p>
        </w:tc>
      </w:tr>
      <w:tr w14:paraId="4A3B7401">
        <w:tblPrEx>
          <w:tblCellMar>
            <w:top w:w="0" w:type="dxa"/>
            <w:left w:w="0" w:type="dxa"/>
            <w:bottom w:w="0" w:type="dxa"/>
            <w:right w:w="0" w:type="dxa"/>
          </w:tblCellMar>
        </w:tblPrEx>
        <w:tc>
          <w:tcPr>
            <w:tcW w:w="5000" w:type="pct"/>
            <w:gridSpan w:val="5"/>
            <w:tcBorders>
              <w:top w:val="single" w:color="auto" w:sz="4" w:space="0"/>
              <w:left w:val="single" w:color="auto" w:sz="4" w:space="0"/>
              <w:bottom w:val="single" w:color="auto" w:sz="4" w:space="0"/>
              <w:right w:val="single" w:color="auto" w:sz="4" w:space="0"/>
            </w:tcBorders>
            <w:vAlign w:val="center"/>
          </w:tcPr>
          <w:p w14:paraId="6B201E68">
            <w:pPr>
              <w:pStyle w:val="85"/>
              <w:autoSpaceDE w:val="0"/>
              <w:autoSpaceDN w:val="0"/>
              <w:spacing w:line="240" w:lineRule="auto"/>
              <w:ind w:firstLine="0" w:firstLineChars="0"/>
              <w:jc w:val="center"/>
              <w:rPr>
                <w:rFonts w:ascii="宋体" w:hAnsi="宋体"/>
                <w:kern w:val="0"/>
                <w:sz w:val="21"/>
                <w:szCs w:val="21"/>
                <w:lang w:eastAsia="en-US"/>
              </w:rPr>
            </w:pPr>
            <w:r>
              <w:rPr>
                <w:rFonts w:hint="eastAsia" w:ascii="宋体" w:hAnsi="宋体"/>
                <w:kern w:val="0"/>
                <w:sz w:val="21"/>
                <w:szCs w:val="21"/>
                <w:lang w:eastAsia="zh-CN"/>
              </w:rPr>
              <w:t>水环境总体要求</w:t>
            </w:r>
          </w:p>
        </w:tc>
      </w:tr>
      <w:tr w14:paraId="345EF601">
        <w:tblPrEx>
          <w:tblCellMar>
            <w:top w:w="0" w:type="dxa"/>
            <w:left w:w="0" w:type="dxa"/>
            <w:bottom w:w="0" w:type="dxa"/>
            <w:right w:w="0" w:type="dxa"/>
          </w:tblCellMar>
        </w:tblPrEx>
        <w:tc>
          <w:tcPr>
            <w:tcW w:w="4154" w:type="pct"/>
            <w:gridSpan w:val="3"/>
            <w:tcBorders>
              <w:top w:val="single" w:color="auto" w:sz="4" w:space="0"/>
              <w:left w:val="single" w:color="auto" w:sz="4" w:space="0"/>
              <w:bottom w:val="single" w:color="auto" w:sz="4" w:space="0"/>
              <w:right w:val="single" w:color="auto" w:sz="4" w:space="0"/>
            </w:tcBorders>
            <w:vAlign w:val="center"/>
          </w:tcPr>
          <w:p w14:paraId="490CAC4A">
            <w:pPr>
              <w:pStyle w:val="85"/>
              <w:autoSpaceDE w:val="0"/>
              <w:autoSpaceDN w:val="0"/>
              <w:spacing w:line="240" w:lineRule="auto"/>
              <w:ind w:firstLine="0" w:firstLineChars="0"/>
              <w:rPr>
                <w:rFonts w:ascii="宋体" w:hAnsi="宋体"/>
                <w:kern w:val="0"/>
                <w:sz w:val="21"/>
                <w:szCs w:val="21"/>
                <w:lang w:eastAsia="zh-CN"/>
              </w:rPr>
            </w:pPr>
            <w:r>
              <w:rPr>
                <w:rFonts w:hint="eastAsia" w:ascii="宋体" w:hAnsi="宋体"/>
                <w:kern w:val="2"/>
                <w:sz w:val="21"/>
                <w:szCs w:val="21"/>
                <w:lang w:eastAsia="zh-CN"/>
              </w:rPr>
              <w:t>本项目不涉及水环境总体要求中关于空间布局约束、污染物排放管控、环境风险防控、资源利用效率等相关要求。</w:t>
            </w:r>
          </w:p>
        </w:tc>
        <w:tc>
          <w:tcPr>
            <w:tcW w:w="573" w:type="pct"/>
            <w:tcBorders>
              <w:top w:val="single" w:color="auto" w:sz="4" w:space="0"/>
              <w:left w:val="single" w:color="auto" w:sz="4" w:space="0"/>
              <w:bottom w:val="single" w:color="auto" w:sz="4" w:space="0"/>
              <w:right w:val="single" w:color="auto" w:sz="4" w:space="0"/>
            </w:tcBorders>
            <w:vAlign w:val="center"/>
          </w:tcPr>
          <w:p w14:paraId="063A77BD">
            <w:pPr>
              <w:pStyle w:val="85"/>
              <w:autoSpaceDE w:val="0"/>
              <w:autoSpaceDN w:val="0"/>
              <w:spacing w:line="240" w:lineRule="auto"/>
              <w:ind w:firstLine="0" w:firstLineChars="0"/>
              <w:rPr>
                <w:rFonts w:ascii="宋体" w:hAnsi="宋体"/>
                <w:kern w:val="0"/>
                <w:sz w:val="21"/>
                <w:szCs w:val="21"/>
                <w:lang w:eastAsia="zh-CN"/>
              </w:rPr>
            </w:pPr>
            <w:r>
              <w:rPr>
                <w:rFonts w:hint="eastAsia" w:ascii="宋体" w:hAnsi="宋体"/>
                <w:kern w:val="0"/>
                <w:sz w:val="21"/>
                <w:szCs w:val="21"/>
                <w:lang w:eastAsia="zh-CN"/>
              </w:rPr>
              <w:t>不涉及</w:t>
            </w:r>
          </w:p>
        </w:tc>
        <w:tc>
          <w:tcPr>
            <w:tcW w:w="273" w:type="pct"/>
            <w:tcBorders>
              <w:top w:val="single" w:color="auto" w:sz="4" w:space="0"/>
              <w:left w:val="single" w:color="auto" w:sz="4" w:space="0"/>
              <w:bottom w:val="single" w:color="auto" w:sz="4" w:space="0"/>
              <w:right w:val="single" w:color="auto" w:sz="4" w:space="0"/>
            </w:tcBorders>
            <w:vAlign w:val="center"/>
          </w:tcPr>
          <w:p w14:paraId="6D71733E">
            <w:pPr>
              <w:pStyle w:val="85"/>
              <w:autoSpaceDE w:val="0"/>
              <w:autoSpaceDN w:val="0"/>
              <w:spacing w:line="240" w:lineRule="auto"/>
              <w:ind w:firstLine="0" w:firstLineChars="0"/>
              <w:rPr>
                <w:rFonts w:ascii="宋体" w:hAnsi="宋体"/>
                <w:kern w:val="0"/>
                <w:sz w:val="21"/>
                <w:szCs w:val="21"/>
                <w:lang w:eastAsia="zh-CN"/>
              </w:rPr>
            </w:pPr>
            <w:r>
              <w:rPr>
                <w:rFonts w:hint="eastAsia" w:ascii="宋体" w:hAnsi="宋体"/>
                <w:kern w:val="0"/>
                <w:sz w:val="21"/>
                <w:szCs w:val="21"/>
                <w:lang w:eastAsia="zh-CN"/>
              </w:rPr>
              <w:t>不涉及</w:t>
            </w:r>
          </w:p>
        </w:tc>
      </w:tr>
      <w:tr w14:paraId="60534E38">
        <w:tblPrEx>
          <w:tblCellMar>
            <w:top w:w="0" w:type="dxa"/>
            <w:left w:w="0" w:type="dxa"/>
            <w:bottom w:w="0" w:type="dxa"/>
            <w:right w:w="0" w:type="dxa"/>
          </w:tblCellMar>
        </w:tblPrEx>
        <w:tc>
          <w:tcPr>
            <w:tcW w:w="5000" w:type="pct"/>
            <w:gridSpan w:val="5"/>
            <w:tcBorders>
              <w:top w:val="single" w:color="auto" w:sz="4" w:space="0"/>
              <w:left w:val="single" w:color="auto" w:sz="4" w:space="0"/>
              <w:bottom w:val="single" w:color="auto" w:sz="4" w:space="0"/>
              <w:right w:val="single" w:color="auto" w:sz="4" w:space="0"/>
            </w:tcBorders>
            <w:vAlign w:val="center"/>
          </w:tcPr>
          <w:p w14:paraId="11ED86A6">
            <w:pPr>
              <w:pStyle w:val="85"/>
              <w:autoSpaceDE w:val="0"/>
              <w:autoSpaceDN w:val="0"/>
              <w:spacing w:line="240" w:lineRule="auto"/>
              <w:ind w:firstLine="0" w:firstLineChars="0"/>
              <w:jc w:val="center"/>
              <w:rPr>
                <w:rFonts w:ascii="宋体" w:hAnsi="宋体"/>
                <w:kern w:val="0"/>
                <w:sz w:val="21"/>
                <w:szCs w:val="21"/>
                <w:lang w:eastAsia="zh-CN"/>
              </w:rPr>
            </w:pPr>
            <w:r>
              <w:rPr>
                <w:rFonts w:hint="eastAsia" w:ascii="宋体" w:hAnsi="宋体"/>
                <w:kern w:val="0"/>
                <w:sz w:val="21"/>
                <w:szCs w:val="21"/>
                <w:lang w:eastAsia="zh-CN"/>
              </w:rPr>
              <w:t>大气环境总体要求</w:t>
            </w:r>
          </w:p>
        </w:tc>
      </w:tr>
      <w:tr w14:paraId="30F40507">
        <w:tblPrEx>
          <w:tblCellMar>
            <w:top w:w="0" w:type="dxa"/>
            <w:left w:w="0" w:type="dxa"/>
            <w:bottom w:w="0" w:type="dxa"/>
            <w:right w:w="0" w:type="dxa"/>
          </w:tblCellMar>
        </w:tblPrEx>
        <w:tc>
          <w:tcPr>
            <w:tcW w:w="700" w:type="pct"/>
            <w:gridSpan w:val="2"/>
            <w:tcBorders>
              <w:top w:val="single" w:color="auto" w:sz="4" w:space="0"/>
              <w:left w:val="single" w:color="auto" w:sz="4" w:space="0"/>
              <w:bottom w:val="single" w:color="auto" w:sz="4" w:space="0"/>
              <w:right w:val="single" w:color="auto" w:sz="4" w:space="0"/>
            </w:tcBorders>
            <w:vAlign w:val="center"/>
          </w:tcPr>
          <w:p w14:paraId="25CEF7D7">
            <w:pPr>
              <w:pStyle w:val="85"/>
              <w:autoSpaceDE w:val="0"/>
              <w:autoSpaceDN w:val="0"/>
              <w:spacing w:line="240" w:lineRule="auto"/>
              <w:ind w:firstLine="0" w:firstLineChars="0"/>
              <w:rPr>
                <w:rFonts w:ascii="宋体" w:hAnsi="宋体"/>
                <w:kern w:val="0"/>
                <w:sz w:val="21"/>
                <w:szCs w:val="21"/>
                <w:lang w:eastAsia="zh-CN"/>
              </w:rPr>
            </w:pPr>
            <w:r>
              <w:rPr>
                <w:rFonts w:hint="eastAsia" w:ascii="宋体" w:hAnsi="宋体"/>
                <w:kern w:val="0"/>
                <w:sz w:val="21"/>
                <w:szCs w:val="21"/>
                <w:lang w:eastAsia="zh-CN"/>
              </w:rPr>
              <w:t>管控纬度</w:t>
            </w:r>
          </w:p>
        </w:tc>
        <w:tc>
          <w:tcPr>
            <w:tcW w:w="3454" w:type="pct"/>
            <w:tcBorders>
              <w:top w:val="single" w:color="auto" w:sz="4" w:space="0"/>
              <w:left w:val="single" w:color="auto" w:sz="4" w:space="0"/>
              <w:bottom w:val="single" w:color="auto" w:sz="4" w:space="0"/>
              <w:right w:val="single" w:color="auto" w:sz="4" w:space="0"/>
            </w:tcBorders>
            <w:vAlign w:val="center"/>
          </w:tcPr>
          <w:p w14:paraId="1006B293">
            <w:pPr>
              <w:pStyle w:val="85"/>
              <w:autoSpaceDE w:val="0"/>
              <w:autoSpaceDN w:val="0"/>
              <w:spacing w:line="240" w:lineRule="auto"/>
              <w:ind w:firstLine="0" w:firstLineChars="0"/>
              <w:rPr>
                <w:rFonts w:ascii="宋体" w:hAnsi="宋体"/>
                <w:kern w:val="0"/>
                <w:sz w:val="21"/>
                <w:szCs w:val="21"/>
                <w:lang w:eastAsia="zh-CN"/>
              </w:rPr>
            </w:pPr>
            <w:r>
              <w:rPr>
                <w:rFonts w:hint="eastAsia" w:ascii="宋体" w:hAnsi="宋体"/>
                <w:kern w:val="0"/>
                <w:sz w:val="21"/>
                <w:szCs w:val="21"/>
                <w:lang w:eastAsia="zh-CN"/>
              </w:rPr>
              <w:t>管理要求</w:t>
            </w:r>
          </w:p>
        </w:tc>
        <w:tc>
          <w:tcPr>
            <w:tcW w:w="573" w:type="pct"/>
            <w:tcBorders>
              <w:top w:val="single" w:color="auto" w:sz="4" w:space="0"/>
              <w:left w:val="single" w:color="auto" w:sz="4" w:space="0"/>
              <w:bottom w:val="single" w:color="auto" w:sz="4" w:space="0"/>
              <w:right w:val="single" w:color="auto" w:sz="4" w:space="0"/>
            </w:tcBorders>
            <w:vAlign w:val="center"/>
          </w:tcPr>
          <w:p w14:paraId="6BFD5F1B">
            <w:pPr>
              <w:pStyle w:val="85"/>
              <w:autoSpaceDE w:val="0"/>
              <w:autoSpaceDN w:val="0"/>
              <w:spacing w:line="240" w:lineRule="auto"/>
              <w:ind w:firstLine="0" w:firstLineChars="0"/>
              <w:rPr>
                <w:rFonts w:ascii="宋体" w:hAnsi="宋体"/>
                <w:kern w:val="0"/>
                <w:sz w:val="21"/>
                <w:szCs w:val="21"/>
                <w:lang w:eastAsia="zh-CN"/>
              </w:rPr>
            </w:pPr>
            <w:r>
              <w:rPr>
                <w:rFonts w:hint="eastAsia" w:ascii="宋体" w:hAnsi="宋体"/>
                <w:kern w:val="0"/>
                <w:sz w:val="21"/>
                <w:szCs w:val="21"/>
                <w:lang w:eastAsia="zh-CN"/>
              </w:rPr>
              <w:t>本项目</w:t>
            </w:r>
          </w:p>
        </w:tc>
        <w:tc>
          <w:tcPr>
            <w:tcW w:w="273" w:type="pct"/>
            <w:tcBorders>
              <w:top w:val="single" w:color="auto" w:sz="4" w:space="0"/>
              <w:left w:val="single" w:color="auto" w:sz="4" w:space="0"/>
              <w:bottom w:val="single" w:color="auto" w:sz="4" w:space="0"/>
              <w:right w:val="single" w:color="auto" w:sz="4" w:space="0"/>
            </w:tcBorders>
            <w:vAlign w:val="center"/>
          </w:tcPr>
          <w:p w14:paraId="7236875E">
            <w:pPr>
              <w:pStyle w:val="85"/>
              <w:autoSpaceDE w:val="0"/>
              <w:autoSpaceDN w:val="0"/>
              <w:spacing w:line="240" w:lineRule="auto"/>
              <w:ind w:firstLine="0" w:firstLineChars="0"/>
              <w:rPr>
                <w:rFonts w:ascii="宋体" w:hAnsi="宋体"/>
                <w:kern w:val="0"/>
                <w:sz w:val="21"/>
                <w:szCs w:val="21"/>
                <w:lang w:eastAsia="zh-CN"/>
              </w:rPr>
            </w:pPr>
            <w:r>
              <w:rPr>
                <w:rFonts w:hint="eastAsia" w:ascii="宋体" w:hAnsi="宋体"/>
                <w:kern w:val="0"/>
                <w:sz w:val="21"/>
                <w:szCs w:val="21"/>
                <w:lang w:eastAsia="zh-CN"/>
              </w:rPr>
              <w:t>分析结果</w:t>
            </w:r>
          </w:p>
        </w:tc>
      </w:tr>
      <w:tr w14:paraId="09054EA5">
        <w:tblPrEx>
          <w:tblCellMar>
            <w:top w:w="0" w:type="dxa"/>
            <w:left w:w="0" w:type="dxa"/>
            <w:bottom w:w="0" w:type="dxa"/>
            <w:right w:w="0" w:type="dxa"/>
          </w:tblCellMar>
        </w:tblPrEx>
        <w:tc>
          <w:tcPr>
            <w:tcW w:w="700" w:type="pct"/>
            <w:gridSpan w:val="2"/>
            <w:tcBorders>
              <w:top w:val="single" w:color="auto" w:sz="4" w:space="0"/>
              <w:left w:val="single" w:color="auto" w:sz="4" w:space="0"/>
              <w:bottom w:val="single" w:color="auto" w:sz="4" w:space="0"/>
              <w:right w:val="single" w:color="auto" w:sz="4" w:space="0"/>
            </w:tcBorders>
            <w:vAlign w:val="center"/>
          </w:tcPr>
          <w:p w14:paraId="0FB06512">
            <w:pPr>
              <w:pStyle w:val="85"/>
              <w:autoSpaceDE w:val="0"/>
              <w:autoSpaceDN w:val="0"/>
              <w:spacing w:line="240" w:lineRule="auto"/>
              <w:ind w:firstLine="0" w:firstLineChars="0"/>
              <w:rPr>
                <w:rFonts w:ascii="宋体" w:hAnsi="宋体"/>
                <w:kern w:val="0"/>
                <w:sz w:val="21"/>
                <w:szCs w:val="21"/>
                <w:lang w:eastAsia="en-US"/>
              </w:rPr>
            </w:pPr>
            <w:bookmarkStart w:id="64" w:name="_Hlk195883875"/>
            <w:r>
              <w:rPr>
                <w:rFonts w:hint="eastAsia" w:ascii="宋体" w:hAnsi="宋体"/>
                <w:kern w:val="0"/>
                <w:sz w:val="21"/>
                <w:szCs w:val="21"/>
                <w:lang w:eastAsia="en-US"/>
              </w:rPr>
              <w:t>空间布局约束</w:t>
            </w:r>
          </w:p>
        </w:tc>
        <w:tc>
          <w:tcPr>
            <w:tcW w:w="3454" w:type="pct"/>
            <w:tcBorders>
              <w:top w:val="single" w:color="auto" w:sz="4" w:space="0"/>
              <w:left w:val="single" w:color="auto" w:sz="4" w:space="0"/>
              <w:bottom w:val="single" w:color="auto" w:sz="4" w:space="0"/>
              <w:right w:val="single" w:color="auto" w:sz="4" w:space="0"/>
            </w:tcBorders>
            <w:vAlign w:val="center"/>
          </w:tcPr>
          <w:p w14:paraId="7D220B2C">
            <w:pPr>
              <w:pStyle w:val="85"/>
              <w:autoSpaceDE w:val="0"/>
              <w:autoSpaceDN w:val="0"/>
              <w:spacing w:line="240" w:lineRule="auto"/>
              <w:ind w:firstLine="0" w:firstLineChars="0"/>
              <w:rPr>
                <w:rFonts w:ascii="宋体" w:hAnsi="宋体"/>
                <w:kern w:val="0"/>
                <w:sz w:val="21"/>
                <w:szCs w:val="21"/>
                <w:lang w:eastAsia="zh-CN"/>
              </w:rPr>
            </w:pPr>
            <w:r>
              <w:rPr>
                <w:rFonts w:hint="eastAsia" w:ascii="宋体" w:hAnsi="宋体"/>
                <w:kern w:val="0"/>
                <w:sz w:val="21"/>
                <w:szCs w:val="21"/>
                <w:lang w:eastAsia="zh-CN"/>
              </w:rPr>
              <w:t>本项目不涉及相关空间布局约束管控要求</w:t>
            </w:r>
          </w:p>
        </w:tc>
        <w:tc>
          <w:tcPr>
            <w:tcW w:w="573" w:type="pct"/>
            <w:tcBorders>
              <w:top w:val="single" w:color="auto" w:sz="4" w:space="0"/>
              <w:left w:val="single" w:color="auto" w:sz="4" w:space="0"/>
              <w:bottom w:val="single" w:color="auto" w:sz="4" w:space="0"/>
              <w:right w:val="single" w:color="auto" w:sz="4" w:space="0"/>
            </w:tcBorders>
            <w:vAlign w:val="center"/>
          </w:tcPr>
          <w:p w14:paraId="1E139A90">
            <w:pPr>
              <w:pStyle w:val="85"/>
              <w:autoSpaceDE w:val="0"/>
              <w:autoSpaceDN w:val="0"/>
              <w:spacing w:line="240" w:lineRule="auto"/>
              <w:ind w:firstLine="0" w:firstLineChars="0"/>
              <w:rPr>
                <w:rFonts w:ascii="宋体" w:hAnsi="宋体"/>
                <w:kern w:val="0"/>
                <w:sz w:val="21"/>
                <w:szCs w:val="21"/>
                <w:lang w:eastAsia="en-US"/>
              </w:rPr>
            </w:pPr>
            <w:r>
              <w:rPr>
                <w:rFonts w:hint="eastAsia" w:ascii="宋体" w:hAnsi="宋体"/>
                <w:kern w:val="0"/>
                <w:sz w:val="21"/>
                <w:szCs w:val="21"/>
                <w:lang w:eastAsia="zh-CN"/>
              </w:rPr>
              <w:t>不涉及</w:t>
            </w:r>
          </w:p>
        </w:tc>
        <w:tc>
          <w:tcPr>
            <w:tcW w:w="273" w:type="pct"/>
            <w:tcBorders>
              <w:top w:val="single" w:color="auto" w:sz="4" w:space="0"/>
              <w:left w:val="single" w:color="auto" w:sz="4" w:space="0"/>
              <w:bottom w:val="single" w:color="auto" w:sz="4" w:space="0"/>
              <w:right w:val="single" w:color="auto" w:sz="4" w:space="0"/>
            </w:tcBorders>
            <w:vAlign w:val="center"/>
          </w:tcPr>
          <w:p w14:paraId="711D3849">
            <w:pPr>
              <w:pStyle w:val="85"/>
              <w:autoSpaceDE w:val="0"/>
              <w:autoSpaceDN w:val="0"/>
              <w:spacing w:line="240" w:lineRule="auto"/>
              <w:ind w:firstLine="0" w:firstLineChars="0"/>
              <w:rPr>
                <w:rFonts w:ascii="宋体" w:hAnsi="宋体"/>
                <w:kern w:val="0"/>
                <w:sz w:val="21"/>
                <w:szCs w:val="21"/>
                <w:lang w:eastAsia="en-US"/>
              </w:rPr>
            </w:pPr>
            <w:r>
              <w:rPr>
                <w:rFonts w:hint="eastAsia" w:ascii="宋体" w:hAnsi="宋体"/>
                <w:kern w:val="0"/>
                <w:sz w:val="21"/>
                <w:szCs w:val="21"/>
                <w:lang w:eastAsia="zh-CN"/>
              </w:rPr>
              <w:t>不涉及</w:t>
            </w:r>
          </w:p>
        </w:tc>
      </w:tr>
      <w:bookmarkEnd w:id="64"/>
      <w:tr w14:paraId="358C7368">
        <w:tblPrEx>
          <w:tblCellMar>
            <w:top w:w="0" w:type="dxa"/>
            <w:left w:w="0" w:type="dxa"/>
            <w:bottom w:w="0" w:type="dxa"/>
            <w:right w:w="0" w:type="dxa"/>
          </w:tblCellMar>
        </w:tblPrEx>
        <w:tc>
          <w:tcPr>
            <w:tcW w:w="700" w:type="pct"/>
            <w:gridSpan w:val="2"/>
            <w:tcBorders>
              <w:top w:val="single" w:color="auto" w:sz="4" w:space="0"/>
              <w:left w:val="single" w:color="auto" w:sz="4" w:space="0"/>
              <w:bottom w:val="single" w:color="auto" w:sz="4" w:space="0"/>
              <w:right w:val="single" w:color="auto" w:sz="4" w:space="0"/>
            </w:tcBorders>
            <w:vAlign w:val="center"/>
          </w:tcPr>
          <w:p w14:paraId="5B2A1D82">
            <w:pPr>
              <w:pStyle w:val="85"/>
              <w:autoSpaceDE w:val="0"/>
              <w:autoSpaceDN w:val="0"/>
              <w:spacing w:line="240" w:lineRule="auto"/>
              <w:ind w:firstLine="0" w:firstLineChars="0"/>
              <w:rPr>
                <w:rFonts w:ascii="宋体" w:hAnsi="宋体"/>
                <w:kern w:val="0"/>
                <w:sz w:val="21"/>
                <w:szCs w:val="21"/>
                <w:lang w:eastAsia="en-US"/>
              </w:rPr>
            </w:pPr>
            <w:r>
              <w:rPr>
                <w:rFonts w:hint="eastAsia" w:ascii="宋体" w:hAnsi="宋体"/>
                <w:kern w:val="2"/>
                <w:sz w:val="21"/>
                <w:szCs w:val="21"/>
                <w:lang w:eastAsia="zh-CN"/>
              </w:rPr>
              <w:t>污染物排放管控</w:t>
            </w:r>
          </w:p>
        </w:tc>
        <w:tc>
          <w:tcPr>
            <w:tcW w:w="3454" w:type="pct"/>
            <w:tcBorders>
              <w:top w:val="single" w:color="auto" w:sz="4" w:space="0"/>
              <w:left w:val="single" w:color="auto" w:sz="4" w:space="0"/>
              <w:bottom w:val="single" w:color="auto" w:sz="4" w:space="0"/>
              <w:right w:val="single" w:color="auto" w:sz="4" w:space="0"/>
            </w:tcBorders>
            <w:vAlign w:val="center"/>
          </w:tcPr>
          <w:p w14:paraId="2CC355E4">
            <w:pPr>
              <w:pStyle w:val="85"/>
              <w:autoSpaceDE w:val="0"/>
              <w:autoSpaceDN w:val="0"/>
              <w:spacing w:line="240" w:lineRule="auto"/>
              <w:ind w:firstLine="0" w:firstLineChars="0"/>
              <w:rPr>
                <w:rFonts w:ascii="宋体" w:hAnsi="宋体"/>
                <w:kern w:val="0"/>
                <w:sz w:val="21"/>
                <w:szCs w:val="21"/>
                <w:lang w:eastAsia="zh-CN"/>
              </w:rPr>
            </w:pPr>
            <w:r>
              <w:rPr>
                <w:rFonts w:ascii="宋体" w:hAnsi="宋体"/>
                <w:kern w:val="0"/>
                <w:sz w:val="21"/>
                <w:szCs w:val="21"/>
                <w:lang w:eastAsia="zh-CN"/>
              </w:rPr>
              <w:t>……</w:t>
            </w:r>
          </w:p>
          <w:p w14:paraId="57936794">
            <w:pPr>
              <w:pStyle w:val="85"/>
              <w:autoSpaceDE w:val="0"/>
              <w:autoSpaceDN w:val="0"/>
              <w:spacing w:line="240" w:lineRule="auto"/>
              <w:ind w:firstLine="0" w:firstLineChars="0"/>
              <w:rPr>
                <w:rFonts w:ascii="宋体" w:hAnsi="宋体"/>
                <w:kern w:val="0"/>
                <w:sz w:val="21"/>
                <w:szCs w:val="21"/>
                <w:lang w:eastAsia="zh-CN"/>
              </w:rPr>
            </w:pPr>
            <w:r>
              <w:rPr>
                <w:rFonts w:hint="eastAsia" w:ascii="宋体" w:hAnsi="宋体"/>
                <w:kern w:val="0"/>
                <w:sz w:val="21"/>
                <w:szCs w:val="21"/>
                <w:lang w:eastAsia="zh-CN"/>
              </w:rPr>
              <w:t>7.建筑施工严格贯彻《河北省扬尘污染防治办法》 《河北省施工场地扬尘排放标准》 《河北省建筑施工扬尘防治强化措施 18 条》，压实企业主体责任，建筑施工现场落实“六个百分之百” 和“两个全覆盖”，强化督查执法，对扬尘管控不到位的，依法予以严惩，对建筑市场主体的不良行为信息依法依规纳入建筑市场信用管理体系，情节严重的，列入“黑名单”。</w:t>
            </w:r>
          </w:p>
          <w:p w14:paraId="324926D6">
            <w:pPr>
              <w:pStyle w:val="85"/>
              <w:autoSpaceDE w:val="0"/>
              <w:autoSpaceDN w:val="0"/>
              <w:spacing w:line="240" w:lineRule="auto"/>
              <w:ind w:firstLine="0" w:firstLineChars="0"/>
              <w:rPr>
                <w:rFonts w:ascii="宋体" w:hAnsi="宋体"/>
                <w:kern w:val="0"/>
                <w:sz w:val="21"/>
                <w:szCs w:val="21"/>
                <w:lang w:eastAsia="zh-CN"/>
              </w:rPr>
            </w:pPr>
            <w:r>
              <w:rPr>
                <w:rFonts w:hint="eastAsia" w:ascii="宋体" w:hAnsi="宋体"/>
                <w:kern w:val="0"/>
                <w:sz w:val="21"/>
                <w:szCs w:val="21"/>
                <w:lang w:eastAsia="zh-CN"/>
              </w:rPr>
              <w:t>8.深入实施清洁柴油车（机） 行动， 基本淘汰国一及以下排放标准或使用 15 年以上的工程机械， 具备条件的更换国三及以上排放标准的发动机。 全面实施非道路移动机械第四阶段排放标准， 落实非道路移动机械使用登记管理制度，对超标排放车辆全链条环境监管。 严格执行国六车用乙醇汽油质量标准， 加强劣质油品整治，坚决取缔黑加油站（点）、黑油罐车。</w:t>
            </w:r>
          </w:p>
          <w:p w14:paraId="79BAF943">
            <w:pPr>
              <w:pStyle w:val="85"/>
              <w:autoSpaceDE w:val="0"/>
              <w:autoSpaceDN w:val="0"/>
              <w:spacing w:line="240" w:lineRule="auto"/>
              <w:ind w:firstLine="0" w:firstLineChars="0"/>
              <w:rPr>
                <w:rFonts w:ascii="宋体" w:hAnsi="宋体"/>
                <w:kern w:val="0"/>
                <w:sz w:val="21"/>
                <w:szCs w:val="21"/>
                <w:lang w:eastAsia="zh-CN"/>
              </w:rPr>
            </w:pPr>
            <w:r>
              <w:rPr>
                <w:rFonts w:ascii="宋体" w:hAnsi="宋体"/>
                <w:kern w:val="0"/>
                <w:sz w:val="21"/>
                <w:szCs w:val="21"/>
                <w:lang w:eastAsia="zh-CN"/>
              </w:rPr>
              <w:t>……</w:t>
            </w:r>
          </w:p>
        </w:tc>
        <w:tc>
          <w:tcPr>
            <w:tcW w:w="573" w:type="pct"/>
            <w:tcBorders>
              <w:top w:val="single" w:color="auto" w:sz="4" w:space="0"/>
              <w:left w:val="single" w:color="auto" w:sz="4" w:space="0"/>
              <w:bottom w:val="single" w:color="auto" w:sz="4" w:space="0"/>
              <w:right w:val="single" w:color="auto" w:sz="4" w:space="0"/>
            </w:tcBorders>
            <w:vAlign w:val="center"/>
          </w:tcPr>
          <w:p w14:paraId="14F974E8">
            <w:pPr>
              <w:pStyle w:val="85"/>
              <w:autoSpaceDE w:val="0"/>
              <w:autoSpaceDN w:val="0"/>
              <w:spacing w:line="240" w:lineRule="auto"/>
              <w:ind w:firstLine="0" w:firstLineChars="0"/>
              <w:rPr>
                <w:rFonts w:ascii="宋体" w:hAnsi="宋体"/>
                <w:kern w:val="0"/>
                <w:sz w:val="21"/>
                <w:szCs w:val="21"/>
                <w:lang w:eastAsia="zh-CN"/>
              </w:rPr>
            </w:pPr>
            <w:r>
              <w:rPr>
                <w:rFonts w:hint="eastAsia" w:ascii="宋体" w:hAnsi="宋体"/>
                <w:kern w:val="0"/>
                <w:sz w:val="21"/>
                <w:szCs w:val="21"/>
                <w:lang w:eastAsia="zh-CN"/>
              </w:rPr>
              <w:t>严格施工期管理，满足相关要求</w:t>
            </w:r>
          </w:p>
        </w:tc>
        <w:tc>
          <w:tcPr>
            <w:tcW w:w="273" w:type="pct"/>
            <w:tcBorders>
              <w:top w:val="single" w:color="auto" w:sz="4" w:space="0"/>
              <w:left w:val="single" w:color="auto" w:sz="4" w:space="0"/>
              <w:bottom w:val="single" w:color="auto" w:sz="4" w:space="0"/>
              <w:right w:val="single" w:color="auto" w:sz="4" w:space="0"/>
            </w:tcBorders>
            <w:vAlign w:val="center"/>
          </w:tcPr>
          <w:p w14:paraId="41069B9B">
            <w:pPr>
              <w:pStyle w:val="85"/>
              <w:autoSpaceDE w:val="0"/>
              <w:autoSpaceDN w:val="0"/>
              <w:spacing w:line="240" w:lineRule="auto"/>
              <w:ind w:firstLine="0" w:firstLineChars="0"/>
              <w:rPr>
                <w:rFonts w:ascii="宋体" w:hAnsi="宋体"/>
                <w:kern w:val="0"/>
                <w:sz w:val="21"/>
                <w:szCs w:val="21"/>
                <w:lang w:eastAsia="zh-CN"/>
              </w:rPr>
            </w:pPr>
            <w:r>
              <w:rPr>
                <w:rFonts w:hint="eastAsia" w:ascii="宋体" w:hAnsi="宋体"/>
                <w:kern w:val="0"/>
                <w:sz w:val="21"/>
                <w:szCs w:val="21"/>
                <w:lang w:eastAsia="zh-CN"/>
              </w:rPr>
              <w:t>符合</w:t>
            </w:r>
          </w:p>
        </w:tc>
      </w:tr>
      <w:tr w14:paraId="339F92FB">
        <w:tblPrEx>
          <w:tblCellMar>
            <w:top w:w="0" w:type="dxa"/>
            <w:left w:w="0" w:type="dxa"/>
            <w:bottom w:w="0" w:type="dxa"/>
            <w:right w:w="0" w:type="dxa"/>
          </w:tblCellMar>
        </w:tblPrEx>
        <w:tc>
          <w:tcPr>
            <w:tcW w:w="700" w:type="pct"/>
            <w:gridSpan w:val="2"/>
            <w:tcBorders>
              <w:top w:val="single" w:color="auto" w:sz="4" w:space="0"/>
              <w:left w:val="single" w:color="auto" w:sz="4" w:space="0"/>
              <w:bottom w:val="single" w:color="auto" w:sz="4" w:space="0"/>
              <w:right w:val="single" w:color="auto" w:sz="4" w:space="0"/>
            </w:tcBorders>
            <w:vAlign w:val="center"/>
          </w:tcPr>
          <w:p w14:paraId="68BC19AC">
            <w:pPr>
              <w:pStyle w:val="85"/>
              <w:autoSpaceDE w:val="0"/>
              <w:autoSpaceDN w:val="0"/>
              <w:spacing w:line="240" w:lineRule="auto"/>
              <w:ind w:firstLine="0" w:firstLineChars="0"/>
              <w:rPr>
                <w:rFonts w:ascii="宋体" w:hAnsi="宋体"/>
                <w:kern w:val="0"/>
                <w:sz w:val="21"/>
                <w:szCs w:val="21"/>
                <w:lang w:eastAsia="en-US"/>
              </w:rPr>
            </w:pPr>
            <w:r>
              <w:rPr>
                <w:rFonts w:hint="eastAsia" w:ascii="宋体" w:hAnsi="宋体"/>
                <w:kern w:val="0"/>
                <w:sz w:val="21"/>
                <w:szCs w:val="21"/>
                <w:lang w:eastAsia="zh-CN"/>
              </w:rPr>
              <w:t>环境风险防控</w:t>
            </w:r>
          </w:p>
        </w:tc>
        <w:tc>
          <w:tcPr>
            <w:tcW w:w="3454" w:type="pct"/>
            <w:tcBorders>
              <w:top w:val="single" w:color="auto" w:sz="4" w:space="0"/>
              <w:left w:val="single" w:color="auto" w:sz="4" w:space="0"/>
              <w:bottom w:val="single" w:color="auto" w:sz="4" w:space="0"/>
              <w:right w:val="single" w:color="auto" w:sz="4" w:space="0"/>
            </w:tcBorders>
            <w:vAlign w:val="center"/>
          </w:tcPr>
          <w:p w14:paraId="1331BCF8">
            <w:pPr>
              <w:pStyle w:val="85"/>
              <w:autoSpaceDE w:val="0"/>
              <w:autoSpaceDN w:val="0"/>
              <w:spacing w:line="240" w:lineRule="auto"/>
              <w:ind w:firstLine="0" w:firstLineChars="0"/>
              <w:rPr>
                <w:rFonts w:ascii="宋体" w:hAnsi="宋体"/>
                <w:kern w:val="0"/>
                <w:sz w:val="21"/>
                <w:szCs w:val="21"/>
                <w:lang w:eastAsia="zh-CN"/>
              </w:rPr>
            </w:pPr>
            <w:r>
              <w:rPr>
                <w:rFonts w:hint="eastAsia" w:ascii="宋体" w:hAnsi="宋体"/>
                <w:kern w:val="0"/>
                <w:sz w:val="21"/>
                <w:szCs w:val="21"/>
                <w:lang w:eastAsia="zh-CN"/>
              </w:rPr>
              <w:t>本项目不涉及相关管控要求</w:t>
            </w:r>
          </w:p>
        </w:tc>
        <w:tc>
          <w:tcPr>
            <w:tcW w:w="573" w:type="pct"/>
            <w:tcBorders>
              <w:top w:val="single" w:color="auto" w:sz="4" w:space="0"/>
              <w:left w:val="single" w:color="auto" w:sz="4" w:space="0"/>
              <w:bottom w:val="single" w:color="auto" w:sz="4" w:space="0"/>
              <w:right w:val="single" w:color="auto" w:sz="4" w:space="0"/>
            </w:tcBorders>
            <w:vAlign w:val="center"/>
          </w:tcPr>
          <w:p w14:paraId="762B35A1">
            <w:pPr>
              <w:pStyle w:val="85"/>
              <w:autoSpaceDE w:val="0"/>
              <w:autoSpaceDN w:val="0"/>
              <w:spacing w:line="240" w:lineRule="auto"/>
              <w:ind w:firstLine="0" w:firstLineChars="0"/>
              <w:rPr>
                <w:rFonts w:ascii="宋体" w:hAnsi="宋体"/>
                <w:kern w:val="0"/>
                <w:sz w:val="21"/>
                <w:szCs w:val="21"/>
                <w:lang w:eastAsia="zh-CN"/>
              </w:rPr>
            </w:pPr>
            <w:r>
              <w:rPr>
                <w:rFonts w:hint="eastAsia" w:ascii="宋体" w:hAnsi="宋体"/>
                <w:kern w:val="0"/>
                <w:sz w:val="21"/>
                <w:szCs w:val="21"/>
                <w:lang w:eastAsia="zh-CN"/>
              </w:rPr>
              <w:t>不涉及</w:t>
            </w:r>
          </w:p>
        </w:tc>
        <w:tc>
          <w:tcPr>
            <w:tcW w:w="273" w:type="pct"/>
            <w:tcBorders>
              <w:top w:val="single" w:color="auto" w:sz="4" w:space="0"/>
              <w:left w:val="single" w:color="auto" w:sz="4" w:space="0"/>
              <w:bottom w:val="single" w:color="auto" w:sz="4" w:space="0"/>
              <w:right w:val="single" w:color="auto" w:sz="4" w:space="0"/>
            </w:tcBorders>
            <w:vAlign w:val="center"/>
          </w:tcPr>
          <w:p w14:paraId="72B562E3">
            <w:pPr>
              <w:pStyle w:val="85"/>
              <w:autoSpaceDE w:val="0"/>
              <w:autoSpaceDN w:val="0"/>
              <w:spacing w:line="240" w:lineRule="auto"/>
              <w:ind w:firstLine="0" w:firstLineChars="0"/>
              <w:rPr>
                <w:rFonts w:ascii="宋体" w:hAnsi="宋体"/>
                <w:kern w:val="0"/>
                <w:sz w:val="21"/>
                <w:szCs w:val="21"/>
                <w:lang w:eastAsia="zh-CN"/>
              </w:rPr>
            </w:pPr>
            <w:r>
              <w:rPr>
                <w:rFonts w:hint="eastAsia" w:ascii="宋体" w:hAnsi="宋体"/>
                <w:kern w:val="0"/>
                <w:sz w:val="21"/>
                <w:szCs w:val="21"/>
                <w:lang w:eastAsia="zh-CN"/>
              </w:rPr>
              <w:t>不涉及</w:t>
            </w:r>
          </w:p>
        </w:tc>
      </w:tr>
      <w:tr w14:paraId="0C6828F2">
        <w:tblPrEx>
          <w:tblCellMar>
            <w:top w:w="0" w:type="dxa"/>
            <w:left w:w="0" w:type="dxa"/>
            <w:bottom w:w="0" w:type="dxa"/>
            <w:right w:w="0" w:type="dxa"/>
          </w:tblCellMar>
        </w:tblPrEx>
        <w:tc>
          <w:tcPr>
            <w:tcW w:w="700" w:type="pct"/>
            <w:gridSpan w:val="2"/>
            <w:tcBorders>
              <w:top w:val="single" w:color="auto" w:sz="4" w:space="0"/>
              <w:left w:val="single" w:color="auto" w:sz="4" w:space="0"/>
              <w:bottom w:val="single" w:color="auto" w:sz="4" w:space="0"/>
              <w:right w:val="single" w:color="auto" w:sz="4" w:space="0"/>
            </w:tcBorders>
            <w:vAlign w:val="center"/>
          </w:tcPr>
          <w:p w14:paraId="1EFFC37D">
            <w:pPr>
              <w:pStyle w:val="85"/>
              <w:autoSpaceDE w:val="0"/>
              <w:autoSpaceDN w:val="0"/>
              <w:spacing w:line="240" w:lineRule="auto"/>
              <w:ind w:firstLine="0" w:firstLineChars="0"/>
              <w:rPr>
                <w:rFonts w:ascii="宋体" w:hAnsi="宋体"/>
                <w:kern w:val="0"/>
                <w:sz w:val="21"/>
                <w:szCs w:val="21"/>
                <w:lang w:eastAsia="zh-CN"/>
              </w:rPr>
            </w:pPr>
            <w:r>
              <w:rPr>
                <w:rFonts w:hint="eastAsia" w:ascii="宋体" w:hAnsi="宋体"/>
                <w:kern w:val="0"/>
                <w:sz w:val="21"/>
                <w:szCs w:val="21"/>
                <w:lang w:eastAsia="zh-CN"/>
              </w:rPr>
              <w:t>资源利用效率</w:t>
            </w:r>
          </w:p>
        </w:tc>
        <w:tc>
          <w:tcPr>
            <w:tcW w:w="3454" w:type="pct"/>
            <w:tcBorders>
              <w:top w:val="single" w:color="auto" w:sz="4" w:space="0"/>
              <w:left w:val="single" w:color="auto" w:sz="4" w:space="0"/>
              <w:bottom w:val="single" w:color="auto" w:sz="4" w:space="0"/>
              <w:right w:val="single" w:color="auto" w:sz="4" w:space="0"/>
            </w:tcBorders>
            <w:vAlign w:val="center"/>
          </w:tcPr>
          <w:p w14:paraId="54FB48CF">
            <w:pPr>
              <w:pStyle w:val="85"/>
              <w:autoSpaceDE w:val="0"/>
              <w:autoSpaceDN w:val="0"/>
              <w:spacing w:line="240" w:lineRule="auto"/>
              <w:ind w:firstLine="0" w:firstLineChars="0"/>
              <w:rPr>
                <w:rFonts w:ascii="宋体" w:hAnsi="宋体"/>
                <w:kern w:val="0"/>
                <w:sz w:val="21"/>
                <w:szCs w:val="21"/>
                <w:lang w:eastAsia="zh-CN"/>
              </w:rPr>
            </w:pPr>
            <w:r>
              <w:rPr>
                <w:rFonts w:hint="eastAsia" w:ascii="宋体" w:hAnsi="宋体"/>
                <w:kern w:val="0"/>
                <w:sz w:val="21"/>
                <w:szCs w:val="21"/>
                <w:lang w:eastAsia="zh-CN"/>
              </w:rPr>
              <w:t>本项目不涉及相关管控要求</w:t>
            </w:r>
          </w:p>
        </w:tc>
        <w:tc>
          <w:tcPr>
            <w:tcW w:w="573" w:type="pct"/>
            <w:tcBorders>
              <w:top w:val="single" w:color="auto" w:sz="4" w:space="0"/>
              <w:left w:val="single" w:color="auto" w:sz="4" w:space="0"/>
              <w:bottom w:val="single" w:color="auto" w:sz="4" w:space="0"/>
              <w:right w:val="single" w:color="auto" w:sz="4" w:space="0"/>
            </w:tcBorders>
            <w:vAlign w:val="center"/>
          </w:tcPr>
          <w:p w14:paraId="47250218">
            <w:pPr>
              <w:pStyle w:val="85"/>
              <w:autoSpaceDE w:val="0"/>
              <w:autoSpaceDN w:val="0"/>
              <w:spacing w:line="240" w:lineRule="auto"/>
              <w:ind w:firstLine="0" w:firstLineChars="0"/>
              <w:rPr>
                <w:rFonts w:ascii="宋体" w:hAnsi="宋体"/>
                <w:kern w:val="0"/>
                <w:sz w:val="21"/>
                <w:szCs w:val="21"/>
                <w:lang w:eastAsia="zh-CN"/>
              </w:rPr>
            </w:pPr>
            <w:r>
              <w:rPr>
                <w:rFonts w:hint="eastAsia" w:ascii="宋体" w:hAnsi="宋体"/>
                <w:kern w:val="0"/>
                <w:sz w:val="21"/>
                <w:szCs w:val="21"/>
                <w:lang w:eastAsia="zh-CN"/>
              </w:rPr>
              <w:t>不涉及</w:t>
            </w:r>
          </w:p>
        </w:tc>
        <w:tc>
          <w:tcPr>
            <w:tcW w:w="273" w:type="pct"/>
            <w:tcBorders>
              <w:top w:val="single" w:color="auto" w:sz="4" w:space="0"/>
              <w:left w:val="single" w:color="auto" w:sz="4" w:space="0"/>
              <w:bottom w:val="single" w:color="auto" w:sz="4" w:space="0"/>
              <w:right w:val="single" w:color="auto" w:sz="4" w:space="0"/>
            </w:tcBorders>
            <w:vAlign w:val="center"/>
          </w:tcPr>
          <w:p w14:paraId="71CE24D6">
            <w:pPr>
              <w:pStyle w:val="85"/>
              <w:autoSpaceDE w:val="0"/>
              <w:autoSpaceDN w:val="0"/>
              <w:spacing w:line="240" w:lineRule="auto"/>
              <w:ind w:firstLine="0" w:firstLineChars="0"/>
              <w:rPr>
                <w:rFonts w:ascii="宋体" w:hAnsi="宋体"/>
                <w:kern w:val="0"/>
                <w:sz w:val="21"/>
                <w:szCs w:val="21"/>
                <w:lang w:eastAsia="zh-CN"/>
              </w:rPr>
            </w:pPr>
            <w:r>
              <w:rPr>
                <w:rFonts w:hint="eastAsia" w:ascii="宋体" w:hAnsi="宋体"/>
                <w:kern w:val="0"/>
                <w:sz w:val="21"/>
                <w:szCs w:val="21"/>
                <w:lang w:eastAsia="zh-CN"/>
              </w:rPr>
              <w:t>不涉及</w:t>
            </w:r>
          </w:p>
        </w:tc>
      </w:tr>
      <w:tr w14:paraId="4840883C">
        <w:tblPrEx>
          <w:tblCellMar>
            <w:top w:w="0" w:type="dxa"/>
            <w:left w:w="0" w:type="dxa"/>
            <w:bottom w:w="0" w:type="dxa"/>
            <w:right w:w="0" w:type="dxa"/>
          </w:tblCellMar>
        </w:tblPrEx>
        <w:tc>
          <w:tcPr>
            <w:tcW w:w="5000" w:type="pct"/>
            <w:gridSpan w:val="5"/>
            <w:tcBorders>
              <w:top w:val="single" w:color="auto" w:sz="4" w:space="0"/>
              <w:left w:val="single" w:color="auto" w:sz="4" w:space="0"/>
              <w:bottom w:val="single" w:color="auto" w:sz="4" w:space="0"/>
              <w:right w:val="single" w:color="auto" w:sz="4" w:space="0"/>
            </w:tcBorders>
            <w:vAlign w:val="center"/>
          </w:tcPr>
          <w:p w14:paraId="6E478184">
            <w:pPr>
              <w:pStyle w:val="85"/>
              <w:autoSpaceDE w:val="0"/>
              <w:autoSpaceDN w:val="0"/>
              <w:spacing w:line="240" w:lineRule="auto"/>
              <w:ind w:firstLine="0" w:firstLineChars="0"/>
              <w:jc w:val="center"/>
              <w:rPr>
                <w:rFonts w:ascii="宋体" w:hAnsi="宋体"/>
                <w:kern w:val="0"/>
                <w:sz w:val="21"/>
                <w:szCs w:val="21"/>
                <w:lang w:eastAsia="en-US"/>
              </w:rPr>
            </w:pPr>
            <w:r>
              <w:rPr>
                <w:rFonts w:hint="eastAsia" w:ascii="宋体" w:hAnsi="宋体"/>
                <w:kern w:val="0"/>
                <w:sz w:val="21"/>
                <w:szCs w:val="21"/>
                <w:lang w:eastAsia="zh-CN"/>
              </w:rPr>
              <w:t>土壤环境总体要求</w:t>
            </w:r>
          </w:p>
        </w:tc>
      </w:tr>
      <w:tr w14:paraId="1D55D020">
        <w:tblPrEx>
          <w:tblCellMar>
            <w:top w:w="0" w:type="dxa"/>
            <w:left w:w="0" w:type="dxa"/>
            <w:bottom w:w="0" w:type="dxa"/>
            <w:right w:w="0" w:type="dxa"/>
          </w:tblCellMar>
        </w:tblPrEx>
        <w:tc>
          <w:tcPr>
            <w:tcW w:w="4154" w:type="pct"/>
            <w:gridSpan w:val="3"/>
            <w:tcBorders>
              <w:top w:val="single" w:color="auto" w:sz="4" w:space="0"/>
              <w:left w:val="single" w:color="auto" w:sz="4" w:space="0"/>
              <w:bottom w:val="single" w:color="auto" w:sz="4" w:space="0"/>
              <w:right w:val="single" w:color="auto" w:sz="4" w:space="0"/>
            </w:tcBorders>
            <w:vAlign w:val="center"/>
          </w:tcPr>
          <w:p w14:paraId="6EB73332">
            <w:pPr>
              <w:pStyle w:val="85"/>
              <w:autoSpaceDE w:val="0"/>
              <w:autoSpaceDN w:val="0"/>
              <w:spacing w:line="240" w:lineRule="auto"/>
              <w:ind w:firstLine="0" w:firstLineChars="0"/>
              <w:rPr>
                <w:rFonts w:ascii="宋体" w:hAnsi="宋体"/>
                <w:kern w:val="0"/>
                <w:sz w:val="21"/>
                <w:szCs w:val="21"/>
                <w:lang w:eastAsia="zh-CN"/>
              </w:rPr>
            </w:pPr>
            <w:r>
              <w:rPr>
                <w:rFonts w:hint="eastAsia" w:ascii="宋体" w:hAnsi="宋体"/>
                <w:kern w:val="2"/>
                <w:sz w:val="21"/>
                <w:szCs w:val="21"/>
                <w:lang w:eastAsia="zh-CN"/>
              </w:rPr>
              <w:t>本项目不涉及土壤环境总体要求中关于空间布局约束、污染物排放管控、环境风险防控、资源利用效率等相关要求。</w:t>
            </w:r>
          </w:p>
        </w:tc>
        <w:tc>
          <w:tcPr>
            <w:tcW w:w="573" w:type="pct"/>
            <w:tcBorders>
              <w:top w:val="single" w:color="auto" w:sz="4" w:space="0"/>
              <w:left w:val="single" w:color="auto" w:sz="4" w:space="0"/>
              <w:bottom w:val="single" w:color="auto" w:sz="4" w:space="0"/>
              <w:right w:val="single" w:color="auto" w:sz="4" w:space="0"/>
            </w:tcBorders>
            <w:vAlign w:val="center"/>
          </w:tcPr>
          <w:p w14:paraId="0533F75C">
            <w:pPr>
              <w:pStyle w:val="85"/>
              <w:autoSpaceDE w:val="0"/>
              <w:autoSpaceDN w:val="0"/>
              <w:spacing w:line="240" w:lineRule="auto"/>
              <w:ind w:firstLine="0" w:firstLineChars="0"/>
              <w:rPr>
                <w:rFonts w:ascii="宋体" w:hAnsi="宋体"/>
                <w:kern w:val="0"/>
                <w:sz w:val="21"/>
                <w:szCs w:val="21"/>
                <w:lang w:eastAsia="zh-CN"/>
              </w:rPr>
            </w:pPr>
            <w:r>
              <w:rPr>
                <w:rFonts w:hint="eastAsia" w:ascii="宋体" w:hAnsi="宋体"/>
                <w:kern w:val="0"/>
                <w:sz w:val="21"/>
                <w:szCs w:val="21"/>
                <w:lang w:eastAsia="zh-CN"/>
              </w:rPr>
              <w:t>不涉及</w:t>
            </w:r>
          </w:p>
        </w:tc>
        <w:tc>
          <w:tcPr>
            <w:tcW w:w="273" w:type="pct"/>
            <w:tcBorders>
              <w:top w:val="single" w:color="auto" w:sz="4" w:space="0"/>
              <w:left w:val="single" w:color="auto" w:sz="4" w:space="0"/>
              <w:bottom w:val="single" w:color="auto" w:sz="4" w:space="0"/>
              <w:right w:val="single" w:color="auto" w:sz="4" w:space="0"/>
            </w:tcBorders>
            <w:vAlign w:val="center"/>
          </w:tcPr>
          <w:p w14:paraId="35A53101">
            <w:pPr>
              <w:pStyle w:val="85"/>
              <w:autoSpaceDE w:val="0"/>
              <w:autoSpaceDN w:val="0"/>
              <w:spacing w:line="240" w:lineRule="auto"/>
              <w:ind w:firstLine="0" w:firstLineChars="0"/>
              <w:rPr>
                <w:rFonts w:ascii="宋体" w:hAnsi="宋体"/>
                <w:kern w:val="0"/>
                <w:sz w:val="21"/>
                <w:szCs w:val="21"/>
                <w:lang w:eastAsia="zh-CN"/>
              </w:rPr>
            </w:pPr>
            <w:r>
              <w:rPr>
                <w:rFonts w:hint="eastAsia" w:ascii="宋体" w:hAnsi="宋体"/>
                <w:kern w:val="0"/>
                <w:sz w:val="21"/>
                <w:szCs w:val="21"/>
                <w:lang w:eastAsia="zh-CN"/>
              </w:rPr>
              <w:t>不涉及</w:t>
            </w:r>
          </w:p>
        </w:tc>
      </w:tr>
      <w:tr w14:paraId="21383071">
        <w:tblPrEx>
          <w:tblCellMar>
            <w:top w:w="0" w:type="dxa"/>
            <w:left w:w="0" w:type="dxa"/>
            <w:bottom w:w="0" w:type="dxa"/>
            <w:right w:w="0" w:type="dxa"/>
          </w:tblCellMar>
        </w:tblPrEx>
        <w:tc>
          <w:tcPr>
            <w:tcW w:w="5000" w:type="pct"/>
            <w:gridSpan w:val="5"/>
            <w:tcBorders>
              <w:top w:val="single" w:color="auto" w:sz="4" w:space="0"/>
              <w:left w:val="single" w:color="auto" w:sz="4" w:space="0"/>
              <w:bottom w:val="single" w:color="auto" w:sz="4" w:space="0"/>
              <w:right w:val="single" w:color="auto" w:sz="4" w:space="0"/>
            </w:tcBorders>
            <w:vAlign w:val="center"/>
          </w:tcPr>
          <w:p w14:paraId="001E3086">
            <w:pPr>
              <w:pStyle w:val="85"/>
              <w:autoSpaceDE w:val="0"/>
              <w:autoSpaceDN w:val="0"/>
              <w:spacing w:line="240" w:lineRule="auto"/>
              <w:ind w:firstLine="0" w:firstLineChars="0"/>
              <w:jc w:val="center"/>
              <w:rPr>
                <w:rFonts w:ascii="宋体" w:hAnsi="宋体"/>
                <w:kern w:val="0"/>
                <w:sz w:val="21"/>
                <w:szCs w:val="21"/>
                <w:lang w:eastAsia="en-US"/>
              </w:rPr>
            </w:pPr>
            <w:r>
              <w:rPr>
                <w:rFonts w:hint="eastAsia" w:ascii="宋体" w:hAnsi="宋体"/>
                <w:kern w:val="0"/>
                <w:sz w:val="21"/>
                <w:szCs w:val="21"/>
                <w:lang w:eastAsia="zh-CN"/>
              </w:rPr>
              <w:t>资源利用总体要求</w:t>
            </w:r>
          </w:p>
        </w:tc>
      </w:tr>
      <w:tr w14:paraId="40EB035B">
        <w:tblPrEx>
          <w:tblCellMar>
            <w:top w:w="0" w:type="dxa"/>
            <w:left w:w="0" w:type="dxa"/>
            <w:bottom w:w="0" w:type="dxa"/>
            <w:right w:w="0" w:type="dxa"/>
          </w:tblCellMar>
        </w:tblPrEx>
        <w:tc>
          <w:tcPr>
            <w:tcW w:w="4154" w:type="pct"/>
            <w:gridSpan w:val="3"/>
            <w:tcBorders>
              <w:top w:val="single" w:color="auto" w:sz="4" w:space="0"/>
              <w:left w:val="single" w:color="auto" w:sz="4" w:space="0"/>
              <w:bottom w:val="single" w:color="auto" w:sz="4" w:space="0"/>
              <w:right w:val="single" w:color="auto" w:sz="4" w:space="0"/>
            </w:tcBorders>
            <w:vAlign w:val="center"/>
          </w:tcPr>
          <w:p w14:paraId="03A71587">
            <w:pPr>
              <w:pStyle w:val="85"/>
              <w:autoSpaceDE w:val="0"/>
              <w:autoSpaceDN w:val="0"/>
              <w:spacing w:line="240" w:lineRule="auto"/>
              <w:ind w:firstLine="0" w:firstLineChars="0"/>
              <w:rPr>
                <w:rFonts w:ascii="宋体" w:hAnsi="宋体"/>
                <w:kern w:val="0"/>
                <w:sz w:val="21"/>
                <w:szCs w:val="21"/>
                <w:lang w:eastAsia="zh-CN"/>
              </w:rPr>
            </w:pPr>
            <w:r>
              <w:rPr>
                <w:rFonts w:hint="eastAsia" w:ascii="宋体" w:hAnsi="宋体"/>
                <w:kern w:val="2"/>
                <w:sz w:val="21"/>
                <w:szCs w:val="21"/>
                <w:lang w:eastAsia="zh-CN"/>
              </w:rPr>
              <w:t>本项目不涉及资源利用总体要求中关于水资源、能源重点管控、土地资源等相关要求。</w:t>
            </w:r>
          </w:p>
        </w:tc>
        <w:tc>
          <w:tcPr>
            <w:tcW w:w="573" w:type="pct"/>
            <w:tcBorders>
              <w:top w:val="single" w:color="auto" w:sz="4" w:space="0"/>
              <w:left w:val="single" w:color="auto" w:sz="4" w:space="0"/>
              <w:bottom w:val="single" w:color="auto" w:sz="4" w:space="0"/>
              <w:right w:val="single" w:color="auto" w:sz="4" w:space="0"/>
            </w:tcBorders>
            <w:vAlign w:val="center"/>
          </w:tcPr>
          <w:p w14:paraId="3BF19FEE">
            <w:pPr>
              <w:pStyle w:val="85"/>
              <w:autoSpaceDE w:val="0"/>
              <w:autoSpaceDN w:val="0"/>
              <w:spacing w:line="240" w:lineRule="auto"/>
              <w:ind w:firstLine="0" w:firstLineChars="0"/>
              <w:rPr>
                <w:rFonts w:ascii="宋体" w:hAnsi="宋体"/>
                <w:kern w:val="0"/>
                <w:sz w:val="21"/>
                <w:szCs w:val="21"/>
                <w:lang w:eastAsia="zh-CN"/>
              </w:rPr>
            </w:pPr>
            <w:r>
              <w:rPr>
                <w:rFonts w:hint="eastAsia" w:ascii="宋体" w:hAnsi="宋体"/>
                <w:kern w:val="0"/>
                <w:sz w:val="21"/>
                <w:szCs w:val="21"/>
                <w:lang w:eastAsia="zh-CN"/>
              </w:rPr>
              <w:t>不涉及</w:t>
            </w:r>
          </w:p>
        </w:tc>
        <w:tc>
          <w:tcPr>
            <w:tcW w:w="273" w:type="pct"/>
            <w:tcBorders>
              <w:top w:val="single" w:color="auto" w:sz="4" w:space="0"/>
              <w:left w:val="single" w:color="auto" w:sz="4" w:space="0"/>
              <w:bottom w:val="single" w:color="auto" w:sz="4" w:space="0"/>
              <w:right w:val="single" w:color="auto" w:sz="4" w:space="0"/>
            </w:tcBorders>
            <w:vAlign w:val="center"/>
          </w:tcPr>
          <w:p w14:paraId="3F9136AB">
            <w:pPr>
              <w:pStyle w:val="85"/>
              <w:autoSpaceDE w:val="0"/>
              <w:autoSpaceDN w:val="0"/>
              <w:spacing w:line="240" w:lineRule="auto"/>
              <w:ind w:firstLine="0" w:firstLineChars="0"/>
              <w:rPr>
                <w:rFonts w:ascii="宋体" w:hAnsi="宋体"/>
                <w:kern w:val="0"/>
                <w:sz w:val="21"/>
                <w:szCs w:val="21"/>
                <w:lang w:eastAsia="zh-CN"/>
              </w:rPr>
            </w:pPr>
            <w:r>
              <w:rPr>
                <w:rFonts w:hint="eastAsia" w:ascii="宋体" w:hAnsi="宋体"/>
                <w:kern w:val="0"/>
                <w:sz w:val="21"/>
                <w:szCs w:val="21"/>
                <w:lang w:eastAsia="zh-CN"/>
              </w:rPr>
              <w:t>不涉及</w:t>
            </w:r>
          </w:p>
        </w:tc>
      </w:tr>
    </w:tbl>
    <w:p w14:paraId="0ABE8332">
      <w:pPr>
        <w:pStyle w:val="5"/>
      </w:pPr>
      <w:r>
        <w:rPr>
          <w:rFonts w:hint="eastAsia"/>
        </w:rPr>
        <w:t>与项目所在管控区生态环境准入清单符合性分析</w:t>
      </w:r>
    </w:p>
    <w:p w14:paraId="0567E75D">
      <w:pPr>
        <w:pStyle w:val="85"/>
        <w:ind w:firstLine="480"/>
        <w:sectPr>
          <w:pgSz w:w="11906" w:h="16838"/>
          <w:pgMar w:top="2007" w:right="1797" w:bottom="1724" w:left="1797" w:header="1417" w:footer="1162" w:gutter="0"/>
          <w:pgNumType w:fmt="numberInDash"/>
          <w:cols w:space="425" w:num="1"/>
          <w:docGrid w:type="lines" w:linePitch="312" w:charSpace="0"/>
        </w:sectPr>
      </w:pPr>
      <w:r>
        <w:rPr>
          <w:rFonts w:hint="eastAsia"/>
        </w:rPr>
        <w:t>拟建项目位于承德市滦平县，为河湖整治项目。项目涉及4个管控单元，与所在各管控单元生态环境准入清单符合性见下表。</w:t>
      </w:r>
    </w:p>
    <w:p w14:paraId="01B14B43">
      <w:pPr>
        <w:pStyle w:val="85"/>
        <w:ind w:firstLine="448"/>
        <w:jc w:val="center"/>
        <w:rPr>
          <w:rFonts w:eastAsia="黑体"/>
          <w:kern w:val="0"/>
        </w:rPr>
      </w:pPr>
      <w:r>
        <w:rPr>
          <w:rFonts w:eastAsia="黑体"/>
          <w:bCs/>
          <w:spacing w:val="-8"/>
          <w:kern w:val="0"/>
          <w:szCs w:val="32"/>
        </w:rPr>
        <w:t>表</w:t>
      </w:r>
      <w:r>
        <w:rPr>
          <w:rFonts w:eastAsia="黑体"/>
          <w:bCs/>
          <w:spacing w:val="-8"/>
          <w:kern w:val="0"/>
          <w:szCs w:val="32"/>
        </w:rPr>
        <w:fldChar w:fldCharType="begin"/>
      </w:r>
      <w:r>
        <w:rPr>
          <w:rFonts w:eastAsia="黑体"/>
          <w:bCs/>
          <w:spacing w:val="-8"/>
          <w:kern w:val="0"/>
          <w:szCs w:val="32"/>
        </w:rPr>
        <w:instrText xml:space="preserve"> STYLEREF 1 \s </w:instrText>
      </w:r>
      <w:r>
        <w:rPr>
          <w:rFonts w:eastAsia="黑体"/>
          <w:bCs/>
          <w:spacing w:val="-8"/>
          <w:kern w:val="0"/>
          <w:szCs w:val="32"/>
        </w:rPr>
        <w:fldChar w:fldCharType="separate"/>
      </w:r>
      <w:r>
        <w:rPr>
          <w:rFonts w:eastAsia="黑体"/>
          <w:bCs/>
          <w:spacing w:val="-8"/>
          <w:kern w:val="0"/>
          <w:szCs w:val="32"/>
        </w:rPr>
        <w:t>1</w:t>
      </w:r>
      <w:r>
        <w:rPr>
          <w:rFonts w:eastAsia="黑体"/>
          <w:bCs/>
          <w:spacing w:val="-8"/>
          <w:kern w:val="0"/>
          <w:szCs w:val="32"/>
        </w:rPr>
        <w:fldChar w:fldCharType="end"/>
      </w:r>
      <w:r>
        <w:rPr>
          <w:rFonts w:eastAsia="黑体"/>
          <w:bCs/>
          <w:spacing w:val="-8"/>
          <w:kern w:val="0"/>
          <w:szCs w:val="32"/>
        </w:rPr>
        <w:noBreakHyphen/>
      </w:r>
      <w:r>
        <w:rPr>
          <w:rFonts w:eastAsia="黑体"/>
          <w:bCs/>
          <w:spacing w:val="-8"/>
          <w:kern w:val="0"/>
          <w:szCs w:val="32"/>
        </w:rPr>
        <w:fldChar w:fldCharType="begin"/>
      </w:r>
      <w:r>
        <w:rPr>
          <w:rFonts w:eastAsia="黑体"/>
          <w:bCs/>
          <w:spacing w:val="-8"/>
          <w:kern w:val="0"/>
          <w:szCs w:val="32"/>
        </w:rPr>
        <w:instrText xml:space="preserve"> SEQ 表 \* ARABIC \s 1 </w:instrText>
      </w:r>
      <w:r>
        <w:rPr>
          <w:rFonts w:eastAsia="黑体"/>
          <w:bCs/>
          <w:spacing w:val="-8"/>
          <w:kern w:val="0"/>
          <w:szCs w:val="32"/>
        </w:rPr>
        <w:fldChar w:fldCharType="separate"/>
      </w:r>
      <w:r>
        <w:rPr>
          <w:rFonts w:eastAsia="黑体"/>
          <w:bCs/>
          <w:spacing w:val="-8"/>
          <w:kern w:val="0"/>
          <w:szCs w:val="32"/>
        </w:rPr>
        <w:t>22</w:t>
      </w:r>
      <w:r>
        <w:rPr>
          <w:rFonts w:eastAsia="黑体"/>
          <w:bCs/>
          <w:spacing w:val="-8"/>
          <w:kern w:val="0"/>
          <w:szCs w:val="32"/>
        </w:rPr>
        <w:fldChar w:fldCharType="end"/>
      </w:r>
      <w:r>
        <w:rPr>
          <w:rFonts w:eastAsia="黑体"/>
          <w:bCs/>
          <w:spacing w:val="-8"/>
          <w:kern w:val="0"/>
          <w:szCs w:val="32"/>
        </w:rPr>
        <w:t xml:space="preserve">  </w:t>
      </w:r>
      <w:r>
        <w:rPr>
          <w:rFonts w:eastAsia="黑体"/>
          <w:kern w:val="0"/>
        </w:rPr>
        <w:t>环境管控单元生态环境准入</w:t>
      </w:r>
    </w:p>
    <w:tbl>
      <w:tblPr>
        <w:tblStyle w:val="6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3"/>
        <w:gridCol w:w="388"/>
        <w:gridCol w:w="403"/>
        <w:gridCol w:w="1438"/>
        <w:gridCol w:w="1154"/>
        <w:gridCol w:w="1010"/>
        <w:gridCol w:w="1152"/>
        <w:gridCol w:w="5481"/>
        <w:gridCol w:w="1295"/>
        <w:gridCol w:w="640"/>
      </w:tblGrid>
      <w:tr w14:paraId="78A59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 w:type="pct"/>
            <w:vAlign w:val="center"/>
          </w:tcPr>
          <w:p w14:paraId="6218BF24">
            <w:pPr>
              <w:rPr>
                <w:kern w:val="0"/>
              </w:rPr>
            </w:pPr>
            <w:r>
              <w:rPr>
                <w:kern w:val="0"/>
              </w:rPr>
              <w:t>编号</w:t>
            </w:r>
          </w:p>
        </w:tc>
        <w:tc>
          <w:tcPr>
            <w:tcW w:w="145" w:type="pct"/>
            <w:vAlign w:val="center"/>
          </w:tcPr>
          <w:p w14:paraId="6A69A4E9">
            <w:pPr>
              <w:rPr>
                <w:kern w:val="0"/>
              </w:rPr>
            </w:pPr>
            <w:r>
              <w:rPr>
                <w:rFonts w:hint="eastAsia"/>
                <w:kern w:val="0"/>
              </w:rPr>
              <w:t>市</w:t>
            </w:r>
          </w:p>
        </w:tc>
        <w:tc>
          <w:tcPr>
            <w:tcW w:w="151" w:type="pct"/>
            <w:vAlign w:val="center"/>
          </w:tcPr>
          <w:p w14:paraId="71E880DE">
            <w:pPr>
              <w:rPr>
                <w:kern w:val="0"/>
              </w:rPr>
            </w:pPr>
            <w:r>
              <w:rPr>
                <w:rFonts w:hint="eastAsia"/>
                <w:kern w:val="0"/>
              </w:rPr>
              <w:t>区县</w:t>
            </w:r>
          </w:p>
        </w:tc>
        <w:tc>
          <w:tcPr>
            <w:tcW w:w="540" w:type="pct"/>
            <w:vAlign w:val="center"/>
          </w:tcPr>
          <w:p w14:paraId="7FA4B902">
            <w:pPr>
              <w:rPr>
                <w:kern w:val="0"/>
              </w:rPr>
            </w:pPr>
            <w:r>
              <w:rPr>
                <w:rFonts w:hint="eastAsia"/>
                <w:kern w:val="0"/>
              </w:rPr>
              <w:t>乡镇</w:t>
            </w:r>
          </w:p>
        </w:tc>
        <w:tc>
          <w:tcPr>
            <w:tcW w:w="433" w:type="pct"/>
            <w:vAlign w:val="center"/>
          </w:tcPr>
          <w:p w14:paraId="6D5A8560">
            <w:pPr>
              <w:rPr>
                <w:spacing w:val="-18"/>
                <w:w w:val="90"/>
                <w:kern w:val="0"/>
              </w:rPr>
            </w:pPr>
            <w:r>
              <w:rPr>
                <w:rFonts w:hint="eastAsia"/>
                <w:kern w:val="0"/>
              </w:rPr>
              <w:t>单元类别</w:t>
            </w:r>
          </w:p>
        </w:tc>
        <w:tc>
          <w:tcPr>
            <w:tcW w:w="379" w:type="pct"/>
            <w:vAlign w:val="center"/>
          </w:tcPr>
          <w:p w14:paraId="44BB9342">
            <w:pPr>
              <w:rPr>
                <w:kern w:val="0"/>
              </w:rPr>
            </w:pPr>
            <w:r>
              <w:rPr>
                <w:rFonts w:hint="eastAsia"/>
                <w:kern w:val="0"/>
              </w:rPr>
              <w:t>环境</w:t>
            </w:r>
            <w:r>
              <w:rPr>
                <w:kern w:val="0"/>
              </w:rPr>
              <w:t>要素</w:t>
            </w:r>
            <w:r>
              <w:rPr>
                <w:rFonts w:hint="eastAsia"/>
                <w:kern w:val="0"/>
              </w:rPr>
              <w:t>类别</w:t>
            </w:r>
          </w:p>
        </w:tc>
        <w:tc>
          <w:tcPr>
            <w:tcW w:w="432" w:type="pct"/>
            <w:vAlign w:val="center"/>
          </w:tcPr>
          <w:p w14:paraId="6B0D2DA8">
            <w:pPr>
              <w:rPr>
                <w:kern w:val="0"/>
              </w:rPr>
            </w:pPr>
            <w:r>
              <w:rPr>
                <w:rFonts w:hint="eastAsia"/>
                <w:kern w:val="0"/>
              </w:rPr>
              <w:t>维度</w:t>
            </w:r>
          </w:p>
        </w:tc>
        <w:tc>
          <w:tcPr>
            <w:tcW w:w="2057" w:type="pct"/>
            <w:vAlign w:val="center"/>
          </w:tcPr>
          <w:p w14:paraId="739D6856">
            <w:pPr>
              <w:rPr>
                <w:kern w:val="0"/>
              </w:rPr>
            </w:pPr>
            <w:r>
              <w:rPr>
                <w:rFonts w:hint="eastAsia"/>
                <w:kern w:val="0"/>
              </w:rPr>
              <w:t>管控</w:t>
            </w:r>
            <w:r>
              <w:rPr>
                <w:kern w:val="0"/>
              </w:rPr>
              <w:t>措施</w:t>
            </w:r>
          </w:p>
        </w:tc>
        <w:tc>
          <w:tcPr>
            <w:tcW w:w="486" w:type="pct"/>
            <w:vAlign w:val="center"/>
          </w:tcPr>
          <w:p w14:paraId="78B89111">
            <w:pPr>
              <w:rPr>
                <w:kern w:val="0"/>
              </w:rPr>
            </w:pPr>
            <w:r>
              <w:rPr>
                <w:rFonts w:hint="eastAsia"/>
                <w:kern w:val="0"/>
              </w:rPr>
              <w:t>本项目</w:t>
            </w:r>
            <w:r>
              <w:rPr>
                <w:kern w:val="0"/>
              </w:rPr>
              <w:t>内容</w:t>
            </w:r>
          </w:p>
        </w:tc>
        <w:tc>
          <w:tcPr>
            <w:tcW w:w="240" w:type="pct"/>
            <w:vAlign w:val="center"/>
          </w:tcPr>
          <w:p w14:paraId="5BA233AF">
            <w:pPr>
              <w:rPr>
                <w:kern w:val="0"/>
              </w:rPr>
            </w:pPr>
            <w:r>
              <w:rPr>
                <w:rFonts w:hint="eastAsia"/>
                <w:kern w:val="0"/>
              </w:rPr>
              <w:t>结论</w:t>
            </w:r>
          </w:p>
        </w:tc>
      </w:tr>
      <w:tr w14:paraId="75B69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 w:type="pct"/>
            <w:vMerge w:val="restart"/>
            <w:vAlign w:val="center"/>
          </w:tcPr>
          <w:p w14:paraId="040AA738">
            <w:pPr>
              <w:rPr>
                <w:kern w:val="0"/>
              </w:rPr>
            </w:pPr>
            <w:r>
              <w:rPr>
                <w:kern w:val="0"/>
              </w:rPr>
              <w:t>ZH13082610007</w:t>
            </w:r>
          </w:p>
        </w:tc>
        <w:tc>
          <w:tcPr>
            <w:tcW w:w="145" w:type="pct"/>
            <w:vMerge w:val="restart"/>
            <w:vAlign w:val="center"/>
          </w:tcPr>
          <w:p w14:paraId="27BDBD20">
            <w:pPr>
              <w:rPr>
                <w:kern w:val="0"/>
              </w:rPr>
            </w:pPr>
            <w:r>
              <w:rPr>
                <w:rFonts w:hint="eastAsia" w:cs="Arial"/>
                <w:kern w:val="0"/>
                <w:szCs w:val="21"/>
              </w:rPr>
              <w:t>承德市</w:t>
            </w:r>
          </w:p>
        </w:tc>
        <w:tc>
          <w:tcPr>
            <w:tcW w:w="151" w:type="pct"/>
            <w:vMerge w:val="restart"/>
            <w:vAlign w:val="center"/>
          </w:tcPr>
          <w:p w14:paraId="350D4DCA">
            <w:pPr>
              <w:rPr>
                <w:kern w:val="0"/>
              </w:rPr>
            </w:pPr>
            <w:r>
              <w:rPr>
                <w:rFonts w:hint="eastAsia"/>
                <w:kern w:val="0"/>
              </w:rPr>
              <w:t>丰宁满族自治县</w:t>
            </w:r>
          </w:p>
        </w:tc>
        <w:tc>
          <w:tcPr>
            <w:tcW w:w="540" w:type="pct"/>
            <w:vMerge w:val="restart"/>
            <w:vAlign w:val="center"/>
          </w:tcPr>
          <w:p w14:paraId="4CA3A7BA">
            <w:pPr>
              <w:spacing w:line="280" w:lineRule="exact"/>
              <w:rPr>
                <w:kern w:val="0"/>
              </w:rPr>
            </w:pPr>
            <w:r>
              <w:rPr>
                <w:rFonts w:hint="eastAsia"/>
                <w:kern w:val="0"/>
              </w:rPr>
              <w:t>大阁镇</w:t>
            </w:r>
          </w:p>
          <w:p w14:paraId="3D667186">
            <w:pPr>
              <w:spacing w:line="280" w:lineRule="exact"/>
              <w:rPr>
                <w:kern w:val="0"/>
              </w:rPr>
            </w:pPr>
            <w:r>
              <w:rPr>
                <w:rFonts w:hint="eastAsia"/>
                <w:kern w:val="0"/>
              </w:rPr>
              <w:t>大滩镇</w:t>
            </w:r>
          </w:p>
          <w:p w14:paraId="516E6263">
            <w:pPr>
              <w:spacing w:line="280" w:lineRule="exact"/>
              <w:rPr>
                <w:kern w:val="0"/>
              </w:rPr>
            </w:pPr>
            <w:r>
              <w:rPr>
                <w:rFonts w:hint="eastAsia"/>
                <w:kern w:val="0"/>
              </w:rPr>
              <w:t>土城镇</w:t>
            </w:r>
          </w:p>
          <w:p w14:paraId="12C14430">
            <w:pPr>
              <w:spacing w:line="280" w:lineRule="exact"/>
              <w:rPr>
                <w:kern w:val="0"/>
              </w:rPr>
            </w:pPr>
            <w:r>
              <w:rPr>
                <w:rFonts w:hint="eastAsia"/>
                <w:kern w:val="0"/>
              </w:rPr>
              <w:t>黄旗镇</w:t>
            </w:r>
          </w:p>
          <w:p w14:paraId="1B619F36">
            <w:pPr>
              <w:spacing w:line="280" w:lineRule="exact"/>
              <w:rPr>
                <w:kern w:val="0"/>
              </w:rPr>
            </w:pPr>
            <w:r>
              <w:rPr>
                <w:rFonts w:hint="eastAsia"/>
                <w:kern w:val="0"/>
              </w:rPr>
              <w:t>黑山嘴镇</w:t>
            </w:r>
          </w:p>
          <w:p w14:paraId="1D05D8F0">
            <w:pPr>
              <w:spacing w:line="280" w:lineRule="exact"/>
              <w:rPr>
                <w:kern w:val="0"/>
              </w:rPr>
            </w:pPr>
            <w:r>
              <w:rPr>
                <w:rFonts w:hint="eastAsia"/>
                <w:kern w:val="0"/>
              </w:rPr>
              <w:t>窟窿山乡</w:t>
            </w:r>
          </w:p>
          <w:p w14:paraId="0B258FD2">
            <w:pPr>
              <w:spacing w:line="280" w:lineRule="exact"/>
              <w:rPr>
                <w:kern w:val="0"/>
              </w:rPr>
            </w:pPr>
            <w:r>
              <w:rPr>
                <w:rFonts w:hint="eastAsia"/>
                <w:kern w:val="0"/>
              </w:rPr>
              <w:t>小坝子乡</w:t>
            </w:r>
          </w:p>
          <w:p w14:paraId="3B0B1D6B">
            <w:pPr>
              <w:spacing w:line="280" w:lineRule="exact"/>
              <w:rPr>
                <w:kern w:val="0"/>
              </w:rPr>
            </w:pPr>
            <w:r>
              <w:rPr>
                <w:rFonts w:hint="eastAsia"/>
                <w:kern w:val="0"/>
              </w:rPr>
              <w:t>五道营乡</w:t>
            </w:r>
          </w:p>
          <w:p w14:paraId="34745934">
            <w:pPr>
              <w:spacing w:line="280" w:lineRule="exact"/>
              <w:rPr>
                <w:kern w:val="0"/>
              </w:rPr>
            </w:pPr>
            <w:r>
              <w:rPr>
                <w:rFonts w:hint="eastAsia"/>
                <w:kern w:val="0"/>
              </w:rPr>
              <w:t>南关蒙古</w:t>
            </w:r>
          </w:p>
          <w:p w14:paraId="6E8EF6BB">
            <w:pPr>
              <w:spacing w:line="280" w:lineRule="exact"/>
              <w:rPr>
                <w:kern w:val="0"/>
              </w:rPr>
            </w:pPr>
            <w:r>
              <w:rPr>
                <w:rFonts w:hint="eastAsia"/>
                <w:kern w:val="0"/>
              </w:rPr>
              <w:t xml:space="preserve">族乡 </w:t>
            </w:r>
          </w:p>
          <w:p w14:paraId="17DDCB14">
            <w:pPr>
              <w:spacing w:line="280" w:lineRule="exact"/>
              <w:rPr>
                <w:kern w:val="0"/>
              </w:rPr>
            </w:pPr>
            <w:r>
              <w:rPr>
                <w:rFonts w:hint="eastAsia"/>
                <w:kern w:val="0"/>
              </w:rPr>
              <w:t xml:space="preserve">汤河乡 </w:t>
            </w:r>
          </w:p>
          <w:p w14:paraId="1E1DEB30">
            <w:pPr>
              <w:spacing w:line="280" w:lineRule="exact"/>
              <w:rPr>
                <w:kern w:val="0"/>
              </w:rPr>
            </w:pPr>
            <w:r>
              <w:rPr>
                <w:rFonts w:hint="eastAsia"/>
                <w:kern w:val="0"/>
              </w:rPr>
              <w:t>杨木栅子乡</w:t>
            </w:r>
          </w:p>
          <w:p w14:paraId="7D9C51C6">
            <w:pPr>
              <w:spacing w:line="280" w:lineRule="exact"/>
              <w:rPr>
                <w:kern w:val="0"/>
              </w:rPr>
            </w:pPr>
            <w:r>
              <w:rPr>
                <w:rFonts w:hint="eastAsia"/>
                <w:kern w:val="0"/>
              </w:rPr>
              <w:t>天桥镇</w:t>
            </w:r>
          </w:p>
          <w:p w14:paraId="70FA2438">
            <w:pPr>
              <w:spacing w:line="280" w:lineRule="exact"/>
              <w:rPr>
                <w:kern w:val="0"/>
              </w:rPr>
            </w:pPr>
            <w:r>
              <w:rPr>
                <w:rFonts w:hint="eastAsia"/>
                <w:kern w:val="0"/>
              </w:rPr>
              <w:t>胡麻营镇</w:t>
            </w:r>
          </w:p>
          <w:p w14:paraId="7CD44B2E">
            <w:pPr>
              <w:spacing w:line="280" w:lineRule="exact"/>
              <w:rPr>
                <w:kern w:val="0"/>
              </w:rPr>
            </w:pPr>
            <w:r>
              <w:rPr>
                <w:rFonts w:hint="eastAsia"/>
                <w:kern w:val="0"/>
              </w:rPr>
              <w:t>石人沟乡</w:t>
            </w:r>
          </w:p>
          <w:p w14:paraId="474C6BF5">
            <w:pPr>
              <w:spacing w:line="280" w:lineRule="exact"/>
              <w:rPr>
                <w:kern w:val="0"/>
              </w:rPr>
            </w:pPr>
            <w:r>
              <w:rPr>
                <w:rFonts w:hint="eastAsia"/>
                <w:kern w:val="0"/>
              </w:rPr>
              <w:t>凤山镇</w:t>
            </w:r>
          </w:p>
          <w:p w14:paraId="59D67A55">
            <w:pPr>
              <w:spacing w:line="280" w:lineRule="exact"/>
              <w:rPr>
                <w:kern w:val="0"/>
              </w:rPr>
            </w:pPr>
            <w:r>
              <w:rPr>
                <w:rFonts w:hint="eastAsia"/>
                <w:kern w:val="0"/>
              </w:rPr>
              <w:t>波罗诺镇</w:t>
            </w:r>
          </w:p>
          <w:p w14:paraId="3543B816">
            <w:pPr>
              <w:spacing w:line="280" w:lineRule="exact"/>
              <w:rPr>
                <w:kern w:val="0"/>
              </w:rPr>
            </w:pPr>
            <w:r>
              <w:rPr>
                <w:rFonts w:hint="eastAsia"/>
                <w:kern w:val="0"/>
              </w:rPr>
              <w:t>选将营乡</w:t>
            </w:r>
          </w:p>
          <w:p w14:paraId="141FF10A">
            <w:pPr>
              <w:spacing w:line="280" w:lineRule="exact"/>
              <w:rPr>
                <w:kern w:val="0"/>
              </w:rPr>
            </w:pPr>
            <w:r>
              <w:rPr>
                <w:rFonts w:hint="eastAsia"/>
                <w:kern w:val="0"/>
              </w:rPr>
              <w:t>西官营乡</w:t>
            </w:r>
          </w:p>
          <w:p w14:paraId="286EBE2A">
            <w:pPr>
              <w:spacing w:line="280" w:lineRule="exact"/>
              <w:rPr>
                <w:kern w:val="0"/>
              </w:rPr>
            </w:pPr>
            <w:r>
              <w:rPr>
                <w:rFonts w:hint="eastAsia"/>
                <w:kern w:val="0"/>
              </w:rPr>
              <w:t>王营乡</w:t>
            </w:r>
          </w:p>
          <w:p w14:paraId="3B820735">
            <w:pPr>
              <w:spacing w:line="280" w:lineRule="exact"/>
              <w:rPr>
                <w:kern w:val="0"/>
              </w:rPr>
            </w:pPr>
            <w:r>
              <w:rPr>
                <w:rFonts w:hint="eastAsia"/>
                <w:kern w:val="0"/>
              </w:rPr>
              <w:t>北头营乡鱼儿山镇</w:t>
            </w:r>
          </w:p>
          <w:p w14:paraId="6A94F3B3">
            <w:pPr>
              <w:spacing w:line="280" w:lineRule="exact"/>
              <w:rPr>
                <w:kern w:val="0"/>
              </w:rPr>
            </w:pPr>
            <w:r>
              <w:rPr>
                <w:rFonts w:hint="eastAsia"/>
                <w:kern w:val="0"/>
              </w:rPr>
              <w:t>四岔口乡</w:t>
            </w:r>
          </w:p>
          <w:p w14:paraId="54B21830">
            <w:pPr>
              <w:spacing w:line="280" w:lineRule="exact"/>
              <w:rPr>
                <w:kern w:val="0"/>
              </w:rPr>
            </w:pPr>
            <w:r>
              <w:rPr>
                <w:rFonts w:hint="eastAsia"/>
                <w:kern w:val="0"/>
              </w:rPr>
              <w:t>苏家店乡</w:t>
            </w:r>
          </w:p>
          <w:p w14:paraId="5A6E1E11">
            <w:pPr>
              <w:spacing w:line="280" w:lineRule="exact"/>
              <w:rPr>
                <w:kern w:val="0"/>
              </w:rPr>
            </w:pPr>
            <w:r>
              <w:rPr>
                <w:rFonts w:hint="eastAsia"/>
                <w:kern w:val="0"/>
              </w:rPr>
              <w:t>外沟门乡</w:t>
            </w:r>
          </w:p>
        </w:tc>
        <w:tc>
          <w:tcPr>
            <w:tcW w:w="433" w:type="pct"/>
            <w:vMerge w:val="restart"/>
            <w:vAlign w:val="center"/>
          </w:tcPr>
          <w:p w14:paraId="4D844A4A">
            <w:pPr>
              <w:rPr>
                <w:kern w:val="0"/>
              </w:rPr>
            </w:pPr>
            <w:r>
              <w:rPr>
                <w:rFonts w:hint="eastAsia"/>
                <w:kern w:val="0"/>
              </w:rPr>
              <w:t>优先保护单元</w:t>
            </w:r>
          </w:p>
        </w:tc>
        <w:tc>
          <w:tcPr>
            <w:tcW w:w="379" w:type="pct"/>
            <w:vMerge w:val="restart"/>
            <w:vAlign w:val="center"/>
          </w:tcPr>
          <w:p w14:paraId="6722EA19">
            <w:pPr>
              <w:rPr>
                <w:kern w:val="0"/>
              </w:rPr>
            </w:pPr>
            <w:r>
              <w:rPr>
                <w:rFonts w:hint="eastAsia"/>
                <w:kern w:val="0"/>
              </w:rPr>
              <w:t>燕山水源涵养-生物多样性维护生态保护红线</w:t>
            </w:r>
          </w:p>
        </w:tc>
        <w:tc>
          <w:tcPr>
            <w:tcW w:w="432" w:type="pct"/>
            <w:vAlign w:val="center"/>
          </w:tcPr>
          <w:p w14:paraId="417BAC88">
            <w:pPr>
              <w:rPr>
                <w:kern w:val="0"/>
              </w:rPr>
            </w:pPr>
            <w:r>
              <w:rPr>
                <w:rFonts w:hint="eastAsia"/>
                <w:kern w:val="0"/>
              </w:rPr>
              <w:t>空间</w:t>
            </w:r>
            <w:r>
              <w:rPr>
                <w:kern w:val="0"/>
              </w:rPr>
              <w:t>布局约束</w:t>
            </w:r>
          </w:p>
        </w:tc>
        <w:tc>
          <w:tcPr>
            <w:tcW w:w="2057" w:type="pct"/>
            <w:vAlign w:val="center"/>
          </w:tcPr>
          <w:p w14:paraId="2D9A479F">
            <w:pPr>
              <w:rPr>
                <w:kern w:val="0"/>
              </w:rPr>
            </w:pPr>
            <w:r>
              <w:rPr>
                <w:rFonts w:hint="eastAsia"/>
                <w:kern w:val="0"/>
              </w:rPr>
              <w:t>1、执行承德市总体准入清单中生态保护红线准入要求。</w:t>
            </w:r>
          </w:p>
          <w:p w14:paraId="763141DB">
            <w:pPr>
              <w:rPr>
                <w:kern w:val="0"/>
              </w:rPr>
            </w:pPr>
            <w:r>
              <w:rPr>
                <w:rFonts w:hint="eastAsia"/>
                <w:kern w:val="0"/>
              </w:rPr>
              <w:t>2、在沙化土地范围内从事开发建设活动的，必须事先就该项目可能对当地及相关地区生态产生的影响进行环境影响评价，依法提交环境影响报告；环境影响报告应当包括有关防沙治沙的内容。</w:t>
            </w:r>
          </w:p>
        </w:tc>
        <w:tc>
          <w:tcPr>
            <w:tcW w:w="486" w:type="pct"/>
            <w:vMerge w:val="restart"/>
            <w:vAlign w:val="center"/>
          </w:tcPr>
          <w:p w14:paraId="476D34C8">
            <w:pPr>
              <w:rPr>
                <w:kern w:val="0"/>
              </w:rPr>
            </w:pPr>
            <w:r>
              <w:rPr>
                <w:rFonts w:hint="eastAsia"/>
                <w:kern w:val="0"/>
              </w:rPr>
              <w:t>根据前文分析，本项目满足承德市总体准入清单中生态保护红线准入要求。</w:t>
            </w:r>
          </w:p>
          <w:p w14:paraId="5AB87128">
            <w:pPr>
              <w:rPr>
                <w:kern w:val="0"/>
              </w:rPr>
            </w:pPr>
            <w:r>
              <w:rPr>
                <w:rFonts w:hint="eastAsia"/>
                <w:kern w:val="0"/>
              </w:rPr>
              <w:t>本项目全部位于河道管理范围，不涉及沙化土地。</w:t>
            </w:r>
          </w:p>
        </w:tc>
        <w:tc>
          <w:tcPr>
            <w:tcW w:w="240" w:type="pct"/>
            <w:vMerge w:val="restart"/>
            <w:vAlign w:val="center"/>
          </w:tcPr>
          <w:p w14:paraId="70D9FC72">
            <w:pPr>
              <w:rPr>
                <w:kern w:val="0"/>
              </w:rPr>
            </w:pPr>
            <w:r>
              <w:rPr>
                <w:rFonts w:hint="eastAsia"/>
                <w:kern w:val="0"/>
              </w:rPr>
              <w:t>符合</w:t>
            </w:r>
          </w:p>
        </w:tc>
      </w:tr>
      <w:tr w14:paraId="1B13E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 w:type="pct"/>
            <w:vMerge w:val="continue"/>
            <w:vAlign w:val="center"/>
          </w:tcPr>
          <w:p w14:paraId="78D92DEF">
            <w:pPr>
              <w:rPr>
                <w:kern w:val="0"/>
              </w:rPr>
            </w:pPr>
          </w:p>
        </w:tc>
        <w:tc>
          <w:tcPr>
            <w:tcW w:w="145" w:type="pct"/>
            <w:vMerge w:val="continue"/>
            <w:vAlign w:val="center"/>
          </w:tcPr>
          <w:p w14:paraId="3EC42CB9">
            <w:pPr>
              <w:rPr>
                <w:kern w:val="0"/>
              </w:rPr>
            </w:pPr>
          </w:p>
        </w:tc>
        <w:tc>
          <w:tcPr>
            <w:tcW w:w="151" w:type="pct"/>
            <w:vMerge w:val="continue"/>
            <w:vAlign w:val="center"/>
          </w:tcPr>
          <w:p w14:paraId="06F49BA3">
            <w:pPr>
              <w:rPr>
                <w:kern w:val="0"/>
              </w:rPr>
            </w:pPr>
          </w:p>
        </w:tc>
        <w:tc>
          <w:tcPr>
            <w:tcW w:w="540" w:type="pct"/>
            <w:vMerge w:val="continue"/>
          </w:tcPr>
          <w:p w14:paraId="71037B4D">
            <w:pPr>
              <w:rPr>
                <w:kern w:val="0"/>
              </w:rPr>
            </w:pPr>
          </w:p>
        </w:tc>
        <w:tc>
          <w:tcPr>
            <w:tcW w:w="433" w:type="pct"/>
            <w:vMerge w:val="continue"/>
          </w:tcPr>
          <w:p w14:paraId="2D9E36EE">
            <w:pPr>
              <w:rPr>
                <w:kern w:val="0"/>
              </w:rPr>
            </w:pPr>
          </w:p>
        </w:tc>
        <w:tc>
          <w:tcPr>
            <w:tcW w:w="379" w:type="pct"/>
            <w:vMerge w:val="continue"/>
            <w:vAlign w:val="center"/>
          </w:tcPr>
          <w:p w14:paraId="29AE08FA">
            <w:pPr>
              <w:rPr>
                <w:kern w:val="0"/>
              </w:rPr>
            </w:pPr>
          </w:p>
        </w:tc>
        <w:tc>
          <w:tcPr>
            <w:tcW w:w="432" w:type="pct"/>
            <w:vAlign w:val="center"/>
          </w:tcPr>
          <w:p w14:paraId="149B215C">
            <w:pPr>
              <w:rPr>
                <w:kern w:val="0"/>
              </w:rPr>
            </w:pPr>
            <w:r>
              <w:rPr>
                <w:rFonts w:hint="eastAsia"/>
                <w:kern w:val="0"/>
              </w:rPr>
              <w:t>污染物</w:t>
            </w:r>
            <w:r>
              <w:rPr>
                <w:kern w:val="0"/>
              </w:rPr>
              <w:t>排放约束</w:t>
            </w:r>
          </w:p>
        </w:tc>
        <w:tc>
          <w:tcPr>
            <w:tcW w:w="2057" w:type="pct"/>
            <w:vAlign w:val="center"/>
          </w:tcPr>
          <w:p w14:paraId="1E5B854A">
            <w:pPr>
              <w:rPr>
                <w:kern w:val="0"/>
              </w:rPr>
            </w:pPr>
            <w:r>
              <w:rPr>
                <w:rFonts w:hint="eastAsia"/>
                <w:kern w:val="0"/>
              </w:rPr>
              <w:t>/</w:t>
            </w:r>
          </w:p>
        </w:tc>
        <w:tc>
          <w:tcPr>
            <w:tcW w:w="486" w:type="pct"/>
            <w:vMerge w:val="continue"/>
            <w:vAlign w:val="center"/>
          </w:tcPr>
          <w:p w14:paraId="38152A92">
            <w:pPr>
              <w:rPr>
                <w:kern w:val="0"/>
              </w:rPr>
            </w:pPr>
          </w:p>
        </w:tc>
        <w:tc>
          <w:tcPr>
            <w:tcW w:w="240" w:type="pct"/>
            <w:vMerge w:val="continue"/>
            <w:vAlign w:val="center"/>
          </w:tcPr>
          <w:p w14:paraId="1F0EEFD8">
            <w:pPr>
              <w:rPr>
                <w:kern w:val="0"/>
              </w:rPr>
            </w:pPr>
          </w:p>
        </w:tc>
      </w:tr>
      <w:tr w14:paraId="4CD02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 w:type="pct"/>
            <w:vMerge w:val="continue"/>
            <w:vAlign w:val="center"/>
          </w:tcPr>
          <w:p w14:paraId="664E3D8E">
            <w:pPr>
              <w:rPr>
                <w:kern w:val="0"/>
              </w:rPr>
            </w:pPr>
          </w:p>
        </w:tc>
        <w:tc>
          <w:tcPr>
            <w:tcW w:w="145" w:type="pct"/>
            <w:vMerge w:val="continue"/>
            <w:vAlign w:val="center"/>
          </w:tcPr>
          <w:p w14:paraId="629C70B6">
            <w:pPr>
              <w:rPr>
                <w:kern w:val="0"/>
              </w:rPr>
            </w:pPr>
          </w:p>
        </w:tc>
        <w:tc>
          <w:tcPr>
            <w:tcW w:w="151" w:type="pct"/>
            <w:vMerge w:val="continue"/>
            <w:vAlign w:val="center"/>
          </w:tcPr>
          <w:p w14:paraId="269CE730">
            <w:pPr>
              <w:rPr>
                <w:kern w:val="0"/>
              </w:rPr>
            </w:pPr>
          </w:p>
        </w:tc>
        <w:tc>
          <w:tcPr>
            <w:tcW w:w="540" w:type="pct"/>
            <w:vMerge w:val="continue"/>
          </w:tcPr>
          <w:p w14:paraId="6C5DD395">
            <w:pPr>
              <w:rPr>
                <w:kern w:val="0"/>
              </w:rPr>
            </w:pPr>
          </w:p>
        </w:tc>
        <w:tc>
          <w:tcPr>
            <w:tcW w:w="433" w:type="pct"/>
            <w:vMerge w:val="continue"/>
          </w:tcPr>
          <w:p w14:paraId="668AEF57">
            <w:pPr>
              <w:rPr>
                <w:kern w:val="0"/>
              </w:rPr>
            </w:pPr>
          </w:p>
        </w:tc>
        <w:tc>
          <w:tcPr>
            <w:tcW w:w="379" w:type="pct"/>
            <w:vMerge w:val="continue"/>
            <w:vAlign w:val="center"/>
          </w:tcPr>
          <w:p w14:paraId="7B0CD251">
            <w:pPr>
              <w:rPr>
                <w:kern w:val="0"/>
              </w:rPr>
            </w:pPr>
          </w:p>
        </w:tc>
        <w:tc>
          <w:tcPr>
            <w:tcW w:w="432" w:type="pct"/>
            <w:vAlign w:val="center"/>
          </w:tcPr>
          <w:p w14:paraId="35ED54FA">
            <w:pPr>
              <w:rPr>
                <w:kern w:val="0"/>
              </w:rPr>
            </w:pPr>
            <w:r>
              <w:rPr>
                <w:rFonts w:hint="eastAsia"/>
                <w:kern w:val="0"/>
              </w:rPr>
              <w:t>环境</w:t>
            </w:r>
            <w:r>
              <w:rPr>
                <w:kern w:val="0"/>
              </w:rPr>
              <w:t>风险防控</w:t>
            </w:r>
          </w:p>
        </w:tc>
        <w:tc>
          <w:tcPr>
            <w:tcW w:w="2057" w:type="pct"/>
            <w:vAlign w:val="center"/>
          </w:tcPr>
          <w:p w14:paraId="6CE1D5DB">
            <w:pPr>
              <w:rPr>
                <w:kern w:val="0"/>
              </w:rPr>
            </w:pPr>
            <w:r>
              <w:rPr>
                <w:rFonts w:hint="eastAsia"/>
                <w:kern w:val="0"/>
              </w:rPr>
              <w:t>/</w:t>
            </w:r>
          </w:p>
        </w:tc>
        <w:tc>
          <w:tcPr>
            <w:tcW w:w="486" w:type="pct"/>
            <w:vMerge w:val="continue"/>
            <w:vAlign w:val="center"/>
          </w:tcPr>
          <w:p w14:paraId="2ED62700">
            <w:pPr>
              <w:rPr>
                <w:kern w:val="0"/>
              </w:rPr>
            </w:pPr>
          </w:p>
        </w:tc>
        <w:tc>
          <w:tcPr>
            <w:tcW w:w="240" w:type="pct"/>
            <w:vMerge w:val="continue"/>
            <w:vAlign w:val="center"/>
          </w:tcPr>
          <w:p w14:paraId="68A2E8F7">
            <w:pPr>
              <w:rPr>
                <w:kern w:val="0"/>
              </w:rPr>
            </w:pPr>
          </w:p>
        </w:tc>
      </w:tr>
      <w:tr w14:paraId="1996F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 w:type="pct"/>
            <w:vMerge w:val="continue"/>
            <w:vAlign w:val="center"/>
          </w:tcPr>
          <w:p w14:paraId="697D355B">
            <w:pPr>
              <w:rPr>
                <w:kern w:val="0"/>
              </w:rPr>
            </w:pPr>
          </w:p>
        </w:tc>
        <w:tc>
          <w:tcPr>
            <w:tcW w:w="145" w:type="pct"/>
            <w:vMerge w:val="continue"/>
            <w:vAlign w:val="center"/>
          </w:tcPr>
          <w:p w14:paraId="0374C060">
            <w:pPr>
              <w:rPr>
                <w:kern w:val="0"/>
              </w:rPr>
            </w:pPr>
          </w:p>
        </w:tc>
        <w:tc>
          <w:tcPr>
            <w:tcW w:w="151" w:type="pct"/>
            <w:vMerge w:val="continue"/>
            <w:vAlign w:val="center"/>
          </w:tcPr>
          <w:p w14:paraId="3104CDF6">
            <w:pPr>
              <w:rPr>
                <w:kern w:val="0"/>
              </w:rPr>
            </w:pPr>
          </w:p>
        </w:tc>
        <w:tc>
          <w:tcPr>
            <w:tcW w:w="540" w:type="pct"/>
            <w:vMerge w:val="continue"/>
          </w:tcPr>
          <w:p w14:paraId="205E1ADB">
            <w:pPr>
              <w:rPr>
                <w:kern w:val="0"/>
              </w:rPr>
            </w:pPr>
          </w:p>
        </w:tc>
        <w:tc>
          <w:tcPr>
            <w:tcW w:w="433" w:type="pct"/>
            <w:vMerge w:val="continue"/>
          </w:tcPr>
          <w:p w14:paraId="5538F7C8">
            <w:pPr>
              <w:rPr>
                <w:kern w:val="0"/>
              </w:rPr>
            </w:pPr>
          </w:p>
        </w:tc>
        <w:tc>
          <w:tcPr>
            <w:tcW w:w="379" w:type="pct"/>
            <w:vMerge w:val="continue"/>
            <w:vAlign w:val="center"/>
          </w:tcPr>
          <w:p w14:paraId="0586A4A7">
            <w:pPr>
              <w:rPr>
                <w:kern w:val="0"/>
              </w:rPr>
            </w:pPr>
          </w:p>
        </w:tc>
        <w:tc>
          <w:tcPr>
            <w:tcW w:w="432" w:type="pct"/>
            <w:vAlign w:val="center"/>
          </w:tcPr>
          <w:p w14:paraId="19674AD9">
            <w:pPr>
              <w:rPr>
                <w:kern w:val="0"/>
              </w:rPr>
            </w:pPr>
            <w:r>
              <w:rPr>
                <w:rFonts w:hint="eastAsia"/>
                <w:kern w:val="0"/>
              </w:rPr>
              <w:t>资源</w:t>
            </w:r>
            <w:r>
              <w:rPr>
                <w:kern w:val="0"/>
              </w:rPr>
              <w:t>利用效率</w:t>
            </w:r>
          </w:p>
        </w:tc>
        <w:tc>
          <w:tcPr>
            <w:tcW w:w="2057" w:type="pct"/>
            <w:vAlign w:val="center"/>
          </w:tcPr>
          <w:p w14:paraId="2AAF38CE">
            <w:pPr>
              <w:rPr>
                <w:kern w:val="0"/>
              </w:rPr>
            </w:pPr>
            <w:r>
              <w:rPr>
                <w:rFonts w:hint="eastAsia"/>
                <w:kern w:val="0"/>
              </w:rPr>
              <w:t>1、按照宜乔则乔、宜灌则灌、宜草则草，乔灌草结合的原则，因地制宜开展沙地治理。</w:t>
            </w:r>
          </w:p>
        </w:tc>
        <w:tc>
          <w:tcPr>
            <w:tcW w:w="486" w:type="pct"/>
            <w:vMerge w:val="continue"/>
            <w:vAlign w:val="center"/>
          </w:tcPr>
          <w:p w14:paraId="1F2305BD">
            <w:pPr>
              <w:rPr>
                <w:kern w:val="0"/>
              </w:rPr>
            </w:pPr>
          </w:p>
        </w:tc>
        <w:tc>
          <w:tcPr>
            <w:tcW w:w="240" w:type="pct"/>
            <w:vMerge w:val="continue"/>
            <w:vAlign w:val="center"/>
          </w:tcPr>
          <w:p w14:paraId="1D9FE167">
            <w:pPr>
              <w:rPr>
                <w:kern w:val="0"/>
              </w:rPr>
            </w:pPr>
          </w:p>
        </w:tc>
      </w:tr>
      <w:tr w14:paraId="6F7B4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 w:type="pct"/>
            <w:vMerge w:val="restart"/>
            <w:vAlign w:val="center"/>
          </w:tcPr>
          <w:p w14:paraId="357DE1B2">
            <w:pPr>
              <w:rPr>
                <w:kern w:val="0"/>
              </w:rPr>
            </w:pPr>
            <w:bookmarkStart w:id="65" w:name="OLE_LINK25"/>
            <w:r>
              <w:rPr>
                <w:kern w:val="0"/>
              </w:rPr>
              <w:t>ZH13082410006</w:t>
            </w:r>
            <w:bookmarkEnd w:id="65"/>
          </w:p>
        </w:tc>
        <w:tc>
          <w:tcPr>
            <w:tcW w:w="145" w:type="pct"/>
            <w:vMerge w:val="restart"/>
            <w:vAlign w:val="center"/>
          </w:tcPr>
          <w:p w14:paraId="394834AB">
            <w:pPr>
              <w:rPr>
                <w:kern w:val="0"/>
              </w:rPr>
            </w:pPr>
            <w:r>
              <w:rPr>
                <w:rFonts w:hint="eastAsia" w:cs="Arial"/>
                <w:kern w:val="0"/>
                <w:szCs w:val="21"/>
              </w:rPr>
              <w:t>承德市</w:t>
            </w:r>
          </w:p>
        </w:tc>
        <w:tc>
          <w:tcPr>
            <w:tcW w:w="151" w:type="pct"/>
            <w:vMerge w:val="restart"/>
            <w:vAlign w:val="center"/>
          </w:tcPr>
          <w:p w14:paraId="22195725">
            <w:pPr>
              <w:rPr>
                <w:kern w:val="0"/>
              </w:rPr>
            </w:pPr>
            <w:r>
              <w:rPr>
                <w:rFonts w:hint="eastAsia"/>
                <w:kern w:val="0"/>
              </w:rPr>
              <w:t>滦平县</w:t>
            </w:r>
          </w:p>
        </w:tc>
        <w:tc>
          <w:tcPr>
            <w:tcW w:w="540" w:type="pct"/>
            <w:vMerge w:val="restart"/>
            <w:vAlign w:val="center"/>
          </w:tcPr>
          <w:p w14:paraId="5AD31A83">
            <w:pPr>
              <w:spacing w:line="280" w:lineRule="exact"/>
              <w:rPr>
                <w:kern w:val="0"/>
              </w:rPr>
            </w:pPr>
            <w:r>
              <w:rPr>
                <w:rFonts w:hint="eastAsia"/>
                <w:kern w:val="0"/>
              </w:rPr>
              <w:t xml:space="preserve">巴克什营镇 火斗山镇 </w:t>
            </w:r>
          </w:p>
          <w:p w14:paraId="36FFFA83">
            <w:pPr>
              <w:spacing w:line="280" w:lineRule="exact"/>
              <w:rPr>
                <w:kern w:val="0"/>
              </w:rPr>
            </w:pPr>
            <w:r>
              <w:rPr>
                <w:rFonts w:hint="eastAsia"/>
                <w:kern w:val="0"/>
              </w:rPr>
              <w:t xml:space="preserve">马营子满族乡 </w:t>
            </w:r>
          </w:p>
          <w:p w14:paraId="1EBE7D45">
            <w:pPr>
              <w:spacing w:line="280" w:lineRule="exact"/>
              <w:rPr>
                <w:kern w:val="0"/>
              </w:rPr>
            </w:pPr>
            <w:r>
              <w:rPr>
                <w:rFonts w:hint="eastAsia"/>
                <w:kern w:val="0"/>
              </w:rPr>
              <w:t>付家店满族乡</w:t>
            </w:r>
          </w:p>
          <w:p w14:paraId="065B4DB4">
            <w:pPr>
              <w:spacing w:line="280" w:lineRule="exact"/>
              <w:rPr>
                <w:kern w:val="0"/>
              </w:rPr>
            </w:pPr>
            <w:r>
              <w:rPr>
                <w:rFonts w:hint="eastAsia"/>
                <w:kern w:val="0"/>
              </w:rPr>
              <w:t>两间房镇</w:t>
            </w:r>
          </w:p>
          <w:p w14:paraId="77C0B6DF">
            <w:pPr>
              <w:spacing w:line="280" w:lineRule="exact"/>
              <w:rPr>
                <w:kern w:val="0"/>
              </w:rPr>
            </w:pPr>
            <w:r>
              <w:rPr>
                <w:rFonts w:hint="eastAsia"/>
                <w:kern w:val="0"/>
              </w:rPr>
              <w:t>五道营子</w:t>
            </w:r>
          </w:p>
          <w:p w14:paraId="373489F7">
            <w:pPr>
              <w:spacing w:line="280" w:lineRule="exact"/>
              <w:rPr>
                <w:kern w:val="0"/>
              </w:rPr>
            </w:pPr>
            <w:r>
              <w:rPr>
                <w:rFonts w:hint="eastAsia"/>
                <w:kern w:val="0"/>
              </w:rPr>
              <w:t>满族乡</w:t>
            </w:r>
          </w:p>
          <w:p w14:paraId="759D936E">
            <w:pPr>
              <w:spacing w:line="280" w:lineRule="exact"/>
              <w:rPr>
                <w:kern w:val="0"/>
              </w:rPr>
            </w:pPr>
            <w:r>
              <w:rPr>
                <w:rFonts w:hint="eastAsia"/>
                <w:kern w:val="0"/>
              </w:rPr>
              <w:t>虎什哈镇</w:t>
            </w:r>
          </w:p>
          <w:p w14:paraId="0CD8708C">
            <w:pPr>
              <w:spacing w:line="280" w:lineRule="exact"/>
              <w:rPr>
                <w:kern w:val="0"/>
              </w:rPr>
            </w:pPr>
            <w:r>
              <w:rPr>
                <w:rFonts w:hint="eastAsia"/>
                <w:kern w:val="0"/>
              </w:rPr>
              <w:t>安纯沟门镇 邓厂满族乡</w:t>
            </w:r>
          </w:p>
          <w:p w14:paraId="392DE6D6">
            <w:pPr>
              <w:spacing w:line="280" w:lineRule="exact"/>
              <w:rPr>
                <w:kern w:val="0"/>
              </w:rPr>
            </w:pPr>
            <w:r>
              <w:rPr>
                <w:rFonts w:hint="eastAsia"/>
                <w:kern w:val="0"/>
              </w:rPr>
              <w:t>中兴路街</w:t>
            </w:r>
          </w:p>
          <w:p w14:paraId="66627257">
            <w:pPr>
              <w:spacing w:line="280" w:lineRule="exact"/>
              <w:rPr>
                <w:kern w:val="0"/>
              </w:rPr>
            </w:pPr>
            <w:r>
              <w:rPr>
                <w:rFonts w:hint="eastAsia"/>
                <w:kern w:val="0"/>
              </w:rPr>
              <w:t>道办事处</w:t>
            </w:r>
          </w:p>
          <w:p w14:paraId="30FD6D98">
            <w:pPr>
              <w:spacing w:line="280" w:lineRule="exact"/>
              <w:rPr>
                <w:kern w:val="0"/>
              </w:rPr>
            </w:pPr>
            <w:r>
              <w:rPr>
                <w:rFonts w:hint="eastAsia"/>
                <w:kern w:val="0"/>
              </w:rPr>
              <w:t>滦平镇</w:t>
            </w:r>
          </w:p>
          <w:p w14:paraId="05622F7F">
            <w:pPr>
              <w:spacing w:line="280" w:lineRule="exact"/>
              <w:rPr>
                <w:kern w:val="0"/>
              </w:rPr>
            </w:pPr>
            <w:r>
              <w:rPr>
                <w:rFonts w:hint="eastAsia"/>
                <w:kern w:val="0"/>
              </w:rPr>
              <w:t>大屯镇</w:t>
            </w:r>
          </w:p>
          <w:p w14:paraId="220AB32E">
            <w:pPr>
              <w:spacing w:line="280" w:lineRule="exact"/>
              <w:rPr>
                <w:kern w:val="0"/>
              </w:rPr>
            </w:pPr>
            <w:r>
              <w:rPr>
                <w:rFonts w:hint="eastAsia"/>
                <w:kern w:val="0"/>
              </w:rPr>
              <w:t>平坊满族乡</w:t>
            </w:r>
          </w:p>
        </w:tc>
        <w:tc>
          <w:tcPr>
            <w:tcW w:w="433" w:type="pct"/>
            <w:vMerge w:val="restart"/>
            <w:vAlign w:val="center"/>
          </w:tcPr>
          <w:p w14:paraId="0F88A230">
            <w:pPr>
              <w:rPr>
                <w:kern w:val="0"/>
              </w:rPr>
            </w:pPr>
            <w:r>
              <w:rPr>
                <w:rFonts w:hint="eastAsia"/>
                <w:kern w:val="0"/>
              </w:rPr>
              <w:t>优先保护单元</w:t>
            </w:r>
          </w:p>
        </w:tc>
        <w:tc>
          <w:tcPr>
            <w:tcW w:w="379" w:type="pct"/>
            <w:vMerge w:val="restart"/>
            <w:vAlign w:val="center"/>
          </w:tcPr>
          <w:p w14:paraId="07C2C0F1">
            <w:pPr>
              <w:rPr>
                <w:kern w:val="0"/>
              </w:rPr>
            </w:pPr>
            <w:r>
              <w:rPr>
                <w:rFonts w:hint="eastAsia"/>
                <w:kern w:val="0"/>
              </w:rPr>
              <w:t>一般生态空间 水环境其他区域</w:t>
            </w:r>
          </w:p>
          <w:p w14:paraId="22C4D55C">
            <w:pPr>
              <w:rPr>
                <w:kern w:val="0"/>
              </w:rPr>
            </w:pPr>
            <w:r>
              <w:rPr>
                <w:rFonts w:hint="eastAsia"/>
                <w:kern w:val="0"/>
              </w:rPr>
              <w:t>大气一般管控</w:t>
            </w:r>
          </w:p>
        </w:tc>
        <w:tc>
          <w:tcPr>
            <w:tcW w:w="432" w:type="pct"/>
            <w:vAlign w:val="center"/>
          </w:tcPr>
          <w:p w14:paraId="55708530">
            <w:pPr>
              <w:rPr>
                <w:kern w:val="0"/>
              </w:rPr>
            </w:pPr>
            <w:r>
              <w:rPr>
                <w:rFonts w:hint="eastAsia"/>
                <w:kern w:val="0"/>
              </w:rPr>
              <w:t>空间</w:t>
            </w:r>
            <w:r>
              <w:rPr>
                <w:kern w:val="0"/>
              </w:rPr>
              <w:t>布局约束</w:t>
            </w:r>
          </w:p>
        </w:tc>
        <w:tc>
          <w:tcPr>
            <w:tcW w:w="2057" w:type="pct"/>
            <w:vAlign w:val="center"/>
          </w:tcPr>
          <w:p w14:paraId="4E0C3BA5">
            <w:pPr>
              <w:rPr>
                <w:kern w:val="0"/>
              </w:rPr>
            </w:pPr>
            <w:r>
              <w:rPr>
                <w:rFonts w:hint="eastAsia"/>
                <w:kern w:val="0"/>
              </w:rPr>
              <w:t>1、执行承德市总体准入清单中一般生态空间准入要求。</w:t>
            </w:r>
          </w:p>
        </w:tc>
        <w:tc>
          <w:tcPr>
            <w:tcW w:w="486" w:type="pct"/>
            <w:vMerge w:val="restart"/>
            <w:vAlign w:val="center"/>
          </w:tcPr>
          <w:p w14:paraId="465908B3">
            <w:pPr>
              <w:rPr>
                <w:kern w:val="0"/>
              </w:rPr>
            </w:pPr>
            <w:r>
              <w:rPr>
                <w:rFonts w:hint="eastAsia"/>
                <w:kern w:val="0"/>
              </w:rPr>
              <w:t>根据前文分析，本项目不涉及承德市总体准入清单中一般生态空间准入要求。</w:t>
            </w:r>
          </w:p>
          <w:p w14:paraId="60AF9A1C">
            <w:pPr>
              <w:rPr>
                <w:kern w:val="0"/>
              </w:rPr>
            </w:pPr>
            <w:r>
              <w:rPr>
                <w:rFonts w:hint="eastAsia"/>
                <w:kern w:val="0"/>
              </w:rPr>
              <w:t>本项目不涉及污染物排放、不涉及资源利用效率相关要求。</w:t>
            </w:r>
          </w:p>
        </w:tc>
        <w:tc>
          <w:tcPr>
            <w:tcW w:w="240" w:type="pct"/>
            <w:vMerge w:val="restart"/>
            <w:vAlign w:val="center"/>
          </w:tcPr>
          <w:p w14:paraId="4BB81144">
            <w:pPr>
              <w:rPr>
                <w:kern w:val="0"/>
              </w:rPr>
            </w:pPr>
            <w:r>
              <w:rPr>
                <w:rFonts w:hint="eastAsia"/>
                <w:kern w:val="0"/>
              </w:rPr>
              <w:t>符合</w:t>
            </w:r>
          </w:p>
        </w:tc>
      </w:tr>
      <w:tr w14:paraId="3B31F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 w:type="pct"/>
            <w:vMerge w:val="continue"/>
            <w:vAlign w:val="center"/>
          </w:tcPr>
          <w:p w14:paraId="67C08221">
            <w:pPr>
              <w:rPr>
                <w:kern w:val="0"/>
              </w:rPr>
            </w:pPr>
          </w:p>
        </w:tc>
        <w:tc>
          <w:tcPr>
            <w:tcW w:w="145" w:type="pct"/>
            <w:vMerge w:val="continue"/>
            <w:vAlign w:val="center"/>
          </w:tcPr>
          <w:p w14:paraId="5F4D0DEB">
            <w:pPr>
              <w:rPr>
                <w:kern w:val="0"/>
              </w:rPr>
            </w:pPr>
          </w:p>
        </w:tc>
        <w:tc>
          <w:tcPr>
            <w:tcW w:w="151" w:type="pct"/>
            <w:vMerge w:val="continue"/>
            <w:vAlign w:val="center"/>
          </w:tcPr>
          <w:p w14:paraId="2A1BD9B9">
            <w:pPr>
              <w:rPr>
                <w:kern w:val="0"/>
              </w:rPr>
            </w:pPr>
          </w:p>
        </w:tc>
        <w:tc>
          <w:tcPr>
            <w:tcW w:w="540" w:type="pct"/>
            <w:vMerge w:val="continue"/>
            <w:vAlign w:val="center"/>
          </w:tcPr>
          <w:p w14:paraId="097C5086">
            <w:pPr>
              <w:rPr>
                <w:kern w:val="0"/>
              </w:rPr>
            </w:pPr>
          </w:p>
        </w:tc>
        <w:tc>
          <w:tcPr>
            <w:tcW w:w="433" w:type="pct"/>
            <w:vMerge w:val="continue"/>
            <w:vAlign w:val="center"/>
          </w:tcPr>
          <w:p w14:paraId="0129CEA5">
            <w:pPr>
              <w:rPr>
                <w:kern w:val="0"/>
              </w:rPr>
            </w:pPr>
          </w:p>
        </w:tc>
        <w:tc>
          <w:tcPr>
            <w:tcW w:w="379" w:type="pct"/>
            <w:vMerge w:val="continue"/>
            <w:vAlign w:val="center"/>
          </w:tcPr>
          <w:p w14:paraId="3BE938A1">
            <w:pPr>
              <w:rPr>
                <w:kern w:val="0"/>
              </w:rPr>
            </w:pPr>
          </w:p>
        </w:tc>
        <w:tc>
          <w:tcPr>
            <w:tcW w:w="432" w:type="pct"/>
            <w:vAlign w:val="center"/>
          </w:tcPr>
          <w:p w14:paraId="7D2E442A">
            <w:pPr>
              <w:rPr>
                <w:kern w:val="0"/>
              </w:rPr>
            </w:pPr>
            <w:r>
              <w:rPr>
                <w:rFonts w:hint="eastAsia"/>
                <w:kern w:val="0"/>
              </w:rPr>
              <w:t>污染物</w:t>
            </w:r>
            <w:r>
              <w:rPr>
                <w:kern w:val="0"/>
              </w:rPr>
              <w:t>排放约束</w:t>
            </w:r>
          </w:p>
        </w:tc>
        <w:tc>
          <w:tcPr>
            <w:tcW w:w="2057" w:type="pct"/>
            <w:vAlign w:val="center"/>
          </w:tcPr>
          <w:p w14:paraId="72F9F617">
            <w:pPr>
              <w:rPr>
                <w:kern w:val="0"/>
              </w:rPr>
            </w:pPr>
            <w:r>
              <w:rPr>
                <w:rFonts w:hint="eastAsia"/>
                <w:kern w:val="0"/>
              </w:rPr>
              <w:t>1、水环境一般管控区应注重控制新增产能水环境污染物控制，实施水污染排放项目与污水处理设施同步规划、同步建设，严格控制水环境高风险类项目准入。执行通用型水环境准入管控清单。</w:t>
            </w:r>
          </w:p>
        </w:tc>
        <w:tc>
          <w:tcPr>
            <w:tcW w:w="486" w:type="pct"/>
            <w:vMerge w:val="continue"/>
            <w:vAlign w:val="center"/>
          </w:tcPr>
          <w:p w14:paraId="7A62D3DA">
            <w:pPr>
              <w:rPr>
                <w:kern w:val="0"/>
              </w:rPr>
            </w:pPr>
          </w:p>
        </w:tc>
        <w:tc>
          <w:tcPr>
            <w:tcW w:w="240" w:type="pct"/>
            <w:vMerge w:val="continue"/>
            <w:vAlign w:val="center"/>
          </w:tcPr>
          <w:p w14:paraId="3C664A02">
            <w:pPr>
              <w:rPr>
                <w:kern w:val="0"/>
              </w:rPr>
            </w:pPr>
          </w:p>
        </w:tc>
      </w:tr>
      <w:tr w14:paraId="58D48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 w:type="pct"/>
            <w:vMerge w:val="continue"/>
            <w:vAlign w:val="center"/>
          </w:tcPr>
          <w:p w14:paraId="064F1914">
            <w:pPr>
              <w:rPr>
                <w:kern w:val="0"/>
              </w:rPr>
            </w:pPr>
          </w:p>
        </w:tc>
        <w:tc>
          <w:tcPr>
            <w:tcW w:w="145" w:type="pct"/>
            <w:vMerge w:val="continue"/>
            <w:vAlign w:val="center"/>
          </w:tcPr>
          <w:p w14:paraId="2381DAC6">
            <w:pPr>
              <w:rPr>
                <w:kern w:val="0"/>
              </w:rPr>
            </w:pPr>
          </w:p>
        </w:tc>
        <w:tc>
          <w:tcPr>
            <w:tcW w:w="151" w:type="pct"/>
            <w:vMerge w:val="continue"/>
            <w:vAlign w:val="center"/>
          </w:tcPr>
          <w:p w14:paraId="47B2B4D9">
            <w:pPr>
              <w:rPr>
                <w:kern w:val="0"/>
              </w:rPr>
            </w:pPr>
          </w:p>
        </w:tc>
        <w:tc>
          <w:tcPr>
            <w:tcW w:w="540" w:type="pct"/>
            <w:vMerge w:val="continue"/>
            <w:vAlign w:val="center"/>
          </w:tcPr>
          <w:p w14:paraId="2DD0B749">
            <w:pPr>
              <w:rPr>
                <w:kern w:val="0"/>
              </w:rPr>
            </w:pPr>
          </w:p>
        </w:tc>
        <w:tc>
          <w:tcPr>
            <w:tcW w:w="433" w:type="pct"/>
            <w:vMerge w:val="continue"/>
            <w:vAlign w:val="center"/>
          </w:tcPr>
          <w:p w14:paraId="3B1425D0">
            <w:pPr>
              <w:rPr>
                <w:kern w:val="0"/>
              </w:rPr>
            </w:pPr>
          </w:p>
        </w:tc>
        <w:tc>
          <w:tcPr>
            <w:tcW w:w="379" w:type="pct"/>
            <w:vMerge w:val="continue"/>
            <w:vAlign w:val="center"/>
          </w:tcPr>
          <w:p w14:paraId="0EFB828B">
            <w:pPr>
              <w:rPr>
                <w:kern w:val="0"/>
              </w:rPr>
            </w:pPr>
          </w:p>
        </w:tc>
        <w:tc>
          <w:tcPr>
            <w:tcW w:w="432" w:type="pct"/>
            <w:vAlign w:val="center"/>
          </w:tcPr>
          <w:p w14:paraId="61CBCA23">
            <w:pPr>
              <w:rPr>
                <w:kern w:val="0"/>
              </w:rPr>
            </w:pPr>
            <w:r>
              <w:rPr>
                <w:rFonts w:hint="eastAsia"/>
                <w:kern w:val="0"/>
              </w:rPr>
              <w:t>环境</w:t>
            </w:r>
            <w:r>
              <w:rPr>
                <w:kern w:val="0"/>
              </w:rPr>
              <w:t>风险防控</w:t>
            </w:r>
          </w:p>
        </w:tc>
        <w:tc>
          <w:tcPr>
            <w:tcW w:w="2057" w:type="pct"/>
            <w:vAlign w:val="center"/>
          </w:tcPr>
          <w:p w14:paraId="62169108">
            <w:pPr>
              <w:rPr>
                <w:kern w:val="0"/>
              </w:rPr>
            </w:pPr>
            <w:r>
              <w:rPr>
                <w:rFonts w:hint="eastAsia"/>
                <w:kern w:val="0"/>
              </w:rPr>
              <w:t>/</w:t>
            </w:r>
          </w:p>
        </w:tc>
        <w:tc>
          <w:tcPr>
            <w:tcW w:w="486" w:type="pct"/>
            <w:vMerge w:val="continue"/>
            <w:vAlign w:val="center"/>
          </w:tcPr>
          <w:p w14:paraId="16C6C476">
            <w:pPr>
              <w:rPr>
                <w:kern w:val="0"/>
              </w:rPr>
            </w:pPr>
          </w:p>
        </w:tc>
        <w:tc>
          <w:tcPr>
            <w:tcW w:w="240" w:type="pct"/>
            <w:vMerge w:val="continue"/>
            <w:vAlign w:val="center"/>
          </w:tcPr>
          <w:p w14:paraId="626BB390">
            <w:pPr>
              <w:rPr>
                <w:kern w:val="0"/>
              </w:rPr>
            </w:pPr>
          </w:p>
        </w:tc>
      </w:tr>
      <w:tr w14:paraId="753A3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 w:type="pct"/>
            <w:vMerge w:val="continue"/>
            <w:vAlign w:val="center"/>
          </w:tcPr>
          <w:p w14:paraId="6D39E153">
            <w:pPr>
              <w:rPr>
                <w:kern w:val="0"/>
              </w:rPr>
            </w:pPr>
          </w:p>
        </w:tc>
        <w:tc>
          <w:tcPr>
            <w:tcW w:w="145" w:type="pct"/>
            <w:vMerge w:val="continue"/>
            <w:vAlign w:val="center"/>
          </w:tcPr>
          <w:p w14:paraId="60861A65">
            <w:pPr>
              <w:rPr>
                <w:kern w:val="0"/>
              </w:rPr>
            </w:pPr>
          </w:p>
        </w:tc>
        <w:tc>
          <w:tcPr>
            <w:tcW w:w="151" w:type="pct"/>
            <w:vMerge w:val="continue"/>
            <w:vAlign w:val="center"/>
          </w:tcPr>
          <w:p w14:paraId="13AF8E9A">
            <w:pPr>
              <w:rPr>
                <w:kern w:val="0"/>
              </w:rPr>
            </w:pPr>
          </w:p>
        </w:tc>
        <w:tc>
          <w:tcPr>
            <w:tcW w:w="540" w:type="pct"/>
            <w:vMerge w:val="continue"/>
            <w:vAlign w:val="center"/>
          </w:tcPr>
          <w:p w14:paraId="50FE71BA">
            <w:pPr>
              <w:rPr>
                <w:kern w:val="0"/>
              </w:rPr>
            </w:pPr>
          </w:p>
        </w:tc>
        <w:tc>
          <w:tcPr>
            <w:tcW w:w="433" w:type="pct"/>
            <w:vMerge w:val="continue"/>
            <w:vAlign w:val="center"/>
          </w:tcPr>
          <w:p w14:paraId="4C5DC6DC">
            <w:pPr>
              <w:rPr>
                <w:kern w:val="0"/>
              </w:rPr>
            </w:pPr>
          </w:p>
        </w:tc>
        <w:tc>
          <w:tcPr>
            <w:tcW w:w="379" w:type="pct"/>
            <w:vMerge w:val="continue"/>
            <w:vAlign w:val="center"/>
          </w:tcPr>
          <w:p w14:paraId="44A2BB0A">
            <w:pPr>
              <w:rPr>
                <w:kern w:val="0"/>
              </w:rPr>
            </w:pPr>
          </w:p>
        </w:tc>
        <w:tc>
          <w:tcPr>
            <w:tcW w:w="432" w:type="pct"/>
            <w:vAlign w:val="center"/>
          </w:tcPr>
          <w:p w14:paraId="31EE55A9">
            <w:pPr>
              <w:rPr>
                <w:kern w:val="0"/>
              </w:rPr>
            </w:pPr>
            <w:r>
              <w:rPr>
                <w:rFonts w:hint="eastAsia"/>
                <w:kern w:val="0"/>
              </w:rPr>
              <w:t>资源</w:t>
            </w:r>
            <w:r>
              <w:rPr>
                <w:kern w:val="0"/>
              </w:rPr>
              <w:t>利用效率</w:t>
            </w:r>
          </w:p>
        </w:tc>
        <w:tc>
          <w:tcPr>
            <w:tcW w:w="2057" w:type="pct"/>
            <w:vAlign w:val="center"/>
          </w:tcPr>
          <w:p w14:paraId="5CDA0935">
            <w:pPr>
              <w:rPr>
                <w:kern w:val="0"/>
              </w:rPr>
            </w:pPr>
            <w:r>
              <w:rPr>
                <w:rFonts w:hint="eastAsia"/>
                <w:kern w:val="0"/>
              </w:rPr>
              <w:t>1、加强对森林的培育和抚育，提高林分质量，增加林木蓄积量，调整优化树种结构，精准提升森林质量和生态服务价值。</w:t>
            </w:r>
          </w:p>
          <w:p w14:paraId="1F5904DF">
            <w:pPr>
              <w:rPr>
                <w:kern w:val="0"/>
              </w:rPr>
            </w:pPr>
            <w:r>
              <w:rPr>
                <w:rFonts w:hint="eastAsia"/>
                <w:kern w:val="0"/>
              </w:rPr>
              <w:t>2、在严格保护生态环境前提下，鼓励采取多样化模式和路径，科学合理推动生态产品价值实现。</w:t>
            </w:r>
          </w:p>
        </w:tc>
        <w:tc>
          <w:tcPr>
            <w:tcW w:w="486" w:type="pct"/>
            <w:vMerge w:val="continue"/>
            <w:vAlign w:val="center"/>
          </w:tcPr>
          <w:p w14:paraId="351C95A3">
            <w:pPr>
              <w:rPr>
                <w:kern w:val="0"/>
              </w:rPr>
            </w:pPr>
          </w:p>
        </w:tc>
        <w:tc>
          <w:tcPr>
            <w:tcW w:w="240" w:type="pct"/>
            <w:vMerge w:val="continue"/>
            <w:vAlign w:val="center"/>
          </w:tcPr>
          <w:p w14:paraId="24A551A7">
            <w:pPr>
              <w:rPr>
                <w:kern w:val="0"/>
              </w:rPr>
            </w:pPr>
          </w:p>
        </w:tc>
      </w:tr>
      <w:tr w14:paraId="05260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 w:type="pct"/>
            <w:vMerge w:val="restart"/>
          </w:tcPr>
          <w:p w14:paraId="76B2AAA2">
            <w:pPr>
              <w:rPr>
                <w:kern w:val="0"/>
              </w:rPr>
            </w:pPr>
            <w:r>
              <w:rPr>
                <w:kern w:val="0"/>
              </w:rPr>
              <w:t>ZH13082430001</w:t>
            </w:r>
          </w:p>
        </w:tc>
        <w:tc>
          <w:tcPr>
            <w:tcW w:w="145" w:type="pct"/>
            <w:vMerge w:val="restart"/>
          </w:tcPr>
          <w:p w14:paraId="3F49084E">
            <w:pPr>
              <w:rPr>
                <w:kern w:val="0"/>
              </w:rPr>
            </w:pPr>
            <w:r>
              <w:rPr>
                <w:rFonts w:hint="eastAsia" w:cs="Arial"/>
                <w:kern w:val="0"/>
                <w:szCs w:val="21"/>
              </w:rPr>
              <w:t>承德市</w:t>
            </w:r>
          </w:p>
        </w:tc>
        <w:tc>
          <w:tcPr>
            <w:tcW w:w="151" w:type="pct"/>
            <w:vMerge w:val="restart"/>
          </w:tcPr>
          <w:p w14:paraId="6FD07120">
            <w:pPr>
              <w:rPr>
                <w:kern w:val="0"/>
              </w:rPr>
            </w:pPr>
            <w:r>
              <w:rPr>
                <w:rFonts w:hint="eastAsia"/>
                <w:kern w:val="0"/>
              </w:rPr>
              <w:t>滦平县</w:t>
            </w:r>
          </w:p>
        </w:tc>
        <w:tc>
          <w:tcPr>
            <w:tcW w:w="540" w:type="pct"/>
            <w:vMerge w:val="restart"/>
          </w:tcPr>
          <w:p w14:paraId="7E8589DA">
            <w:pPr>
              <w:spacing w:line="280" w:lineRule="exact"/>
              <w:rPr>
                <w:kern w:val="0"/>
              </w:rPr>
            </w:pPr>
            <w:r>
              <w:rPr>
                <w:rFonts w:hint="eastAsia"/>
                <w:kern w:val="0"/>
              </w:rPr>
              <w:t>巴克什营镇</w:t>
            </w:r>
          </w:p>
          <w:p w14:paraId="25C465F3">
            <w:pPr>
              <w:spacing w:line="280" w:lineRule="exact"/>
              <w:rPr>
                <w:kern w:val="0"/>
              </w:rPr>
            </w:pPr>
            <w:r>
              <w:rPr>
                <w:rFonts w:hint="eastAsia"/>
                <w:kern w:val="0"/>
              </w:rPr>
              <w:t>火斗山镇</w:t>
            </w:r>
          </w:p>
          <w:p w14:paraId="580C1AFF">
            <w:pPr>
              <w:spacing w:line="280" w:lineRule="exact"/>
              <w:rPr>
                <w:kern w:val="0"/>
              </w:rPr>
            </w:pPr>
            <w:r>
              <w:rPr>
                <w:rFonts w:hint="eastAsia"/>
                <w:kern w:val="0"/>
              </w:rPr>
              <w:t>马营子满族乡</w:t>
            </w:r>
          </w:p>
          <w:p w14:paraId="57337459">
            <w:pPr>
              <w:spacing w:line="280" w:lineRule="exact"/>
              <w:rPr>
                <w:kern w:val="0"/>
              </w:rPr>
            </w:pPr>
            <w:r>
              <w:rPr>
                <w:rFonts w:hint="eastAsia"/>
                <w:kern w:val="0"/>
              </w:rPr>
              <w:t>付家店满族乡</w:t>
            </w:r>
          </w:p>
          <w:p w14:paraId="0334D66C">
            <w:pPr>
              <w:spacing w:line="280" w:lineRule="exact"/>
              <w:rPr>
                <w:kern w:val="0"/>
              </w:rPr>
            </w:pPr>
            <w:r>
              <w:rPr>
                <w:rFonts w:hint="eastAsia"/>
                <w:kern w:val="0"/>
              </w:rPr>
              <w:t>两间房镇</w:t>
            </w:r>
          </w:p>
          <w:p w14:paraId="5E795453">
            <w:pPr>
              <w:spacing w:line="280" w:lineRule="exact"/>
              <w:rPr>
                <w:kern w:val="0"/>
              </w:rPr>
            </w:pPr>
            <w:r>
              <w:rPr>
                <w:rFonts w:hint="eastAsia"/>
                <w:kern w:val="0"/>
              </w:rPr>
              <w:t>五道营子</w:t>
            </w:r>
          </w:p>
          <w:p w14:paraId="6FA4E032">
            <w:pPr>
              <w:spacing w:line="280" w:lineRule="exact"/>
              <w:rPr>
                <w:kern w:val="0"/>
              </w:rPr>
            </w:pPr>
            <w:r>
              <w:rPr>
                <w:rFonts w:hint="eastAsia"/>
                <w:kern w:val="0"/>
              </w:rPr>
              <w:t>满族乡</w:t>
            </w:r>
          </w:p>
          <w:p w14:paraId="2339DB85">
            <w:pPr>
              <w:spacing w:line="280" w:lineRule="exact"/>
              <w:rPr>
                <w:kern w:val="0"/>
              </w:rPr>
            </w:pPr>
            <w:r>
              <w:rPr>
                <w:rFonts w:hint="eastAsia"/>
                <w:kern w:val="0"/>
              </w:rPr>
              <w:t>虎什哈镇</w:t>
            </w:r>
          </w:p>
          <w:p w14:paraId="663AAF2D">
            <w:pPr>
              <w:spacing w:line="280" w:lineRule="exact"/>
              <w:rPr>
                <w:kern w:val="0"/>
              </w:rPr>
            </w:pPr>
            <w:r>
              <w:rPr>
                <w:rFonts w:hint="eastAsia"/>
                <w:kern w:val="0"/>
              </w:rPr>
              <w:t>安纯沟门镇</w:t>
            </w:r>
          </w:p>
          <w:p w14:paraId="6C035CEF">
            <w:pPr>
              <w:spacing w:line="280" w:lineRule="exact"/>
              <w:rPr>
                <w:kern w:val="0"/>
              </w:rPr>
            </w:pPr>
            <w:r>
              <w:rPr>
                <w:rFonts w:hint="eastAsia"/>
                <w:kern w:val="0"/>
              </w:rPr>
              <w:t>邓厂</w:t>
            </w:r>
          </w:p>
          <w:p w14:paraId="7DA752CE">
            <w:pPr>
              <w:spacing w:line="280" w:lineRule="exact"/>
              <w:rPr>
                <w:kern w:val="0"/>
              </w:rPr>
            </w:pPr>
            <w:r>
              <w:rPr>
                <w:rFonts w:hint="eastAsia"/>
                <w:kern w:val="0"/>
              </w:rPr>
              <w:t>满族乡</w:t>
            </w:r>
          </w:p>
          <w:p w14:paraId="1720B2B5">
            <w:pPr>
              <w:spacing w:line="280" w:lineRule="exact"/>
              <w:rPr>
                <w:kern w:val="0"/>
              </w:rPr>
            </w:pPr>
            <w:r>
              <w:rPr>
                <w:rFonts w:hint="eastAsia"/>
                <w:kern w:val="0"/>
              </w:rPr>
              <w:t>中兴路街</w:t>
            </w:r>
          </w:p>
          <w:p w14:paraId="58113E86">
            <w:pPr>
              <w:spacing w:line="280" w:lineRule="exact"/>
              <w:rPr>
                <w:kern w:val="0"/>
              </w:rPr>
            </w:pPr>
            <w:r>
              <w:rPr>
                <w:rFonts w:hint="eastAsia"/>
                <w:kern w:val="0"/>
              </w:rPr>
              <w:t>道办事处</w:t>
            </w:r>
          </w:p>
          <w:p w14:paraId="5C74859F">
            <w:pPr>
              <w:spacing w:line="280" w:lineRule="exact"/>
              <w:rPr>
                <w:kern w:val="0"/>
              </w:rPr>
            </w:pPr>
            <w:r>
              <w:rPr>
                <w:rFonts w:hint="eastAsia"/>
                <w:kern w:val="0"/>
              </w:rPr>
              <w:t>滦平镇</w:t>
            </w:r>
          </w:p>
          <w:p w14:paraId="7D37039E">
            <w:pPr>
              <w:spacing w:line="280" w:lineRule="exact"/>
              <w:rPr>
                <w:kern w:val="0"/>
              </w:rPr>
            </w:pPr>
            <w:r>
              <w:rPr>
                <w:rFonts w:hint="eastAsia"/>
                <w:kern w:val="0"/>
              </w:rPr>
              <w:t>大屯镇</w:t>
            </w:r>
          </w:p>
          <w:p w14:paraId="4963F0F4">
            <w:pPr>
              <w:spacing w:line="280" w:lineRule="exact"/>
              <w:rPr>
                <w:kern w:val="0"/>
              </w:rPr>
            </w:pPr>
            <w:r>
              <w:rPr>
                <w:rFonts w:hint="eastAsia"/>
                <w:kern w:val="0"/>
              </w:rPr>
              <w:t>平坊满族乡</w:t>
            </w:r>
          </w:p>
        </w:tc>
        <w:tc>
          <w:tcPr>
            <w:tcW w:w="433" w:type="pct"/>
            <w:vMerge w:val="restart"/>
          </w:tcPr>
          <w:p w14:paraId="1A1FA978">
            <w:pPr>
              <w:rPr>
                <w:kern w:val="0"/>
              </w:rPr>
            </w:pPr>
            <w:r>
              <w:rPr>
                <w:rFonts w:hint="eastAsia"/>
                <w:kern w:val="0"/>
              </w:rPr>
              <w:t>一般管控单元</w:t>
            </w:r>
          </w:p>
        </w:tc>
        <w:tc>
          <w:tcPr>
            <w:tcW w:w="379" w:type="pct"/>
            <w:vMerge w:val="restart"/>
          </w:tcPr>
          <w:p w14:paraId="5377EE33">
            <w:pPr>
              <w:rPr>
                <w:kern w:val="0"/>
              </w:rPr>
            </w:pPr>
            <w:r>
              <w:rPr>
                <w:rFonts w:hint="eastAsia"/>
                <w:kern w:val="0"/>
              </w:rPr>
              <w:t>水环境其他区域</w:t>
            </w:r>
          </w:p>
          <w:p w14:paraId="7D796094">
            <w:pPr>
              <w:rPr>
                <w:kern w:val="0"/>
              </w:rPr>
            </w:pPr>
            <w:r>
              <w:rPr>
                <w:rFonts w:hint="eastAsia"/>
                <w:kern w:val="0"/>
              </w:rPr>
              <w:t>大气一般管控区</w:t>
            </w:r>
          </w:p>
        </w:tc>
        <w:tc>
          <w:tcPr>
            <w:tcW w:w="432" w:type="pct"/>
          </w:tcPr>
          <w:p w14:paraId="347B008F">
            <w:pPr>
              <w:rPr>
                <w:kern w:val="0"/>
              </w:rPr>
            </w:pPr>
            <w:r>
              <w:rPr>
                <w:rFonts w:hint="eastAsia"/>
                <w:kern w:val="0"/>
              </w:rPr>
              <w:t>空间</w:t>
            </w:r>
            <w:r>
              <w:rPr>
                <w:kern w:val="0"/>
              </w:rPr>
              <w:t>布局约束</w:t>
            </w:r>
          </w:p>
        </w:tc>
        <w:tc>
          <w:tcPr>
            <w:tcW w:w="2057" w:type="pct"/>
          </w:tcPr>
          <w:p w14:paraId="6DD12BEA">
            <w:pPr>
              <w:rPr>
                <w:kern w:val="0"/>
              </w:rPr>
            </w:pPr>
            <w:r>
              <w:rPr>
                <w:rFonts w:hint="eastAsia"/>
                <w:kern w:val="0"/>
              </w:rPr>
              <w:t>/</w:t>
            </w:r>
          </w:p>
        </w:tc>
        <w:tc>
          <w:tcPr>
            <w:tcW w:w="486" w:type="pct"/>
            <w:vMerge w:val="restart"/>
          </w:tcPr>
          <w:p w14:paraId="548A2D4C">
            <w:pPr>
              <w:rPr>
                <w:kern w:val="0"/>
              </w:rPr>
            </w:pPr>
            <w:r>
              <w:rPr>
                <w:rFonts w:hint="eastAsia"/>
                <w:kern w:val="0"/>
              </w:rPr>
              <w:t>不涉及</w:t>
            </w:r>
          </w:p>
        </w:tc>
        <w:tc>
          <w:tcPr>
            <w:tcW w:w="240" w:type="pct"/>
            <w:vMerge w:val="restart"/>
          </w:tcPr>
          <w:p w14:paraId="53F8A6DB">
            <w:pPr>
              <w:rPr>
                <w:kern w:val="0"/>
              </w:rPr>
            </w:pPr>
            <w:r>
              <w:rPr>
                <w:rFonts w:hint="eastAsia"/>
                <w:kern w:val="0"/>
              </w:rPr>
              <w:t>不涉及</w:t>
            </w:r>
          </w:p>
        </w:tc>
      </w:tr>
      <w:tr w14:paraId="766F8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 w:type="pct"/>
            <w:vMerge w:val="continue"/>
          </w:tcPr>
          <w:p w14:paraId="201F2A39">
            <w:pPr>
              <w:rPr>
                <w:kern w:val="0"/>
              </w:rPr>
            </w:pPr>
          </w:p>
        </w:tc>
        <w:tc>
          <w:tcPr>
            <w:tcW w:w="145" w:type="pct"/>
            <w:vMerge w:val="continue"/>
          </w:tcPr>
          <w:p w14:paraId="66A3A040">
            <w:pPr>
              <w:rPr>
                <w:kern w:val="0"/>
              </w:rPr>
            </w:pPr>
          </w:p>
        </w:tc>
        <w:tc>
          <w:tcPr>
            <w:tcW w:w="151" w:type="pct"/>
            <w:vMerge w:val="continue"/>
          </w:tcPr>
          <w:p w14:paraId="2E47A565">
            <w:pPr>
              <w:rPr>
                <w:kern w:val="0"/>
              </w:rPr>
            </w:pPr>
          </w:p>
        </w:tc>
        <w:tc>
          <w:tcPr>
            <w:tcW w:w="540" w:type="pct"/>
            <w:vMerge w:val="continue"/>
          </w:tcPr>
          <w:p w14:paraId="0DA0EDFC">
            <w:pPr>
              <w:rPr>
                <w:kern w:val="0"/>
              </w:rPr>
            </w:pPr>
          </w:p>
        </w:tc>
        <w:tc>
          <w:tcPr>
            <w:tcW w:w="433" w:type="pct"/>
            <w:vMerge w:val="continue"/>
          </w:tcPr>
          <w:p w14:paraId="71D68B4D">
            <w:pPr>
              <w:rPr>
                <w:kern w:val="0"/>
              </w:rPr>
            </w:pPr>
          </w:p>
        </w:tc>
        <w:tc>
          <w:tcPr>
            <w:tcW w:w="379" w:type="pct"/>
            <w:vMerge w:val="continue"/>
          </w:tcPr>
          <w:p w14:paraId="4EAAF000">
            <w:pPr>
              <w:rPr>
                <w:kern w:val="0"/>
              </w:rPr>
            </w:pPr>
          </w:p>
        </w:tc>
        <w:tc>
          <w:tcPr>
            <w:tcW w:w="432" w:type="pct"/>
          </w:tcPr>
          <w:p w14:paraId="0EC6008D">
            <w:pPr>
              <w:rPr>
                <w:kern w:val="0"/>
              </w:rPr>
            </w:pPr>
            <w:r>
              <w:rPr>
                <w:rFonts w:hint="eastAsia"/>
                <w:kern w:val="0"/>
              </w:rPr>
              <w:t>污染物</w:t>
            </w:r>
            <w:r>
              <w:rPr>
                <w:kern w:val="0"/>
              </w:rPr>
              <w:t>排放约束</w:t>
            </w:r>
          </w:p>
        </w:tc>
        <w:tc>
          <w:tcPr>
            <w:tcW w:w="2057" w:type="pct"/>
          </w:tcPr>
          <w:p w14:paraId="5D0FDED0">
            <w:pPr>
              <w:rPr>
                <w:kern w:val="0"/>
              </w:rPr>
            </w:pPr>
            <w:r>
              <w:rPr>
                <w:rFonts w:hint="eastAsia"/>
                <w:kern w:val="0"/>
              </w:rPr>
              <w:t>/</w:t>
            </w:r>
          </w:p>
        </w:tc>
        <w:tc>
          <w:tcPr>
            <w:tcW w:w="486" w:type="pct"/>
            <w:vMerge w:val="continue"/>
          </w:tcPr>
          <w:p w14:paraId="44E3B73D">
            <w:pPr>
              <w:rPr>
                <w:kern w:val="0"/>
              </w:rPr>
            </w:pPr>
          </w:p>
        </w:tc>
        <w:tc>
          <w:tcPr>
            <w:tcW w:w="240" w:type="pct"/>
            <w:vMerge w:val="continue"/>
          </w:tcPr>
          <w:p w14:paraId="6EF98BA7">
            <w:pPr>
              <w:rPr>
                <w:kern w:val="0"/>
              </w:rPr>
            </w:pPr>
          </w:p>
        </w:tc>
      </w:tr>
      <w:tr w14:paraId="0D347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 w:type="pct"/>
            <w:vMerge w:val="continue"/>
          </w:tcPr>
          <w:p w14:paraId="2F868CBA">
            <w:pPr>
              <w:rPr>
                <w:kern w:val="0"/>
              </w:rPr>
            </w:pPr>
          </w:p>
        </w:tc>
        <w:tc>
          <w:tcPr>
            <w:tcW w:w="145" w:type="pct"/>
            <w:vMerge w:val="continue"/>
          </w:tcPr>
          <w:p w14:paraId="57D17B09">
            <w:pPr>
              <w:rPr>
                <w:kern w:val="0"/>
              </w:rPr>
            </w:pPr>
          </w:p>
        </w:tc>
        <w:tc>
          <w:tcPr>
            <w:tcW w:w="151" w:type="pct"/>
            <w:vMerge w:val="continue"/>
          </w:tcPr>
          <w:p w14:paraId="1A69DC57">
            <w:pPr>
              <w:rPr>
                <w:kern w:val="0"/>
              </w:rPr>
            </w:pPr>
          </w:p>
        </w:tc>
        <w:tc>
          <w:tcPr>
            <w:tcW w:w="540" w:type="pct"/>
            <w:vMerge w:val="continue"/>
          </w:tcPr>
          <w:p w14:paraId="6A36C7CD">
            <w:pPr>
              <w:rPr>
                <w:kern w:val="0"/>
              </w:rPr>
            </w:pPr>
          </w:p>
        </w:tc>
        <w:tc>
          <w:tcPr>
            <w:tcW w:w="433" w:type="pct"/>
            <w:vMerge w:val="continue"/>
          </w:tcPr>
          <w:p w14:paraId="529BE747">
            <w:pPr>
              <w:rPr>
                <w:kern w:val="0"/>
              </w:rPr>
            </w:pPr>
          </w:p>
        </w:tc>
        <w:tc>
          <w:tcPr>
            <w:tcW w:w="379" w:type="pct"/>
            <w:vMerge w:val="continue"/>
          </w:tcPr>
          <w:p w14:paraId="42046689">
            <w:pPr>
              <w:rPr>
                <w:kern w:val="0"/>
              </w:rPr>
            </w:pPr>
          </w:p>
        </w:tc>
        <w:tc>
          <w:tcPr>
            <w:tcW w:w="432" w:type="pct"/>
          </w:tcPr>
          <w:p w14:paraId="3DDE6425">
            <w:pPr>
              <w:rPr>
                <w:kern w:val="0"/>
              </w:rPr>
            </w:pPr>
            <w:r>
              <w:rPr>
                <w:rFonts w:hint="eastAsia"/>
                <w:kern w:val="0"/>
              </w:rPr>
              <w:t>环境</w:t>
            </w:r>
            <w:r>
              <w:rPr>
                <w:kern w:val="0"/>
              </w:rPr>
              <w:t>风险防控</w:t>
            </w:r>
          </w:p>
        </w:tc>
        <w:tc>
          <w:tcPr>
            <w:tcW w:w="2057" w:type="pct"/>
          </w:tcPr>
          <w:p w14:paraId="17B4B922">
            <w:pPr>
              <w:rPr>
                <w:kern w:val="0"/>
              </w:rPr>
            </w:pPr>
            <w:r>
              <w:rPr>
                <w:rFonts w:hint="eastAsia"/>
                <w:kern w:val="0"/>
              </w:rPr>
              <w:t>1、严格控制高毒高残留高风险农药使用，严格落实农膜管理制度，推广地膜科学使用回收。2、加强农村生活垃圾分类、收集、转运与处理体系建设，农村生活垃圾基本实现全面</w:t>
            </w:r>
            <w:r>
              <w:rPr>
                <w:rFonts w:hint="eastAsia"/>
                <w:kern w:val="0"/>
              </w:rPr>
              <w:cr/>
            </w:r>
            <w:r>
              <w:rPr>
                <w:rFonts w:hint="eastAsia"/>
                <w:kern w:val="0"/>
              </w:rPr>
              <w:t>治理。3、矿山企业应当依据国家有关规定编制矿山生态环境保护与恢复治理等方案，严格履行责任义务，边开采、边治理、边恢复；依法依规有序退出的矿山及时进行生态评估并实施生态恢复。4、推进企业建立健全尾矿库全生命周期风险防控和隐患治理机制，落实管控措施，确保尾矿库安全运行、闭库。</w:t>
            </w:r>
          </w:p>
        </w:tc>
        <w:tc>
          <w:tcPr>
            <w:tcW w:w="486" w:type="pct"/>
            <w:vMerge w:val="continue"/>
          </w:tcPr>
          <w:p w14:paraId="0B2F1117">
            <w:pPr>
              <w:rPr>
                <w:kern w:val="0"/>
              </w:rPr>
            </w:pPr>
          </w:p>
        </w:tc>
        <w:tc>
          <w:tcPr>
            <w:tcW w:w="240" w:type="pct"/>
            <w:vMerge w:val="continue"/>
          </w:tcPr>
          <w:p w14:paraId="27AF5AA0">
            <w:pPr>
              <w:rPr>
                <w:kern w:val="0"/>
              </w:rPr>
            </w:pPr>
          </w:p>
        </w:tc>
      </w:tr>
      <w:tr w14:paraId="5ABCB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 w:type="pct"/>
            <w:vMerge w:val="continue"/>
          </w:tcPr>
          <w:p w14:paraId="3129DBBE">
            <w:pPr>
              <w:rPr>
                <w:kern w:val="0"/>
              </w:rPr>
            </w:pPr>
          </w:p>
        </w:tc>
        <w:tc>
          <w:tcPr>
            <w:tcW w:w="145" w:type="pct"/>
            <w:vMerge w:val="continue"/>
          </w:tcPr>
          <w:p w14:paraId="2DDFD6D9">
            <w:pPr>
              <w:rPr>
                <w:kern w:val="0"/>
              </w:rPr>
            </w:pPr>
          </w:p>
        </w:tc>
        <w:tc>
          <w:tcPr>
            <w:tcW w:w="151" w:type="pct"/>
            <w:vMerge w:val="continue"/>
          </w:tcPr>
          <w:p w14:paraId="7F421FF7">
            <w:pPr>
              <w:rPr>
                <w:kern w:val="0"/>
              </w:rPr>
            </w:pPr>
          </w:p>
        </w:tc>
        <w:tc>
          <w:tcPr>
            <w:tcW w:w="540" w:type="pct"/>
            <w:vMerge w:val="continue"/>
          </w:tcPr>
          <w:p w14:paraId="26D13E78">
            <w:pPr>
              <w:rPr>
                <w:kern w:val="0"/>
              </w:rPr>
            </w:pPr>
          </w:p>
        </w:tc>
        <w:tc>
          <w:tcPr>
            <w:tcW w:w="433" w:type="pct"/>
            <w:vMerge w:val="continue"/>
          </w:tcPr>
          <w:p w14:paraId="44563F43">
            <w:pPr>
              <w:rPr>
                <w:kern w:val="0"/>
              </w:rPr>
            </w:pPr>
          </w:p>
        </w:tc>
        <w:tc>
          <w:tcPr>
            <w:tcW w:w="379" w:type="pct"/>
            <w:vMerge w:val="continue"/>
          </w:tcPr>
          <w:p w14:paraId="3BC5B3A0">
            <w:pPr>
              <w:rPr>
                <w:kern w:val="0"/>
              </w:rPr>
            </w:pPr>
          </w:p>
        </w:tc>
        <w:tc>
          <w:tcPr>
            <w:tcW w:w="432" w:type="pct"/>
          </w:tcPr>
          <w:p w14:paraId="2A88C323">
            <w:pPr>
              <w:rPr>
                <w:kern w:val="0"/>
              </w:rPr>
            </w:pPr>
            <w:r>
              <w:rPr>
                <w:rFonts w:hint="eastAsia"/>
                <w:kern w:val="0"/>
              </w:rPr>
              <w:t>资源</w:t>
            </w:r>
            <w:r>
              <w:rPr>
                <w:kern w:val="0"/>
              </w:rPr>
              <w:t>利用效率</w:t>
            </w:r>
          </w:p>
        </w:tc>
        <w:tc>
          <w:tcPr>
            <w:tcW w:w="2057" w:type="pct"/>
          </w:tcPr>
          <w:p w14:paraId="7AC24A93">
            <w:pPr>
              <w:rPr>
                <w:kern w:val="0"/>
              </w:rPr>
            </w:pPr>
            <w:r>
              <w:rPr>
                <w:rFonts w:hint="eastAsia"/>
                <w:kern w:val="0"/>
              </w:rPr>
              <w:t>1、加强乡镇污水管网建设，稳步提升污水收集处理率。2、加强农田灌溉设施建设，有效提高农田灌溉用水效率。3、完善规模化畜禽养殖场粪污处理设施配套建设，实施粪污资源化综合利用。</w:t>
            </w:r>
          </w:p>
        </w:tc>
        <w:tc>
          <w:tcPr>
            <w:tcW w:w="486" w:type="pct"/>
            <w:vMerge w:val="continue"/>
          </w:tcPr>
          <w:p w14:paraId="0AB3D9F3">
            <w:pPr>
              <w:rPr>
                <w:kern w:val="0"/>
              </w:rPr>
            </w:pPr>
          </w:p>
        </w:tc>
        <w:tc>
          <w:tcPr>
            <w:tcW w:w="240" w:type="pct"/>
            <w:vMerge w:val="continue"/>
          </w:tcPr>
          <w:p w14:paraId="30BCEC29">
            <w:pPr>
              <w:rPr>
                <w:kern w:val="0"/>
              </w:rPr>
            </w:pPr>
          </w:p>
        </w:tc>
      </w:tr>
      <w:tr w14:paraId="6F3B4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 w:type="pct"/>
            <w:vMerge w:val="restart"/>
          </w:tcPr>
          <w:p w14:paraId="4AE4FD8F">
            <w:pPr>
              <w:rPr>
                <w:kern w:val="0"/>
              </w:rPr>
            </w:pPr>
            <w:r>
              <w:rPr>
                <w:kern w:val="0"/>
              </w:rPr>
              <w:t>ZH13082410007</w:t>
            </w:r>
          </w:p>
        </w:tc>
        <w:tc>
          <w:tcPr>
            <w:tcW w:w="145" w:type="pct"/>
            <w:vMerge w:val="restart"/>
          </w:tcPr>
          <w:p w14:paraId="4DE02DA4">
            <w:pPr>
              <w:rPr>
                <w:kern w:val="0"/>
              </w:rPr>
            </w:pPr>
            <w:r>
              <w:rPr>
                <w:rFonts w:hint="eastAsia" w:cs="Arial"/>
                <w:kern w:val="0"/>
                <w:szCs w:val="21"/>
              </w:rPr>
              <w:t>承德市</w:t>
            </w:r>
          </w:p>
        </w:tc>
        <w:tc>
          <w:tcPr>
            <w:tcW w:w="151" w:type="pct"/>
            <w:vMerge w:val="restart"/>
          </w:tcPr>
          <w:p w14:paraId="2C43CC7D">
            <w:pPr>
              <w:rPr>
                <w:kern w:val="0"/>
              </w:rPr>
            </w:pPr>
            <w:r>
              <w:rPr>
                <w:rFonts w:hint="eastAsia"/>
                <w:kern w:val="0"/>
              </w:rPr>
              <w:t>滦平县</w:t>
            </w:r>
          </w:p>
        </w:tc>
        <w:tc>
          <w:tcPr>
            <w:tcW w:w="540" w:type="pct"/>
            <w:vMerge w:val="restart"/>
          </w:tcPr>
          <w:p w14:paraId="1D54901B">
            <w:pPr>
              <w:spacing w:line="280" w:lineRule="exact"/>
              <w:rPr>
                <w:kern w:val="0"/>
              </w:rPr>
            </w:pPr>
            <w:r>
              <w:rPr>
                <w:rFonts w:hint="eastAsia"/>
                <w:kern w:val="0"/>
              </w:rPr>
              <w:t>巴克什营镇</w:t>
            </w:r>
          </w:p>
          <w:p w14:paraId="0B6A716F">
            <w:pPr>
              <w:spacing w:line="280" w:lineRule="exact"/>
              <w:rPr>
                <w:kern w:val="0"/>
              </w:rPr>
            </w:pPr>
            <w:r>
              <w:rPr>
                <w:rFonts w:hint="eastAsia"/>
                <w:kern w:val="0"/>
              </w:rPr>
              <w:t>马营子满族乡</w:t>
            </w:r>
          </w:p>
          <w:p w14:paraId="4292C2F4">
            <w:pPr>
              <w:spacing w:line="280" w:lineRule="exact"/>
              <w:rPr>
                <w:kern w:val="0"/>
              </w:rPr>
            </w:pPr>
            <w:r>
              <w:rPr>
                <w:rFonts w:hint="eastAsia"/>
                <w:kern w:val="0"/>
              </w:rPr>
              <w:t>付家店满族乡</w:t>
            </w:r>
          </w:p>
          <w:p w14:paraId="134DDC8A">
            <w:pPr>
              <w:spacing w:line="280" w:lineRule="exact"/>
              <w:rPr>
                <w:kern w:val="0"/>
              </w:rPr>
            </w:pPr>
            <w:r>
              <w:rPr>
                <w:rFonts w:hint="eastAsia"/>
                <w:kern w:val="0"/>
              </w:rPr>
              <w:t>虎什哈镇</w:t>
            </w:r>
          </w:p>
        </w:tc>
        <w:tc>
          <w:tcPr>
            <w:tcW w:w="433" w:type="pct"/>
            <w:vMerge w:val="restart"/>
          </w:tcPr>
          <w:p w14:paraId="0D8E6739">
            <w:pPr>
              <w:rPr>
                <w:kern w:val="0"/>
              </w:rPr>
            </w:pPr>
            <w:r>
              <w:rPr>
                <w:rFonts w:hint="eastAsia"/>
                <w:kern w:val="0"/>
              </w:rPr>
              <w:t>优先保护单元</w:t>
            </w:r>
          </w:p>
        </w:tc>
        <w:tc>
          <w:tcPr>
            <w:tcW w:w="379" w:type="pct"/>
            <w:vMerge w:val="restart"/>
          </w:tcPr>
          <w:p w14:paraId="3BBEE061">
            <w:pPr>
              <w:rPr>
                <w:kern w:val="0"/>
              </w:rPr>
            </w:pPr>
            <w:r>
              <w:rPr>
                <w:rFonts w:hint="eastAsia"/>
                <w:kern w:val="0"/>
              </w:rPr>
              <w:t>燕山水源涵养-生物多样性维护生态保护红线河北滦平潮河国家湿地自然公园</w:t>
            </w:r>
          </w:p>
        </w:tc>
        <w:tc>
          <w:tcPr>
            <w:tcW w:w="432" w:type="pct"/>
          </w:tcPr>
          <w:p w14:paraId="24B2CD92">
            <w:pPr>
              <w:rPr>
                <w:kern w:val="0"/>
              </w:rPr>
            </w:pPr>
            <w:r>
              <w:rPr>
                <w:rFonts w:hint="eastAsia"/>
                <w:kern w:val="0"/>
              </w:rPr>
              <w:t>空间</w:t>
            </w:r>
            <w:r>
              <w:rPr>
                <w:kern w:val="0"/>
              </w:rPr>
              <w:t>布局约束</w:t>
            </w:r>
          </w:p>
        </w:tc>
        <w:tc>
          <w:tcPr>
            <w:tcW w:w="2057" w:type="pct"/>
          </w:tcPr>
          <w:p w14:paraId="7A8515D4">
            <w:pPr>
              <w:rPr>
                <w:kern w:val="0"/>
              </w:rPr>
            </w:pPr>
            <w:r>
              <w:rPr>
                <w:rFonts w:hint="eastAsia"/>
                <w:kern w:val="0"/>
              </w:rPr>
              <w:t>1、执行承德市总体准入清单中生态保护红线准入要求。2、执行承德市总体准入要求中</w:t>
            </w:r>
            <w:bookmarkStart w:id="66" w:name="OLE_LINK26"/>
            <w:r>
              <w:rPr>
                <w:rFonts w:hint="eastAsia"/>
                <w:kern w:val="0"/>
              </w:rPr>
              <w:t>湿地自然公园的管控要求</w:t>
            </w:r>
            <w:bookmarkEnd w:id="66"/>
            <w:r>
              <w:rPr>
                <w:rFonts w:hint="eastAsia"/>
                <w:kern w:val="0"/>
              </w:rPr>
              <w:t>。3、国家级自然公园管理单位应当自批准设立或者范围调整之日起一年内，组织编制或修编完成国家级自然公园规划，并进行分区细化差别化的管理要求。</w:t>
            </w:r>
          </w:p>
        </w:tc>
        <w:tc>
          <w:tcPr>
            <w:tcW w:w="486" w:type="pct"/>
            <w:vMerge w:val="restart"/>
          </w:tcPr>
          <w:p w14:paraId="5EA36445">
            <w:pPr>
              <w:rPr>
                <w:kern w:val="0"/>
              </w:rPr>
            </w:pPr>
            <w:r>
              <w:rPr>
                <w:rFonts w:hint="eastAsia"/>
                <w:kern w:val="0"/>
              </w:rPr>
              <w:t>根据前文分析，本项目满足承德市总体准入清单中生态保护红线准入要求；符合湿地自然公园的管控要求。</w:t>
            </w:r>
          </w:p>
        </w:tc>
        <w:tc>
          <w:tcPr>
            <w:tcW w:w="240" w:type="pct"/>
            <w:vMerge w:val="restart"/>
          </w:tcPr>
          <w:p w14:paraId="3D4A8774">
            <w:pPr>
              <w:rPr>
                <w:kern w:val="0"/>
              </w:rPr>
            </w:pPr>
            <w:r>
              <w:rPr>
                <w:rFonts w:hint="eastAsia"/>
                <w:kern w:val="0"/>
              </w:rPr>
              <w:t>符合</w:t>
            </w:r>
          </w:p>
        </w:tc>
      </w:tr>
      <w:tr w14:paraId="6ABE3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 w:type="pct"/>
            <w:vMerge w:val="continue"/>
          </w:tcPr>
          <w:p w14:paraId="4FE83F50">
            <w:pPr>
              <w:rPr>
                <w:kern w:val="0"/>
              </w:rPr>
            </w:pPr>
          </w:p>
        </w:tc>
        <w:tc>
          <w:tcPr>
            <w:tcW w:w="145" w:type="pct"/>
            <w:vMerge w:val="continue"/>
          </w:tcPr>
          <w:p w14:paraId="1BD1BB1A">
            <w:pPr>
              <w:rPr>
                <w:kern w:val="0"/>
              </w:rPr>
            </w:pPr>
          </w:p>
        </w:tc>
        <w:tc>
          <w:tcPr>
            <w:tcW w:w="151" w:type="pct"/>
            <w:vMerge w:val="continue"/>
          </w:tcPr>
          <w:p w14:paraId="5803A285">
            <w:pPr>
              <w:rPr>
                <w:kern w:val="0"/>
              </w:rPr>
            </w:pPr>
          </w:p>
        </w:tc>
        <w:tc>
          <w:tcPr>
            <w:tcW w:w="540" w:type="pct"/>
            <w:vMerge w:val="continue"/>
          </w:tcPr>
          <w:p w14:paraId="1E7EAC7F">
            <w:pPr>
              <w:rPr>
                <w:kern w:val="0"/>
              </w:rPr>
            </w:pPr>
          </w:p>
        </w:tc>
        <w:tc>
          <w:tcPr>
            <w:tcW w:w="433" w:type="pct"/>
            <w:vMerge w:val="continue"/>
          </w:tcPr>
          <w:p w14:paraId="7CAC585A">
            <w:pPr>
              <w:rPr>
                <w:kern w:val="0"/>
              </w:rPr>
            </w:pPr>
          </w:p>
        </w:tc>
        <w:tc>
          <w:tcPr>
            <w:tcW w:w="379" w:type="pct"/>
            <w:vMerge w:val="continue"/>
          </w:tcPr>
          <w:p w14:paraId="7AC67B30">
            <w:pPr>
              <w:rPr>
                <w:kern w:val="0"/>
              </w:rPr>
            </w:pPr>
          </w:p>
        </w:tc>
        <w:tc>
          <w:tcPr>
            <w:tcW w:w="432" w:type="pct"/>
          </w:tcPr>
          <w:p w14:paraId="2B70E271">
            <w:pPr>
              <w:rPr>
                <w:kern w:val="0"/>
              </w:rPr>
            </w:pPr>
            <w:r>
              <w:rPr>
                <w:rFonts w:hint="eastAsia"/>
                <w:kern w:val="0"/>
              </w:rPr>
              <w:t>污染物</w:t>
            </w:r>
            <w:r>
              <w:rPr>
                <w:kern w:val="0"/>
              </w:rPr>
              <w:t>排放约束</w:t>
            </w:r>
          </w:p>
        </w:tc>
        <w:tc>
          <w:tcPr>
            <w:tcW w:w="2057" w:type="pct"/>
          </w:tcPr>
          <w:p w14:paraId="24ABC239">
            <w:pPr>
              <w:rPr>
                <w:kern w:val="0"/>
              </w:rPr>
            </w:pPr>
            <w:r>
              <w:rPr>
                <w:rFonts w:hint="eastAsia"/>
                <w:kern w:val="0"/>
              </w:rPr>
              <w:t>/</w:t>
            </w:r>
          </w:p>
        </w:tc>
        <w:tc>
          <w:tcPr>
            <w:tcW w:w="486" w:type="pct"/>
            <w:vMerge w:val="continue"/>
          </w:tcPr>
          <w:p w14:paraId="6C46CEE2">
            <w:pPr>
              <w:rPr>
                <w:kern w:val="0"/>
              </w:rPr>
            </w:pPr>
          </w:p>
        </w:tc>
        <w:tc>
          <w:tcPr>
            <w:tcW w:w="240" w:type="pct"/>
            <w:vMerge w:val="continue"/>
          </w:tcPr>
          <w:p w14:paraId="737BAD8F">
            <w:pPr>
              <w:rPr>
                <w:kern w:val="0"/>
              </w:rPr>
            </w:pPr>
          </w:p>
        </w:tc>
      </w:tr>
      <w:tr w14:paraId="12999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 w:type="pct"/>
            <w:vMerge w:val="continue"/>
          </w:tcPr>
          <w:p w14:paraId="1D8659E8">
            <w:pPr>
              <w:rPr>
                <w:kern w:val="0"/>
              </w:rPr>
            </w:pPr>
          </w:p>
        </w:tc>
        <w:tc>
          <w:tcPr>
            <w:tcW w:w="145" w:type="pct"/>
            <w:vMerge w:val="continue"/>
          </w:tcPr>
          <w:p w14:paraId="4633C8A3">
            <w:pPr>
              <w:rPr>
                <w:kern w:val="0"/>
              </w:rPr>
            </w:pPr>
          </w:p>
        </w:tc>
        <w:tc>
          <w:tcPr>
            <w:tcW w:w="151" w:type="pct"/>
            <w:vMerge w:val="continue"/>
          </w:tcPr>
          <w:p w14:paraId="4BA4E743">
            <w:pPr>
              <w:rPr>
                <w:kern w:val="0"/>
              </w:rPr>
            </w:pPr>
          </w:p>
        </w:tc>
        <w:tc>
          <w:tcPr>
            <w:tcW w:w="540" w:type="pct"/>
            <w:vMerge w:val="continue"/>
          </w:tcPr>
          <w:p w14:paraId="1048CB36">
            <w:pPr>
              <w:rPr>
                <w:kern w:val="0"/>
              </w:rPr>
            </w:pPr>
          </w:p>
        </w:tc>
        <w:tc>
          <w:tcPr>
            <w:tcW w:w="433" w:type="pct"/>
            <w:vMerge w:val="continue"/>
          </w:tcPr>
          <w:p w14:paraId="53A8903C">
            <w:pPr>
              <w:rPr>
                <w:kern w:val="0"/>
              </w:rPr>
            </w:pPr>
          </w:p>
        </w:tc>
        <w:tc>
          <w:tcPr>
            <w:tcW w:w="379" w:type="pct"/>
            <w:vMerge w:val="continue"/>
          </w:tcPr>
          <w:p w14:paraId="04B241CA">
            <w:pPr>
              <w:rPr>
                <w:kern w:val="0"/>
              </w:rPr>
            </w:pPr>
          </w:p>
        </w:tc>
        <w:tc>
          <w:tcPr>
            <w:tcW w:w="432" w:type="pct"/>
          </w:tcPr>
          <w:p w14:paraId="45929CC0">
            <w:pPr>
              <w:rPr>
                <w:kern w:val="0"/>
              </w:rPr>
            </w:pPr>
            <w:r>
              <w:rPr>
                <w:rFonts w:hint="eastAsia"/>
                <w:kern w:val="0"/>
              </w:rPr>
              <w:t>环境</w:t>
            </w:r>
            <w:r>
              <w:rPr>
                <w:kern w:val="0"/>
              </w:rPr>
              <w:t>风险防控</w:t>
            </w:r>
          </w:p>
        </w:tc>
        <w:tc>
          <w:tcPr>
            <w:tcW w:w="2057" w:type="pct"/>
          </w:tcPr>
          <w:p w14:paraId="24945EB3">
            <w:pPr>
              <w:rPr>
                <w:kern w:val="0"/>
              </w:rPr>
            </w:pPr>
            <w:r>
              <w:rPr>
                <w:rFonts w:hint="eastAsia"/>
                <w:kern w:val="0"/>
              </w:rPr>
              <w:t>/</w:t>
            </w:r>
          </w:p>
        </w:tc>
        <w:tc>
          <w:tcPr>
            <w:tcW w:w="486" w:type="pct"/>
            <w:vMerge w:val="continue"/>
          </w:tcPr>
          <w:p w14:paraId="6B01B08C">
            <w:pPr>
              <w:rPr>
                <w:kern w:val="0"/>
              </w:rPr>
            </w:pPr>
          </w:p>
        </w:tc>
        <w:tc>
          <w:tcPr>
            <w:tcW w:w="240" w:type="pct"/>
            <w:vMerge w:val="continue"/>
          </w:tcPr>
          <w:p w14:paraId="3ADEDB8D">
            <w:pPr>
              <w:rPr>
                <w:kern w:val="0"/>
              </w:rPr>
            </w:pPr>
          </w:p>
        </w:tc>
      </w:tr>
      <w:tr w14:paraId="29953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 w:type="pct"/>
            <w:vMerge w:val="continue"/>
          </w:tcPr>
          <w:p w14:paraId="28664D12">
            <w:pPr>
              <w:rPr>
                <w:kern w:val="0"/>
              </w:rPr>
            </w:pPr>
          </w:p>
        </w:tc>
        <w:tc>
          <w:tcPr>
            <w:tcW w:w="145" w:type="pct"/>
            <w:vMerge w:val="continue"/>
          </w:tcPr>
          <w:p w14:paraId="77A778F0">
            <w:pPr>
              <w:rPr>
                <w:kern w:val="0"/>
              </w:rPr>
            </w:pPr>
          </w:p>
        </w:tc>
        <w:tc>
          <w:tcPr>
            <w:tcW w:w="151" w:type="pct"/>
            <w:vMerge w:val="continue"/>
          </w:tcPr>
          <w:p w14:paraId="6ED78160">
            <w:pPr>
              <w:rPr>
                <w:kern w:val="0"/>
              </w:rPr>
            </w:pPr>
          </w:p>
        </w:tc>
        <w:tc>
          <w:tcPr>
            <w:tcW w:w="540" w:type="pct"/>
            <w:vMerge w:val="continue"/>
          </w:tcPr>
          <w:p w14:paraId="5C8B392F">
            <w:pPr>
              <w:rPr>
                <w:kern w:val="0"/>
              </w:rPr>
            </w:pPr>
          </w:p>
        </w:tc>
        <w:tc>
          <w:tcPr>
            <w:tcW w:w="433" w:type="pct"/>
            <w:vMerge w:val="continue"/>
          </w:tcPr>
          <w:p w14:paraId="641D9CE9">
            <w:pPr>
              <w:rPr>
                <w:kern w:val="0"/>
              </w:rPr>
            </w:pPr>
          </w:p>
        </w:tc>
        <w:tc>
          <w:tcPr>
            <w:tcW w:w="379" w:type="pct"/>
            <w:vMerge w:val="continue"/>
          </w:tcPr>
          <w:p w14:paraId="5F197281">
            <w:pPr>
              <w:rPr>
                <w:kern w:val="0"/>
              </w:rPr>
            </w:pPr>
          </w:p>
        </w:tc>
        <w:tc>
          <w:tcPr>
            <w:tcW w:w="432" w:type="pct"/>
          </w:tcPr>
          <w:p w14:paraId="6E4AB339">
            <w:pPr>
              <w:rPr>
                <w:kern w:val="0"/>
              </w:rPr>
            </w:pPr>
            <w:r>
              <w:rPr>
                <w:rFonts w:hint="eastAsia"/>
                <w:kern w:val="0"/>
              </w:rPr>
              <w:t>资源</w:t>
            </w:r>
            <w:r>
              <w:rPr>
                <w:kern w:val="0"/>
              </w:rPr>
              <w:t>利用效率</w:t>
            </w:r>
          </w:p>
        </w:tc>
        <w:tc>
          <w:tcPr>
            <w:tcW w:w="2057" w:type="pct"/>
          </w:tcPr>
          <w:p w14:paraId="42CA9548">
            <w:pPr>
              <w:rPr>
                <w:kern w:val="0"/>
              </w:rPr>
            </w:pPr>
            <w:r>
              <w:rPr>
                <w:rFonts w:hint="eastAsia"/>
                <w:kern w:val="0"/>
              </w:rPr>
              <w:t>/</w:t>
            </w:r>
          </w:p>
        </w:tc>
        <w:tc>
          <w:tcPr>
            <w:tcW w:w="486" w:type="pct"/>
            <w:vMerge w:val="continue"/>
          </w:tcPr>
          <w:p w14:paraId="70CDC37E">
            <w:pPr>
              <w:rPr>
                <w:kern w:val="0"/>
              </w:rPr>
            </w:pPr>
          </w:p>
        </w:tc>
        <w:tc>
          <w:tcPr>
            <w:tcW w:w="240" w:type="pct"/>
            <w:vMerge w:val="continue"/>
          </w:tcPr>
          <w:p w14:paraId="20D1BEE6">
            <w:pPr>
              <w:rPr>
                <w:kern w:val="0"/>
              </w:rPr>
            </w:pPr>
          </w:p>
        </w:tc>
      </w:tr>
    </w:tbl>
    <w:p w14:paraId="29458030">
      <w:pPr>
        <w:pStyle w:val="85"/>
        <w:ind w:firstLine="480"/>
        <w:rPr>
          <w:kern w:val="0"/>
        </w:rPr>
      </w:pPr>
      <w:r>
        <w:rPr>
          <w:kern w:val="0"/>
        </w:rPr>
        <w:t>由上表可以看出，项目符合</w:t>
      </w:r>
      <w:r>
        <w:rPr>
          <w:rFonts w:hint="eastAsia"/>
          <w:kern w:val="0"/>
        </w:rPr>
        <w:t>所涉及的各管控区生态环境准入清单的要求。</w:t>
      </w:r>
      <w:r>
        <w:rPr>
          <w:kern w:val="0"/>
        </w:rPr>
        <w:t xml:space="preserve"> </w:t>
      </w:r>
    </w:p>
    <w:p w14:paraId="07187DD0">
      <w:pPr>
        <w:pStyle w:val="85"/>
        <w:ind w:firstLine="480"/>
        <w:jc w:val="center"/>
        <w:rPr>
          <w:rFonts w:eastAsia="黑体"/>
          <w:kern w:val="0"/>
        </w:rPr>
      </w:pPr>
    </w:p>
    <w:p w14:paraId="10F2B44D">
      <w:pPr>
        <w:pStyle w:val="85"/>
        <w:ind w:firstLine="480"/>
        <w:jc w:val="center"/>
        <w:rPr>
          <w:rFonts w:eastAsia="黑体"/>
          <w:kern w:val="0"/>
        </w:rPr>
        <w:sectPr>
          <w:pgSz w:w="16838" w:h="11906" w:orient="landscape"/>
          <w:pgMar w:top="1797" w:right="2007" w:bottom="1797" w:left="1724" w:header="1417" w:footer="1162" w:gutter="0"/>
          <w:pgNumType w:fmt="numberInDash"/>
          <w:cols w:space="425" w:num="1"/>
          <w:docGrid w:type="lines" w:linePitch="312" w:charSpace="0"/>
        </w:sectPr>
      </w:pPr>
    </w:p>
    <w:p w14:paraId="3CD49018">
      <w:pPr>
        <w:pStyle w:val="4"/>
      </w:pPr>
      <w:bookmarkStart w:id="67" w:name="_Hlk48680709"/>
      <w:r>
        <w:rPr>
          <w:rFonts w:hint="eastAsia"/>
        </w:rPr>
        <w:t>生态保护红线相关文件符合性分析</w:t>
      </w:r>
    </w:p>
    <w:p w14:paraId="6FD80A77">
      <w:pPr>
        <w:pStyle w:val="85"/>
        <w:ind w:firstLine="480"/>
        <w:rPr>
          <w:kern w:val="0"/>
        </w:rPr>
      </w:pPr>
      <w:r>
        <w:rPr>
          <w:kern w:val="0"/>
        </w:rPr>
        <w:t>拟建项目为</w:t>
      </w:r>
      <w:r>
        <w:rPr>
          <w:rFonts w:hint="eastAsia"/>
          <w:kern w:val="0"/>
        </w:rPr>
        <w:t>滦平县潮河干流河道水质改善与生态修复工程</w:t>
      </w:r>
      <w:r>
        <w:rPr>
          <w:kern w:val="0"/>
        </w:rPr>
        <w:t>，</w:t>
      </w:r>
      <w:r>
        <w:rPr>
          <w:rFonts w:hint="eastAsia"/>
          <w:kern w:val="0"/>
        </w:rPr>
        <w:t>本项目有28.72hm</w:t>
      </w:r>
      <w:r>
        <w:rPr>
          <w:rFonts w:hint="eastAsia"/>
          <w:kern w:val="0"/>
          <w:vertAlign w:val="superscript"/>
        </w:rPr>
        <w:t>2</w:t>
      </w:r>
      <w:r>
        <w:rPr>
          <w:rFonts w:hint="eastAsia"/>
          <w:kern w:val="0"/>
        </w:rPr>
        <w:t>的区域位于生态保护红线范围内。本项目通过开展河道基底修复及微地形梳理、构建恢复生态缓冲带、水生态构建及水生植物恢复等，对滦河干流实施生态保护修复。本项目的建设，有利于改善河水环境质量，恢复河流生态廊道功能，降低入潮河污染物</w:t>
      </w:r>
      <w:r>
        <w:rPr>
          <w:kern w:val="0"/>
        </w:rPr>
        <w:t>。</w:t>
      </w:r>
    </w:p>
    <w:p w14:paraId="4332E53E">
      <w:pPr>
        <w:pStyle w:val="85"/>
        <w:ind w:firstLine="480"/>
        <w:rPr>
          <w:kern w:val="0"/>
        </w:rPr>
      </w:pPr>
      <w:r>
        <w:rPr>
          <w:kern w:val="0"/>
        </w:rPr>
        <w:t>拟建项目与《中共中央办公厅 国务院办公厅关于加强生态环境分区管控的意见》、《自然资源部等 3 部门关于加强生态保护红线管理的通知（试行）》（自然资发[2022]142 号）、《中共中央办公厅 国务院办公厅印发&lt;关于在国土空间规划中统筹划定落实三条控制线的指导意见&gt;的通知》（厅字[2019]48 号）、《中共中央办公厅 国务院办公厅印发 &lt; 关于划定并严守生态保护红线的若干意 见&gt;》、《河北关于加强生态保护红线管理的通知》（冀自然资发[2024]4 号的符合性分析见</w:t>
      </w:r>
      <w:r>
        <w:rPr>
          <w:rFonts w:hint="eastAsia"/>
          <w:kern w:val="0"/>
        </w:rPr>
        <w:t>下表</w:t>
      </w:r>
      <w:r>
        <w:rPr>
          <w:kern w:val="0"/>
        </w:rPr>
        <w:t>。</w:t>
      </w:r>
    </w:p>
    <w:p w14:paraId="112E5741">
      <w:pPr>
        <w:pStyle w:val="85"/>
        <w:ind w:firstLine="448"/>
        <w:jc w:val="center"/>
        <w:rPr>
          <w:rFonts w:eastAsia="黑体"/>
          <w:kern w:val="0"/>
        </w:rPr>
      </w:pPr>
      <w:r>
        <w:rPr>
          <w:rFonts w:eastAsia="黑体"/>
          <w:bCs/>
          <w:spacing w:val="-8"/>
          <w:kern w:val="0"/>
          <w:szCs w:val="32"/>
        </w:rPr>
        <w:t>表</w:t>
      </w:r>
      <w:r>
        <w:rPr>
          <w:rFonts w:eastAsia="黑体"/>
          <w:bCs/>
          <w:spacing w:val="-8"/>
          <w:kern w:val="0"/>
          <w:szCs w:val="32"/>
        </w:rPr>
        <w:fldChar w:fldCharType="begin"/>
      </w:r>
      <w:r>
        <w:rPr>
          <w:rFonts w:eastAsia="黑体"/>
          <w:bCs/>
          <w:spacing w:val="-8"/>
          <w:kern w:val="0"/>
          <w:szCs w:val="32"/>
        </w:rPr>
        <w:instrText xml:space="preserve"> STYLEREF 1 \s </w:instrText>
      </w:r>
      <w:r>
        <w:rPr>
          <w:rFonts w:eastAsia="黑体"/>
          <w:bCs/>
          <w:spacing w:val="-8"/>
          <w:kern w:val="0"/>
          <w:szCs w:val="32"/>
        </w:rPr>
        <w:fldChar w:fldCharType="separate"/>
      </w:r>
      <w:r>
        <w:rPr>
          <w:rFonts w:eastAsia="黑体"/>
          <w:bCs/>
          <w:spacing w:val="-8"/>
          <w:kern w:val="0"/>
          <w:szCs w:val="32"/>
        </w:rPr>
        <w:t>1</w:t>
      </w:r>
      <w:r>
        <w:rPr>
          <w:rFonts w:eastAsia="黑体"/>
          <w:bCs/>
          <w:spacing w:val="-8"/>
          <w:kern w:val="0"/>
          <w:szCs w:val="32"/>
        </w:rPr>
        <w:fldChar w:fldCharType="end"/>
      </w:r>
      <w:r>
        <w:rPr>
          <w:rFonts w:eastAsia="黑体"/>
          <w:bCs/>
          <w:spacing w:val="-8"/>
          <w:kern w:val="0"/>
          <w:szCs w:val="32"/>
        </w:rPr>
        <w:noBreakHyphen/>
      </w:r>
      <w:r>
        <w:rPr>
          <w:rFonts w:eastAsia="黑体"/>
          <w:bCs/>
          <w:spacing w:val="-8"/>
          <w:kern w:val="0"/>
          <w:szCs w:val="32"/>
        </w:rPr>
        <w:fldChar w:fldCharType="begin"/>
      </w:r>
      <w:r>
        <w:rPr>
          <w:rFonts w:eastAsia="黑体"/>
          <w:bCs/>
          <w:spacing w:val="-8"/>
          <w:kern w:val="0"/>
          <w:szCs w:val="32"/>
        </w:rPr>
        <w:instrText xml:space="preserve"> SEQ 表 \* ARABIC \s 1 </w:instrText>
      </w:r>
      <w:r>
        <w:rPr>
          <w:rFonts w:eastAsia="黑体"/>
          <w:bCs/>
          <w:spacing w:val="-8"/>
          <w:kern w:val="0"/>
          <w:szCs w:val="32"/>
        </w:rPr>
        <w:fldChar w:fldCharType="separate"/>
      </w:r>
      <w:r>
        <w:rPr>
          <w:rFonts w:eastAsia="黑体"/>
          <w:bCs/>
          <w:spacing w:val="-8"/>
          <w:kern w:val="0"/>
          <w:szCs w:val="32"/>
        </w:rPr>
        <w:t>23</w:t>
      </w:r>
      <w:r>
        <w:rPr>
          <w:rFonts w:eastAsia="黑体"/>
          <w:bCs/>
          <w:spacing w:val="-8"/>
          <w:kern w:val="0"/>
          <w:szCs w:val="32"/>
        </w:rPr>
        <w:fldChar w:fldCharType="end"/>
      </w:r>
      <w:r>
        <w:rPr>
          <w:rFonts w:eastAsia="黑体"/>
          <w:bCs/>
          <w:spacing w:val="-8"/>
          <w:kern w:val="0"/>
          <w:szCs w:val="32"/>
        </w:rPr>
        <w:t xml:space="preserve">  </w:t>
      </w:r>
      <w:r>
        <w:rPr>
          <w:rFonts w:eastAsia="黑体"/>
          <w:kern w:val="0"/>
        </w:rPr>
        <w:t>环境管控单元生态环境准入</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2"/>
        <w:gridCol w:w="1077"/>
        <w:gridCol w:w="2463"/>
        <w:gridCol w:w="2877"/>
        <w:gridCol w:w="449"/>
      </w:tblGrid>
      <w:tr w14:paraId="2766F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14F773C">
            <w:pPr>
              <w:rPr>
                <w:kern w:val="0"/>
              </w:rPr>
            </w:pPr>
            <w:r>
              <w:rPr>
                <w:rFonts w:hint="eastAsia"/>
                <w:kern w:val="0"/>
              </w:rPr>
              <w:t>文件</w:t>
            </w:r>
          </w:p>
        </w:tc>
        <w:tc>
          <w:tcPr>
            <w:tcW w:w="0" w:type="auto"/>
            <w:gridSpan w:val="2"/>
            <w:vAlign w:val="center"/>
          </w:tcPr>
          <w:p w14:paraId="609DDAF6">
            <w:pPr>
              <w:rPr>
                <w:kern w:val="0"/>
              </w:rPr>
            </w:pPr>
            <w:r>
              <w:rPr>
                <w:rFonts w:hint="eastAsia"/>
                <w:kern w:val="0"/>
              </w:rPr>
              <w:t>相关规定</w:t>
            </w:r>
          </w:p>
        </w:tc>
        <w:tc>
          <w:tcPr>
            <w:tcW w:w="0" w:type="auto"/>
            <w:vAlign w:val="center"/>
          </w:tcPr>
          <w:p w14:paraId="22E608FB">
            <w:pPr>
              <w:rPr>
                <w:kern w:val="0"/>
              </w:rPr>
            </w:pPr>
            <w:r>
              <w:rPr>
                <w:rFonts w:hint="eastAsia"/>
                <w:kern w:val="0"/>
              </w:rPr>
              <w:t>本项目</w:t>
            </w:r>
          </w:p>
        </w:tc>
        <w:tc>
          <w:tcPr>
            <w:tcW w:w="0" w:type="auto"/>
            <w:vAlign w:val="center"/>
          </w:tcPr>
          <w:p w14:paraId="6DF33C8E">
            <w:pPr>
              <w:rPr>
                <w:kern w:val="0"/>
              </w:rPr>
            </w:pPr>
            <w:r>
              <w:rPr>
                <w:rFonts w:hint="eastAsia"/>
                <w:kern w:val="0"/>
              </w:rPr>
              <w:t>结论</w:t>
            </w:r>
          </w:p>
        </w:tc>
      </w:tr>
      <w:tr w14:paraId="2FE29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4055108">
            <w:pPr>
              <w:rPr>
                <w:kern w:val="0"/>
              </w:rPr>
            </w:pPr>
            <w:r>
              <w:rPr>
                <w:kern w:val="0"/>
              </w:rPr>
              <w:t>《中共中央办公厅国务院办公厅关于加强生态环境分区管控的意见》</w:t>
            </w:r>
          </w:p>
        </w:tc>
        <w:tc>
          <w:tcPr>
            <w:tcW w:w="0" w:type="auto"/>
            <w:gridSpan w:val="2"/>
            <w:vAlign w:val="center"/>
          </w:tcPr>
          <w:p w14:paraId="4B026930">
            <w:pPr>
              <w:rPr>
                <w:kern w:val="0"/>
              </w:rPr>
            </w:pPr>
            <w:r>
              <w:rPr>
                <w:kern w:val="0"/>
              </w:rPr>
              <w:t>（九）维护生态安全格局。严格落实生态保护红线管控要求。以生态保护红线为重点，改善生态系统质量，提升生态系统稳定性和服务功能。强化生物多样性保护，健全生物多样性保护网络。加强监测预警，主动适应气候变化。对青藏高原生态屏障区、黄河重点生态区、长江重点生态区和东北森林带、北方防沙带、南方丘陵山地带、海岸带等重点区域，分单元识别突出环境问题，落实环境治理差异化管控要求。</w:t>
            </w:r>
          </w:p>
        </w:tc>
        <w:tc>
          <w:tcPr>
            <w:tcW w:w="0" w:type="auto"/>
            <w:vAlign w:val="center"/>
          </w:tcPr>
          <w:p w14:paraId="368A22A4">
            <w:pPr>
              <w:rPr>
                <w:kern w:val="0"/>
              </w:rPr>
            </w:pPr>
            <w:r>
              <w:rPr>
                <w:rFonts w:hint="eastAsia"/>
                <w:kern w:val="0"/>
              </w:rPr>
              <w:t>项目涉及生态保护红线（28.72</w:t>
            </w:r>
            <w:r>
              <w:rPr>
                <w:kern w:val="0"/>
              </w:rPr>
              <w:t>h</w:t>
            </w:r>
            <w:r>
              <w:rPr>
                <w:rFonts w:hint="eastAsia"/>
                <w:kern w:val="0"/>
              </w:rPr>
              <w:t>m</w:t>
            </w:r>
            <w:r>
              <w:rPr>
                <w:kern w:val="0"/>
                <w:vertAlign w:val="superscript"/>
              </w:rPr>
              <w:t>2</w:t>
            </w:r>
            <w:r>
              <w:rPr>
                <w:rFonts w:hint="eastAsia"/>
                <w:kern w:val="0"/>
              </w:rPr>
              <w:t>）。项目实施后不会降低重要生态功能区域生态功能、不会减少重要生态功能区域面积、不会改变重要生态功能区域性质，同时拟建项目实施后还能一定程度改善水质，提升生态功能区生态系统质量。</w:t>
            </w:r>
          </w:p>
        </w:tc>
        <w:tc>
          <w:tcPr>
            <w:tcW w:w="0" w:type="auto"/>
            <w:vAlign w:val="center"/>
          </w:tcPr>
          <w:p w14:paraId="6C5FBD00">
            <w:pPr>
              <w:rPr>
                <w:kern w:val="0"/>
              </w:rPr>
            </w:pPr>
            <w:r>
              <w:rPr>
                <w:kern w:val="0"/>
              </w:rPr>
              <w:t>符合</w:t>
            </w:r>
          </w:p>
        </w:tc>
      </w:tr>
      <w:tr w14:paraId="2427F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2DBA029">
            <w:pPr>
              <w:rPr>
                <w:kern w:val="0"/>
              </w:rPr>
            </w:pPr>
            <w:r>
              <w:rPr>
                <w:kern w:val="0"/>
              </w:rPr>
              <w:t>《自然资源等3部门关于加强生态保护红线管理的通知（试行）（自然资发[2022]142号）</w:t>
            </w:r>
          </w:p>
        </w:tc>
        <w:tc>
          <w:tcPr>
            <w:tcW w:w="0" w:type="auto"/>
            <w:gridSpan w:val="2"/>
            <w:vAlign w:val="center"/>
          </w:tcPr>
          <w:p w14:paraId="5E9C0C60">
            <w:pPr>
              <w:rPr>
                <w:kern w:val="0"/>
              </w:rPr>
            </w:pPr>
            <w:r>
              <w:rPr>
                <w:kern w:val="0"/>
              </w:rPr>
              <w:t>（一）规范管控对生态功能不造成破坏的有限人为活动。生态保护红线是国土空间规划中的重要管控边界，生态保护红线内自然保护地核心保护区外，禁止开发性、生产性建设活动，在符合法律法规的前提下，仅允许对生态功能不造成破坏的有限人为活动。其中包括：管护巡护、保护执法、科学研究、调查监测、测绘导航、防灾减灾救灾、军事国防、疫情防控等活动及相关的必要设施修筑。生态保护红线内自然保护区、风景名胜区、饮用水水源保护区等区域，依照法律法规执行。</w:t>
            </w:r>
          </w:p>
        </w:tc>
        <w:tc>
          <w:tcPr>
            <w:tcW w:w="0" w:type="auto"/>
            <w:vAlign w:val="center"/>
          </w:tcPr>
          <w:p w14:paraId="2393A3A8">
            <w:pPr>
              <w:rPr>
                <w:kern w:val="0"/>
              </w:rPr>
            </w:pPr>
            <w:r>
              <w:rPr>
                <w:kern w:val="0"/>
              </w:rPr>
              <w:t>拟建项目不属于开发性、生产性建设活动。</w:t>
            </w:r>
          </w:p>
        </w:tc>
        <w:tc>
          <w:tcPr>
            <w:tcW w:w="0" w:type="auto"/>
            <w:vAlign w:val="center"/>
          </w:tcPr>
          <w:p w14:paraId="71FA2345">
            <w:pPr>
              <w:rPr>
                <w:kern w:val="0"/>
              </w:rPr>
            </w:pPr>
            <w:r>
              <w:rPr>
                <w:kern w:val="0"/>
              </w:rPr>
              <w:t>不涉及</w:t>
            </w:r>
          </w:p>
        </w:tc>
      </w:tr>
      <w:tr w14:paraId="51408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2BB8ECDB">
            <w:pPr>
              <w:rPr>
                <w:kern w:val="0"/>
              </w:rPr>
            </w:pPr>
            <w:r>
              <w:rPr>
                <w:rFonts w:hint="eastAsia"/>
                <w:kern w:val="0"/>
              </w:rPr>
              <w:t>《中共中央办公厅国务院办公厅印发&lt;关于在国土空间规划中统筹划定落实三条控制线的指导意见&gt;的通知》（厅字[2019]48号）</w:t>
            </w:r>
          </w:p>
        </w:tc>
        <w:tc>
          <w:tcPr>
            <w:tcW w:w="0" w:type="auto"/>
            <w:vAlign w:val="center"/>
          </w:tcPr>
          <w:p w14:paraId="4DB26A1C">
            <w:pPr>
              <w:rPr>
                <w:kern w:val="0"/>
              </w:rPr>
            </w:pPr>
            <w:r>
              <w:rPr>
                <w:rFonts w:hint="eastAsia"/>
                <w:kern w:val="0"/>
              </w:rPr>
              <w:t>（四）按照生态功能划定生态保护红线</w:t>
            </w:r>
          </w:p>
        </w:tc>
        <w:tc>
          <w:tcPr>
            <w:tcW w:w="0" w:type="auto"/>
            <w:vAlign w:val="center"/>
          </w:tcPr>
          <w:p w14:paraId="706350D7">
            <w:pPr>
              <w:rPr>
                <w:kern w:val="0"/>
              </w:rPr>
            </w:pPr>
            <w:r>
              <w:rPr>
                <w:rFonts w:hint="eastAsia"/>
                <w:kern w:val="0"/>
              </w:rPr>
              <w:t>生态保护红线内，自然保护地核心保护区原则上禁止人为活动，其他区域严格禁止开发性、生产性建设活动，在符合现行法律法规前提下，除国家重大战略项目外，仅允许对生态功能不造成破坏的有限人为活动。其中包括：必须且无法避让、符合县级以上国土空间规划的线性基础设施建设、防洪和供水设施建设与运行维护。</w:t>
            </w:r>
          </w:p>
        </w:tc>
        <w:tc>
          <w:tcPr>
            <w:tcW w:w="0" w:type="auto"/>
            <w:vAlign w:val="center"/>
          </w:tcPr>
          <w:p w14:paraId="2D214CA8">
            <w:pPr>
              <w:rPr>
                <w:kern w:val="0"/>
              </w:rPr>
            </w:pPr>
            <w:r>
              <w:rPr>
                <w:rFonts w:hint="eastAsia"/>
                <w:kern w:val="0"/>
              </w:rPr>
              <w:t>项目涉及生态保护红线（28.72</w:t>
            </w:r>
            <w:r>
              <w:rPr>
                <w:kern w:val="0"/>
              </w:rPr>
              <w:t>h</w:t>
            </w:r>
            <w:r>
              <w:rPr>
                <w:rFonts w:hint="eastAsia"/>
                <w:kern w:val="0"/>
              </w:rPr>
              <w:t>m</w:t>
            </w:r>
            <w:r>
              <w:rPr>
                <w:kern w:val="0"/>
                <w:vertAlign w:val="superscript"/>
              </w:rPr>
              <w:t>2</w:t>
            </w:r>
            <w:r>
              <w:rPr>
                <w:rFonts w:hint="eastAsia"/>
                <w:kern w:val="0"/>
              </w:rPr>
              <w:t>）。项目实施后不会降低重要生态功能区域生态功能、不会减少重要生态功能区域面积、不会改变重要生态功能区域性质，同时拟建项目实施后还能一定程度改善水质，提升生态功能区生态系统质量。</w:t>
            </w:r>
          </w:p>
        </w:tc>
        <w:tc>
          <w:tcPr>
            <w:tcW w:w="0" w:type="auto"/>
            <w:vAlign w:val="center"/>
          </w:tcPr>
          <w:p w14:paraId="718688F1">
            <w:pPr>
              <w:rPr>
                <w:kern w:val="0"/>
              </w:rPr>
            </w:pPr>
            <w:r>
              <w:rPr>
                <w:rFonts w:hint="eastAsia"/>
                <w:kern w:val="0"/>
              </w:rPr>
              <w:t>符合</w:t>
            </w:r>
          </w:p>
        </w:tc>
      </w:tr>
      <w:tr w14:paraId="0652D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092AF301">
            <w:pPr>
              <w:rPr>
                <w:kern w:val="0"/>
              </w:rPr>
            </w:pPr>
          </w:p>
        </w:tc>
        <w:tc>
          <w:tcPr>
            <w:tcW w:w="0" w:type="auto"/>
            <w:vAlign w:val="center"/>
          </w:tcPr>
          <w:p w14:paraId="4FB91E5E">
            <w:pPr>
              <w:rPr>
                <w:kern w:val="0"/>
              </w:rPr>
            </w:pPr>
            <w:r>
              <w:rPr>
                <w:rFonts w:hint="eastAsia"/>
                <w:kern w:val="0"/>
              </w:rPr>
              <w:t>（五）按照保质保量要求划定永久基本农田</w:t>
            </w:r>
          </w:p>
        </w:tc>
        <w:tc>
          <w:tcPr>
            <w:tcW w:w="0" w:type="auto"/>
            <w:vAlign w:val="center"/>
          </w:tcPr>
          <w:p w14:paraId="0BCECE0C">
            <w:pPr>
              <w:rPr>
                <w:kern w:val="0"/>
              </w:rPr>
            </w:pPr>
            <w:r>
              <w:rPr>
                <w:rFonts w:hint="eastAsia"/>
                <w:kern w:val="0"/>
              </w:rPr>
              <w:t>已经划定的永久基本农田中存在划定不实、违法占用、严重污染等问题的要全面梳理整改，确保永久基本农田面积不减、质量提升、布局稳定。</w:t>
            </w:r>
          </w:p>
        </w:tc>
        <w:tc>
          <w:tcPr>
            <w:tcW w:w="0" w:type="auto"/>
            <w:vAlign w:val="center"/>
          </w:tcPr>
          <w:p w14:paraId="17C36A4B">
            <w:pPr>
              <w:rPr>
                <w:kern w:val="0"/>
              </w:rPr>
            </w:pPr>
            <w:r>
              <w:rPr>
                <w:rFonts w:hint="eastAsia"/>
                <w:kern w:val="0"/>
              </w:rPr>
              <w:t>本项目全部在河道管理范围内，不涉及基本农田。</w:t>
            </w:r>
          </w:p>
        </w:tc>
        <w:tc>
          <w:tcPr>
            <w:tcW w:w="0" w:type="auto"/>
            <w:vAlign w:val="center"/>
          </w:tcPr>
          <w:p w14:paraId="3ED1811C">
            <w:pPr>
              <w:rPr>
                <w:kern w:val="0"/>
              </w:rPr>
            </w:pPr>
            <w:r>
              <w:rPr>
                <w:rFonts w:hint="eastAsia"/>
                <w:kern w:val="0"/>
              </w:rPr>
              <w:t>不涉及</w:t>
            </w:r>
          </w:p>
        </w:tc>
      </w:tr>
      <w:tr w14:paraId="45ECE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06AC98DE">
            <w:pPr>
              <w:rPr>
                <w:kern w:val="0"/>
              </w:rPr>
            </w:pPr>
          </w:p>
        </w:tc>
        <w:tc>
          <w:tcPr>
            <w:tcW w:w="0" w:type="auto"/>
            <w:vAlign w:val="center"/>
          </w:tcPr>
          <w:p w14:paraId="2671294F">
            <w:pPr>
              <w:rPr>
                <w:kern w:val="0"/>
              </w:rPr>
            </w:pPr>
            <w:r>
              <w:rPr>
                <w:rFonts w:hint="eastAsia"/>
                <w:kern w:val="0"/>
              </w:rPr>
              <w:t>（六）按照集约适度、绿色发展要求划定城镇开发边界</w:t>
            </w:r>
          </w:p>
        </w:tc>
        <w:tc>
          <w:tcPr>
            <w:tcW w:w="0" w:type="auto"/>
            <w:vAlign w:val="center"/>
          </w:tcPr>
          <w:p w14:paraId="5E4A7910">
            <w:pPr>
              <w:rPr>
                <w:kern w:val="0"/>
              </w:rPr>
            </w:pPr>
            <w:r>
              <w:rPr>
                <w:rFonts w:hint="eastAsia"/>
                <w:kern w:val="0"/>
              </w:rPr>
              <w:t>城镇建设和发展不得违法违规侵占河道、湖面、滩地。</w:t>
            </w:r>
          </w:p>
        </w:tc>
        <w:tc>
          <w:tcPr>
            <w:tcW w:w="0" w:type="auto"/>
            <w:vAlign w:val="center"/>
          </w:tcPr>
          <w:p w14:paraId="6A1351F2">
            <w:pPr>
              <w:rPr>
                <w:kern w:val="0"/>
              </w:rPr>
            </w:pPr>
            <w:r>
              <w:rPr>
                <w:rFonts w:hint="eastAsia"/>
                <w:kern w:val="0"/>
              </w:rPr>
              <w:t>本项目不涉及城镇建设和发展</w:t>
            </w:r>
          </w:p>
        </w:tc>
        <w:tc>
          <w:tcPr>
            <w:tcW w:w="0" w:type="auto"/>
            <w:vAlign w:val="center"/>
          </w:tcPr>
          <w:p w14:paraId="023BA9C7">
            <w:pPr>
              <w:rPr>
                <w:kern w:val="0"/>
              </w:rPr>
            </w:pPr>
            <w:r>
              <w:rPr>
                <w:rFonts w:hint="eastAsia"/>
                <w:kern w:val="0"/>
              </w:rPr>
              <w:t>不涉及</w:t>
            </w:r>
          </w:p>
        </w:tc>
      </w:tr>
      <w:tr w14:paraId="1E204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2FEF2CC">
            <w:pPr>
              <w:rPr>
                <w:kern w:val="0"/>
              </w:rPr>
            </w:pPr>
            <w:r>
              <w:rPr>
                <w:rFonts w:hint="eastAsia"/>
                <w:kern w:val="0"/>
              </w:rPr>
              <w:t>《中共中央办公厅国务院办公厅印发&lt;关于划定并严守生态保护红线的若干意见&gt;》</w:t>
            </w:r>
          </w:p>
        </w:tc>
        <w:tc>
          <w:tcPr>
            <w:tcW w:w="0" w:type="auto"/>
            <w:vAlign w:val="center"/>
          </w:tcPr>
          <w:p w14:paraId="58597AFB">
            <w:r>
              <w:rPr>
                <w:rFonts w:hint="eastAsia"/>
              </w:rPr>
              <w:t>三、严守生态保护红线</w:t>
            </w:r>
          </w:p>
        </w:tc>
        <w:tc>
          <w:tcPr>
            <w:tcW w:w="0" w:type="auto"/>
            <w:vAlign w:val="center"/>
          </w:tcPr>
          <w:p w14:paraId="79B53BCC">
            <w:r>
              <w:rPr>
                <w:rFonts w:hint="eastAsia"/>
                <w:kern w:val="0"/>
              </w:rPr>
              <w:t>（九）实行严格管控。生态保护红线原则上按禁止开发区域的要求进行管理。严禁不符合主体功能定位的各类开发活动，严禁任意改变用途。生态保护红线划定后，只能增加、不能减少，因国家重大基础设施、重大民生保障项目建设等需要调整的，由省级政府组织论证，提出调整方案，经环境保护部、国家发展改革委会同有关部门提出审核意见后，报国务院批准。因国家重大战略资源勘查需要，在不影响主体功能定位的前提下，经依法批准后予以安排勘查项目。</w:t>
            </w:r>
          </w:p>
        </w:tc>
        <w:tc>
          <w:tcPr>
            <w:tcW w:w="0" w:type="auto"/>
            <w:vAlign w:val="center"/>
          </w:tcPr>
          <w:p w14:paraId="38C3EA16">
            <w:pPr>
              <w:rPr>
                <w:kern w:val="0"/>
              </w:rPr>
            </w:pPr>
            <w:r>
              <w:rPr>
                <w:rFonts w:hint="eastAsia"/>
                <w:kern w:val="0"/>
              </w:rPr>
              <w:t>项目涉及生态保护红线（28.72hm</w:t>
            </w:r>
            <w:r>
              <w:rPr>
                <w:rFonts w:hint="eastAsia"/>
                <w:kern w:val="0"/>
                <w:vertAlign w:val="superscript"/>
              </w:rPr>
              <w:t>2</w:t>
            </w:r>
            <w:r>
              <w:rPr>
                <w:rFonts w:hint="eastAsia"/>
                <w:kern w:val="0"/>
              </w:rPr>
              <w:t>）。项目实施后不会降低重要生态功能区域生态功能、不会减少重要生态功能区域面积、不会改变重要生态功能区域性质，同时拟建项目实施后还能一定程度改善水质，提升生态功能区生态系统质量。</w:t>
            </w:r>
          </w:p>
        </w:tc>
        <w:tc>
          <w:tcPr>
            <w:tcW w:w="0" w:type="auto"/>
            <w:vAlign w:val="center"/>
          </w:tcPr>
          <w:p w14:paraId="4EF813E6">
            <w:pPr>
              <w:rPr>
                <w:kern w:val="0"/>
              </w:rPr>
            </w:pPr>
            <w:r>
              <w:rPr>
                <w:rFonts w:hint="eastAsia"/>
                <w:kern w:val="0"/>
              </w:rPr>
              <w:t>符合</w:t>
            </w:r>
          </w:p>
        </w:tc>
      </w:tr>
      <w:tr w14:paraId="32AB5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BFCD6A0">
            <w:pPr>
              <w:rPr>
                <w:kern w:val="0"/>
              </w:rPr>
            </w:pPr>
            <w:r>
              <w:rPr>
                <w:rFonts w:hint="eastAsia"/>
                <w:kern w:val="0"/>
              </w:rPr>
              <w:t>《关于加强生态保护红线管理的通知（冀自然资发[2024]4号）</w:t>
            </w:r>
          </w:p>
        </w:tc>
        <w:tc>
          <w:tcPr>
            <w:tcW w:w="0" w:type="auto"/>
            <w:vAlign w:val="center"/>
          </w:tcPr>
          <w:p w14:paraId="67B79D2E">
            <w:r>
              <w:rPr>
                <w:rFonts w:hint="eastAsia"/>
              </w:rPr>
              <w:t>二、严格限定有限人为活动</w:t>
            </w:r>
          </w:p>
          <w:p w14:paraId="2DC2B63B">
            <w:r>
              <w:rPr>
                <w:rFonts w:hint="eastAsia"/>
              </w:rPr>
              <w:t>类型</w:t>
            </w:r>
          </w:p>
        </w:tc>
        <w:tc>
          <w:tcPr>
            <w:tcW w:w="0" w:type="auto"/>
            <w:vAlign w:val="center"/>
          </w:tcPr>
          <w:p w14:paraId="21D5C3E3">
            <w:pPr>
              <w:rPr>
                <w:kern w:val="0"/>
              </w:rPr>
            </w:pPr>
            <w:r>
              <w:rPr>
                <w:rFonts w:hint="eastAsia"/>
                <w:kern w:val="0"/>
              </w:rPr>
              <w:t>生态保护红线内自然保护地、饮用水水源保护区、水产种质资源保护区等区域，依照相关法律法规和政策执行。生态保护红线内，自然保护地核心保护区原则上禁止人为活动；自然保护地核心保护区外，禁止开发性、生产性建设活动，在符合法律法规的前提下，仅允许以下对生态功能不造成破坏的有限人为活动。其中包括：管护巡护、保护执法、科学研究、调查监测、测绘导航、防灾减灾救灾、军事国防、疫情防控等活动及相关的必要设施修筑。</w:t>
            </w:r>
          </w:p>
        </w:tc>
        <w:tc>
          <w:tcPr>
            <w:tcW w:w="0" w:type="auto"/>
            <w:vAlign w:val="center"/>
          </w:tcPr>
          <w:p w14:paraId="20C895C3">
            <w:pPr>
              <w:rPr>
                <w:kern w:val="0"/>
              </w:rPr>
            </w:pPr>
            <w:r>
              <w:rPr>
                <w:rFonts w:hint="eastAsia"/>
                <w:kern w:val="0"/>
              </w:rPr>
              <w:t>项目涉及生态保护红线（28.72hm</w:t>
            </w:r>
            <w:r>
              <w:rPr>
                <w:rFonts w:hint="eastAsia"/>
                <w:kern w:val="0"/>
                <w:vertAlign w:val="superscript"/>
              </w:rPr>
              <w:t>2</w:t>
            </w:r>
            <w:r>
              <w:rPr>
                <w:rFonts w:hint="eastAsia"/>
                <w:kern w:val="0"/>
              </w:rPr>
              <w:t>）。项目不属于开发性、生产性建设活动，实施后不会降低重要生态功能区域生态功能、不会减少重要生态功能区域面积、不会改变重要生态功能区域性质，同时拟建项目实施后还能一定程度改善水质，提升生态功能区生态系统质量。</w:t>
            </w:r>
          </w:p>
        </w:tc>
        <w:tc>
          <w:tcPr>
            <w:tcW w:w="0" w:type="auto"/>
            <w:vAlign w:val="center"/>
          </w:tcPr>
          <w:p w14:paraId="4A261974">
            <w:pPr>
              <w:rPr>
                <w:kern w:val="0"/>
              </w:rPr>
            </w:pPr>
            <w:r>
              <w:rPr>
                <w:rFonts w:hint="eastAsia"/>
                <w:kern w:val="0"/>
              </w:rPr>
              <w:t>符合</w:t>
            </w:r>
          </w:p>
        </w:tc>
      </w:tr>
      <w:tr w14:paraId="61662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B90FA2F">
            <w:pPr>
              <w:rPr>
                <w:kern w:val="0"/>
              </w:rPr>
            </w:pPr>
            <w:r>
              <w:rPr>
                <w:rFonts w:hint="eastAsia"/>
                <w:kern w:val="0"/>
              </w:rPr>
              <w:t>《河北关于加强生态保护红线管理的通知</w:t>
            </w:r>
          </w:p>
          <w:p w14:paraId="5BA27887">
            <w:pPr>
              <w:rPr>
                <w:kern w:val="0"/>
              </w:rPr>
            </w:pPr>
            <w:r>
              <w:rPr>
                <w:rFonts w:hint="eastAsia"/>
                <w:kern w:val="0"/>
              </w:rPr>
              <w:t>（冀自然资发[2024]4号）</w:t>
            </w:r>
          </w:p>
        </w:tc>
        <w:tc>
          <w:tcPr>
            <w:tcW w:w="0" w:type="auto"/>
            <w:vAlign w:val="center"/>
          </w:tcPr>
          <w:p w14:paraId="02F6BC52">
            <w:r>
              <w:rPr>
                <w:rFonts w:hint="eastAsia"/>
              </w:rPr>
              <w:t>三、加强有限人为活动管理</w:t>
            </w:r>
          </w:p>
        </w:tc>
        <w:tc>
          <w:tcPr>
            <w:tcW w:w="0" w:type="auto"/>
            <w:vAlign w:val="center"/>
          </w:tcPr>
          <w:p w14:paraId="4EA35122">
            <w:pPr>
              <w:rPr>
                <w:kern w:val="0"/>
              </w:rPr>
            </w:pPr>
            <w:r>
              <w:rPr>
                <w:rFonts w:hint="eastAsia"/>
                <w:kern w:val="0"/>
              </w:rPr>
              <w:t>（一）严格有限人为活动管控措施加强空间规划引导管控，涉及生态保护红线的专项规划、详细规划应评估人为活动对生态功能造成的影响，提出控制和引导要求，制定生态修复措施。原住民生产生活、线性基础设施建设等符合准入要求的有限人为活动，应控制建设活动强度，保护生物多样性，推行绿色生产生活方式；不涉及具体建设活动的救灾抢险、保护管理、测绘调查、考古发掘、旅游宣教、文物保护等由相关部门按照规定做好管理。</w:t>
            </w:r>
          </w:p>
        </w:tc>
        <w:tc>
          <w:tcPr>
            <w:tcW w:w="0" w:type="auto"/>
            <w:vAlign w:val="center"/>
          </w:tcPr>
          <w:p w14:paraId="6A6C59CC">
            <w:pPr>
              <w:rPr>
                <w:kern w:val="0"/>
              </w:rPr>
            </w:pPr>
            <w:r>
              <w:rPr>
                <w:rFonts w:hint="eastAsia"/>
                <w:kern w:val="0"/>
              </w:rPr>
              <w:t>拟建项目施工过程中严格控制施工边界，拟建项目不新增建设用地，临时占地与工程建设全部位于现有河道管理范围内，项目施工期短且为分段施工，施工结束后及时清理场地。</w:t>
            </w:r>
          </w:p>
        </w:tc>
        <w:tc>
          <w:tcPr>
            <w:tcW w:w="0" w:type="auto"/>
            <w:vAlign w:val="center"/>
          </w:tcPr>
          <w:p w14:paraId="59BDCCC9">
            <w:pPr>
              <w:rPr>
                <w:kern w:val="0"/>
              </w:rPr>
            </w:pPr>
          </w:p>
        </w:tc>
      </w:tr>
    </w:tbl>
    <w:p w14:paraId="6186B1A4">
      <w:pPr>
        <w:pStyle w:val="85"/>
        <w:ind w:firstLine="480"/>
        <w:rPr>
          <w:kern w:val="0"/>
        </w:rPr>
      </w:pPr>
      <w:r>
        <w:rPr>
          <w:rFonts w:hint="eastAsia"/>
          <w:kern w:val="0"/>
        </w:rPr>
        <w:t xml:space="preserve">拟建项目符合前述生态保护红线有关文件要求。 </w:t>
      </w:r>
    </w:p>
    <w:p w14:paraId="1C8C8542">
      <w:pPr>
        <w:pStyle w:val="85"/>
        <w:ind w:firstLine="480"/>
        <w:rPr>
          <w:kern w:val="0"/>
        </w:rPr>
      </w:pPr>
      <w:r>
        <w:rPr>
          <w:rFonts w:hint="eastAsia"/>
          <w:kern w:val="0"/>
        </w:rPr>
        <w:t>综上所述，拟建项目满足《河北省人民政府关于加快实施“三线一单”生态环境分区管控的意见》《承德市生态环境准入清单(2023 年版)》及生态保护红线有关文件的有关要求。</w:t>
      </w:r>
    </w:p>
    <w:p w14:paraId="1438B2C6">
      <w:pPr>
        <w:pStyle w:val="85"/>
        <w:ind w:firstLine="480"/>
        <w:rPr>
          <w:color w:val="FF0000"/>
          <w:kern w:val="0"/>
        </w:rPr>
      </w:pPr>
    </w:p>
    <w:p w14:paraId="7756D364">
      <w:pPr>
        <w:pStyle w:val="85"/>
        <w:ind w:firstLine="480"/>
        <w:rPr>
          <w:kern w:val="0"/>
        </w:rPr>
        <w:sectPr>
          <w:pgSz w:w="11906" w:h="16838"/>
          <w:pgMar w:top="2007" w:right="1797" w:bottom="1724" w:left="1797" w:header="1417" w:footer="1162" w:gutter="0"/>
          <w:pgNumType w:fmt="numberInDash"/>
          <w:cols w:space="425" w:num="1"/>
          <w:docGrid w:type="lines" w:linePitch="312" w:charSpace="0"/>
        </w:sectPr>
      </w:pPr>
    </w:p>
    <w:bookmarkEnd w:id="67"/>
    <w:p w14:paraId="014DBA59">
      <w:pPr>
        <w:pStyle w:val="2"/>
        <w:rPr>
          <w:kern w:val="0"/>
        </w:rPr>
      </w:pPr>
      <w:bookmarkStart w:id="68" w:name="_Toc198733154"/>
      <w:r>
        <w:rPr>
          <w:rFonts w:hint="eastAsia"/>
          <w:kern w:val="0"/>
        </w:rPr>
        <w:t>工程</w:t>
      </w:r>
      <w:r>
        <w:rPr>
          <w:kern w:val="0"/>
        </w:rPr>
        <w:t>分析</w:t>
      </w:r>
      <w:bookmarkEnd w:id="68"/>
    </w:p>
    <w:p w14:paraId="428BFFE8">
      <w:pPr>
        <w:pStyle w:val="3"/>
        <w:rPr>
          <w:kern w:val="0"/>
        </w:rPr>
      </w:pPr>
      <w:bookmarkStart w:id="69" w:name="_Toc198733155"/>
      <w:r>
        <w:rPr>
          <w:rFonts w:hint="eastAsia"/>
          <w:kern w:val="0"/>
        </w:rPr>
        <w:t>项目区域</w:t>
      </w:r>
      <w:r>
        <w:rPr>
          <w:kern w:val="0"/>
        </w:rPr>
        <w:t>现状存在的主要问题</w:t>
      </w:r>
      <w:bookmarkEnd w:id="69"/>
    </w:p>
    <w:p w14:paraId="6484EA05">
      <w:pPr>
        <w:pStyle w:val="85"/>
        <w:ind w:firstLine="480"/>
        <w:rPr>
          <w:kern w:val="0"/>
        </w:rPr>
      </w:pPr>
      <w:r>
        <w:rPr>
          <w:rFonts w:hint="eastAsia"/>
          <w:kern w:val="0"/>
        </w:rPr>
        <w:t>（1）水质未彻底改善，不能稳定达标</w:t>
      </w:r>
    </w:p>
    <w:p w14:paraId="1B231D14">
      <w:pPr>
        <w:pStyle w:val="85"/>
        <w:ind w:firstLine="480"/>
        <w:rPr>
          <w:kern w:val="0"/>
        </w:rPr>
      </w:pPr>
      <w:r>
        <w:rPr>
          <w:rFonts w:hint="eastAsia"/>
          <w:kern w:val="0"/>
        </w:rPr>
        <w:t>潮河下游古北口断面水质考核目标为《地表水环境质量标准》（GB3838-2002）Ⅱ类标准，总氮浓度保持在6.59mg/L以下。根据2019年-2024年断面监测数据分析，断面年平均水质除总氮外均能满足水质目标要求，但从月均可以看出，化学需氧量、总磷和总氮均有不同程度的超标现象。</w:t>
      </w:r>
    </w:p>
    <w:p w14:paraId="7439E311">
      <w:pPr>
        <w:pStyle w:val="85"/>
        <w:ind w:firstLine="480"/>
        <w:rPr>
          <w:kern w:val="0"/>
        </w:rPr>
      </w:pPr>
      <w:r>
        <w:rPr>
          <w:rFonts w:hint="eastAsia"/>
          <w:kern w:val="0"/>
        </w:rPr>
        <w:t>（2）河滨带系统不完善，滨水空间被挤占，面源拦截净化能力低</w:t>
      </w:r>
    </w:p>
    <w:p w14:paraId="1E277539">
      <w:pPr>
        <w:pStyle w:val="85"/>
        <w:ind w:firstLine="480"/>
        <w:rPr>
          <w:kern w:val="0"/>
        </w:rPr>
      </w:pPr>
      <w:r>
        <w:rPr>
          <w:rFonts w:hint="eastAsia"/>
          <w:kern w:val="0"/>
        </w:rPr>
        <w:t>根据调查，河流周围分布主要为农田、村落，以农业面源污染为主导地位的生活污水与农业种植等造成的综合污染受径流冲刷入河是项目区重要的污染来源，入河污染负荷超过水环境承载能力，支流水质较差，加速</w:t>
      </w:r>
      <w:r>
        <w:rPr>
          <w:kern w:val="0"/>
        </w:rPr>
        <w:t>了水体生态环境的退化。未实施的相应的村落污水及面源污染治理，且现状河滨带系统不完善，滨水缓冲区整体空间被挤占，河道紧邻道路、村落、农田，面源拦截净化能力较低，土质堤岸由于紧邻农田土质松软，受降雨冲刷土壤极易入河堵塞河道，目前尚未发现其他有效治理措施。大量的村落污染、农业面源污染随水流冲刷直排入河，因此，为加强入河污染物削减，急需加强河流生态修复与相关治理，通过河滨缓冲带、滨岸植被等措施加强拦截净化面源污染物入河，削减污染物量。</w:t>
      </w:r>
    </w:p>
    <w:p w14:paraId="6AC8DF2D">
      <w:pPr>
        <w:pStyle w:val="85"/>
        <w:ind w:firstLine="480"/>
        <w:rPr>
          <w:kern w:val="0"/>
        </w:rPr>
      </w:pPr>
      <w:r>
        <w:rPr>
          <w:kern w:val="0"/>
        </w:rPr>
        <w:t>（</w:t>
      </w:r>
      <w:r>
        <w:rPr>
          <w:b/>
          <w:bCs/>
          <w:kern w:val="0"/>
        </w:rPr>
        <w:t>3</w:t>
      </w:r>
      <w:r>
        <w:rPr>
          <w:kern w:val="0"/>
        </w:rPr>
        <w:t>）河流水生态环境差，生态系统功能薄弱</w:t>
      </w:r>
    </w:p>
    <w:p w14:paraId="4E6C3D4F">
      <w:pPr>
        <w:pStyle w:val="85"/>
        <w:ind w:firstLine="480"/>
        <w:rPr>
          <w:kern w:val="0"/>
        </w:rPr>
      </w:pPr>
      <w:r>
        <w:rPr>
          <w:kern w:val="0"/>
        </w:rPr>
        <w:t>经调查，现状支流水生态环境差，颜色浑浊、河底淤积，水动力差，水体含氧量低，沉水植被腐烂，生境条件较差；水生植被种类少，分布有芦苇、芦竹等挺水植物，河滨带的部分缓冲功能与净化功能一定程度上丧失，河内生态系统失衡，功能薄弱，亟须进行生态修复、提升水动力，并配合原位、异位净化措施、缓冲带生态修复等改善水环境情况，逐步恢复其生态功能，提高水体的自净能力。</w:t>
      </w:r>
    </w:p>
    <w:p w14:paraId="2978CE13">
      <w:pPr>
        <w:pStyle w:val="85"/>
        <w:ind w:firstLine="480"/>
        <w:rPr>
          <w:kern w:val="0"/>
        </w:rPr>
      </w:pPr>
      <w:r>
        <w:rPr>
          <w:kern w:val="0"/>
        </w:rPr>
        <w:t>（</w:t>
      </w:r>
      <w:r>
        <w:rPr>
          <w:b/>
          <w:bCs/>
          <w:kern w:val="0"/>
        </w:rPr>
        <w:t>4</w:t>
      </w:r>
      <w:r>
        <w:rPr>
          <w:kern w:val="0"/>
        </w:rPr>
        <w:t>）上游来水总氮浓度较高</w:t>
      </w:r>
    </w:p>
    <w:p w14:paraId="1ADEF5E1">
      <w:pPr>
        <w:pStyle w:val="85"/>
        <w:ind w:firstLine="480"/>
        <w:rPr>
          <w:kern w:val="0"/>
        </w:rPr>
      </w:pPr>
      <w:r>
        <w:rPr>
          <w:kern w:val="0"/>
        </w:rPr>
        <w:t>2019-2024年天桥断面总氮平均浓度分别为10.72mg/L、9.73mg/L、9.77mg/L、10.66mg/L、9.20mg/L、10.14mg/L。总氮年平均浓度在9.2~10.72之间。</w:t>
      </w:r>
    </w:p>
    <w:p w14:paraId="3238094B">
      <w:pPr>
        <w:pStyle w:val="3"/>
        <w:rPr>
          <w:kern w:val="0"/>
        </w:rPr>
      </w:pPr>
      <w:bookmarkStart w:id="70" w:name="_Toc198733156"/>
      <w:r>
        <w:rPr>
          <w:rFonts w:hint="eastAsia"/>
          <w:kern w:val="0"/>
        </w:rPr>
        <w:t>拟建</w:t>
      </w:r>
      <w:r>
        <w:rPr>
          <w:kern w:val="0"/>
        </w:rPr>
        <w:t>工程</w:t>
      </w:r>
      <w:bookmarkEnd w:id="70"/>
    </w:p>
    <w:p w14:paraId="2AC9612F">
      <w:pPr>
        <w:pStyle w:val="4"/>
        <w:rPr>
          <w:kern w:val="0"/>
        </w:rPr>
      </w:pPr>
      <w:r>
        <w:rPr>
          <w:rFonts w:hint="eastAsia"/>
          <w:kern w:val="0"/>
        </w:rPr>
        <w:t>工程</w:t>
      </w:r>
      <w:r>
        <w:rPr>
          <w:kern w:val="0"/>
        </w:rPr>
        <w:t>概况</w:t>
      </w:r>
    </w:p>
    <w:p w14:paraId="5F854F97">
      <w:pPr>
        <w:pStyle w:val="85"/>
        <w:ind w:firstLine="480"/>
        <w:rPr>
          <w:kern w:val="0"/>
        </w:rPr>
      </w:pPr>
      <w:bookmarkStart w:id="71" w:name="_Ref74763851"/>
      <w:r>
        <w:rPr>
          <w:kern w:val="0"/>
        </w:rPr>
        <w:t>本项目实施内容包括</w:t>
      </w:r>
      <w:bookmarkStart w:id="72" w:name="_Hlk196663882"/>
      <w:bookmarkStart w:id="73" w:name="OLE_LINK12"/>
      <w:bookmarkStart w:id="74" w:name="OLE_LINK31"/>
      <w:r>
        <w:rPr>
          <w:rFonts w:hint="eastAsia"/>
          <w:kern w:val="0"/>
        </w:rPr>
        <w:t>河道基底修复及微地形梳理；构建恢复生态缓冲带</w:t>
      </w:r>
      <w:bookmarkEnd w:id="72"/>
      <w:r>
        <w:rPr>
          <w:rFonts w:hint="eastAsia"/>
          <w:kern w:val="0"/>
        </w:rPr>
        <w:t>、水生态构建及水生植物恢复</w:t>
      </w:r>
      <w:bookmarkEnd w:id="73"/>
      <w:r>
        <w:rPr>
          <w:rFonts w:hint="eastAsia"/>
          <w:kern w:val="0"/>
        </w:rPr>
        <w:t>。</w:t>
      </w:r>
      <w:bookmarkEnd w:id="74"/>
      <w:r>
        <w:rPr>
          <w:rFonts w:hint="eastAsia"/>
          <w:kern w:val="0"/>
        </w:rPr>
        <w:t>工程</w:t>
      </w:r>
      <w:r>
        <w:rPr>
          <w:kern w:val="0"/>
        </w:rPr>
        <w:t>基本概况见</w:t>
      </w:r>
      <w:r>
        <w:rPr>
          <w:kern w:val="0"/>
        </w:rPr>
        <w:fldChar w:fldCharType="begin"/>
      </w:r>
      <w:r>
        <w:rPr>
          <w:kern w:val="0"/>
        </w:rPr>
        <w:instrText xml:space="preserve"> REF _Ref174093011 \h </w:instrText>
      </w:r>
      <w:r>
        <w:rPr>
          <w:kern w:val="0"/>
        </w:rPr>
        <w:fldChar w:fldCharType="separate"/>
      </w:r>
      <w:r>
        <w:rPr>
          <w:rFonts w:eastAsia="黑体"/>
        </w:rPr>
        <w:t>表2</w:t>
      </w:r>
      <w:r>
        <w:rPr>
          <w:rFonts w:eastAsia="黑体"/>
        </w:rPr>
        <w:noBreakHyphen/>
      </w:r>
      <w:r>
        <w:rPr>
          <w:rFonts w:eastAsia="黑体"/>
        </w:rPr>
        <w:t>1</w:t>
      </w:r>
      <w:r>
        <w:rPr>
          <w:kern w:val="0"/>
        </w:rPr>
        <w:fldChar w:fldCharType="end"/>
      </w:r>
      <w:r>
        <w:rPr>
          <w:rFonts w:hint="eastAsia"/>
          <w:kern w:val="0"/>
        </w:rPr>
        <w:t>。</w:t>
      </w:r>
    </w:p>
    <w:bookmarkEnd w:id="71"/>
    <w:p w14:paraId="33938F6A">
      <w:pPr>
        <w:pStyle w:val="85"/>
        <w:ind w:firstLine="480"/>
        <w:jc w:val="center"/>
      </w:pPr>
      <w:bookmarkStart w:id="75" w:name="_Ref174093011"/>
      <w:r>
        <w:rPr>
          <w:rFonts w:eastAsia="黑体"/>
        </w:rPr>
        <w:t>表</w:t>
      </w:r>
      <w:r>
        <w:rPr>
          <w:rFonts w:eastAsia="黑体"/>
        </w:rPr>
        <w:fldChar w:fldCharType="begin"/>
      </w:r>
      <w:r>
        <w:rPr>
          <w:rFonts w:eastAsia="黑体"/>
        </w:rPr>
        <w:instrText xml:space="preserve"> STYLEREF 1 \s </w:instrText>
      </w:r>
      <w:r>
        <w:rPr>
          <w:rFonts w:eastAsia="黑体"/>
        </w:rPr>
        <w:fldChar w:fldCharType="separate"/>
      </w:r>
      <w:r>
        <w:rPr>
          <w:rFonts w:eastAsia="黑体"/>
        </w:rPr>
        <w:t>2</w:t>
      </w:r>
      <w:r>
        <w:rPr>
          <w:rFonts w:eastAsia="黑体"/>
        </w:rPr>
        <w:fldChar w:fldCharType="end"/>
      </w:r>
      <w:r>
        <w:rPr>
          <w:rFonts w:eastAsia="黑体"/>
        </w:rPr>
        <w:noBreakHyphen/>
      </w:r>
      <w:r>
        <w:rPr>
          <w:rFonts w:eastAsia="黑体"/>
        </w:rPr>
        <w:fldChar w:fldCharType="begin"/>
      </w:r>
      <w:r>
        <w:rPr>
          <w:rFonts w:eastAsia="黑体"/>
        </w:rPr>
        <w:instrText xml:space="preserve"> SEQ 表 \* ARABIC \s 1 </w:instrText>
      </w:r>
      <w:r>
        <w:rPr>
          <w:rFonts w:eastAsia="黑体"/>
        </w:rPr>
        <w:fldChar w:fldCharType="separate"/>
      </w:r>
      <w:r>
        <w:rPr>
          <w:rFonts w:eastAsia="黑体"/>
        </w:rPr>
        <w:t>1</w:t>
      </w:r>
      <w:r>
        <w:rPr>
          <w:rFonts w:eastAsia="黑体"/>
        </w:rPr>
        <w:fldChar w:fldCharType="end"/>
      </w:r>
      <w:bookmarkEnd w:id="75"/>
      <w:r>
        <w:rPr>
          <w:rFonts w:eastAsia="黑体"/>
          <w:bCs/>
          <w:spacing w:val="-8"/>
          <w:kern w:val="0"/>
        </w:rPr>
        <w:t xml:space="preserve">  工程基本概况一览表</w:t>
      </w: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45"/>
        <w:gridCol w:w="7031"/>
      </w:tblGrid>
      <w:tr w14:paraId="053FF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gridSpan w:val="2"/>
            <w:vAlign w:val="center"/>
          </w:tcPr>
          <w:p w14:paraId="733E8BBF">
            <w:pPr>
              <w:spacing w:line="300" w:lineRule="exact"/>
              <w:jc w:val="center"/>
              <w:rPr>
                <w:kern w:val="0"/>
                <w:szCs w:val="21"/>
              </w:rPr>
            </w:pPr>
            <w:r>
              <w:rPr>
                <w:rFonts w:hint="eastAsia"/>
                <w:kern w:val="0"/>
                <w:szCs w:val="21"/>
              </w:rPr>
              <w:t>项目</w:t>
            </w:r>
          </w:p>
        </w:tc>
        <w:tc>
          <w:tcPr>
            <w:tcW w:w="7031" w:type="dxa"/>
            <w:vAlign w:val="center"/>
          </w:tcPr>
          <w:p w14:paraId="41842303">
            <w:pPr>
              <w:spacing w:line="300" w:lineRule="exact"/>
              <w:rPr>
                <w:kern w:val="0"/>
                <w:szCs w:val="21"/>
              </w:rPr>
            </w:pPr>
            <w:r>
              <w:rPr>
                <w:rFonts w:hint="eastAsia"/>
                <w:kern w:val="0"/>
                <w:szCs w:val="21"/>
              </w:rPr>
              <w:t>具体内容</w:t>
            </w:r>
          </w:p>
        </w:tc>
      </w:tr>
      <w:tr w14:paraId="198A4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gridSpan w:val="2"/>
            <w:vAlign w:val="center"/>
          </w:tcPr>
          <w:p w14:paraId="010F33BA">
            <w:pPr>
              <w:spacing w:line="300" w:lineRule="exact"/>
              <w:jc w:val="center"/>
              <w:rPr>
                <w:kern w:val="0"/>
                <w:szCs w:val="21"/>
              </w:rPr>
            </w:pPr>
            <w:r>
              <w:rPr>
                <w:rFonts w:hint="eastAsia"/>
                <w:kern w:val="0"/>
                <w:szCs w:val="21"/>
              </w:rPr>
              <w:t>项目</w:t>
            </w:r>
            <w:r>
              <w:rPr>
                <w:kern w:val="0"/>
                <w:szCs w:val="21"/>
              </w:rPr>
              <w:t>名称</w:t>
            </w:r>
          </w:p>
        </w:tc>
        <w:tc>
          <w:tcPr>
            <w:tcW w:w="7031" w:type="dxa"/>
            <w:vAlign w:val="center"/>
          </w:tcPr>
          <w:p w14:paraId="3F401C4B">
            <w:pPr>
              <w:spacing w:line="300" w:lineRule="exact"/>
              <w:rPr>
                <w:kern w:val="0"/>
                <w:szCs w:val="21"/>
              </w:rPr>
            </w:pPr>
            <w:r>
              <w:rPr>
                <w:rFonts w:hint="eastAsia"/>
                <w:kern w:val="0"/>
                <w:szCs w:val="21"/>
              </w:rPr>
              <w:t>滦平县潮河干流河道水质改善与生态修复工程</w:t>
            </w:r>
          </w:p>
        </w:tc>
      </w:tr>
      <w:tr w14:paraId="2492E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gridSpan w:val="2"/>
            <w:vAlign w:val="center"/>
          </w:tcPr>
          <w:p w14:paraId="6998507A">
            <w:pPr>
              <w:spacing w:line="300" w:lineRule="exact"/>
              <w:jc w:val="center"/>
              <w:rPr>
                <w:kern w:val="0"/>
                <w:szCs w:val="21"/>
              </w:rPr>
            </w:pPr>
            <w:r>
              <w:rPr>
                <w:rFonts w:hint="eastAsia"/>
                <w:kern w:val="0"/>
                <w:szCs w:val="21"/>
              </w:rPr>
              <w:t>建设</w:t>
            </w:r>
            <w:r>
              <w:rPr>
                <w:kern w:val="0"/>
                <w:szCs w:val="21"/>
              </w:rPr>
              <w:t>单位</w:t>
            </w:r>
          </w:p>
        </w:tc>
        <w:tc>
          <w:tcPr>
            <w:tcW w:w="7031" w:type="dxa"/>
            <w:vAlign w:val="center"/>
          </w:tcPr>
          <w:p w14:paraId="13545022">
            <w:pPr>
              <w:spacing w:line="300" w:lineRule="exact"/>
              <w:rPr>
                <w:kern w:val="0"/>
                <w:szCs w:val="21"/>
              </w:rPr>
            </w:pPr>
            <w:r>
              <w:rPr>
                <w:rFonts w:hint="eastAsia"/>
                <w:kern w:val="0"/>
                <w:szCs w:val="21"/>
              </w:rPr>
              <w:t>滦平县水务局</w:t>
            </w:r>
          </w:p>
        </w:tc>
      </w:tr>
      <w:tr w14:paraId="55304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gridSpan w:val="2"/>
            <w:vAlign w:val="center"/>
          </w:tcPr>
          <w:p w14:paraId="3394A855">
            <w:pPr>
              <w:spacing w:line="300" w:lineRule="exact"/>
              <w:jc w:val="center"/>
              <w:rPr>
                <w:kern w:val="0"/>
                <w:szCs w:val="21"/>
              </w:rPr>
            </w:pPr>
            <w:r>
              <w:rPr>
                <w:rFonts w:hint="eastAsia"/>
                <w:kern w:val="0"/>
                <w:szCs w:val="21"/>
              </w:rPr>
              <w:t>建设</w:t>
            </w:r>
            <w:r>
              <w:rPr>
                <w:kern w:val="0"/>
                <w:szCs w:val="21"/>
              </w:rPr>
              <w:t>性质</w:t>
            </w:r>
          </w:p>
        </w:tc>
        <w:tc>
          <w:tcPr>
            <w:tcW w:w="7031" w:type="dxa"/>
            <w:vAlign w:val="center"/>
          </w:tcPr>
          <w:p w14:paraId="690A8F81">
            <w:pPr>
              <w:spacing w:line="300" w:lineRule="exact"/>
              <w:rPr>
                <w:kern w:val="0"/>
                <w:szCs w:val="21"/>
              </w:rPr>
            </w:pPr>
            <w:r>
              <w:rPr>
                <w:rFonts w:hint="eastAsia"/>
                <w:kern w:val="0"/>
                <w:szCs w:val="21"/>
              </w:rPr>
              <w:t>新建</w:t>
            </w:r>
          </w:p>
        </w:tc>
      </w:tr>
      <w:tr w14:paraId="59512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gridSpan w:val="2"/>
            <w:vAlign w:val="center"/>
          </w:tcPr>
          <w:p w14:paraId="37CB0B8A">
            <w:pPr>
              <w:spacing w:line="300" w:lineRule="exact"/>
              <w:jc w:val="center"/>
              <w:rPr>
                <w:kern w:val="0"/>
                <w:szCs w:val="21"/>
              </w:rPr>
            </w:pPr>
            <w:r>
              <w:rPr>
                <w:rFonts w:hint="eastAsia"/>
                <w:kern w:val="0"/>
                <w:szCs w:val="21"/>
              </w:rPr>
              <w:t>建设</w:t>
            </w:r>
            <w:r>
              <w:rPr>
                <w:kern w:val="0"/>
                <w:szCs w:val="21"/>
              </w:rPr>
              <w:t>地点</w:t>
            </w:r>
          </w:p>
        </w:tc>
        <w:tc>
          <w:tcPr>
            <w:tcW w:w="7031" w:type="dxa"/>
            <w:vAlign w:val="center"/>
          </w:tcPr>
          <w:p w14:paraId="03867C09">
            <w:pPr>
              <w:spacing w:line="300" w:lineRule="exact"/>
              <w:rPr>
                <w:kern w:val="0"/>
                <w:szCs w:val="21"/>
              </w:rPr>
            </w:pPr>
            <w:r>
              <w:rPr>
                <w:rFonts w:hint="eastAsia"/>
                <w:kern w:val="0"/>
                <w:szCs w:val="21"/>
              </w:rPr>
              <w:t>滦平县潮河干流（丰宁入境至S224省道潮河桥）</w:t>
            </w:r>
          </w:p>
        </w:tc>
      </w:tr>
      <w:tr w14:paraId="0D5BD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gridSpan w:val="2"/>
            <w:vAlign w:val="center"/>
          </w:tcPr>
          <w:p w14:paraId="18B8F758">
            <w:pPr>
              <w:spacing w:line="300" w:lineRule="exact"/>
              <w:jc w:val="center"/>
              <w:rPr>
                <w:kern w:val="0"/>
                <w:szCs w:val="21"/>
              </w:rPr>
            </w:pPr>
            <w:r>
              <w:rPr>
                <w:rFonts w:hint="eastAsia"/>
                <w:kern w:val="0"/>
                <w:szCs w:val="21"/>
              </w:rPr>
              <w:t>项目</w:t>
            </w:r>
            <w:r>
              <w:rPr>
                <w:kern w:val="0"/>
                <w:szCs w:val="21"/>
              </w:rPr>
              <w:t>投资</w:t>
            </w:r>
          </w:p>
        </w:tc>
        <w:tc>
          <w:tcPr>
            <w:tcW w:w="7031" w:type="dxa"/>
            <w:vAlign w:val="center"/>
          </w:tcPr>
          <w:p w14:paraId="0AF5A8DD">
            <w:pPr>
              <w:spacing w:line="300" w:lineRule="exact"/>
              <w:rPr>
                <w:kern w:val="0"/>
                <w:szCs w:val="21"/>
              </w:rPr>
            </w:pPr>
            <w:bookmarkStart w:id="76" w:name="OLE_LINK19"/>
            <w:r>
              <w:rPr>
                <w:kern w:val="0"/>
                <w:szCs w:val="21"/>
              </w:rPr>
              <w:t>5190.57</w:t>
            </w:r>
            <w:bookmarkEnd w:id="76"/>
            <w:r>
              <w:rPr>
                <w:rFonts w:hint="eastAsia"/>
                <w:kern w:val="0"/>
                <w:szCs w:val="21"/>
              </w:rPr>
              <w:t>万</w:t>
            </w:r>
            <w:r>
              <w:rPr>
                <w:kern w:val="0"/>
                <w:szCs w:val="21"/>
              </w:rPr>
              <w:t>元</w:t>
            </w:r>
          </w:p>
        </w:tc>
      </w:tr>
      <w:tr w14:paraId="362F7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gridSpan w:val="2"/>
            <w:vAlign w:val="center"/>
          </w:tcPr>
          <w:p w14:paraId="17F19D30">
            <w:pPr>
              <w:spacing w:line="300" w:lineRule="exact"/>
              <w:jc w:val="center"/>
              <w:rPr>
                <w:kern w:val="0"/>
                <w:szCs w:val="21"/>
              </w:rPr>
            </w:pPr>
            <w:r>
              <w:rPr>
                <w:rFonts w:hint="eastAsia"/>
                <w:kern w:val="0"/>
                <w:szCs w:val="21"/>
              </w:rPr>
              <w:t>行业</w:t>
            </w:r>
            <w:r>
              <w:rPr>
                <w:kern w:val="0"/>
                <w:szCs w:val="21"/>
              </w:rPr>
              <w:t>类别</w:t>
            </w:r>
          </w:p>
        </w:tc>
        <w:tc>
          <w:tcPr>
            <w:tcW w:w="7031" w:type="dxa"/>
            <w:vAlign w:val="center"/>
          </w:tcPr>
          <w:p w14:paraId="2B27F003">
            <w:pPr>
              <w:spacing w:line="300" w:lineRule="exact"/>
              <w:rPr>
                <w:kern w:val="0"/>
                <w:szCs w:val="21"/>
              </w:rPr>
            </w:pPr>
            <w:r>
              <w:rPr>
                <w:rFonts w:hint="eastAsia"/>
                <w:kern w:val="0"/>
                <w:szCs w:val="21"/>
              </w:rPr>
              <w:t>五十一、水利128——河湖整治（不含农村塘堰、水渠）</w:t>
            </w:r>
          </w:p>
        </w:tc>
      </w:tr>
      <w:tr w14:paraId="487E3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gridSpan w:val="2"/>
            <w:vAlign w:val="center"/>
          </w:tcPr>
          <w:p w14:paraId="561DB08A">
            <w:pPr>
              <w:spacing w:line="300" w:lineRule="exact"/>
              <w:jc w:val="center"/>
              <w:rPr>
                <w:kern w:val="0"/>
                <w:szCs w:val="21"/>
              </w:rPr>
            </w:pPr>
            <w:r>
              <w:rPr>
                <w:rFonts w:hint="eastAsia"/>
                <w:kern w:val="0"/>
                <w:szCs w:val="21"/>
              </w:rPr>
              <w:t>工程</w:t>
            </w:r>
            <w:r>
              <w:rPr>
                <w:kern w:val="0"/>
                <w:szCs w:val="21"/>
              </w:rPr>
              <w:t>工期</w:t>
            </w:r>
          </w:p>
        </w:tc>
        <w:tc>
          <w:tcPr>
            <w:tcW w:w="7031" w:type="dxa"/>
            <w:vAlign w:val="center"/>
          </w:tcPr>
          <w:p w14:paraId="4C0A76D9">
            <w:pPr>
              <w:spacing w:line="300" w:lineRule="exact"/>
              <w:rPr>
                <w:kern w:val="0"/>
                <w:szCs w:val="21"/>
              </w:rPr>
            </w:pPr>
            <w:r>
              <w:rPr>
                <w:rFonts w:hint="eastAsia"/>
                <w:kern w:val="0"/>
                <w:szCs w:val="21"/>
              </w:rPr>
              <w:t>计划20</w:t>
            </w:r>
            <w:r>
              <w:rPr>
                <w:kern w:val="0"/>
                <w:szCs w:val="21"/>
              </w:rPr>
              <w:t>25</w:t>
            </w:r>
            <w:r>
              <w:rPr>
                <w:rFonts w:hint="eastAsia"/>
                <w:kern w:val="0"/>
                <w:szCs w:val="21"/>
              </w:rPr>
              <w:t>年</w:t>
            </w:r>
            <w:r>
              <w:rPr>
                <w:kern w:val="0"/>
                <w:szCs w:val="21"/>
              </w:rPr>
              <w:t>6</w:t>
            </w:r>
            <w:r>
              <w:rPr>
                <w:rFonts w:hint="eastAsia"/>
                <w:kern w:val="0"/>
                <w:szCs w:val="21"/>
              </w:rPr>
              <w:t>月开始施工建设，截至20</w:t>
            </w:r>
            <w:r>
              <w:rPr>
                <w:kern w:val="0"/>
                <w:szCs w:val="21"/>
              </w:rPr>
              <w:t>26</w:t>
            </w:r>
            <w:r>
              <w:rPr>
                <w:rFonts w:hint="eastAsia"/>
                <w:kern w:val="0"/>
                <w:szCs w:val="21"/>
              </w:rPr>
              <w:t>年</w:t>
            </w:r>
            <w:r>
              <w:rPr>
                <w:kern w:val="0"/>
                <w:szCs w:val="21"/>
              </w:rPr>
              <w:t>11</w:t>
            </w:r>
            <w:r>
              <w:rPr>
                <w:rFonts w:hint="eastAsia"/>
                <w:kern w:val="0"/>
                <w:szCs w:val="21"/>
              </w:rPr>
              <w:t>月</w:t>
            </w:r>
            <w:r>
              <w:rPr>
                <w:kern w:val="0"/>
                <w:szCs w:val="21"/>
              </w:rPr>
              <w:t>建设完成</w:t>
            </w:r>
          </w:p>
        </w:tc>
      </w:tr>
      <w:tr w14:paraId="23349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gridSpan w:val="2"/>
            <w:vAlign w:val="center"/>
          </w:tcPr>
          <w:p w14:paraId="58864C40">
            <w:pPr>
              <w:spacing w:line="300" w:lineRule="exact"/>
              <w:jc w:val="center"/>
              <w:rPr>
                <w:kern w:val="0"/>
                <w:szCs w:val="21"/>
              </w:rPr>
            </w:pPr>
            <w:r>
              <w:rPr>
                <w:rFonts w:hint="eastAsia"/>
                <w:kern w:val="0"/>
                <w:szCs w:val="21"/>
              </w:rPr>
              <w:t>工程概况</w:t>
            </w:r>
          </w:p>
        </w:tc>
        <w:tc>
          <w:tcPr>
            <w:tcW w:w="7031" w:type="dxa"/>
            <w:vAlign w:val="center"/>
          </w:tcPr>
          <w:p w14:paraId="33281183">
            <w:pPr>
              <w:spacing w:line="300" w:lineRule="exact"/>
              <w:rPr>
                <w:kern w:val="0"/>
                <w:szCs w:val="21"/>
              </w:rPr>
            </w:pPr>
            <w:r>
              <w:rPr>
                <w:rFonts w:hint="eastAsia"/>
                <w:kern w:val="0"/>
                <w:szCs w:val="21"/>
              </w:rPr>
              <w:t>河道基底修复及微地形梳理；构建恢复生态缓冲带、水生态构建及水生植物恢复。</w:t>
            </w:r>
          </w:p>
        </w:tc>
      </w:tr>
      <w:tr w14:paraId="34578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14:paraId="3354367C">
            <w:pPr>
              <w:spacing w:line="300" w:lineRule="exact"/>
              <w:jc w:val="center"/>
              <w:rPr>
                <w:kern w:val="0"/>
                <w:szCs w:val="21"/>
              </w:rPr>
            </w:pPr>
            <w:r>
              <w:rPr>
                <w:rFonts w:hint="eastAsia"/>
                <w:kern w:val="0"/>
                <w:szCs w:val="21"/>
              </w:rPr>
              <w:t>主体</w:t>
            </w:r>
            <w:r>
              <w:rPr>
                <w:kern w:val="0"/>
                <w:szCs w:val="21"/>
              </w:rPr>
              <w:t>工程</w:t>
            </w:r>
          </w:p>
        </w:tc>
        <w:tc>
          <w:tcPr>
            <w:tcW w:w="845" w:type="dxa"/>
            <w:vAlign w:val="center"/>
          </w:tcPr>
          <w:p w14:paraId="40BAF103">
            <w:pPr>
              <w:spacing w:line="300" w:lineRule="exact"/>
              <w:jc w:val="center"/>
              <w:rPr>
                <w:kern w:val="0"/>
                <w:szCs w:val="21"/>
              </w:rPr>
            </w:pPr>
            <w:r>
              <w:rPr>
                <w:rFonts w:hint="eastAsia"/>
                <w:kern w:val="0"/>
                <w:szCs w:val="21"/>
              </w:rPr>
              <w:t>基底修复及微地形梳理</w:t>
            </w:r>
          </w:p>
        </w:tc>
        <w:tc>
          <w:tcPr>
            <w:tcW w:w="7031" w:type="dxa"/>
            <w:vAlign w:val="center"/>
          </w:tcPr>
          <w:p w14:paraId="58AE5DF6">
            <w:pPr>
              <w:spacing w:line="300" w:lineRule="exact"/>
              <w:rPr>
                <w:kern w:val="0"/>
                <w:szCs w:val="21"/>
              </w:rPr>
            </w:pPr>
            <w:r>
              <w:rPr>
                <w:rFonts w:hint="eastAsia"/>
                <w:kern w:val="0"/>
                <w:szCs w:val="21"/>
              </w:rPr>
              <w:t>①</w:t>
            </w:r>
            <w:r>
              <w:rPr>
                <w:kern w:val="0"/>
                <w:szCs w:val="21"/>
              </w:rPr>
              <w:t>治理潮河干流长度10.81km，基底修复及微地形梳理10.81km；</w:t>
            </w:r>
          </w:p>
        </w:tc>
      </w:tr>
      <w:tr w14:paraId="759ED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4B0B9080">
            <w:pPr>
              <w:spacing w:line="300" w:lineRule="exact"/>
              <w:jc w:val="center"/>
              <w:rPr>
                <w:kern w:val="0"/>
                <w:szCs w:val="21"/>
              </w:rPr>
            </w:pPr>
          </w:p>
        </w:tc>
        <w:tc>
          <w:tcPr>
            <w:tcW w:w="845" w:type="dxa"/>
            <w:vAlign w:val="center"/>
          </w:tcPr>
          <w:p w14:paraId="15B35366">
            <w:pPr>
              <w:spacing w:line="300" w:lineRule="exact"/>
              <w:jc w:val="center"/>
              <w:rPr>
                <w:kern w:val="0"/>
                <w:szCs w:val="21"/>
              </w:rPr>
            </w:pPr>
            <w:r>
              <w:rPr>
                <w:rFonts w:hint="eastAsia"/>
                <w:kern w:val="0"/>
                <w:szCs w:val="21"/>
              </w:rPr>
              <w:t>修复生态缓冲带</w:t>
            </w:r>
          </w:p>
        </w:tc>
        <w:tc>
          <w:tcPr>
            <w:tcW w:w="7031" w:type="dxa"/>
            <w:vAlign w:val="center"/>
          </w:tcPr>
          <w:p w14:paraId="1B931BD1">
            <w:pPr>
              <w:spacing w:line="300" w:lineRule="exact"/>
              <w:rPr>
                <w:kern w:val="0"/>
                <w:szCs w:val="21"/>
              </w:rPr>
            </w:pPr>
            <w:r>
              <w:rPr>
                <w:rFonts w:hint="eastAsia"/>
                <w:kern w:val="0"/>
                <w:szCs w:val="21"/>
              </w:rPr>
              <w:t>②</w:t>
            </w:r>
            <w:bookmarkStart w:id="77" w:name="_Hlk196396932"/>
            <w:r>
              <w:rPr>
                <w:kern w:val="0"/>
                <w:szCs w:val="21"/>
              </w:rPr>
              <w:t>构建</w:t>
            </w:r>
            <w:bookmarkStart w:id="78" w:name="OLE_LINK17"/>
            <w:r>
              <w:rPr>
                <w:kern w:val="0"/>
                <w:szCs w:val="21"/>
              </w:rPr>
              <w:t>修复生态缓冲带</w:t>
            </w:r>
            <w:bookmarkEnd w:id="78"/>
            <w:r>
              <w:rPr>
                <w:kern w:val="0"/>
                <w:szCs w:val="21"/>
              </w:rPr>
              <w:t>13.83km，陆域植被恢复16.31公顷、水生态构建及水生植物恢复16.49公顷</w:t>
            </w:r>
            <w:bookmarkEnd w:id="77"/>
            <w:r>
              <w:rPr>
                <w:kern w:val="0"/>
                <w:szCs w:val="21"/>
              </w:rPr>
              <w:t>。</w:t>
            </w:r>
          </w:p>
        </w:tc>
      </w:tr>
      <w:tr w14:paraId="7B93F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14:paraId="7FE5EFEF">
            <w:pPr>
              <w:spacing w:line="300" w:lineRule="exact"/>
              <w:jc w:val="center"/>
              <w:rPr>
                <w:kern w:val="0"/>
                <w:szCs w:val="21"/>
              </w:rPr>
            </w:pPr>
            <w:r>
              <w:rPr>
                <w:rFonts w:hint="eastAsia"/>
                <w:kern w:val="0"/>
                <w:szCs w:val="21"/>
              </w:rPr>
              <w:t>辅助</w:t>
            </w:r>
            <w:r>
              <w:rPr>
                <w:kern w:val="0"/>
                <w:szCs w:val="21"/>
              </w:rPr>
              <w:t>工程</w:t>
            </w:r>
          </w:p>
        </w:tc>
        <w:tc>
          <w:tcPr>
            <w:tcW w:w="845" w:type="dxa"/>
            <w:vAlign w:val="center"/>
          </w:tcPr>
          <w:p w14:paraId="3332AA79">
            <w:pPr>
              <w:spacing w:line="300" w:lineRule="exact"/>
              <w:jc w:val="center"/>
              <w:rPr>
                <w:kern w:val="0"/>
                <w:szCs w:val="21"/>
              </w:rPr>
            </w:pPr>
            <w:r>
              <w:rPr>
                <w:rFonts w:hint="eastAsia"/>
                <w:kern w:val="0"/>
                <w:szCs w:val="21"/>
              </w:rPr>
              <w:t>施工营地</w:t>
            </w:r>
          </w:p>
        </w:tc>
        <w:tc>
          <w:tcPr>
            <w:tcW w:w="7031" w:type="dxa"/>
            <w:vAlign w:val="center"/>
          </w:tcPr>
          <w:p w14:paraId="39C2A72B">
            <w:pPr>
              <w:spacing w:line="300" w:lineRule="exact"/>
              <w:rPr>
                <w:kern w:val="0"/>
                <w:szCs w:val="21"/>
              </w:rPr>
            </w:pPr>
            <w:r>
              <w:rPr>
                <w:rFonts w:hint="eastAsia"/>
                <w:kern w:val="0"/>
                <w:szCs w:val="21"/>
              </w:rPr>
              <w:t>项目中所需的格宾石笼等建筑材料可从附近购置；所需的苗木可从附近和周边</w:t>
            </w:r>
            <w:r>
              <w:rPr>
                <w:kern w:val="0"/>
                <w:szCs w:val="21"/>
              </w:rPr>
              <w:t>区域</w:t>
            </w:r>
            <w:r>
              <w:rPr>
                <w:rFonts w:hint="eastAsia"/>
                <w:kern w:val="0"/>
                <w:szCs w:val="21"/>
              </w:rPr>
              <w:t>园林公司采购；能够满足本工程的需求，</w:t>
            </w:r>
            <w:r>
              <w:rPr>
                <w:kern w:val="0"/>
                <w:szCs w:val="21"/>
              </w:rPr>
              <w:t>施工人员及机械均来自</w:t>
            </w:r>
            <w:r>
              <w:rPr>
                <w:rFonts w:hint="eastAsia"/>
                <w:kern w:val="0"/>
                <w:szCs w:val="21"/>
              </w:rPr>
              <w:t>项目</w:t>
            </w:r>
            <w:r>
              <w:rPr>
                <w:kern w:val="0"/>
                <w:szCs w:val="21"/>
              </w:rPr>
              <w:t>附近，除施工区域外，本工程不</w:t>
            </w:r>
            <w:r>
              <w:rPr>
                <w:rFonts w:hint="eastAsia"/>
                <w:kern w:val="0"/>
                <w:szCs w:val="21"/>
              </w:rPr>
              <w:t>再</w:t>
            </w:r>
            <w:r>
              <w:rPr>
                <w:kern w:val="0"/>
                <w:szCs w:val="21"/>
              </w:rPr>
              <w:t>单独</w:t>
            </w:r>
            <w:r>
              <w:rPr>
                <w:rFonts w:hint="eastAsia"/>
                <w:kern w:val="0"/>
                <w:szCs w:val="21"/>
              </w:rPr>
              <w:t>设置</w:t>
            </w:r>
            <w:r>
              <w:rPr>
                <w:kern w:val="0"/>
                <w:szCs w:val="21"/>
              </w:rPr>
              <w:t>施工营地</w:t>
            </w:r>
            <w:r>
              <w:rPr>
                <w:rFonts w:hint="eastAsia"/>
                <w:kern w:val="0"/>
                <w:szCs w:val="21"/>
              </w:rPr>
              <w:t>，也不设置料场。</w:t>
            </w:r>
          </w:p>
        </w:tc>
      </w:tr>
      <w:tr w14:paraId="161EB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769E2983">
            <w:pPr>
              <w:spacing w:line="300" w:lineRule="exact"/>
              <w:jc w:val="center"/>
              <w:rPr>
                <w:kern w:val="0"/>
                <w:szCs w:val="21"/>
              </w:rPr>
            </w:pPr>
          </w:p>
        </w:tc>
        <w:tc>
          <w:tcPr>
            <w:tcW w:w="845" w:type="dxa"/>
            <w:vAlign w:val="center"/>
          </w:tcPr>
          <w:p w14:paraId="2CAB6C45">
            <w:pPr>
              <w:spacing w:line="300" w:lineRule="exact"/>
              <w:jc w:val="center"/>
              <w:rPr>
                <w:kern w:val="0"/>
                <w:szCs w:val="21"/>
              </w:rPr>
            </w:pPr>
            <w:r>
              <w:rPr>
                <w:rFonts w:hint="eastAsia"/>
                <w:kern w:val="0"/>
                <w:szCs w:val="21"/>
              </w:rPr>
              <w:t>取土场</w:t>
            </w:r>
          </w:p>
        </w:tc>
        <w:tc>
          <w:tcPr>
            <w:tcW w:w="7031" w:type="dxa"/>
            <w:vAlign w:val="center"/>
          </w:tcPr>
          <w:p w14:paraId="47655946">
            <w:pPr>
              <w:spacing w:line="300" w:lineRule="exact"/>
              <w:rPr>
                <w:kern w:val="0"/>
                <w:szCs w:val="21"/>
              </w:rPr>
            </w:pPr>
            <w:r>
              <w:rPr>
                <w:rFonts w:hint="eastAsia"/>
                <w:kern w:val="0"/>
                <w:szCs w:val="21"/>
              </w:rPr>
              <w:t>本工程所用</w:t>
            </w:r>
            <w:r>
              <w:rPr>
                <w:kern w:val="0"/>
                <w:szCs w:val="21"/>
              </w:rPr>
              <w:t>土方均来自工程区域</w:t>
            </w:r>
            <w:r>
              <w:rPr>
                <w:rFonts w:hint="eastAsia"/>
                <w:kern w:val="0"/>
                <w:szCs w:val="21"/>
              </w:rPr>
              <w:t>基底修复及微地形梳理</w:t>
            </w:r>
            <w:r>
              <w:rPr>
                <w:kern w:val="0"/>
                <w:szCs w:val="21"/>
              </w:rPr>
              <w:t>工程。</w:t>
            </w:r>
            <w:r>
              <w:rPr>
                <w:rFonts w:hint="eastAsia"/>
                <w:kern w:val="0"/>
                <w:szCs w:val="21"/>
              </w:rPr>
              <w:t>本工程</w:t>
            </w:r>
            <w:r>
              <w:rPr>
                <w:kern w:val="0"/>
                <w:szCs w:val="21"/>
              </w:rPr>
              <w:t>不设取土场</w:t>
            </w:r>
            <w:r>
              <w:rPr>
                <w:rFonts w:hint="eastAsia"/>
                <w:kern w:val="0"/>
                <w:szCs w:val="21"/>
              </w:rPr>
              <w:t>。</w:t>
            </w:r>
          </w:p>
        </w:tc>
      </w:tr>
      <w:tr w14:paraId="02E76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4F3C9078">
            <w:pPr>
              <w:spacing w:line="300" w:lineRule="exact"/>
              <w:jc w:val="center"/>
              <w:rPr>
                <w:kern w:val="0"/>
                <w:szCs w:val="21"/>
              </w:rPr>
            </w:pPr>
          </w:p>
        </w:tc>
        <w:tc>
          <w:tcPr>
            <w:tcW w:w="845" w:type="dxa"/>
            <w:vAlign w:val="center"/>
          </w:tcPr>
          <w:p w14:paraId="617F3BFC">
            <w:pPr>
              <w:spacing w:line="300" w:lineRule="exact"/>
              <w:jc w:val="center"/>
              <w:rPr>
                <w:kern w:val="0"/>
                <w:szCs w:val="21"/>
              </w:rPr>
            </w:pPr>
            <w:r>
              <w:rPr>
                <w:kern w:val="0"/>
                <w:szCs w:val="21"/>
              </w:rPr>
              <w:t>弃土场</w:t>
            </w:r>
          </w:p>
        </w:tc>
        <w:tc>
          <w:tcPr>
            <w:tcW w:w="7031" w:type="dxa"/>
            <w:vAlign w:val="center"/>
          </w:tcPr>
          <w:p w14:paraId="692D1E11">
            <w:pPr>
              <w:spacing w:line="300" w:lineRule="exact"/>
              <w:rPr>
                <w:kern w:val="0"/>
                <w:szCs w:val="21"/>
              </w:rPr>
            </w:pPr>
            <w:r>
              <w:rPr>
                <w:rFonts w:hint="eastAsia"/>
                <w:kern w:val="0"/>
                <w:szCs w:val="21"/>
              </w:rPr>
              <w:t>本工程</w:t>
            </w:r>
            <w:r>
              <w:rPr>
                <w:kern w:val="0"/>
                <w:szCs w:val="21"/>
              </w:rPr>
              <w:t>开挖土方全部</w:t>
            </w:r>
            <w:r>
              <w:rPr>
                <w:rFonts w:hint="eastAsia"/>
                <w:kern w:val="0"/>
                <w:szCs w:val="21"/>
              </w:rPr>
              <w:t>就近</w:t>
            </w:r>
            <w:r>
              <w:rPr>
                <w:kern w:val="0"/>
                <w:szCs w:val="21"/>
              </w:rPr>
              <w:t>用于</w:t>
            </w:r>
            <w:bookmarkStart w:id="79" w:name="OLE_LINK15"/>
            <w:r>
              <w:rPr>
                <w:rFonts w:hint="eastAsia"/>
                <w:kern w:val="0"/>
                <w:szCs w:val="21"/>
              </w:rPr>
              <w:t>基底修复及微地形梳理</w:t>
            </w:r>
            <w:bookmarkEnd w:id="79"/>
            <w:r>
              <w:rPr>
                <w:rFonts w:hint="eastAsia"/>
                <w:kern w:val="0"/>
                <w:szCs w:val="21"/>
              </w:rPr>
              <w:t>工程</w:t>
            </w:r>
            <w:r>
              <w:rPr>
                <w:kern w:val="0"/>
                <w:szCs w:val="21"/>
              </w:rPr>
              <w:t>。</w:t>
            </w:r>
            <w:r>
              <w:rPr>
                <w:rFonts w:hint="eastAsia"/>
                <w:kern w:val="0"/>
                <w:szCs w:val="21"/>
              </w:rPr>
              <w:t>挖方</w:t>
            </w:r>
            <w:r>
              <w:rPr>
                <w:kern w:val="0"/>
                <w:szCs w:val="21"/>
              </w:rPr>
              <w:t>工程和填方工程同时进行</w:t>
            </w:r>
            <w:r>
              <w:rPr>
                <w:rFonts w:hint="eastAsia"/>
                <w:kern w:val="0"/>
                <w:szCs w:val="21"/>
              </w:rPr>
              <w:t>。</w:t>
            </w:r>
            <w:r>
              <w:rPr>
                <w:kern w:val="0"/>
                <w:szCs w:val="21"/>
              </w:rPr>
              <w:t>本工程</w:t>
            </w:r>
            <w:r>
              <w:rPr>
                <w:rFonts w:hint="eastAsia"/>
                <w:kern w:val="0"/>
                <w:szCs w:val="21"/>
              </w:rPr>
              <w:t>不设</w:t>
            </w:r>
            <w:r>
              <w:rPr>
                <w:kern w:val="0"/>
                <w:szCs w:val="21"/>
              </w:rPr>
              <w:t>弃土场也不设土方临时堆场。</w:t>
            </w:r>
          </w:p>
        </w:tc>
      </w:tr>
      <w:tr w14:paraId="429B2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0B2D464A">
            <w:pPr>
              <w:spacing w:line="300" w:lineRule="exact"/>
              <w:jc w:val="center"/>
              <w:rPr>
                <w:kern w:val="0"/>
                <w:szCs w:val="21"/>
              </w:rPr>
            </w:pPr>
          </w:p>
        </w:tc>
        <w:tc>
          <w:tcPr>
            <w:tcW w:w="845" w:type="dxa"/>
            <w:vAlign w:val="center"/>
          </w:tcPr>
          <w:p w14:paraId="62EE4804">
            <w:pPr>
              <w:spacing w:line="300" w:lineRule="exact"/>
              <w:jc w:val="center"/>
              <w:rPr>
                <w:kern w:val="0"/>
                <w:szCs w:val="21"/>
              </w:rPr>
            </w:pPr>
            <w:r>
              <w:rPr>
                <w:rFonts w:hint="eastAsia"/>
                <w:kern w:val="0"/>
                <w:szCs w:val="21"/>
              </w:rPr>
              <w:t>临时</w:t>
            </w:r>
            <w:r>
              <w:rPr>
                <w:kern w:val="0"/>
                <w:szCs w:val="21"/>
              </w:rPr>
              <w:t>道路</w:t>
            </w:r>
          </w:p>
        </w:tc>
        <w:tc>
          <w:tcPr>
            <w:tcW w:w="7031" w:type="dxa"/>
            <w:vAlign w:val="center"/>
          </w:tcPr>
          <w:p w14:paraId="6A4DB810">
            <w:pPr>
              <w:spacing w:line="300" w:lineRule="exact"/>
              <w:rPr>
                <w:kern w:val="0"/>
                <w:szCs w:val="21"/>
              </w:rPr>
            </w:pPr>
            <w:r>
              <w:rPr>
                <w:rFonts w:hint="eastAsia"/>
                <w:kern w:val="0"/>
                <w:szCs w:val="21"/>
              </w:rPr>
              <w:t>各</w:t>
            </w:r>
            <w:r>
              <w:rPr>
                <w:kern w:val="0"/>
                <w:szCs w:val="21"/>
              </w:rPr>
              <w:t>施工区域均有现有道路</w:t>
            </w:r>
            <w:r>
              <w:rPr>
                <w:rFonts w:hint="eastAsia"/>
                <w:kern w:val="0"/>
                <w:szCs w:val="21"/>
              </w:rPr>
              <w:t>连通，</w:t>
            </w:r>
            <w:r>
              <w:rPr>
                <w:kern w:val="0"/>
                <w:szCs w:val="21"/>
              </w:rPr>
              <w:t>本</w:t>
            </w:r>
            <w:r>
              <w:rPr>
                <w:rFonts w:hint="eastAsia"/>
                <w:kern w:val="0"/>
                <w:szCs w:val="21"/>
              </w:rPr>
              <w:t>工程无</w:t>
            </w:r>
            <w:r>
              <w:rPr>
                <w:kern w:val="0"/>
                <w:szCs w:val="21"/>
              </w:rPr>
              <w:t>新增临时道路。</w:t>
            </w:r>
          </w:p>
        </w:tc>
      </w:tr>
      <w:tr w14:paraId="5F80A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14:paraId="4FA55CE3">
            <w:pPr>
              <w:spacing w:line="300" w:lineRule="exact"/>
              <w:jc w:val="center"/>
              <w:rPr>
                <w:kern w:val="0"/>
                <w:szCs w:val="21"/>
              </w:rPr>
            </w:pPr>
            <w:r>
              <w:rPr>
                <w:rFonts w:hint="eastAsia"/>
                <w:kern w:val="0"/>
                <w:szCs w:val="21"/>
              </w:rPr>
              <w:t>公用</w:t>
            </w:r>
            <w:r>
              <w:rPr>
                <w:kern w:val="0"/>
                <w:szCs w:val="21"/>
              </w:rPr>
              <w:t>工程</w:t>
            </w:r>
          </w:p>
        </w:tc>
        <w:tc>
          <w:tcPr>
            <w:tcW w:w="845" w:type="dxa"/>
            <w:vAlign w:val="center"/>
          </w:tcPr>
          <w:p w14:paraId="15E94A28">
            <w:pPr>
              <w:spacing w:line="300" w:lineRule="exact"/>
              <w:jc w:val="center"/>
              <w:rPr>
                <w:kern w:val="0"/>
                <w:szCs w:val="21"/>
              </w:rPr>
            </w:pPr>
            <w:r>
              <w:rPr>
                <w:rFonts w:hint="eastAsia"/>
                <w:kern w:val="0"/>
                <w:szCs w:val="21"/>
              </w:rPr>
              <w:t>供水</w:t>
            </w:r>
          </w:p>
        </w:tc>
        <w:tc>
          <w:tcPr>
            <w:tcW w:w="7031" w:type="dxa"/>
            <w:vAlign w:val="center"/>
          </w:tcPr>
          <w:p w14:paraId="31CEA445">
            <w:pPr>
              <w:spacing w:line="300" w:lineRule="exact"/>
              <w:rPr>
                <w:kern w:val="0"/>
                <w:szCs w:val="21"/>
              </w:rPr>
            </w:pPr>
            <w:r>
              <w:rPr>
                <w:rFonts w:hint="eastAsia"/>
                <w:kern w:val="0"/>
                <w:szCs w:val="21"/>
              </w:rPr>
              <w:t>依托</w:t>
            </w:r>
            <w:r>
              <w:rPr>
                <w:kern w:val="0"/>
                <w:szCs w:val="21"/>
              </w:rPr>
              <w:t>区域附近企事业单位、村庄现有水源。</w:t>
            </w:r>
          </w:p>
        </w:tc>
      </w:tr>
      <w:tr w14:paraId="6835E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518057D2">
            <w:pPr>
              <w:spacing w:line="300" w:lineRule="exact"/>
              <w:jc w:val="center"/>
              <w:rPr>
                <w:kern w:val="0"/>
                <w:szCs w:val="21"/>
              </w:rPr>
            </w:pPr>
          </w:p>
        </w:tc>
        <w:tc>
          <w:tcPr>
            <w:tcW w:w="845" w:type="dxa"/>
            <w:vAlign w:val="center"/>
          </w:tcPr>
          <w:p w14:paraId="43B5EE2D">
            <w:pPr>
              <w:spacing w:line="300" w:lineRule="exact"/>
              <w:jc w:val="center"/>
              <w:rPr>
                <w:kern w:val="0"/>
                <w:szCs w:val="21"/>
              </w:rPr>
            </w:pPr>
            <w:r>
              <w:rPr>
                <w:rFonts w:hint="eastAsia"/>
                <w:kern w:val="0"/>
                <w:szCs w:val="21"/>
              </w:rPr>
              <w:t>排水</w:t>
            </w:r>
          </w:p>
        </w:tc>
        <w:tc>
          <w:tcPr>
            <w:tcW w:w="7031" w:type="dxa"/>
            <w:vAlign w:val="center"/>
          </w:tcPr>
          <w:p w14:paraId="357F1ADA">
            <w:pPr>
              <w:spacing w:line="300" w:lineRule="exact"/>
              <w:rPr>
                <w:kern w:val="0"/>
                <w:szCs w:val="21"/>
              </w:rPr>
            </w:pPr>
            <w:r>
              <w:rPr>
                <w:kern w:val="0"/>
                <w:szCs w:val="21"/>
              </w:rPr>
              <w:t>设2</w:t>
            </w:r>
            <w:r>
              <w:rPr>
                <w:rFonts w:hint="eastAsia"/>
                <w:kern w:val="0"/>
                <w:szCs w:val="21"/>
              </w:rPr>
              <w:t>座流动式厕所</w:t>
            </w:r>
            <w:r>
              <w:rPr>
                <w:kern w:val="0"/>
                <w:szCs w:val="21"/>
              </w:rPr>
              <w:t>，</w:t>
            </w:r>
            <w:r>
              <w:rPr>
                <w:rFonts w:hint="eastAsia"/>
                <w:kern w:val="0"/>
                <w:szCs w:val="21"/>
              </w:rPr>
              <w:t>粪便</w:t>
            </w:r>
            <w:r>
              <w:rPr>
                <w:kern w:val="0"/>
                <w:szCs w:val="21"/>
              </w:rPr>
              <w:t>经流动式厕所收集后</w:t>
            </w:r>
            <w:r>
              <w:rPr>
                <w:rFonts w:hint="eastAsia"/>
                <w:kern w:val="0"/>
                <w:szCs w:val="21"/>
              </w:rPr>
              <w:t>用作</w:t>
            </w:r>
            <w:r>
              <w:rPr>
                <w:kern w:val="0"/>
                <w:szCs w:val="21"/>
              </w:rPr>
              <w:t>农肥</w:t>
            </w:r>
            <w:r>
              <w:rPr>
                <w:rFonts w:hint="eastAsia"/>
                <w:kern w:val="0"/>
                <w:szCs w:val="21"/>
              </w:rPr>
              <w:t>，</w:t>
            </w:r>
            <w:r>
              <w:rPr>
                <w:kern w:val="0"/>
                <w:szCs w:val="21"/>
              </w:rPr>
              <w:t>生活污水不外排</w:t>
            </w:r>
            <w:r>
              <w:rPr>
                <w:rFonts w:hint="eastAsia"/>
                <w:kern w:val="0"/>
                <w:szCs w:val="21"/>
              </w:rPr>
              <w:t>。</w:t>
            </w:r>
          </w:p>
        </w:tc>
      </w:tr>
      <w:tr w14:paraId="6A925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22D883E3">
            <w:pPr>
              <w:spacing w:line="300" w:lineRule="exact"/>
              <w:jc w:val="center"/>
              <w:rPr>
                <w:kern w:val="0"/>
                <w:szCs w:val="21"/>
              </w:rPr>
            </w:pPr>
          </w:p>
        </w:tc>
        <w:tc>
          <w:tcPr>
            <w:tcW w:w="845" w:type="dxa"/>
            <w:vAlign w:val="center"/>
          </w:tcPr>
          <w:p w14:paraId="674853CF">
            <w:pPr>
              <w:spacing w:line="300" w:lineRule="exact"/>
              <w:jc w:val="center"/>
              <w:rPr>
                <w:kern w:val="0"/>
                <w:szCs w:val="21"/>
              </w:rPr>
            </w:pPr>
            <w:r>
              <w:rPr>
                <w:rFonts w:hint="eastAsia"/>
                <w:kern w:val="0"/>
                <w:szCs w:val="21"/>
              </w:rPr>
              <w:t>供电</w:t>
            </w:r>
          </w:p>
        </w:tc>
        <w:tc>
          <w:tcPr>
            <w:tcW w:w="7031" w:type="dxa"/>
            <w:vAlign w:val="center"/>
          </w:tcPr>
          <w:p w14:paraId="5CC41CD1">
            <w:pPr>
              <w:spacing w:line="300" w:lineRule="exact"/>
              <w:rPr>
                <w:kern w:val="0"/>
                <w:szCs w:val="21"/>
              </w:rPr>
            </w:pPr>
            <w:r>
              <w:rPr>
                <w:rFonts w:hint="eastAsia"/>
                <w:kern w:val="0"/>
                <w:szCs w:val="21"/>
              </w:rPr>
              <w:t>依托</w:t>
            </w:r>
            <w:r>
              <w:rPr>
                <w:kern w:val="0"/>
                <w:szCs w:val="21"/>
              </w:rPr>
              <w:t>区域附近电网。</w:t>
            </w:r>
          </w:p>
        </w:tc>
      </w:tr>
      <w:tr w14:paraId="32DCE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gridSpan w:val="2"/>
            <w:vAlign w:val="center"/>
          </w:tcPr>
          <w:p w14:paraId="49F78203">
            <w:pPr>
              <w:spacing w:line="310" w:lineRule="exact"/>
              <w:jc w:val="center"/>
              <w:rPr>
                <w:kern w:val="0"/>
                <w:szCs w:val="21"/>
              </w:rPr>
            </w:pPr>
            <w:r>
              <w:rPr>
                <w:rFonts w:hint="eastAsia"/>
                <w:kern w:val="0"/>
                <w:szCs w:val="21"/>
              </w:rPr>
              <w:t>环保</w:t>
            </w:r>
            <w:r>
              <w:rPr>
                <w:kern w:val="0"/>
                <w:szCs w:val="21"/>
              </w:rPr>
              <w:t>工程</w:t>
            </w:r>
          </w:p>
        </w:tc>
        <w:tc>
          <w:tcPr>
            <w:tcW w:w="7031" w:type="dxa"/>
            <w:vAlign w:val="center"/>
          </w:tcPr>
          <w:p w14:paraId="374391A5">
            <w:pPr>
              <w:spacing w:line="310" w:lineRule="exact"/>
              <w:rPr>
                <w:kern w:val="0"/>
                <w:szCs w:val="21"/>
              </w:rPr>
            </w:pPr>
            <w:r>
              <w:rPr>
                <w:rFonts w:hint="eastAsia"/>
                <w:kern w:val="0"/>
                <w:szCs w:val="21"/>
              </w:rPr>
              <w:t>①废气治理措施：利用洒水车定期对施工区域洒水抑尘；控制车速，对运输车辆采取封闭措施，运输道路在施工路段采取洒水措施。</w:t>
            </w:r>
          </w:p>
          <w:p w14:paraId="363737A4">
            <w:pPr>
              <w:spacing w:line="310" w:lineRule="exact"/>
              <w:rPr>
                <w:kern w:val="0"/>
                <w:szCs w:val="21"/>
              </w:rPr>
            </w:pPr>
            <w:r>
              <w:rPr>
                <w:rFonts w:hint="eastAsia"/>
                <w:kern w:val="0"/>
                <w:szCs w:val="21"/>
              </w:rPr>
              <w:t>②废水治理措施：设</w:t>
            </w:r>
            <w:r>
              <w:rPr>
                <w:kern w:val="0"/>
                <w:szCs w:val="21"/>
              </w:rPr>
              <w:t>2</w:t>
            </w:r>
            <w:r>
              <w:rPr>
                <w:rFonts w:hint="eastAsia"/>
                <w:kern w:val="0"/>
                <w:szCs w:val="21"/>
              </w:rPr>
              <w:t>座流动式厕所</w:t>
            </w:r>
            <w:r>
              <w:rPr>
                <w:kern w:val="0"/>
                <w:szCs w:val="21"/>
              </w:rPr>
              <w:t>，</w:t>
            </w:r>
            <w:r>
              <w:rPr>
                <w:rFonts w:hint="eastAsia"/>
                <w:kern w:val="0"/>
                <w:szCs w:val="21"/>
              </w:rPr>
              <w:t>粪便</w:t>
            </w:r>
            <w:r>
              <w:rPr>
                <w:kern w:val="0"/>
                <w:szCs w:val="21"/>
              </w:rPr>
              <w:t>经流动式厕所收集后</w:t>
            </w:r>
            <w:r>
              <w:rPr>
                <w:rFonts w:hint="eastAsia"/>
                <w:kern w:val="0"/>
                <w:szCs w:val="21"/>
              </w:rPr>
              <w:t>用作</w:t>
            </w:r>
            <w:r>
              <w:rPr>
                <w:kern w:val="0"/>
                <w:szCs w:val="21"/>
              </w:rPr>
              <w:t>农肥</w:t>
            </w:r>
            <w:r>
              <w:rPr>
                <w:rFonts w:hint="eastAsia"/>
                <w:kern w:val="0"/>
                <w:szCs w:val="21"/>
              </w:rPr>
              <w:t>，</w:t>
            </w:r>
            <w:r>
              <w:rPr>
                <w:kern w:val="0"/>
                <w:szCs w:val="21"/>
              </w:rPr>
              <w:t>生活污水不外排</w:t>
            </w:r>
            <w:r>
              <w:rPr>
                <w:rFonts w:hint="eastAsia"/>
                <w:kern w:val="0"/>
                <w:szCs w:val="21"/>
              </w:rPr>
              <w:t>。</w:t>
            </w:r>
          </w:p>
          <w:p w14:paraId="7F5E5A1A">
            <w:pPr>
              <w:spacing w:line="310" w:lineRule="exact"/>
              <w:rPr>
                <w:kern w:val="0"/>
                <w:szCs w:val="21"/>
              </w:rPr>
            </w:pPr>
            <w:r>
              <w:rPr>
                <w:rFonts w:hint="eastAsia"/>
                <w:kern w:val="0"/>
                <w:szCs w:val="21"/>
              </w:rPr>
              <w:t>③噪声治理措施：施工期尽量选用低噪声设备和工艺，合理安排施工时间；运输车辆禁止鸣笛，减速行驶。</w:t>
            </w:r>
            <w:r>
              <w:rPr>
                <w:kern w:val="0"/>
                <w:szCs w:val="21"/>
              </w:rPr>
              <w:t>运营期</w:t>
            </w:r>
            <w:r>
              <w:rPr>
                <w:rFonts w:hint="eastAsia"/>
                <w:kern w:val="0"/>
                <w:szCs w:val="21"/>
              </w:rPr>
              <w:t>发电机</w:t>
            </w:r>
            <w:r>
              <w:rPr>
                <w:kern w:val="0"/>
                <w:szCs w:val="21"/>
              </w:rPr>
              <w:t>采用基础减震</w:t>
            </w:r>
            <w:r>
              <w:rPr>
                <w:rFonts w:hint="eastAsia"/>
                <w:kern w:val="0"/>
                <w:szCs w:val="21"/>
              </w:rPr>
              <w:t>、临时隔声罩</w:t>
            </w:r>
            <w:r>
              <w:rPr>
                <w:kern w:val="0"/>
                <w:szCs w:val="21"/>
              </w:rPr>
              <w:t>。</w:t>
            </w:r>
          </w:p>
          <w:p w14:paraId="61B39B3E">
            <w:pPr>
              <w:spacing w:line="310" w:lineRule="exact"/>
              <w:rPr>
                <w:kern w:val="0"/>
                <w:szCs w:val="21"/>
              </w:rPr>
            </w:pPr>
            <w:r>
              <w:rPr>
                <w:rFonts w:hint="eastAsia"/>
                <w:kern w:val="0"/>
                <w:szCs w:val="21"/>
              </w:rPr>
              <w:t>④固体废物处置措施：本工程开挖土方全部就近用于基底修复及微地形梳理。挖方工程和填方工程同时进行。本工程不设弃土场也不设土方临时堆场。</w:t>
            </w:r>
          </w:p>
          <w:p w14:paraId="425786D8">
            <w:pPr>
              <w:spacing w:line="310" w:lineRule="exact"/>
              <w:rPr>
                <w:kern w:val="0"/>
                <w:szCs w:val="21"/>
              </w:rPr>
            </w:pPr>
            <w:r>
              <w:rPr>
                <w:rFonts w:hint="eastAsia"/>
                <w:kern w:val="0"/>
                <w:szCs w:val="21"/>
              </w:rPr>
              <w:t>⑤生态恢复措施：本工程整体即为</w:t>
            </w:r>
            <w:r>
              <w:rPr>
                <w:kern w:val="0"/>
                <w:szCs w:val="21"/>
              </w:rPr>
              <w:t>生态保护修复工程</w:t>
            </w:r>
            <w:r>
              <w:rPr>
                <w:rFonts w:hint="eastAsia"/>
                <w:kern w:val="0"/>
                <w:szCs w:val="21"/>
              </w:rPr>
              <w:t>，</w:t>
            </w:r>
            <w:r>
              <w:rPr>
                <w:kern w:val="0"/>
                <w:szCs w:val="21"/>
              </w:rPr>
              <w:t>包括</w:t>
            </w:r>
            <w:r>
              <w:rPr>
                <w:rFonts w:hint="eastAsia"/>
                <w:kern w:val="0"/>
                <w:szCs w:val="21"/>
              </w:rPr>
              <w:t>基底修复及微地形梳理、修复生态缓冲带</w:t>
            </w:r>
            <w:r>
              <w:rPr>
                <w:kern w:val="0"/>
                <w:szCs w:val="21"/>
              </w:rPr>
              <w:t>等措施。</w:t>
            </w:r>
          </w:p>
        </w:tc>
      </w:tr>
    </w:tbl>
    <w:p w14:paraId="1CA31074">
      <w:pPr>
        <w:pStyle w:val="4"/>
        <w:rPr>
          <w:kern w:val="0"/>
        </w:rPr>
      </w:pPr>
      <w:r>
        <w:rPr>
          <w:rFonts w:hint="eastAsia"/>
          <w:kern w:val="0"/>
        </w:rPr>
        <w:t>主要</w:t>
      </w:r>
      <w:r>
        <w:rPr>
          <w:kern w:val="0"/>
        </w:rPr>
        <w:t>工程内容</w:t>
      </w:r>
    </w:p>
    <w:p w14:paraId="6C9BC369">
      <w:pPr>
        <w:pStyle w:val="5"/>
        <w:rPr>
          <w:kern w:val="0"/>
        </w:rPr>
      </w:pPr>
      <w:r>
        <w:rPr>
          <w:rFonts w:hint="eastAsia"/>
          <w:kern w:val="0"/>
        </w:rPr>
        <w:t>小辽东段工程内容</w:t>
      </w:r>
    </w:p>
    <w:p w14:paraId="2470E4C8">
      <w:pPr>
        <w:pStyle w:val="85"/>
        <w:ind w:firstLine="480"/>
        <w:rPr>
          <w:kern w:val="0"/>
        </w:rPr>
      </w:pPr>
      <w:r>
        <w:rPr>
          <w:rFonts w:hint="eastAsia"/>
          <w:kern w:val="0"/>
        </w:rPr>
        <w:t>①基底修复</w:t>
      </w:r>
    </w:p>
    <w:p w14:paraId="31F6B84B">
      <w:pPr>
        <w:pStyle w:val="85"/>
        <w:ind w:firstLine="480"/>
        <w:rPr>
          <w:kern w:val="0"/>
        </w:rPr>
      </w:pPr>
      <w:r>
        <w:rPr>
          <w:rFonts w:hint="eastAsia"/>
          <w:kern w:val="0"/>
        </w:rPr>
        <w:t>对陆域缓冲区和水位变幅区河床基底进行整理，通过现场调查，选择适合的机械设备在现有河床基底在总体坡度控制条件下，对水位变幅区基底进行微地形整理或土壤换填调整土质，满足水生植被生长；对陆域缓冲区梳理河道岸坡，采取利用为主、改造为辅原则，较陡的坡岸进行削平处理，削低高地，平整岸坡，去直取弯，充分利用原土进行坡度构建，营造植被健康生长环境，阻隔农业面源入河，提升河道拦截农业面源污染的能力，恢复河道水生植被生长，为生物创造栖息、繁殖空间，实现水陆生态再联系。</w:t>
      </w:r>
    </w:p>
    <w:p w14:paraId="20D6D4EF">
      <w:pPr>
        <w:pStyle w:val="85"/>
        <w:ind w:firstLine="480"/>
        <w:rPr>
          <w:kern w:val="0"/>
        </w:rPr>
      </w:pPr>
      <w:r>
        <w:rPr>
          <w:rFonts w:hint="eastAsia"/>
          <w:kern w:val="0"/>
        </w:rPr>
        <w:t>②植被群落构建</w:t>
      </w:r>
    </w:p>
    <w:p w14:paraId="1C5E4B3B">
      <w:pPr>
        <w:pStyle w:val="85"/>
        <w:ind w:firstLine="480"/>
        <w:rPr>
          <w:kern w:val="0"/>
        </w:rPr>
      </w:pPr>
      <w:r>
        <w:rPr>
          <w:rFonts w:hint="eastAsia"/>
          <w:kern w:val="0"/>
        </w:rPr>
        <w:t>采用灌木+草本配置方式，构建富有层次感的植被群落，使河道生态系统和谐美观的同时，提升生态系统生态服务能力，增强生态系统水质净化、减少面源污染、维护生物多样性等功能。设计种植高羊茅、连翘和蒿柳等 陆域植被，稳固河岸、提高岸坡固持土壤能力、吸纳径流污染物，恢复湿 地挺水、沉水植被，消减污染物、净化水体，促进生物群落修复，增加生物多样性。</w:t>
      </w:r>
    </w:p>
    <w:p w14:paraId="63FA6AF4">
      <w:pPr>
        <w:pStyle w:val="85"/>
        <w:ind w:firstLine="480"/>
        <w:rPr>
          <w:kern w:val="0"/>
        </w:rPr>
      </w:pPr>
      <w:r>
        <w:rPr>
          <w:rFonts w:hint="eastAsia"/>
          <w:kern w:val="0"/>
        </w:rPr>
        <w:t>主要工程量见下表：</w:t>
      </w:r>
    </w:p>
    <w:p w14:paraId="2976051A">
      <w:pPr>
        <w:pStyle w:val="85"/>
        <w:ind w:firstLine="480"/>
        <w:rPr>
          <w:kern w:val="0"/>
        </w:rPr>
      </w:pPr>
    </w:p>
    <w:p w14:paraId="18E5ED62">
      <w:pPr>
        <w:pStyle w:val="85"/>
        <w:ind w:firstLine="448"/>
        <w:jc w:val="center"/>
        <w:rPr>
          <w:kern w:val="0"/>
        </w:rPr>
      </w:pPr>
      <w:r>
        <w:rPr>
          <w:rFonts w:hint="eastAsia" w:eastAsia="黑体"/>
          <w:bCs/>
          <w:spacing w:val="-8"/>
          <w:kern w:val="0"/>
        </w:rPr>
        <w:t>表</w:t>
      </w:r>
      <w:r>
        <w:rPr>
          <w:rFonts w:eastAsia="黑体"/>
          <w:bCs/>
          <w:spacing w:val="-8"/>
          <w:kern w:val="0"/>
        </w:rPr>
        <w:fldChar w:fldCharType="begin"/>
      </w:r>
      <w:r>
        <w:rPr>
          <w:rFonts w:eastAsia="黑体"/>
          <w:bCs/>
          <w:spacing w:val="-8"/>
          <w:kern w:val="0"/>
        </w:rPr>
        <w:instrText xml:space="preserve"> </w:instrText>
      </w:r>
      <w:r>
        <w:rPr>
          <w:rFonts w:hint="eastAsia" w:eastAsia="黑体"/>
          <w:bCs/>
          <w:spacing w:val="-8"/>
          <w:kern w:val="0"/>
        </w:rPr>
        <w:instrText xml:space="preserve">STYLEREF 1 \s</w:instrText>
      </w:r>
      <w:r>
        <w:rPr>
          <w:rFonts w:eastAsia="黑体"/>
          <w:bCs/>
          <w:spacing w:val="-8"/>
          <w:kern w:val="0"/>
        </w:rPr>
        <w:instrText xml:space="preserve"> </w:instrText>
      </w:r>
      <w:r>
        <w:rPr>
          <w:rFonts w:eastAsia="黑体"/>
          <w:bCs/>
          <w:spacing w:val="-8"/>
          <w:kern w:val="0"/>
        </w:rPr>
        <w:fldChar w:fldCharType="separate"/>
      </w:r>
      <w:r>
        <w:rPr>
          <w:rFonts w:eastAsia="黑体"/>
          <w:bCs/>
          <w:spacing w:val="-8"/>
          <w:kern w:val="0"/>
        </w:rPr>
        <w:t>2</w:t>
      </w:r>
      <w:r>
        <w:rPr>
          <w:rFonts w:eastAsia="黑体"/>
          <w:bCs/>
          <w:spacing w:val="-8"/>
          <w:kern w:val="0"/>
        </w:rPr>
        <w:fldChar w:fldCharType="end"/>
      </w:r>
      <w:r>
        <w:rPr>
          <w:rFonts w:eastAsia="黑体"/>
          <w:bCs/>
          <w:spacing w:val="-8"/>
          <w:kern w:val="0"/>
        </w:rPr>
        <w:noBreakHyphen/>
      </w:r>
      <w:r>
        <w:rPr>
          <w:rFonts w:eastAsia="黑体"/>
          <w:bCs/>
          <w:spacing w:val="-8"/>
          <w:kern w:val="0"/>
        </w:rPr>
        <w:fldChar w:fldCharType="begin"/>
      </w:r>
      <w:r>
        <w:rPr>
          <w:rFonts w:eastAsia="黑体"/>
          <w:bCs/>
          <w:spacing w:val="-8"/>
          <w:kern w:val="0"/>
        </w:rPr>
        <w:instrText xml:space="preserve"> </w:instrText>
      </w:r>
      <w:r>
        <w:rPr>
          <w:rFonts w:hint="eastAsia" w:eastAsia="黑体"/>
          <w:bCs/>
          <w:spacing w:val="-8"/>
          <w:kern w:val="0"/>
        </w:rPr>
        <w:instrText xml:space="preserve">SEQ 表 \* ARABIC \s 1</w:instrText>
      </w:r>
      <w:r>
        <w:rPr>
          <w:rFonts w:eastAsia="黑体"/>
          <w:bCs/>
          <w:spacing w:val="-8"/>
          <w:kern w:val="0"/>
        </w:rPr>
        <w:instrText xml:space="preserve"> </w:instrText>
      </w:r>
      <w:r>
        <w:rPr>
          <w:rFonts w:eastAsia="黑体"/>
          <w:bCs/>
          <w:spacing w:val="-8"/>
          <w:kern w:val="0"/>
        </w:rPr>
        <w:fldChar w:fldCharType="separate"/>
      </w:r>
      <w:r>
        <w:rPr>
          <w:rFonts w:eastAsia="黑体"/>
          <w:bCs/>
          <w:spacing w:val="-8"/>
          <w:kern w:val="0"/>
        </w:rPr>
        <w:t>2</w:t>
      </w:r>
      <w:r>
        <w:rPr>
          <w:rFonts w:eastAsia="黑体"/>
          <w:bCs/>
          <w:spacing w:val="-8"/>
          <w:kern w:val="0"/>
        </w:rPr>
        <w:fldChar w:fldCharType="end"/>
      </w:r>
      <w:r>
        <w:rPr>
          <w:rFonts w:eastAsia="黑体"/>
          <w:bCs/>
          <w:spacing w:val="-8"/>
          <w:kern w:val="0"/>
        </w:rPr>
        <w:t xml:space="preserve">  </w:t>
      </w:r>
      <w:r>
        <w:rPr>
          <w:rFonts w:hint="eastAsia" w:eastAsia="黑体"/>
          <w:bCs/>
          <w:spacing w:val="-8"/>
          <w:kern w:val="0"/>
        </w:rPr>
        <w:t>小辽东段主要工程量表</w:t>
      </w:r>
    </w:p>
    <w:tbl>
      <w:tblPr>
        <w:tblStyle w:val="265"/>
        <w:tblW w:w="5000" w:type="pct"/>
        <w:jc w:val="center"/>
        <w:tblLayout w:type="autofit"/>
        <w:tblCellMar>
          <w:top w:w="0" w:type="dxa"/>
          <w:left w:w="0" w:type="dxa"/>
          <w:bottom w:w="0" w:type="dxa"/>
          <w:right w:w="0" w:type="dxa"/>
        </w:tblCellMar>
      </w:tblPr>
      <w:tblGrid>
        <w:gridCol w:w="747"/>
        <w:gridCol w:w="2165"/>
        <w:gridCol w:w="3317"/>
        <w:gridCol w:w="1047"/>
        <w:gridCol w:w="1046"/>
      </w:tblGrid>
      <w:tr w14:paraId="0F4B121D">
        <w:tblPrEx>
          <w:tblCellMar>
            <w:top w:w="0" w:type="dxa"/>
            <w:left w:w="0" w:type="dxa"/>
            <w:bottom w:w="0" w:type="dxa"/>
            <w:right w:w="0" w:type="dxa"/>
          </w:tblCellMar>
        </w:tblPrEx>
        <w:trPr>
          <w:jc w:val="center"/>
        </w:trPr>
        <w:tc>
          <w:tcPr>
            <w:tcW w:w="449" w:type="pct"/>
            <w:tcBorders>
              <w:top w:val="single" w:color="000000" w:sz="4" w:space="0"/>
              <w:left w:val="single" w:color="000000" w:sz="4" w:space="0"/>
              <w:bottom w:val="single" w:color="000000" w:sz="4" w:space="0"/>
              <w:right w:val="single" w:color="000000" w:sz="4" w:space="0"/>
            </w:tcBorders>
            <w:vAlign w:val="center"/>
          </w:tcPr>
          <w:p w14:paraId="47D07ACE">
            <w:pPr>
              <w:autoSpaceDE w:val="0"/>
              <w:autoSpaceDN w:val="0"/>
              <w:jc w:val="center"/>
              <w:rPr>
                <w:kern w:val="0"/>
                <w:sz w:val="21"/>
                <w:szCs w:val="21"/>
                <w:lang w:eastAsia="en-US"/>
              </w:rPr>
            </w:pPr>
            <w:r>
              <w:rPr>
                <w:kern w:val="0"/>
                <w:sz w:val="21"/>
                <w:szCs w:val="21"/>
                <w:lang w:eastAsia="en-US"/>
              </w:rPr>
              <w:t>序号</w:t>
            </w:r>
          </w:p>
        </w:tc>
        <w:tc>
          <w:tcPr>
            <w:tcW w:w="1301" w:type="pct"/>
            <w:tcBorders>
              <w:top w:val="single" w:color="000000" w:sz="4" w:space="0"/>
              <w:left w:val="single" w:color="000000" w:sz="4" w:space="0"/>
              <w:bottom w:val="single" w:color="000000" w:sz="4" w:space="0"/>
              <w:right w:val="single" w:color="000000" w:sz="4" w:space="0"/>
            </w:tcBorders>
            <w:vAlign w:val="center"/>
          </w:tcPr>
          <w:p w14:paraId="2403FF23">
            <w:pPr>
              <w:autoSpaceDE w:val="0"/>
              <w:autoSpaceDN w:val="0"/>
              <w:jc w:val="center"/>
              <w:rPr>
                <w:kern w:val="0"/>
                <w:sz w:val="21"/>
                <w:szCs w:val="21"/>
                <w:lang w:eastAsia="en-US"/>
              </w:rPr>
            </w:pPr>
            <w:r>
              <w:rPr>
                <w:kern w:val="0"/>
                <w:sz w:val="21"/>
                <w:szCs w:val="21"/>
                <w:lang w:eastAsia="en-US"/>
              </w:rPr>
              <w:t>名称</w:t>
            </w:r>
          </w:p>
        </w:tc>
        <w:tc>
          <w:tcPr>
            <w:tcW w:w="1993" w:type="pct"/>
            <w:tcBorders>
              <w:top w:val="single" w:color="000000" w:sz="4" w:space="0"/>
              <w:left w:val="single" w:color="000000" w:sz="4" w:space="0"/>
              <w:bottom w:val="single" w:color="000000" w:sz="4" w:space="0"/>
              <w:right w:val="single" w:color="000000" w:sz="4" w:space="0"/>
            </w:tcBorders>
            <w:vAlign w:val="center"/>
          </w:tcPr>
          <w:p w14:paraId="485FB46F">
            <w:pPr>
              <w:autoSpaceDE w:val="0"/>
              <w:autoSpaceDN w:val="0"/>
              <w:jc w:val="center"/>
              <w:rPr>
                <w:kern w:val="0"/>
                <w:sz w:val="21"/>
                <w:szCs w:val="21"/>
                <w:lang w:eastAsia="en-US"/>
              </w:rPr>
            </w:pPr>
            <w:r>
              <w:rPr>
                <w:kern w:val="0"/>
                <w:sz w:val="21"/>
                <w:szCs w:val="21"/>
                <w:lang w:eastAsia="en-US"/>
              </w:rPr>
              <w:t>技术规格</w:t>
            </w:r>
          </w:p>
        </w:tc>
        <w:tc>
          <w:tcPr>
            <w:tcW w:w="629" w:type="pct"/>
            <w:tcBorders>
              <w:top w:val="single" w:color="000000" w:sz="4" w:space="0"/>
              <w:left w:val="single" w:color="000000" w:sz="4" w:space="0"/>
              <w:bottom w:val="single" w:color="000000" w:sz="4" w:space="0"/>
              <w:right w:val="single" w:color="000000" w:sz="4" w:space="0"/>
            </w:tcBorders>
            <w:vAlign w:val="center"/>
          </w:tcPr>
          <w:p w14:paraId="1A99F48C">
            <w:pPr>
              <w:autoSpaceDE w:val="0"/>
              <w:autoSpaceDN w:val="0"/>
              <w:jc w:val="center"/>
              <w:rPr>
                <w:kern w:val="0"/>
                <w:sz w:val="21"/>
                <w:szCs w:val="21"/>
                <w:lang w:eastAsia="en-US"/>
              </w:rPr>
            </w:pPr>
            <w:r>
              <w:rPr>
                <w:kern w:val="0"/>
                <w:sz w:val="21"/>
                <w:szCs w:val="21"/>
                <w:lang w:eastAsia="en-US"/>
              </w:rPr>
              <w:t>单位</w:t>
            </w:r>
          </w:p>
        </w:tc>
        <w:tc>
          <w:tcPr>
            <w:tcW w:w="629" w:type="pct"/>
            <w:tcBorders>
              <w:top w:val="single" w:color="000000" w:sz="4" w:space="0"/>
              <w:left w:val="single" w:color="000000" w:sz="4" w:space="0"/>
              <w:bottom w:val="single" w:color="000000" w:sz="4" w:space="0"/>
              <w:right w:val="single" w:color="000000" w:sz="4" w:space="0"/>
            </w:tcBorders>
            <w:vAlign w:val="center"/>
          </w:tcPr>
          <w:p w14:paraId="1F4759C1">
            <w:pPr>
              <w:autoSpaceDE w:val="0"/>
              <w:autoSpaceDN w:val="0"/>
              <w:jc w:val="center"/>
              <w:rPr>
                <w:kern w:val="0"/>
                <w:sz w:val="21"/>
                <w:szCs w:val="21"/>
                <w:lang w:eastAsia="en-US"/>
              </w:rPr>
            </w:pPr>
            <w:r>
              <w:rPr>
                <w:kern w:val="0"/>
                <w:sz w:val="21"/>
                <w:szCs w:val="21"/>
                <w:lang w:eastAsia="en-US"/>
              </w:rPr>
              <w:t>数量</w:t>
            </w:r>
          </w:p>
        </w:tc>
      </w:tr>
      <w:tr w14:paraId="654537CB">
        <w:tblPrEx>
          <w:tblCellMar>
            <w:top w:w="0" w:type="dxa"/>
            <w:left w:w="0" w:type="dxa"/>
            <w:bottom w:w="0" w:type="dxa"/>
            <w:right w:w="0" w:type="dxa"/>
          </w:tblCellMar>
        </w:tblPrEx>
        <w:trPr>
          <w:jc w:val="center"/>
        </w:trPr>
        <w:tc>
          <w:tcPr>
            <w:tcW w:w="449" w:type="pct"/>
            <w:tcBorders>
              <w:top w:val="single" w:color="000000" w:sz="4" w:space="0"/>
              <w:left w:val="single" w:color="000000" w:sz="4" w:space="0"/>
              <w:bottom w:val="single" w:color="000000" w:sz="4" w:space="0"/>
              <w:right w:val="single" w:color="000000" w:sz="4" w:space="0"/>
            </w:tcBorders>
            <w:vAlign w:val="center"/>
          </w:tcPr>
          <w:p w14:paraId="4E02A393">
            <w:pPr>
              <w:autoSpaceDE w:val="0"/>
              <w:autoSpaceDN w:val="0"/>
              <w:jc w:val="center"/>
              <w:rPr>
                <w:kern w:val="0"/>
                <w:sz w:val="21"/>
                <w:szCs w:val="21"/>
                <w:lang w:eastAsia="en-US"/>
              </w:rPr>
            </w:pPr>
            <w:r>
              <w:rPr>
                <w:kern w:val="0"/>
                <w:sz w:val="21"/>
                <w:szCs w:val="21"/>
                <w:lang w:eastAsia="en-US"/>
              </w:rPr>
              <w:t>1</w:t>
            </w:r>
          </w:p>
        </w:tc>
        <w:tc>
          <w:tcPr>
            <w:tcW w:w="1301" w:type="pct"/>
            <w:tcBorders>
              <w:top w:val="single" w:color="000000" w:sz="4" w:space="0"/>
              <w:left w:val="single" w:color="000000" w:sz="4" w:space="0"/>
              <w:bottom w:val="single" w:color="000000" w:sz="4" w:space="0"/>
              <w:right w:val="single" w:color="000000" w:sz="4" w:space="0"/>
            </w:tcBorders>
            <w:vAlign w:val="center"/>
          </w:tcPr>
          <w:p w14:paraId="564A0B5A">
            <w:pPr>
              <w:autoSpaceDE w:val="0"/>
              <w:autoSpaceDN w:val="0"/>
              <w:jc w:val="center"/>
              <w:rPr>
                <w:kern w:val="0"/>
                <w:sz w:val="21"/>
                <w:szCs w:val="21"/>
                <w:lang w:eastAsia="en-US"/>
              </w:rPr>
            </w:pPr>
            <w:r>
              <w:rPr>
                <w:kern w:val="0"/>
                <w:sz w:val="21"/>
                <w:szCs w:val="21"/>
                <w:lang w:eastAsia="en-US"/>
              </w:rPr>
              <w:t>土方开挖</w:t>
            </w:r>
          </w:p>
        </w:tc>
        <w:tc>
          <w:tcPr>
            <w:tcW w:w="1993" w:type="pct"/>
            <w:tcBorders>
              <w:top w:val="single" w:color="000000" w:sz="4" w:space="0"/>
              <w:left w:val="single" w:color="000000" w:sz="4" w:space="0"/>
              <w:bottom w:val="single" w:color="000000" w:sz="4" w:space="0"/>
              <w:right w:val="single" w:color="000000" w:sz="4" w:space="0"/>
            </w:tcBorders>
            <w:vAlign w:val="center"/>
          </w:tcPr>
          <w:p w14:paraId="71A26A70">
            <w:pPr>
              <w:autoSpaceDE w:val="0"/>
              <w:autoSpaceDN w:val="0"/>
              <w:jc w:val="center"/>
              <w:rPr>
                <w:kern w:val="0"/>
                <w:sz w:val="21"/>
                <w:szCs w:val="21"/>
                <w:lang w:eastAsia="en-US"/>
              </w:rPr>
            </w:pPr>
            <w:r>
              <w:rPr>
                <w:kern w:val="0"/>
                <w:sz w:val="21"/>
                <w:szCs w:val="21"/>
                <w:lang w:eastAsia="en-US"/>
              </w:rPr>
              <w:t>/</w:t>
            </w:r>
          </w:p>
        </w:tc>
        <w:tc>
          <w:tcPr>
            <w:tcW w:w="629" w:type="pct"/>
            <w:tcBorders>
              <w:top w:val="single" w:color="000000" w:sz="4" w:space="0"/>
              <w:left w:val="single" w:color="000000" w:sz="4" w:space="0"/>
              <w:bottom w:val="single" w:color="000000" w:sz="4" w:space="0"/>
              <w:right w:val="single" w:color="000000" w:sz="4" w:space="0"/>
            </w:tcBorders>
            <w:vAlign w:val="center"/>
          </w:tcPr>
          <w:p w14:paraId="7EDA365B">
            <w:pPr>
              <w:autoSpaceDE w:val="0"/>
              <w:autoSpaceDN w:val="0"/>
              <w:jc w:val="center"/>
              <w:rPr>
                <w:kern w:val="0"/>
                <w:sz w:val="21"/>
                <w:szCs w:val="21"/>
                <w:lang w:eastAsia="en-US"/>
              </w:rPr>
            </w:pPr>
            <w:r>
              <w:rPr>
                <w:rFonts w:hint="eastAsia"/>
                <w:kern w:val="0"/>
                <w:sz w:val="21"/>
                <w:szCs w:val="21"/>
                <w:lang w:eastAsia="en-US"/>
              </w:rPr>
              <w:t>m</w:t>
            </w:r>
            <w:r>
              <w:rPr>
                <w:kern w:val="0"/>
                <w:sz w:val="21"/>
                <w:szCs w:val="21"/>
                <w:vertAlign w:val="superscript"/>
                <w:lang w:eastAsia="en-US"/>
              </w:rPr>
              <w:t>3</w:t>
            </w:r>
          </w:p>
        </w:tc>
        <w:tc>
          <w:tcPr>
            <w:tcW w:w="629" w:type="pct"/>
            <w:tcBorders>
              <w:top w:val="single" w:color="000000" w:sz="4" w:space="0"/>
              <w:left w:val="single" w:color="000000" w:sz="4" w:space="0"/>
              <w:bottom w:val="single" w:color="000000" w:sz="4" w:space="0"/>
              <w:right w:val="single" w:color="000000" w:sz="4" w:space="0"/>
            </w:tcBorders>
            <w:vAlign w:val="center"/>
          </w:tcPr>
          <w:p w14:paraId="14644203">
            <w:pPr>
              <w:autoSpaceDE w:val="0"/>
              <w:autoSpaceDN w:val="0"/>
              <w:jc w:val="center"/>
              <w:rPr>
                <w:kern w:val="0"/>
                <w:sz w:val="21"/>
                <w:szCs w:val="21"/>
                <w:lang w:eastAsia="en-US"/>
              </w:rPr>
            </w:pPr>
            <w:r>
              <w:rPr>
                <w:kern w:val="0"/>
                <w:sz w:val="21"/>
                <w:szCs w:val="21"/>
                <w:lang w:eastAsia="en-US"/>
              </w:rPr>
              <w:t>63296</w:t>
            </w:r>
          </w:p>
        </w:tc>
      </w:tr>
      <w:tr w14:paraId="3C819629">
        <w:tblPrEx>
          <w:tblCellMar>
            <w:top w:w="0" w:type="dxa"/>
            <w:left w:w="0" w:type="dxa"/>
            <w:bottom w:w="0" w:type="dxa"/>
            <w:right w:w="0" w:type="dxa"/>
          </w:tblCellMar>
        </w:tblPrEx>
        <w:trPr>
          <w:jc w:val="center"/>
        </w:trPr>
        <w:tc>
          <w:tcPr>
            <w:tcW w:w="449" w:type="pct"/>
            <w:tcBorders>
              <w:top w:val="single" w:color="000000" w:sz="4" w:space="0"/>
              <w:left w:val="single" w:color="000000" w:sz="4" w:space="0"/>
              <w:bottom w:val="single" w:color="000000" w:sz="4" w:space="0"/>
              <w:right w:val="single" w:color="000000" w:sz="4" w:space="0"/>
            </w:tcBorders>
            <w:vAlign w:val="center"/>
          </w:tcPr>
          <w:p w14:paraId="2B7A4442">
            <w:pPr>
              <w:autoSpaceDE w:val="0"/>
              <w:autoSpaceDN w:val="0"/>
              <w:jc w:val="center"/>
              <w:rPr>
                <w:kern w:val="0"/>
                <w:sz w:val="21"/>
                <w:szCs w:val="21"/>
                <w:lang w:eastAsia="en-US"/>
              </w:rPr>
            </w:pPr>
            <w:r>
              <w:rPr>
                <w:kern w:val="0"/>
                <w:sz w:val="21"/>
                <w:szCs w:val="21"/>
                <w:lang w:eastAsia="en-US"/>
              </w:rPr>
              <w:t>2</w:t>
            </w:r>
          </w:p>
        </w:tc>
        <w:tc>
          <w:tcPr>
            <w:tcW w:w="1301" w:type="pct"/>
            <w:tcBorders>
              <w:top w:val="single" w:color="000000" w:sz="4" w:space="0"/>
              <w:left w:val="single" w:color="000000" w:sz="4" w:space="0"/>
              <w:bottom w:val="single" w:color="000000" w:sz="4" w:space="0"/>
              <w:right w:val="single" w:color="000000" w:sz="4" w:space="0"/>
            </w:tcBorders>
            <w:vAlign w:val="center"/>
          </w:tcPr>
          <w:p w14:paraId="0C9965D5">
            <w:pPr>
              <w:autoSpaceDE w:val="0"/>
              <w:autoSpaceDN w:val="0"/>
              <w:jc w:val="center"/>
              <w:rPr>
                <w:kern w:val="0"/>
                <w:sz w:val="21"/>
                <w:szCs w:val="21"/>
                <w:lang w:eastAsia="en-US"/>
              </w:rPr>
            </w:pPr>
            <w:r>
              <w:rPr>
                <w:kern w:val="0"/>
                <w:sz w:val="21"/>
                <w:szCs w:val="21"/>
                <w:lang w:eastAsia="en-US"/>
              </w:rPr>
              <w:t>土方回填</w:t>
            </w:r>
          </w:p>
        </w:tc>
        <w:tc>
          <w:tcPr>
            <w:tcW w:w="1993" w:type="pct"/>
            <w:tcBorders>
              <w:top w:val="single" w:color="000000" w:sz="4" w:space="0"/>
              <w:left w:val="single" w:color="000000" w:sz="4" w:space="0"/>
              <w:bottom w:val="single" w:color="000000" w:sz="4" w:space="0"/>
              <w:right w:val="single" w:color="000000" w:sz="4" w:space="0"/>
            </w:tcBorders>
            <w:vAlign w:val="center"/>
          </w:tcPr>
          <w:p w14:paraId="73E44549">
            <w:pPr>
              <w:autoSpaceDE w:val="0"/>
              <w:autoSpaceDN w:val="0"/>
              <w:jc w:val="center"/>
              <w:rPr>
                <w:kern w:val="0"/>
                <w:sz w:val="21"/>
                <w:szCs w:val="21"/>
                <w:lang w:eastAsia="en-US"/>
              </w:rPr>
            </w:pPr>
            <w:r>
              <w:rPr>
                <w:kern w:val="0"/>
                <w:sz w:val="21"/>
                <w:szCs w:val="21"/>
                <w:lang w:eastAsia="en-US"/>
              </w:rPr>
              <w:t>/</w:t>
            </w:r>
          </w:p>
        </w:tc>
        <w:tc>
          <w:tcPr>
            <w:tcW w:w="629" w:type="pct"/>
            <w:tcBorders>
              <w:top w:val="single" w:color="000000" w:sz="4" w:space="0"/>
              <w:left w:val="single" w:color="000000" w:sz="4" w:space="0"/>
              <w:bottom w:val="single" w:color="000000" w:sz="4" w:space="0"/>
              <w:right w:val="single" w:color="000000" w:sz="4" w:space="0"/>
            </w:tcBorders>
          </w:tcPr>
          <w:p w14:paraId="17430878">
            <w:pPr>
              <w:autoSpaceDE w:val="0"/>
              <w:autoSpaceDN w:val="0"/>
              <w:jc w:val="center"/>
              <w:rPr>
                <w:kern w:val="0"/>
                <w:sz w:val="21"/>
                <w:szCs w:val="21"/>
                <w:lang w:eastAsia="en-US"/>
              </w:rPr>
            </w:pPr>
            <w:r>
              <w:rPr>
                <w:rFonts w:hint="eastAsia"/>
                <w:kern w:val="0"/>
                <w:sz w:val="21"/>
                <w:szCs w:val="21"/>
                <w:lang w:eastAsia="en-US"/>
              </w:rPr>
              <w:t>m</w:t>
            </w:r>
            <w:r>
              <w:rPr>
                <w:kern w:val="0"/>
                <w:sz w:val="21"/>
                <w:szCs w:val="21"/>
                <w:vertAlign w:val="superscript"/>
                <w:lang w:eastAsia="en-US"/>
              </w:rPr>
              <w:t>3</w:t>
            </w:r>
          </w:p>
        </w:tc>
        <w:tc>
          <w:tcPr>
            <w:tcW w:w="629" w:type="pct"/>
            <w:tcBorders>
              <w:top w:val="single" w:color="000000" w:sz="4" w:space="0"/>
              <w:left w:val="single" w:color="000000" w:sz="4" w:space="0"/>
              <w:bottom w:val="single" w:color="000000" w:sz="4" w:space="0"/>
              <w:right w:val="single" w:color="000000" w:sz="4" w:space="0"/>
            </w:tcBorders>
            <w:vAlign w:val="center"/>
          </w:tcPr>
          <w:p w14:paraId="01A89C52">
            <w:pPr>
              <w:autoSpaceDE w:val="0"/>
              <w:autoSpaceDN w:val="0"/>
              <w:jc w:val="center"/>
              <w:rPr>
                <w:kern w:val="0"/>
                <w:sz w:val="21"/>
                <w:szCs w:val="21"/>
                <w:lang w:eastAsia="en-US"/>
              </w:rPr>
            </w:pPr>
            <w:r>
              <w:rPr>
                <w:kern w:val="0"/>
                <w:sz w:val="21"/>
                <w:szCs w:val="21"/>
                <w:lang w:eastAsia="en-US"/>
              </w:rPr>
              <w:t>77406</w:t>
            </w:r>
          </w:p>
        </w:tc>
      </w:tr>
      <w:tr w14:paraId="6ACD1FF4">
        <w:tblPrEx>
          <w:tblCellMar>
            <w:top w:w="0" w:type="dxa"/>
            <w:left w:w="0" w:type="dxa"/>
            <w:bottom w:w="0" w:type="dxa"/>
            <w:right w:w="0" w:type="dxa"/>
          </w:tblCellMar>
        </w:tblPrEx>
        <w:trPr>
          <w:jc w:val="center"/>
        </w:trPr>
        <w:tc>
          <w:tcPr>
            <w:tcW w:w="449" w:type="pct"/>
            <w:tcBorders>
              <w:top w:val="single" w:color="000000" w:sz="4" w:space="0"/>
              <w:left w:val="single" w:color="000000" w:sz="4" w:space="0"/>
              <w:bottom w:val="single" w:color="000000" w:sz="4" w:space="0"/>
              <w:right w:val="single" w:color="000000" w:sz="4" w:space="0"/>
            </w:tcBorders>
            <w:vAlign w:val="center"/>
          </w:tcPr>
          <w:p w14:paraId="526A685A">
            <w:pPr>
              <w:autoSpaceDE w:val="0"/>
              <w:autoSpaceDN w:val="0"/>
              <w:jc w:val="center"/>
              <w:rPr>
                <w:kern w:val="0"/>
                <w:sz w:val="21"/>
                <w:szCs w:val="21"/>
                <w:lang w:eastAsia="en-US"/>
              </w:rPr>
            </w:pPr>
            <w:r>
              <w:rPr>
                <w:kern w:val="0"/>
                <w:sz w:val="21"/>
                <w:szCs w:val="21"/>
                <w:lang w:eastAsia="en-US"/>
              </w:rPr>
              <w:t>3</w:t>
            </w:r>
          </w:p>
        </w:tc>
        <w:tc>
          <w:tcPr>
            <w:tcW w:w="1301" w:type="pct"/>
            <w:tcBorders>
              <w:top w:val="single" w:color="000000" w:sz="4" w:space="0"/>
              <w:left w:val="single" w:color="000000" w:sz="4" w:space="0"/>
              <w:bottom w:val="single" w:color="000000" w:sz="4" w:space="0"/>
              <w:right w:val="single" w:color="000000" w:sz="4" w:space="0"/>
            </w:tcBorders>
            <w:vAlign w:val="center"/>
          </w:tcPr>
          <w:p w14:paraId="5732389C">
            <w:pPr>
              <w:autoSpaceDE w:val="0"/>
              <w:autoSpaceDN w:val="0"/>
              <w:jc w:val="center"/>
              <w:rPr>
                <w:kern w:val="0"/>
                <w:sz w:val="21"/>
                <w:szCs w:val="21"/>
                <w:lang w:eastAsia="en-US"/>
              </w:rPr>
            </w:pPr>
            <w:r>
              <w:rPr>
                <w:kern w:val="0"/>
                <w:sz w:val="21"/>
                <w:szCs w:val="21"/>
                <w:lang w:eastAsia="en-US"/>
              </w:rPr>
              <w:t>格宾绿垫</w:t>
            </w:r>
          </w:p>
        </w:tc>
        <w:tc>
          <w:tcPr>
            <w:tcW w:w="1993" w:type="pct"/>
            <w:tcBorders>
              <w:top w:val="single" w:color="000000" w:sz="4" w:space="0"/>
              <w:left w:val="single" w:color="000000" w:sz="4" w:space="0"/>
              <w:bottom w:val="single" w:color="000000" w:sz="4" w:space="0"/>
              <w:right w:val="single" w:color="000000" w:sz="4" w:space="0"/>
            </w:tcBorders>
            <w:vAlign w:val="center"/>
          </w:tcPr>
          <w:p w14:paraId="3CB29270">
            <w:pPr>
              <w:autoSpaceDE w:val="0"/>
              <w:autoSpaceDN w:val="0"/>
              <w:jc w:val="center"/>
              <w:rPr>
                <w:kern w:val="0"/>
                <w:sz w:val="21"/>
                <w:szCs w:val="21"/>
                <w:lang w:eastAsia="en-US"/>
              </w:rPr>
            </w:pPr>
            <w:r>
              <w:rPr>
                <w:kern w:val="0"/>
                <w:sz w:val="21"/>
                <w:szCs w:val="21"/>
                <w:lang w:eastAsia="en-US"/>
              </w:rPr>
              <w:t>/</w:t>
            </w:r>
          </w:p>
        </w:tc>
        <w:tc>
          <w:tcPr>
            <w:tcW w:w="629" w:type="pct"/>
            <w:tcBorders>
              <w:top w:val="single" w:color="000000" w:sz="4" w:space="0"/>
              <w:left w:val="single" w:color="000000" w:sz="4" w:space="0"/>
              <w:bottom w:val="single" w:color="000000" w:sz="4" w:space="0"/>
              <w:right w:val="single" w:color="000000" w:sz="4" w:space="0"/>
            </w:tcBorders>
          </w:tcPr>
          <w:p w14:paraId="29A89D65">
            <w:pPr>
              <w:autoSpaceDE w:val="0"/>
              <w:autoSpaceDN w:val="0"/>
              <w:jc w:val="center"/>
              <w:rPr>
                <w:kern w:val="0"/>
                <w:sz w:val="21"/>
                <w:szCs w:val="21"/>
                <w:lang w:eastAsia="en-US"/>
              </w:rPr>
            </w:pPr>
            <w:r>
              <w:rPr>
                <w:rFonts w:hint="eastAsia"/>
                <w:kern w:val="0"/>
                <w:sz w:val="21"/>
                <w:szCs w:val="21"/>
                <w:lang w:eastAsia="en-US"/>
              </w:rPr>
              <w:t>m</w:t>
            </w:r>
            <w:r>
              <w:rPr>
                <w:kern w:val="0"/>
                <w:sz w:val="21"/>
                <w:szCs w:val="21"/>
                <w:vertAlign w:val="superscript"/>
                <w:lang w:eastAsia="en-US"/>
              </w:rPr>
              <w:t>3</w:t>
            </w:r>
          </w:p>
        </w:tc>
        <w:tc>
          <w:tcPr>
            <w:tcW w:w="629" w:type="pct"/>
            <w:tcBorders>
              <w:top w:val="single" w:color="000000" w:sz="4" w:space="0"/>
              <w:left w:val="single" w:color="000000" w:sz="4" w:space="0"/>
              <w:bottom w:val="single" w:color="000000" w:sz="4" w:space="0"/>
              <w:right w:val="single" w:color="000000" w:sz="4" w:space="0"/>
            </w:tcBorders>
            <w:vAlign w:val="center"/>
          </w:tcPr>
          <w:p w14:paraId="44AAE2D7">
            <w:pPr>
              <w:autoSpaceDE w:val="0"/>
              <w:autoSpaceDN w:val="0"/>
              <w:jc w:val="center"/>
              <w:rPr>
                <w:kern w:val="0"/>
                <w:sz w:val="21"/>
                <w:szCs w:val="21"/>
                <w:lang w:eastAsia="en-US"/>
              </w:rPr>
            </w:pPr>
            <w:r>
              <w:rPr>
                <w:kern w:val="0"/>
                <w:sz w:val="21"/>
                <w:szCs w:val="21"/>
                <w:lang w:eastAsia="en-US"/>
              </w:rPr>
              <w:t>6207.3</w:t>
            </w:r>
          </w:p>
        </w:tc>
      </w:tr>
      <w:tr w14:paraId="1A9488E8">
        <w:tblPrEx>
          <w:tblCellMar>
            <w:top w:w="0" w:type="dxa"/>
            <w:left w:w="0" w:type="dxa"/>
            <w:bottom w:w="0" w:type="dxa"/>
            <w:right w:w="0" w:type="dxa"/>
          </w:tblCellMar>
        </w:tblPrEx>
        <w:trPr>
          <w:jc w:val="center"/>
        </w:trPr>
        <w:tc>
          <w:tcPr>
            <w:tcW w:w="449" w:type="pct"/>
            <w:tcBorders>
              <w:top w:val="single" w:color="000000" w:sz="4" w:space="0"/>
              <w:left w:val="single" w:color="000000" w:sz="4" w:space="0"/>
              <w:bottom w:val="single" w:color="000000" w:sz="4" w:space="0"/>
              <w:right w:val="single" w:color="000000" w:sz="4" w:space="0"/>
            </w:tcBorders>
            <w:vAlign w:val="center"/>
          </w:tcPr>
          <w:p w14:paraId="5A4FC947">
            <w:pPr>
              <w:autoSpaceDE w:val="0"/>
              <w:autoSpaceDN w:val="0"/>
              <w:jc w:val="center"/>
              <w:rPr>
                <w:kern w:val="0"/>
                <w:sz w:val="21"/>
                <w:szCs w:val="21"/>
                <w:lang w:eastAsia="en-US"/>
              </w:rPr>
            </w:pPr>
            <w:r>
              <w:rPr>
                <w:kern w:val="0"/>
                <w:sz w:val="21"/>
                <w:szCs w:val="21"/>
                <w:lang w:eastAsia="en-US"/>
              </w:rPr>
              <w:t>4</w:t>
            </w:r>
          </w:p>
        </w:tc>
        <w:tc>
          <w:tcPr>
            <w:tcW w:w="1301" w:type="pct"/>
            <w:tcBorders>
              <w:top w:val="single" w:color="000000" w:sz="4" w:space="0"/>
              <w:left w:val="single" w:color="000000" w:sz="4" w:space="0"/>
              <w:bottom w:val="single" w:color="000000" w:sz="4" w:space="0"/>
              <w:right w:val="single" w:color="000000" w:sz="4" w:space="0"/>
            </w:tcBorders>
            <w:vAlign w:val="center"/>
          </w:tcPr>
          <w:p w14:paraId="41E98987">
            <w:pPr>
              <w:autoSpaceDE w:val="0"/>
              <w:autoSpaceDN w:val="0"/>
              <w:jc w:val="center"/>
              <w:rPr>
                <w:kern w:val="0"/>
                <w:sz w:val="21"/>
                <w:szCs w:val="21"/>
                <w:lang w:eastAsia="en-US"/>
              </w:rPr>
            </w:pPr>
            <w:r>
              <w:rPr>
                <w:kern w:val="0"/>
                <w:sz w:val="21"/>
                <w:szCs w:val="21"/>
                <w:lang w:eastAsia="en-US"/>
              </w:rPr>
              <w:t>格宾绿垫土工布</w:t>
            </w:r>
          </w:p>
        </w:tc>
        <w:tc>
          <w:tcPr>
            <w:tcW w:w="1993" w:type="pct"/>
            <w:tcBorders>
              <w:top w:val="single" w:color="000000" w:sz="4" w:space="0"/>
              <w:left w:val="single" w:color="000000" w:sz="4" w:space="0"/>
              <w:bottom w:val="single" w:color="000000" w:sz="4" w:space="0"/>
              <w:right w:val="single" w:color="000000" w:sz="4" w:space="0"/>
            </w:tcBorders>
            <w:vAlign w:val="center"/>
          </w:tcPr>
          <w:p w14:paraId="374DC6A0">
            <w:pPr>
              <w:autoSpaceDE w:val="0"/>
              <w:autoSpaceDN w:val="0"/>
              <w:jc w:val="center"/>
              <w:rPr>
                <w:kern w:val="0"/>
                <w:sz w:val="21"/>
                <w:szCs w:val="21"/>
                <w:lang w:eastAsia="en-US"/>
              </w:rPr>
            </w:pPr>
            <w:r>
              <w:rPr>
                <w:kern w:val="0"/>
                <w:sz w:val="21"/>
                <w:szCs w:val="21"/>
                <w:lang w:eastAsia="en-US"/>
              </w:rPr>
              <w:t>400g/m</w:t>
            </w:r>
            <w:r>
              <w:rPr>
                <w:kern w:val="0"/>
                <w:sz w:val="21"/>
                <w:szCs w:val="21"/>
                <w:vertAlign w:val="superscript"/>
                <w:lang w:eastAsia="en-US"/>
              </w:rPr>
              <w:t>2</w:t>
            </w:r>
          </w:p>
        </w:tc>
        <w:tc>
          <w:tcPr>
            <w:tcW w:w="629" w:type="pct"/>
            <w:tcBorders>
              <w:top w:val="single" w:color="000000" w:sz="4" w:space="0"/>
              <w:left w:val="single" w:color="000000" w:sz="4" w:space="0"/>
              <w:bottom w:val="single" w:color="000000" w:sz="4" w:space="0"/>
              <w:right w:val="single" w:color="000000" w:sz="4" w:space="0"/>
            </w:tcBorders>
            <w:vAlign w:val="center"/>
          </w:tcPr>
          <w:p w14:paraId="3DC9C603">
            <w:pPr>
              <w:autoSpaceDE w:val="0"/>
              <w:autoSpaceDN w:val="0"/>
              <w:jc w:val="center"/>
              <w:rPr>
                <w:kern w:val="0"/>
                <w:sz w:val="21"/>
                <w:szCs w:val="21"/>
                <w:lang w:eastAsia="en-US"/>
              </w:rPr>
            </w:pPr>
            <w:r>
              <w:rPr>
                <w:kern w:val="0"/>
                <w:sz w:val="21"/>
                <w:szCs w:val="21"/>
                <w:lang w:eastAsia="en-US"/>
              </w:rPr>
              <w:t>m</w:t>
            </w:r>
            <w:r>
              <w:rPr>
                <w:kern w:val="0"/>
                <w:sz w:val="21"/>
                <w:szCs w:val="21"/>
                <w:vertAlign w:val="superscript"/>
                <w:lang w:eastAsia="en-US"/>
              </w:rPr>
              <w:t>2</w:t>
            </w:r>
          </w:p>
        </w:tc>
        <w:tc>
          <w:tcPr>
            <w:tcW w:w="629" w:type="pct"/>
            <w:tcBorders>
              <w:top w:val="single" w:color="000000" w:sz="4" w:space="0"/>
              <w:left w:val="single" w:color="000000" w:sz="4" w:space="0"/>
              <w:bottom w:val="single" w:color="000000" w:sz="4" w:space="0"/>
              <w:right w:val="single" w:color="000000" w:sz="4" w:space="0"/>
            </w:tcBorders>
            <w:vAlign w:val="center"/>
          </w:tcPr>
          <w:p w14:paraId="00BE2B6C">
            <w:pPr>
              <w:autoSpaceDE w:val="0"/>
              <w:autoSpaceDN w:val="0"/>
              <w:jc w:val="center"/>
              <w:rPr>
                <w:kern w:val="0"/>
                <w:sz w:val="21"/>
                <w:szCs w:val="21"/>
                <w:lang w:eastAsia="en-US"/>
              </w:rPr>
            </w:pPr>
            <w:r>
              <w:rPr>
                <w:kern w:val="0"/>
                <w:sz w:val="21"/>
                <w:szCs w:val="21"/>
                <w:lang w:eastAsia="en-US"/>
              </w:rPr>
              <w:t>13252.5</w:t>
            </w:r>
          </w:p>
        </w:tc>
      </w:tr>
      <w:tr w14:paraId="3C24ED17">
        <w:tblPrEx>
          <w:tblCellMar>
            <w:top w:w="0" w:type="dxa"/>
            <w:left w:w="0" w:type="dxa"/>
            <w:bottom w:w="0" w:type="dxa"/>
            <w:right w:w="0" w:type="dxa"/>
          </w:tblCellMar>
        </w:tblPrEx>
        <w:trPr>
          <w:jc w:val="center"/>
        </w:trPr>
        <w:tc>
          <w:tcPr>
            <w:tcW w:w="449" w:type="pct"/>
            <w:tcBorders>
              <w:top w:val="single" w:color="000000" w:sz="4" w:space="0"/>
              <w:left w:val="single" w:color="000000" w:sz="4" w:space="0"/>
              <w:bottom w:val="single" w:color="000000" w:sz="4" w:space="0"/>
              <w:right w:val="single" w:color="000000" w:sz="4" w:space="0"/>
            </w:tcBorders>
            <w:vAlign w:val="center"/>
          </w:tcPr>
          <w:p w14:paraId="4F54E860">
            <w:pPr>
              <w:autoSpaceDE w:val="0"/>
              <w:autoSpaceDN w:val="0"/>
              <w:jc w:val="center"/>
              <w:rPr>
                <w:kern w:val="0"/>
                <w:sz w:val="21"/>
                <w:szCs w:val="21"/>
                <w:lang w:eastAsia="en-US"/>
              </w:rPr>
            </w:pPr>
            <w:r>
              <w:rPr>
                <w:kern w:val="0"/>
                <w:sz w:val="21"/>
                <w:szCs w:val="21"/>
                <w:lang w:eastAsia="en-US"/>
              </w:rPr>
              <w:t>5</w:t>
            </w:r>
          </w:p>
        </w:tc>
        <w:tc>
          <w:tcPr>
            <w:tcW w:w="1301" w:type="pct"/>
            <w:tcBorders>
              <w:top w:val="single" w:color="000000" w:sz="4" w:space="0"/>
              <w:left w:val="single" w:color="000000" w:sz="4" w:space="0"/>
              <w:bottom w:val="single" w:color="000000" w:sz="4" w:space="0"/>
              <w:right w:val="single" w:color="000000" w:sz="4" w:space="0"/>
            </w:tcBorders>
            <w:vAlign w:val="center"/>
          </w:tcPr>
          <w:p w14:paraId="076383C8">
            <w:pPr>
              <w:autoSpaceDE w:val="0"/>
              <w:autoSpaceDN w:val="0"/>
              <w:jc w:val="center"/>
              <w:rPr>
                <w:kern w:val="0"/>
                <w:sz w:val="21"/>
                <w:szCs w:val="21"/>
                <w:lang w:eastAsia="en-US"/>
              </w:rPr>
            </w:pPr>
            <w:r>
              <w:rPr>
                <w:kern w:val="0"/>
                <w:sz w:val="21"/>
                <w:szCs w:val="21"/>
                <w:lang w:eastAsia="en-US"/>
              </w:rPr>
              <w:t>坡脚防护</w:t>
            </w:r>
          </w:p>
        </w:tc>
        <w:tc>
          <w:tcPr>
            <w:tcW w:w="1993" w:type="pct"/>
            <w:tcBorders>
              <w:top w:val="single" w:color="000000" w:sz="4" w:space="0"/>
              <w:left w:val="single" w:color="000000" w:sz="4" w:space="0"/>
              <w:bottom w:val="single" w:color="000000" w:sz="4" w:space="0"/>
              <w:right w:val="single" w:color="000000" w:sz="4" w:space="0"/>
            </w:tcBorders>
            <w:vAlign w:val="center"/>
          </w:tcPr>
          <w:p w14:paraId="0FC343CF">
            <w:pPr>
              <w:autoSpaceDE w:val="0"/>
              <w:autoSpaceDN w:val="0"/>
              <w:jc w:val="center"/>
              <w:rPr>
                <w:kern w:val="0"/>
                <w:sz w:val="21"/>
                <w:szCs w:val="21"/>
                <w:lang w:eastAsia="en-US"/>
              </w:rPr>
            </w:pPr>
            <w:r>
              <w:rPr>
                <w:kern w:val="0"/>
                <w:sz w:val="21"/>
                <w:szCs w:val="21"/>
                <w:lang w:eastAsia="en-US"/>
              </w:rPr>
              <w:t>/</w:t>
            </w:r>
          </w:p>
        </w:tc>
        <w:tc>
          <w:tcPr>
            <w:tcW w:w="629" w:type="pct"/>
            <w:tcBorders>
              <w:top w:val="single" w:color="000000" w:sz="4" w:space="0"/>
              <w:left w:val="single" w:color="000000" w:sz="4" w:space="0"/>
              <w:bottom w:val="single" w:color="000000" w:sz="4" w:space="0"/>
              <w:right w:val="single" w:color="000000" w:sz="4" w:space="0"/>
            </w:tcBorders>
          </w:tcPr>
          <w:p w14:paraId="510D1FDC">
            <w:pPr>
              <w:autoSpaceDE w:val="0"/>
              <w:autoSpaceDN w:val="0"/>
              <w:jc w:val="center"/>
              <w:rPr>
                <w:kern w:val="0"/>
                <w:sz w:val="21"/>
                <w:szCs w:val="21"/>
                <w:lang w:eastAsia="en-US"/>
              </w:rPr>
            </w:pPr>
            <w:r>
              <w:rPr>
                <w:rFonts w:hint="eastAsia"/>
                <w:kern w:val="0"/>
                <w:sz w:val="21"/>
                <w:szCs w:val="21"/>
                <w:lang w:eastAsia="en-US"/>
              </w:rPr>
              <w:t>m</w:t>
            </w:r>
            <w:r>
              <w:rPr>
                <w:kern w:val="0"/>
                <w:sz w:val="21"/>
                <w:szCs w:val="21"/>
                <w:vertAlign w:val="superscript"/>
                <w:lang w:eastAsia="en-US"/>
              </w:rPr>
              <w:t>3</w:t>
            </w:r>
          </w:p>
        </w:tc>
        <w:tc>
          <w:tcPr>
            <w:tcW w:w="629" w:type="pct"/>
            <w:tcBorders>
              <w:top w:val="single" w:color="000000" w:sz="4" w:space="0"/>
              <w:left w:val="single" w:color="000000" w:sz="4" w:space="0"/>
              <w:bottom w:val="single" w:color="000000" w:sz="4" w:space="0"/>
              <w:right w:val="single" w:color="000000" w:sz="4" w:space="0"/>
            </w:tcBorders>
            <w:vAlign w:val="center"/>
          </w:tcPr>
          <w:p w14:paraId="7F8C1595">
            <w:pPr>
              <w:autoSpaceDE w:val="0"/>
              <w:autoSpaceDN w:val="0"/>
              <w:jc w:val="center"/>
              <w:rPr>
                <w:kern w:val="0"/>
                <w:sz w:val="21"/>
                <w:szCs w:val="21"/>
                <w:lang w:eastAsia="en-US"/>
              </w:rPr>
            </w:pPr>
            <w:r>
              <w:rPr>
                <w:kern w:val="0"/>
                <w:sz w:val="21"/>
                <w:szCs w:val="21"/>
                <w:lang w:eastAsia="en-US"/>
              </w:rPr>
              <w:t>1795.5</w:t>
            </w:r>
          </w:p>
        </w:tc>
      </w:tr>
      <w:tr w14:paraId="2968BF77">
        <w:tblPrEx>
          <w:tblCellMar>
            <w:top w:w="0" w:type="dxa"/>
            <w:left w:w="0" w:type="dxa"/>
            <w:bottom w:w="0" w:type="dxa"/>
            <w:right w:w="0" w:type="dxa"/>
          </w:tblCellMar>
        </w:tblPrEx>
        <w:trPr>
          <w:jc w:val="center"/>
        </w:trPr>
        <w:tc>
          <w:tcPr>
            <w:tcW w:w="449" w:type="pct"/>
            <w:tcBorders>
              <w:top w:val="single" w:color="000000" w:sz="4" w:space="0"/>
              <w:left w:val="single" w:color="000000" w:sz="4" w:space="0"/>
              <w:bottom w:val="single" w:color="000000" w:sz="4" w:space="0"/>
              <w:right w:val="single" w:color="000000" w:sz="4" w:space="0"/>
            </w:tcBorders>
            <w:vAlign w:val="center"/>
          </w:tcPr>
          <w:p w14:paraId="6FA85DD9">
            <w:pPr>
              <w:autoSpaceDE w:val="0"/>
              <w:autoSpaceDN w:val="0"/>
              <w:jc w:val="center"/>
              <w:rPr>
                <w:kern w:val="0"/>
                <w:sz w:val="21"/>
                <w:szCs w:val="21"/>
                <w:lang w:eastAsia="en-US"/>
              </w:rPr>
            </w:pPr>
            <w:r>
              <w:rPr>
                <w:kern w:val="0"/>
                <w:sz w:val="21"/>
                <w:szCs w:val="21"/>
                <w:lang w:eastAsia="en-US"/>
              </w:rPr>
              <w:t>6</w:t>
            </w:r>
          </w:p>
        </w:tc>
        <w:tc>
          <w:tcPr>
            <w:tcW w:w="1301" w:type="pct"/>
            <w:tcBorders>
              <w:top w:val="single" w:color="000000" w:sz="4" w:space="0"/>
              <w:left w:val="single" w:color="000000" w:sz="4" w:space="0"/>
              <w:bottom w:val="single" w:color="000000" w:sz="4" w:space="0"/>
              <w:right w:val="single" w:color="000000" w:sz="4" w:space="0"/>
            </w:tcBorders>
            <w:vAlign w:val="center"/>
          </w:tcPr>
          <w:p w14:paraId="29254D83">
            <w:pPr>
              <w:autoSpaceDE w:val="0"/>
              <w:autoSpaceDN w:val="0"/>
              <w:jc w:val="center"/>
              <w:rPr>
                <w:kern w:val="0"/>
                <w:sz w:val="21"/>
                <w:szCs w:val="21"/>
                <w:lang w:eastAsia="en-US"/>
              </w:rPr>
            </w:pPr>
            <w:r>
              <w:rPr>
                <w:kern w:val="0"/>
                <w:sz w:val="21"/>
                <w:szCs w:val="21"/>
                <w:lang w:eastAsia="en-US"/>
              </w:rPr>
              <w:t>水平防护</w:t>
            </w:r>
          </w:p>
        </w:tc>
        <w:tc>
          <w:tcPr>
            <w:tcW w:w="1993" w:type="pct"/>
            <w:tcBorders>
              <w:top w:val="single" w:color="000000" w:sz="4" w:space="0"/>
              <w:left w:val="single" w:color="000000" w:sz="4" w:space="0"/>
              <w:bottom w:val="single" w:color="000000" w:sz="4" w:space="0"/>
              <w:right w:val="single" w:color="000000" w:sz="4" w:space="0"/>
            </w:tcBorders>
            <w:vAlign w:val="center"/>
          </w:tcPr>
          <w:p w14:paraId="171B61D9">
            <w:pPr>
              <w:autoSpaceDE w:val="0"/>
              <w:autoSpaceDN w:val="0"/>
              <w:jc w:val="center"/>
              <w:rPr>
                <w:kern w:val="0"/>
                <w:sz w:val="21"/>
                <w:szCs w:val="21"/>
                <w:lang w:eastAsia="en-US"/>
              </w:rPr>
            </w:pPr>
            <w:r>
              <w:rPr>
                <w:kern w:val="0"/>
                <w:sz w:val="21"/>
                <w:szCs w:val="21"/>
                <w:lang w:eastAsia="en-US"/>
              </w:rPr>
              <w:t>/</w:t>
            </w:r>
          </w:p>
        </w:tc>
        <w:tc>
          <w:tcPr>
            <w:tcW w:w="629" w:type="pct"/>
            <w:tcBorders>
              <w:top w:val="single" w:color="000000" w:sz="4" w:space="0"/>
              <w:left w:val="single" w:color="000000" w:sz="4" w:space="0"/>
              <w:bottom w:val="single" w:color="000000" w:sz="4" w:space="0"/>
              <w:right w:val="single" w:color="000000" w:sz="4" w:space="0"/>
            </w:tcBorders>
          </w:tcPr>
          <w:p w14:paraId="108591B5">
            <w:pPr>
              <w:autoSpaceDE w:val="0"/>
              <w:autoSpaceDN w:val="0"/>
              <w:jc w:val="center"/>
              <w:rPr>
                <w:kern w:val="0"/>
                <w:sz w:val="21"/>
                <w:szCs w:val="21"/>
                <w:lang w:eastAsia="en-US"/>
              </w:rPr>
            </w:pPr>
            <w:r>
              <w:rPr>
                <w:rFonts w:hint="eastAsia"/>
                <w:kern w:val="0"/>
                <w:sz w:val="21"/>
                <w:szCs w:val="21"/>
                <w:lang w:eastAsia="en-US"/>
              </w:rPr>
              <w:t>m</w:t>
            </w:r>
            <w:r>
              <w:rPr>
                <w:kern w:val="0"/>
                <w:sz w:val="21"/>
                <w:szCs w:val="21"/>
                <w:vertAlign w:val="superscript"/>
                <w:lang w:eastAsia="en-US"/>
              </w:rPr>
              <w:t>3</w:t>
            </w:r>
          </w:p>
        </w:tc>
        <w:tc>
          <w:tcPr>
            <w:tcW w:w="629" w:type="pct"/>
            <w:tcBorders>
              <w:top w:val="single" w:color="000000" w:sz="4" w:space="0"/>
              <w:left w:val="single" w:color="000000" w:sz="4" w:space="0"/>
              <w:bottom w:val="single" w:color="000000" w:sz="4" w:space="0"/>
              <w:right w:val="single" w:color="000000" w:sz="4" w:space="0"/>
            </w:tcBorders>
            <w:vAlign w:val="center"/>
          </w:tcPr>
          <w:p w14:paraId="6F33985B">
            <w:pPr>
              <w:autoSpaceDE w:val="0"/>
              <w:autoSpaceDN w:val="0"/>
              <w:jc w:val="center"/>
              <w:rPr>
                <w:kern w:val="0"/>
                <w:sz w:val="21"/>
                <w:szCs w:val="21"/>
                <w:lang w:eastAsia="en-US"/>
              </w:rPr>
            </w:pPr>
            <w:r>
              <w:rPr>
                <w:kern w:val="0"/>
                <w:sz w:val="21"/>
                <w:szCs w:val="21"/>
                <w:lang w:eastAsia="en-US"/>
              </w:rPr>
              <w:t>997.5</w:t>
            </w:r>
          </w:p>
        </w:tc>
      </w:tr>
      <w:tr w14:paraId="57F3687C">
        <w:tblPrEx>
          <w:tblCellMar>
            <w:top w:w="0" w:type="dxa"/>
            <w:left w:w="0" w:type="dxa"/>
            <w:bottom w:w="0" w:type="dxa"/>
            <w:right w:w="0" w:type="dxa"/>
          </w:tblCellMar>
        </w:tblPrEx>
        <w:trPr>
          <w:jc w:val="center"/>
        </w:trPr>
        <w:tc>
          <w:tcPr>
            <w:tcW w:w="449" w:type="pct"/>
            <w:tcBorders>
              <w:top w:val="single" w:color="000000" w:sz="4" w:space="0"/>
              <w:left w:val="single" w:color="000000" w:sz="4" w:space="0"/>
              <w:bottom w:val="single" w:color="000000" w:sz="4" w:space="0"/>
              <w:right w:val="single" w:color="000000" w:sz="4" w:space="0"/>
            </w:tcBorders>
            <w:vAlign w:val="center"/>
          </w:tcPr>
          <w:p w14:paraId="3285FAFE">
            <w:pPr>
              <w:autoSpaceDE w:val="0"/>
              <w:autoSpaceDN w:val="0"/>
              <w:jc w:val="center"/>
              <w:rPr>
                <w:kern w:val="0"/>
                <w:sz w:val="21"/>
                <w:szCs w:val="21"/>
                <w:lang w:eastAsia="en-US"/>
              </w:rPr>
            </w:pPr>
            <w:r>
              <w:rPr>
                <w:kern w:val="0"/>
                <w:sz w:val="21"/>
                <w:szCs w:val="21"/>
                <w:lang w:eastAsia="en-US"/>
              </w:rPr>
              <w:t>7</w:t>
            </w:r>
          </w:p>
        </w:tc>
        <w:tc>
          <w:tcPr>
            <w:tcW w:w="1301" w:type="pct"/>
            <w:tcBorders>
              <w:top w:val="single" w:color="000000" w:sz="4" w:space="0"/>
              <w:left w:val="single" w:color="000000" w:sz="4" w:space="0"/>
              <w:bottom w:val="single" w:color="000000" w:sz="4" w:space="0"/>
              <w:right w:val="single" w:color="000000" w:sz="4" w:space="0"/>
            </w:tcBorders>
            <w:vAlign w:val="center"/>
          </w:tcPr>
          <w:p w14:paraId="58FAB60B">
            <w:pPr>
              <w:autoSpaceDE w:val="0"/>
              <w:autoSpaceDN w:val="0"/>
              <w:jc w:val="center"/>
              <w:rPr>
                <w:kern w:val="0"/>
                <w:sz w:val="21"/>
                <w:szCs w:val="21"/>
                <w:lang w:eastAsia="en-US"/>
              </w:rPr>
            </w:pPr>
            <w:r>
              <w:rPr>
                <w:kern w:val="0"/>
                <w:sz w:val="21"/>
                <w:szCs w:val="21"/>
                <w:lang w:eastAsia="en-US"/>
              </w:rPr>
              <w:t>坡脚防护土工布</w:t>
            </w:r>
          </w:p>
        </w:tc>
        <w:tc>
          <w:tcPr>
            <w:tcW w:w="1993" w:type="pct"/>
            <w:tcBorders>
              <w:top w:val="single" w:color="000000" w:sz="4" w:space="0"/>
              <w:left w:val="single" w:color="000000" w:sz="4" w:space="0"/>
              <w:bottom w:val="single" w:color="000000" w:sz="4" w:space="0"/>
              <w:right w:val="single" w:color="000000" w:sz="4" w:space="0"/>
            </w:tcBorders>
            <w:vAlign w:val="center"/>
          </w:tcPr>
          <w:p w14:paraId="2526A0AF">
            <w:pPr>
              <w:autoSpaceDE w:val="0"/>
              <w:autoSpaceDN w:val="0"/>
              <w:jc w:val="center"/>
              <w:rPr>
                <w:kern w:val="0"/>
                <w:sz w:val="21"/>
                <w:szCs w:val="21"/>
                <w:lang w:eastAsia="en-US"/>
              </w:rPr>
            </w:pPr>
            <w:r>
              <w:rPr>
                <w:kern w:val="0"/>
                <w:sz w:val="21"/>
                <w:szCs w:val="21"/>
                <w:lang w:eastAsia="en-US"/>
              </w:rPr>
              <w:t>400g/m</w:t>
            </w:r>
            <w:r>
              <w:rPr>
                <w:kern w:val="0"/>
                <w:sz w:val="21"/>
                <w:szCs w:val="21"/>
                <w:vertAlign w:val="superscript"/>
                <w:lang w:eastAsia="en-US"/>
              </w:rPr>
              <w:t>2</w:t>
            </w:r>
          </w:p>
        </w:tc>
        <w:tc>
          <w:tcPr>
            <w:tcW w:w="629" w:type="pct"/>
            <w:tcBorders>
              <w:top w:val="single" w:color="000000" w:sz="4" w:space="0"/>
              <w:left w:val="single" w:color="000000" w:sz="4" w:space="0"/>
              <w:bottom w:val="single" w:color="000000" w:sz="4" w:space="0"/>
              <w:right w:val="single" w:color="000000" w:sz="4" w:space="0"/>
            </w:tcBorders>
          </w:tcPr>
          <w:p w14:paraId="55EF2780">
            <w:pPr>
              <w:autoSpaceDE w:val="0"/>
              <w:autoSpaceDN w:val="0"/>
              <w:jc w:val="center"/>
              <w:rPr>
                <w:kern w:val="0"/>
                <w:sz w:val="21"/>
                <w:szCs w:val="21"/>
                <w:lang w:eastAsia="en-US"/>
              </w:rPr>
            </w:pPr>
            <w:r>
              <w:rPr>
                <w:kern w:val="0"/>
                <w:sz w:val="21"/>
                <w:szCs w:val="21"/>
                <w:lang w:eastAsia="en-US"/>
              </w:rPr>
              <w:t>m</w:t>
            </w:r>
            <w:r>
              <w:rPr>
                <w:kern w:val="0"/>
                <w:sz w:val="21"/>
                <w:szCs w:val="21"/>
                <w:vertAlign w:val="superscript"/>
                <w:lang w:eastAsia="en-US"/>
              </w:rPr>
              <w:t>2</w:t>
            </w:r>
          </w:p>
        </w:tc>
        <w:tc>
          <w:tcPr>
            <w:tcW w:w="629" w:type="pct"/>
            <w:tcBorders>
              <w:top w:val="single" w:color="000000" w:sz="4" w:space="0"/>
              <w:left w:val="single" w:color="000000" w:sz="4" w:space="0"/>
              <w:bottom w:val="single" w:color="000000" w:sz="4" w:space="0"/>
              <w:right w:val="single" w:color="000000" w:sz="4" w:space="0"/>
            </w:tcBorders>
            <w:vAlign w:val="center"/>
          </w:tcPr>
          <w:p w14:paraId="52CB2FBE">
            <w:pPr>
              <w:autoSpaceDE w:val="0"/>
              <w:autoSpaceDN w:val="0"/>
              <w:jc w:val="center"/>
              <w:rPr>
                <w:kern w:val="0"/>
                <w:sz w:val="21"/>
                <w:szCs w:val="21"/>
                <w:lang w:eastAsia="en-US"/>
              </w:rPr>
            </w:pPr>
            <w:r>
              <w:rPr>
                <w:kern w:val="0"/>
                <w:sz w:val="21"/>
                <w:szCs w:val="21"/>
                <w:lang w:eastAsia="en-US"/>
              </w:rPr>
              <w:t>4189.5</w:t>
            </w:r>
          </w:p>
        </w:tc>
      </w:tr>
      <w:tr w14:paraId="4F4C19FF">
        <w:tblPrEx>
          <w:tblCellMar>
            <w:top w:w="0" w:type="dxa"/>
            <w:left w:w="0" w:type="dxa"/>
            <w:bottom w:w="0" w:type="dxa"/>
            <w:right w:w="0" w:type="dxa"/>
          </w:tblCellMar>
        </w:tblPrEx>
        <w:trPr>
          <w:jc w:val="center"/>
        </w:trPr>
        <w:tc>
          <w:tcPr>
            <w:tcW w:w="449" w:type="pct"/>
            <w:tcBorders>
              <w:top w:val="single" w:color="000000" w:sz="4" w:space="0"/>
              <w:left w:val="single" w:color="000000" w:sz="4" w:space="0"/>
              <w:bottom w:val="single" w:color="000000" w:sz="4" w:space="0"/>
              <w:right w:val="single" w:color="000000" w:sz="4" w:space="0"/>
            </w:tcBorders>
            <w:vAlign w:val="center"/>
          </w:tcPr>
          <w:p w14:paraId="2FFC3C6F">
            <w:pPr>
              <w:autoSpaceDE w:val="0"/>
              <w:autoSpaceDN w:val="0"/>
              <w:jc w:val="center"/>
              <w:rPr>
                <w:kern w:val="0"/>
                <w:sz w:val="21"/>
                <w:szCs w:val="21"/>
                <w:lang w:eastAsia="en-US"/>
              </w:rPr>
            </w:pPr>
            <w:r>
              <w:rPr>
                <w:kern w:val="0"/>
                <w:sz w:val="21"/>
                <w:szCs w:val="21"/>
                <w:lang w:eastAsia="en-US"/>
              </w:rPr>
              <w:t>8</w:t>
            </w:r>
          </w:p>
        </w:tc>
        <w:tc>
          <w:tcPr>
            <w:tcW w:w="1301" w:type="pct"/>
            <w:tcBorders>
              <w:top w:val="single" w:color="000000" w:sz="4" w:space="0"/>
              <w:left w:val="single" w:color="000000" w:sz="4" w:space="0"/>
              <w:bottom w:val="single" w:color="000000" w:sz="4" w:space="0"/>
              <w:right w:val="single" w:color="000000" w:sz="4" w:space="0"/>
            </w:tcBorders>
            <w:vAlign w:val="center"/>
          </w:tcPr>
          <w:p w14:paraId="7AA72A90">
            <w:pPr>
              <w:autoSpaceDE w:val="0"/>
              <w:autoSpaceDN w:val="0"/>
              <w:jc w:val="center"/>
              <w:rPr>
                <w:kern w:val="0"/>
                <w:sz w:val="21"/>
                <w:szCs w:val="21"/>
                <w:lang w:eastAsia="en-US"/>
              </w:rPr>
            </w:pPr>
            <w:r>
              <w:rPr>
                <w:kern w:val="0"/>
                <w:sz w:val="21"/>
                <w:szCs w:val="21"/>
                <w:lang w:eastAsia="en-US"/>
              </w:rPr>
              <w:t>蒿柳</w:t>
            </w:r>
          </w:p>
        </w:tc>
        <w:tc>
          <w:tcPr>
            <w:tcW w:w="1993" w:type="pct"/>
            <w:tcBorders>
              <w:top w:val="single" w:color="000000" w:sz="4" w:space="0"/>
              <w:left w:val="single" w:color="000000" w:sz="4" w:space="0"/>
              <w:bottom w:val="single" w:color="000000" w:sz="4" w:space="0"/>
              <w:right w:val="single" w:color="000000" w:sz="4" w:space="0"/>
            </w:tcBorders>
            <w:vAlign w:val="center"/>
          </w:tcPr>
          <w:p w14:paraId="7A18D803">
            <w:pPr>
              <w:autoSpaceDE w:val="0"/>
              <w:autoSpaceDN w:val="0"/>
              <w:jc w:val="center"/>
              <w:rPr>
                <w:kern w:val="0"/>
                <w:sz w:val="21"/>
                <w:szCs w:val="21"/>
                <w:lang w:eastAsia="en-US"/>
              </w:rPr>
            </w:pPr>
            <w:r>
              <w:rPr>
                <w:kern w:val="0"/>
                <w:sz w:val="21"/>
                <w:szCs w:val="21"/>
                <w:lang w:eastAsia="en-US"/>
              </w:rPr>
              <w:t>高度 0.4m，种植密度 1.5 株/m2</w:t>
            </w:r>
          </w:p>
        </w:tc>
        <w:tc>
          <w:tcPr>
            <w:tcW w:w="629" w:type="pct"/>
            <w:tcBorders>
              <w:top w:val="single" w:color="000000" w:sz="4" w:space="0"/>
              <w:left w:val="single" w:color="000000" w:sz="4" w:space="0"/>
              <w:bottom w:val="single" w:color="000000" w:sz="4" w:space="0"/>
              <w:right w:val="single" w:color="000000" w:sz="4" w:space="0"/>
            </w:tcBorders>
          </w:tcPr>
          <w:p w14:paraId="2623D51E">
            <w:pPr>
              <w:autoSpaceDE w:val="0"/>
              <w:autoSpaceDN w:val="0"/>
              <w:jc w:val="center"/>
              <w:rPr>
                <w:kern w:val="0"/>
                <w:sz w:val="21"/>
                <w:szCs w:val="21"/>
                <w:lang w:eastAsia="en-US"/>
              </w:rPr>
            </w:pPr>
            <w:r>
              <w:rPr>
                <w:kern w:val="0"/>
                <w:sz w:val="21"/>
                <w:szCs w:val="21"/>
                <w:lang w:eastAsia="en-US"/>
              </w:rPr>
              <w:t>m</w:t>
            </w:r>
            <w:r>
              <w:rPr>
                <w:kern w:val="0"/>
                <w:sz w:val="21"/>
                <w:szCs w:val="21"/>
                <w:vertAlign w:val="superscript"/>
                <w:lang w:eastAsia="en-US"/>
              </w:rPr>
              <w:t>2</w:t>
            </w:r>
          </w:p>
        </w:tc>
        <w:tc>
          <w:tcPr>
            <w:tcW w:w="629" w:type="pct"/>
            <w:tcBorders>
              <w:top w:val="single" w:color="000000" w:sz="4" w:space="0"/>
              <w:left w:val="single" w:color="000000" w:sz="4" w:space="0"/>
              <w:bottom w:val="single" w:color="000000" w:sz="4" w:space="0"/>
              <w:right w:val="single" w:color="000000" w:sz="4" w:space="0"/>
            </w:tcBorders>
            <w:vAlign w:val="center"/>
          </w:tcPr>
          <w:p w14:paraId="47B39446">
            <w:pPr>
              <w:autoSpaceDE w:val="0"/>
              <w:autoSpaceDN w:val="0"/>
              <w:jc w:val="center"/>
              <w:rPr>
                <w:kern w:val="0"/>
                <w:sz w:val="21"/>
                <w:szCs w:val="21"/>
                <w:lang w:eastAsia="en-US"/>
              </w:rPr>
            </w:pPr>
            <w:r>
              <w:rPr>
                <w:kern w:val="0"/>
                <w:sz w:val="21"/>
                <w:szCs w:val="21"/>
                <w:lang w:eastAsia="en-US"/>
              </w:rPr>
              <w:t>9508</w:t>
            </w:r>
          </w:p>
        </w:tc>
      </w:tr>
      <w:tr w14:paraId="3AE1FF5C">
        <w:tblPrEx>
          <w:tblCellMar>
            <w:top w:w="0" w:type="dxa"/>
            <w:left w:w="0" w:type="dxa"/>
            <w:bottom w:w="0" w:type="dxa"/>
            <w:right w:w="0" w:type="dxa"/>
          </w:tblCellMar>
        </w:tblPrEx>
        <w:trPr>
          <w:jc w:val="center"/>
        </w:trPr>
        <w:tc>
          <w:tcPr>
            <w:tcW w:w="449" w:type="pct"/>
            <w:tcBorders>
              <w:top w:val="single" w:color="000000" w:sz="4" w:space="0"/>
              <w:left w:val="single" w:color="000000" w:sz="4" w:space="0"/>
              <w:bottom w:val="single" w:color="000000" w:sz="4" w:space="0"/>
              <w:right w:val="single" w:color="000000" w:sz="4" w:space="0"/>
            </w:tcBorders>
            <w:vAlign w:val="center"/>
          </w:tcPr>
          <w:p w14:paraId="358E19F0">
            <w:pPr>
              <w:autoSpaceDE w:val="0"/>
              <w:autoSpaceDN w:val="0"/>
              <w:jc w:val="center"/>
              <w:rPr>
                <w:kern w:val="0"/>
                <w:sz w:val="21"/>
                <w:szCs w:val="21"/>
                <w:lang w:eastAsia="en-US"/>
              </w:rPr>
            </w:pPr>
            <w:r>
              <w:rPr>
                <w:kern w:val="0"/>
                <w:sz w:val="21"/>
                <w:szCs w:val="21"/>
                <w:lang w:eastAsia="en-US"/>
              </w:rPr>
              <w:t>9</w:t>
            </w:r>
          </w:p>
        </w:tc>
        <w:tc>
          <w:tcPr>
            <w:tcW w:w="1301" w:type="pct"/>
            <w:tcBorders>
              <w:top w:val="single" w:color="000000" w:sz="4" w:space="0"/>
              <w:left w:val="single" w:color="000000" w:sz="4" w:space="0"/>
              <w:bottom w:val="single" w:color="000000" w:sz="4" w:space="0"/>
              <w:right w:val="single" w:color="000000" w:sz="4" w:space="0"/>
            </w:tcBorders>
            <w:vAlign w:val="center"/>
          </w:tcPr>
          <w:p w14:paraId="2785DEE9">
            <w:pPr>
              <w:autoSpaceDE w:val="0"/>
              <w:autoSpaceDN w:val="0"/>
              <w:jc w:val="center"/>
              <w:rPr>
                <w:kern w:val="0"/>
                <w:sz w:val="21"/>
                <w:szCs w:val="21"/>
                <w:lang w:eastAsia="en-US"/>
              </w:rPr>
            </w:pPr>
            <w:r>
              <w:rPr>
                <w:kern w:val="0"/>
                <w:sz w:val="21"/>
                <w:szCs w:val="21"/>
                <w:lang w:eastAsia="en-US"/>
              </w:rPr>
              <w:t>连翘</w:t>
            </w:r>
          </w:p>
        </w:tc>
        <w:tc>
          <w:tcPr>
            <w:tcW w:w="1993" w:type="pct"/>
            <w:tcBorders>
              <w:top w:val="single" w:color="000000" w:sz="4" w:space="0"/>
              <w:left w:val="single" w:color="000000" w:sz="4" w:space="0"/>
              <w:bottom w:val="single" w:color="000000" w:sz="4" w:space="0"/>
              <w:right w:val="single" w:color="000000" w:sz="4" w:space="0"/>
            </w:tcBorders>
            <w:vAlign w:val="center"/>
          </w:tcPr>
          <w:p w14:paraId="55C55880">
            <w:pPr>
              <w:autoSpaceDE w:val="0"/>
              <w:autoSpaceDN w:val="0"/>
              <w:jc w:val="center"/>
              <w:rPr>
                <w:kern w:val="0"/>
                <w:sz w:val="21"/>
                <w:szCs w:val="21"/>
                <w:lang w:eastAsia="en-US"/>
              </w:rPr>
            </w:pPr>
            <w:r>
              <w:rPr>
                <w:kern w:val="0"/>
                <w:sz w:val="21"/>
                <w:szCs w:val="21"/>
                <w:lang w:eastAsia="en-US"/>
              </w:rPr>
              <w:t>200 株/亩，株距 2m</w:t>
            </w:r>
          </w:p>
        </w:tc>
        <w:tc>
          <w:tcPr>
            <w:tcW w:w="629" w:type="pct"/>
            <w:tcBorders>
              <w:top w:val="single" w:color="000000" w:sz="4" w:space="0"/>
              <w:left w:val="single" w:color="000000" w:sz="4" w:space="0"/>
              <w:bottom w:val="single" w:color="000000" w:sz="4" w:space="0"/>
              <w:right w:val="single" w:color="000000" w:sz="4" w:space="0"/>
            </w:tcBorders>
          </w:tcPr>
          <w:p w14:paraId="0EE107C3">
            <w:pPr>
              <w:autoSpaceDE w:val="0"/>
              <w:autoSpaceDN w:val="0"/>
              <w:jc w:val="center"/>
              <w:rPr>
                <w:kern w:val="0"/>
                <w:sz w:val="21"/>
                <w:szCs w:val="21"/>
                <w:lang w:eastAsia="en-US"/>
              </w:rPr>
            </w:pPr>
            <w:r>
              <w:rPr>
                <w:kern w:val="0"/>
                <w:sz w:val="21"/>
                <w:szCs w:val="21"/>
                <w:lang w:eastAsia="en-US"/>
              </w:rPr>
              <w:t>m</w:t>
            </w:r>
            <w:r>
              <w:rPr>
                <w:kern w:val="0"/>
                <w:sz w:val="21"/>
                <w:szCs w:val="21"/>
                <w:vertAlign w:val="superscript"/>
                <w:lang w:eastAsia="en-US"/>
              </w:rPr>
              <w:t>2</w:t>
            </w:r>
          </w:p>
        </w:tc>
        <w:tc>
          <w:tcPr>
            <w:tcW w:w="629" w:type="pct"/>
            <w:tcBorders>
              <w:top w:val="single" w:color="000000" w:sz="4" w:space="0"/>
              <w:left w:val="single" w:color="000000" w:sz="4" w:space="0"/>
              <w:bottom w:val="single" w:color="000000" w:sz="4" w:space="0"/>
              <w:right w:val="single" w:color="000000" w:sz="4" w:space="0"/>
            </w:tcBorders>
            <w:vAlign w:val="center"/>
          </w:tcPr>
          <w:p w14:paraId="69F36E79">
            <w:pPr>
              <w:autoSpaceDE w:val="0"/>
              <w:autoSpaceDN w:val="0"/>
              <w:jc w:val="center"/>
              <w:rPr>
                <w:kern w:val="0"/>
                <w:sz w:val="21"/>
                <w:szCs w:val="21"/>
                <w:lang w:eastAsia="en-US"/>
              </w:rPr>
            </w:pPr>
            <w:r>
              <w:rPr>
                <w:kern w:val="0"/>
                <w:sz w:val="21"/>
                <w:szCs w:val="21"/>
                <w:lang w:eastAsia="en-US"/>
              </w:rPr>
              <w:t>20068</w:t>
            </w:r>
          </w:p>
        </w:tc>
      </w:tr>
      <w:tr w14:paraId="35014120">
        <w:tblPrEx>
          <w:tblCellMar>
            <w:top w:w="0" w:type="dxa"/>
            <w:left w:w="0" w:type="dxa"/>
            <w:bottom w:w="0" w:type="dxa"/>
            <w:right w:w="0" w:type="dxa"/>
          </w:tblCellMar>
        </w:tblPrEx>
        <w:trPr>
          <w:jc w:val="center"/>
        </w:trPr>
        <w:tc>
          <w:tcPr>
            <w:tcW w:w="449" w:type="pct"/>
            <w:tcBorders>
              <w:top w:val="single" w:color="000000" w:sz="4" w:space="0"/>
              <w:left w:val="single" w:color="000000" w:sz="4" w:space="0"/>
              <w:bottom w:val="single" w:color="000000" w:sz="4" w:space="0"/>
              <w:right w:val="single" w:color="000000" w:sz="4" w:space="0"/>
            </w:tcBorders>
            <w:vAlign w:val="center"/>
          </w:tcPr>
          <w:p w14:paraId="0B0E3960">
            <w:pPr>
              <w:autoSpaceDE w:val="0"/>
              <w:autoSpaceDN w:val="0"/>
              <w:jc w:val="center"/>
              <w:rPr>
                <w:kern w:val="0"/>
                <w:sz w:val="21"/>
                <w:szCs w:val="21"/>
                <w:lang w:eastAsia="en-US"/>
              </w:rPr>
            </w:pPr>
            <w:r>
              <w:rPr>
                <w:kern w:val="0"/>
                <w:sz w:val="21"/>
                <w:szCs w:val="21"/>
                <w:lang w:eastAsia="en-US"/>
              </w:rPr>
              <w:t>10</w:t>
            </w:r>
          </w:p>
        </w:tc>
        <w:tc>
          <w:tcPr>
            <w:tcW w:w="1301" w:type="pct"/>
            <w:tcBorders>
              <w:top w:val="single" w:color="000000" w:sz="4" w:space="0"/>
              <w:left w:val="single" w:color="000000" w:sz="4" w:space="0"/>
              <w:bottom w:val="single" w:color="000000" w:sz="4" w:space="0"/>
              <w:right w:val="single" w:color="000000" w:sz="4" w:space="0"/>
            </w:tcBorders>
            <w:vAlign w:val="center"/>
          </w:tcPr>
          <w:p w14:paraId="3BBBE042">
            <w:pPr>
              <w:autoSpaceDE w:val="0"/>
              <w:autoSpaceDN w:val="0"/>
              <w:jc w:val="center"/>
              <w:rPr>
                <w:kern w:val="0"/>
                <w:sz w:val="21"/>
                <w:szCs w:val="21"/>
                <w:lang w:eastAsia="en-US"/>
              </w:rPr>
            </w:pPr>
            <w:r>
              <w:rPr>
                <w:kern w:val="0"/>
                <w:sz w:val="21"/>
                <w:szCs w:val="21"/>
                <w:lang w:eastAsia="en-US"/>
              </w:rPr>
              <w:t>沙地柏</w:t>
            </w:r>
          </w:p>
        </w:tc>
        <w:tc>
          <w:tcPr>
            <w:tcW w:w="1993" w:type="pct"/>
            <w:tcBorders>
              <w:top w:val="single" w:color="000000" w:sz="4" w:space="0"/>
              <w:left w:val="single" w:color="000000" w:sz="4" w:space="0"/>
              <w:bottom w:val="single" w:color="000000" w:sz="4" w:space="0"/>
              <w:right w:val="single" w:color="000000" w:sz="4" w:space="0"/>
            </w:tcBorders>
            <w:vAlign w:val="center"/>
          </w:tcPr>
          <w:p w14:paraId="31970949">
            <w:pPr>
              <w:autoSpaceDE w:val="0"/>
              <w:autoSpaceDN w:val="0"/>
              <w:jc w:val="center"/>
              <w:rPr>
                <w:kern w:val="0"/>
                <w:sz w:val="21"/>
                <w:szCs w:val="21"/>
                <w:lang w:eastAsia="en-US"/>
              </w:rPr>
            </w:pPr>
            <w:r>
              <w:rPr>
                <w:kern w:val="0"/>
                <w:sz w:val="21"/>
                <w:szCs w:val="21"/>
                <w:lang w:eastAsia="en-US"/>
              </w:rPr>
              <w:t>冠幅 30-40cm，8 株/m2</w:t>
            </w:r>
          </w:p>
        </w:tc>
        <w:tc>
          <w:tcPr>
            <w:tcW w:w="629" w:type="pct"/>
            <w:tcBorders>
              <w:top w:val="single" w:color="000000" w:sz="4" w:space="0"/>
              <w:left w:val="single" w:color="000000" w:sz="4" w:space="0"/>
              <w:bottom w:val="single" w:color="000000" w:sz="4" w:space="0"/>
              <w:right w:val="single" w:color="000000" w:sz="4" w:space="0"/>
            </w:tcBorders>
          </w:tcPr>
          <w:p w14:paraId="0A4C1009">
            <w:pPr>
              <w:autoSpaceDE w:val="0"/>
              <w:autoSpaceDN w:val="0"/>
              <w:jc w:val="center"/>
              <w:rPr>
                <w:kern w:val="0"/>
                <w:sz w:val="21"/>
                <w:szCs w:val="21"/>
                <w:lang w:eastAsia="en-US"/>
              </w:rPr>
            </w:pPr>
            <w:r>
              <w:rPr>
                <w:kern w:val="0"/>
                <w:sz w:val="21"/>
                <w:szCs w:val="21"/>
                <w:lang w:eastAsia="en-US"/>
              </w:rPr>
              <w:t>m</w:t>
            </w:r>
            <w:r>
              <w:rPr>
                <w:kern w:val="0"/>
                <w:sz w:val="21"/>
                <w:szCs w:val="21"/>
                <w:vertAlign w:val="superscript"/>
                <w:lang w:eastAsia="en-US"/>
              </w:rPr>
              <w:t>2</w:t>
            </w:r>
          </w:p>
        </w:tc>
        <w:tc>
          <w:tcPr>
            <w:tcW w:w="629" w:type="pct"/>
            <w:tcBorders>
              <w:top w:val="single" w:color="000000" w:sz="4" w:space="0"/>
              <w:left w:val="single" w:color="000000" w:sz="4" w:space="0"/>
              <w:bottom w:val="single" w:color="000000" w:sz="4" w:space="0"/>
              <w:right w:val="single" w:color="000000" w:sz="4" w:space="0"/>
            </w:tcBorders>
            <w:vAlign w:val="center"/>
          </w:tcPr>
          <w:p w14:paraId="230FECEF">
            <w:pPr>
              <w:autoSpaceDE w:val="0"/>
              <w:autoSpaceDN w:val="0"/>
              <w:jc w:val="center"/>
              <w:rPr>
                <w:kern w:val="0"/>
                <w:sz w:val="21"/>
                <w:szCs w:val="21"/>
                <w:lang w:eastAsia="en-US"/>
              </w:rPr>
            </w:pPr>
            <w:r>
              <w:rPr>
                <w:kern w:val="0"/>
                <w:sz w:val="21"/>
                <w:szCs w:val="21"/>
                <w:lang w:eastAsia="en-US"/>
              </w:rPr>
              <w:t>20068</w:t>
            </w:r>
          </w:p>
        </w:tc>
      </w:tr>
      <w:tr w14:paraId="6B162176">
        <w:tblPrEx>
          <w:tblCellMar>
            <w:top w:w="0" w:type="dxa"/>
            <w:left w:w="0" w:type="dxa"/>
            <w:bottom w:w="0" w:type="dxa"/>
            <w:right w:w="0" w:type="dxa"/>
          </w:tblCellMar>
        </w:tblPrEx>
        <w:trPr>
          <w:jc w:val="center"/>
        </w:trPr>
        <w:tc>
          <w:tcPr>
            <w:tcW w:w="449" w:type="pct"/>
            <w:tcBorders>
              <w:top w:val="single" w:color="000000" w:sz="4" w:space="0"/>
              <w:left w:val="single" w:color="000000" w:sz="4" w:space="0"/>
              <w:bottom w:val="single" w:color="000000" w:sz="4" w:space="0"/>
              <w:right w:val="single" w:color="000000" w:sz="4" w:space="0"/>
            </w:tcBorders>
            <w:vAlign w:val="center"/>
          </w:tcPr>
          <w:p w14:paraId="0C2C3A3A">
            <w:pPr>
              <w:autoSpaceDE w:val="0"/>
              <w:autoSpaceDN w:val="0"/>
              <w:jc w:val="center"/>
              <w:rPr>
                <w:kern w:val="0"/>
                <w:sz w:val="21"/>
                <w:szCs w:val="21"/>
                <w:lang w:eastAsia="en-US"/>
              </w:rPr>
            </w:pPr>
            <w:r>
              <w:rPr>
                <w:kern w:val="0"/>
                <w:sz w:val="21"/>
                <w:szCs w:val="21"/>
                <w:lang w:eastAsia="en-US"/>
              </w:rPr>
              <w:t>11</w:t>
            </w:r>
          </w:p>
        </w:tc>
        <w:tc>
          <w:tcPr>
            <w:tcW w:w="1301" w:type="pct"/>
            <w:tcBorders>
              <w:top w:val="single" w:color="000000" w:sz="4" w:space="0"/>
              <w:left w:val="single" w:color="000000" w:sz="4" w:space="0"/>
              <w:bottom w:val="single" w:color="000000" w:sz="4" w:space="0"/>
              <w:right w:val="single" w:color="000000" w:sz="4" w:space="0"/>
            </w:tcBorders>
            <w:vAlign w:val="center"/>
          </w:tcPr>
          <w:p w14:paraId="17C26F22">
            <w:pPr>
              <w:autoSpaceDE w:val="0"/>
              <w:autoSpaceDN w:val="0"/>
              <w:jc w:val="center"/>
              <w:rPr>
                <w:kern w:val="0"/>
                <w:sz w:val="21"/>
                <w:szCs w:val="21"/>
                <w:lang w:eastAsia="en-US"/>
              </w:rPr>
            </w:pPr>
            <w:r>
              <w:rPr>
                <w:kern w:val="0"/>
                <w:sz w:val="21"/>
                <w:szCs w:val="21"/>
                <w:lang w:eastAsia="en-US"/>
              </w:rPr>
              <w:t>高羊茅</w:t>
            </w:r>
          </w:p>
        </w:tc>
        <w:tc>
          <w:tcPr>
            <w:tcW w:w="1993" w:type="pct"/>
            <w:tcBorders>
              <w:top w:val="single" w:color="000000" w:sz="4" w:space="0"/>
              <w:left w:val="single" w:color="000000" w:sz="4" w:space="0"/>
              <w:bottom w:val="single" w:color="000000" w:sz="4" w:space="0"/>
              <w:right w:val="single" w:color="000000" w:sz="4" w:space="0"/>
            </w:tcBorders>
            <w:vAlign w:val="center"/>
          </w:tcPr>
          <w:p w14:paraId="192E1756">
            <w:pPr>
              <w:autoSpaceDE w:val="0"/>
              <w:autoSpaceDN w:val="0"/>
              <w:jc w:val="center"/>
              <w:rPr>
                <w:kern w:val="0"/>
                <w:sz w:val="21"/>
                <w:szCs w:val="21"/>
                <w:lang w:eastAsia="en-US"/>
              </w:rPr>
            </w:pPr>
            <w:r>
              <w:rPr>
                <w:kern w:val="0"/>
                <w:sz w:val="21"/>
                <w:szCs w:val="21"/>
                <w:lang w:eastAsia="en-US"/>
              </w:rPr>
              <w:t>25g/m</w:t>
            </w:r>
            <w:r>
              <w:rPr>
                <w:kern w:val="0"/>
                <w:sz w:val="21"/>
                <w:szCs w:val="21"/>
                <w:vertAlign w:val="superscript"/>
                <w:lang w:eastAsia="en-US"/>
              </w:rPr>
              <w:t>2</w:t>
            </w:r>
          </w:p>
        </w:tc>
        <w:tc>
          <w:tcPr>
            <w:tcW w:w="629" w:type="pct"/>
            <w:tcBorders>
              <w:top w:val="single" w:color="000000" w:sz="4" w:space="0"/>
              <w:left w:val="single" w:color="000000" w:sz="4" w:space="0"/>
              <w:bottom w:val="single" w:color="000000" w:sz="4" w:space="0"/>
              <w:right w:val="single" w:color="000000" w:sz="4" w:space="0"/>
            </w:tcBorders>
          </w:tcPr>
          <w:p w14:paraId="1842099F">
            <w:pPr>
              <w:autoSpaceDE w:val="0"/>
              <w:autoSpaceDN w:val="0"/>
              <w:jc w:val="center"/>
              <w:rPr>
                <w:kern w:val="0"/>
                <w:sz w:val="21"/>
                <w:szCs w:val="21"/>
                <w:lang w:eastAsia="en-US"/>
              </w:rPr>
            </w:pPr>
            <w:r>
              <w:rPr>
                <w:kern w:val="0"/>
                <w:sz w:val="21"/>
                <w:szCs w:val="21"/>
                <w:lang w:eastAsia="en-US"/>
              </w:rPr>
              <w:t>m</w:t>
            </w:r>
            <w:r>
              <w:rPr>
                <w:kern w:val="0"/>
                <w:sz w:val="21"/>
                <w:szCs w:val="21"/>
                <w:vertAlign w:val="superscript"/>
                <w:lang w:eastAsia="en-US"/>
              </w:rPr>
              <w:t>2</w:t>
            </w:r>
          </w:p>
        </w:tc>
        <w:tc>
          <w:tcPr>
            <w:tcW w:w="629" w:type="pct"/>
            <w:tcBorders>
              <w:top w:val="single" w:color="000000" w:sz="4" w:space="0"/>
              <w:left w:val="single" w:color="000000" w:sz="4" w:space="0"/>
              <w:bottom w:val="single" w:color="000000" w:sz="4" w:space="0"/>
              <w:right w:val="single" w:color="000000" w:sz="4" w:space="0"/>
            </w:tcBorders>
            <w:vAlign w:val="center"/>
          </w:tcPr>
          <w:p w14:paraId="3877E843">
            <w:pPr>
              <w:autoSpaceDE w:val="0"/>
              <w:autoSpaceDN w:val="0"/>
              <w:jc w:val="center"/>
              <w:rPr>
                <w:kern w:val="0"/>
                <w:sz w:val="21"/>
                <w:szCs w:val="21"/>
                <w:lang w:eastAsia="en-US"/>
              </w:rPr>
            </w:pPr>
            <w:r>
              <w:rPr>
                <w:kern w:val="0"/>
                <w:sz w:val="21"/>
                <w:szCs w:val="21"/>
                <w:lang w:eastAsia="en-US"/>
              </w:rPr>
              <w:t>23420</w:t>
            </w:r>
          </w:p>
        </w:tc>
      </w:tr>
      <w:tr w14:paraId="06D519E5">
        <w:tblPrEx>
          <w:tblCellMar>
            <w:top w:w="0" w:type="dxa"/>
            <w:left w:w="0" w:type="dxa"/>
            <w:bottom w:w="0" w:type="dxa"/>
            <w:right w:w="0" w:type="dxa"/>
          </w:tblCellMar>
        </w:tblPrEx>
        <w:trPr>
          <w:jc w:val="center"/>
        </w:trPr>
        <w:tc>
          <w:tcPr>
            <w:tcW w:w="449" w:type="pct"/>
            <w:tcBorders>
              <w:top w:val="single" w:color="000000" w:sz="4" w:space="0"/>
              <w:left w:val="single" w:color="000000" w:sz="4" w:space="0"/>
              <w:bottom w:val="single" w:color="000000" w:sz="4" w:space="0"/>
              <w:right w:val="single" w:color="000000" w:sz="4" w:space="0"/>
            </w:tcBorders>
            <w:vAlign w:val="center"/>
          </w:tcPr>
          <w:p w14:paraId="4B0EA4E0">
            <w:pPr>
              <w:autoSpaceDE w:val="0"/>
              <w:autoSpaceDN w:val="0"/>
              <w:jc w:val="center"/>
              <w:rPr>
                <w:kern w:val="0"/>
                <w:sz w:val="21"/>
                <w:szCs w:val="21"/>
                <w:lang w:eastAsia="en-US"/>
              </w:rPr>
            </w:pPr>
            <w:r>
              <w:rPr>
                <w:kern w:val="0"/>
                <w:sz w:val="21"/>
                <w:szCs w:val="21"/>
                <w:lang w:eastAsia="en-US"/>
              </w:rPr>
              <w:t>12</w:t>
            </w:r>
          </w:p>
        </w:tc>
        <w:tc>
          <w:tcPr>
            <w:tcW w:w="1301" w:type="pct"/>
            <w:tcBorders>
              <w:top w:val="single" w:color="000000" w:sz="4" w:space="0"/>
              <w:left w:val="single" w:color="000000" w:sz="4" w:space="0"/>
              <w:bottom w:val="single" w:color="000000" w:sz="4" w:space="0"/>
              <w:right w:val="single" w:color="000000" w:sz="4" w:space="0"/>
            </w:tcBorders>
            <w:vAlign w:val="center"/>
          </w:tcPr>
          <w:p w14:paraId="0BD80CB4">
            <w:pPr>
              <w:autoSpaceDE w:val="0"/>
              <w:autoSpaceDN w:val="0"/>
              <w:jc w:val="center"/>
              <w:rPr>
                <w:kern w:val="0"/>
                <w:sz w:val="21"/>
                <w:szCs w:val="21"/>
                <w:lang w:eastAsia="en-US"/>
              </w:rPr>
            </w:pPr>
            <w:r>
              <w:rPr>
                <w:kern w:val="0"/>
                <w:sz w:val="21"/>
                <w:szCs w:val="21"/>
                <w:lang w:eastAsia="en-US"/>
              </w:rPr>
              <w:t>种植土</w:t>
            </w:r>
          </w:p>
        </w:tc>
        <w:tc>
          <w:tcPr>
            <w:tcW w:w="1993" w:type="pct"/>
            <w:tcBorders>
              <w:top w:val="single" w:color="000000" w:sz="4" w:space="0"/>
              <w:left w:val="single" w:color="000000" w:sz="4" w:space="0"/>
              <w:bottom w:val="single" w:color="000000" w:sz="4" w:space="0"/>
              <w:right w:val="single" w:color="000000" w:sz="4" w:space="0"/>
            </w:tcBorders>
            <w:vAlign w:val="center"/>
          </w:tcPr>
          <w:p w14:paraId="7A6C1B5F">
            <w:pPr>
              <w:autoSpaceDE w:val="0"/>
              <w:autoSpaceDN w:val="0"/>
              <w:jc w:val="center"/>
              <w:rPr>
                <w:kern w:val="0"/>
                <w:sz w:val="21"/>
                <w:szCs w:val="21"/>
                <w:lang w:eastAsia="en-US"/>
              </w:rPr>
            </w:pPr>
            <w:r>
              <w:rPr>
                <w:kern w:val="0"/>
                <w:sz w:val="21"/>
                <w:szCs w:val="21"/>
                <w:lang w:eastAsia="en-US"/>
              </w:rPr>
              <w:t>/</w:t>
            </w:r>
          </w:p>
        </w:tc>
        <w:tc>
          <w:tcPr>
            <w:tcW w:w="629" w:type="pct"/>
            <w:tcBorders>
              <w:top w:val="single" w:color="000000" w:sz="4" w:space="0"/>
              <w:left w:val="single" w:color="000000" w:sz="4" w:space="0"/>
              <w:bottom w:val="single" w:color="000000" w:sz="4" w:space="0"/>
              <w:right w:val="single" w:color="000000" w:sz="4" w:space="0"/>
            </w:tcBorders>
            <w:vAlign w:val="center"/>
          </w:tcPr>
          <w:p w14:paraId="2062FE61">
            <w:pPr>
              <w:autoSpaceDE w:val="0"/>
              <w:autoSpaceDN w:val="0"/>
              <w:jc w:val="center"/>
              <w:rPr>
                <w:kern w:val="0"/>
                <w:sz w:val="21"/>
                <w:szCs w:val="21"/>
                <w:lang w:eastAsia="en-US"/>
              </w:rPr>
            </w:pPr>
            <w:r>
              <w:rPr>
                <w:rFonts w:hint="eastAsia"/>
                <w:kern w:val="0"/>
                <w:sz w:val="21"/>
                <w:szCs w:val="21"/>
                <w:lang w:eastAsia="en-US"/>
              </w:rPr>
              <w:t>m</w:t>
            </w:r>
            <w:r>
              <w:rPr>
                <w:kern w:val="0"/>
                <w:sz w:val="21"/>
                <w:szCs w:val="21"/>
                <w:vertAlign w:val="superscript"/>
                <w:lang w:eastAsia="en-US"/>
              </w:rPr>
              <w:t>3</w:t>
            </w:r>
          </w:p>
        </w:tc>
        <w:tc>
          <w:tcPr>
            <w:tcW w:w="629" w:type="pct"/>
            <w:tcBorders>
              <w:top w:val="single" w:color="000000" w:sz="4" w:space="0"/>
              <w:left w:val="single" w:color="000000" w:sz="4" w:space="0"/>
              <w:bottom w:val="single" w:color="000000" w:sz="4" w:space="0"/>
              <w:right w:val="single" w:color="000000" w:sz="4" w:space="0"/>
            </w:tcBorders>
            <w:vAlign w:val="center"/>
          </w:tcPr>
          <w:p w14:paraId="10C59440">
            <w:pPr>
              <w:autoSpaceDE w:val="0"/>
              <w:autoSpaceDN w:val="0"/>
              <w:jc w:val="center"/>
              <w:rPr>
                <w:kern w:val="0"/>
                <w:sz w:val="21"/>
                <w:szCs w:val="21"/>
                <w:lang w:eastAsia="en-US"/>
              </w:rPr>
            </w:pPr>
            <w:r>
              <w:rPr>
                <w:kern w:val="0"/>
                <w:sz w:val="21"/>
                <w:szCs w:val="21"/>
                <w:lang w:eastAsia="en-US"/>
              </w:rPr>
              <w:t>21919.2</w:t>
            </w:r>
          </w:p>
        </w:tc>
      </w:tr>
      <w:tr w14:paraId="744E6F7F">
        <w:tblPrEx>
          <w:tblCellMar>
            <w:top w:w="0" w:type="dxa"/>
            <w:left w:w="0" w:type="dxa"/>
            <w:bottom w:w="0" w:type="dxa"/>
            <w:right w:w="0" w:type="dxa"/>
          </w:tblCellMar>
        </w:tblPrEx>
        <w:trPr>
          <w:jc w:val="center"/>
        </w:trPr>
        <w:tc>
          <w:tcPr>
            <w:tcW w:w="449" w:type="pct"/>
            <w:tcBorders>
              <w:top w:val="single" w:color="000000" w:sz="4" w:space="0"/>
              <w:left w:val="single" w:color="000000" w:sz="4" w:space="0"/>
              <w:bottom w:val="single" w:color="000000" w:sz="4" w:space="0"/>
              <w:right w:val="single" w:color="000000" w:sz="4" w:space="0"/>
            </w:tcBorders>
            <w:vAlign w:val="center"/>
          </w:tcPr>
          <w:p w14:paraId="384F13F9">
            <w:pPr>
              <w:autoSpaceDE w:val="0"/>
              <w:autoSpaceDN w:val="0"/>
              <w:jc w:val="center"/>
              <w:rPr>
                <w:kern w:val="0"/>
                <w:sz w:val="21"/>
                <w:szCs w:val="21"/>
                <w:lang w:eastAsia="en-US"/>
              </w:rPr>
            </w:pPr>
            <w:r>
              <w:rPr>
                <w:kern w:val="0"/>
                <w:sz w:val="21"/>
                <w:szCs w:val="21"/>
                <w:lang w:eastAsia="en-US"/>
              </w:rPr>
              <w:t>13</w:t>
            </w:r>
          </w:p>
        </w:tc>
        <w:tc>
          <w:tcPr>
            <w:tcW w:w="1301" w:type="pct"/>
            <w:tcBorders>
              <w:top w:val="single" w:color="000000" w:sz="4" w:space="0"/>
              <w:left w:val="single" w:color="000000" w:sz="4" w:space="0"/>
              <w:bottom w:val="single" w:color="000000" w:sz="4" w:space="0"/>
              <w:right w:val="single" w:color="000000" w:sz="4" w:space="0"/>
            </w:tcBorders>
            <w:vAlign w:val="center"/>
          </w:tcPr>
          <w:p w14:paraId="4CBE109F">
            <w:pPr>
              <w:autoSpaceDE w:val="0"/>
              <w:autoSpaceDN w:val="0"/>
              <w:jc w:val="center"/>
              <w:rPr>
                <w:kern w:val="0"/>
                <w:sz w:val="21"/>
                <w:szCs w:val="21"/>
                <w:lang w:eastAsia="en-US"/>
              </w:rPr>
            </w:pPr>
            <w:r>
              <w:rPr>
                <w:kern w:val="0"/>
                <w:sz w:val="21"/>
                <w:szCs w:val="21"/>
                <w:lang w:eastAsia="en-US"/>
              </w:rPr>
              <w:t>香蒲</w:t>
            </w:r>
          </w:p>
        </w:tc>
        <w:tc>
          <w:tcPr>
            <w:tcW w:w="1993" w:type="pct"/>
            <w:tcBorders>
              <w:top w:val="single" w:color="000000" w:sz="4" w:space="0"/>
              <w:left w:val="single" w:color="000000" w:sz="4" w:space="0"/>
              <w:bottom w:val="single" w:color="000000" w:sz="4" w:space="0"/>
              <w:right w:val="single" w:color="000000" w:sz="4" w:space="0"/>
            </w:tcBorders>
            <w:vAlign w:val="center"/>
          </w:tcPr>
          <w:p w14:paraId="32908372">
            <w:pPr>
              <w:autoSpaceDE w:val="0"/>
              <w:autoSpaceDN w:val="0"/>
              <w:jc w:val="center"/>
              <w:rPr>
                <w:kern w:val="0"/>
                <w:sz w:val="21"/>
                <w:szCs w:val="21"/>
                <w:lang w:eastAsia="en-US"/>
              </w:rPr>
            </w:pPr>
            <w:r>
              <w:rPr>
                <w:kern w:val="0"/>
                <w:sz w:val="21"/>
                <w:szCs w:val="21"/>
                <w:lang w:eastAsia="en-US"/>
              </w:rPr>
              <w:t>9 株/m</w:t>
            </w:r>
            <w:r>
              <w:rPr>
                <w:kern w:val="0"/>
                <w:sz w:val="21"/>
                <w:szCs w:val="21"/>
                <w:vertAlign w:val="superscript"/>
                <w:lang w:eastAsia="en-US"/>
              </w:rPr>
              <w:t>2</w:t>
            </w:r>
          </w:p>
        </w:tc>
        <w:tc>
          <w:tcPr>
            <w:tcW w:w="629" w:type="pct"/>
            <w:tcBorders>
              <w:top w:val="single" w:color="000000" w:sz="4" w:space="0"/>
              <w:left w:val="single" w:color="000000" w:sz="4" w:space="0"/>
              <w:bottom w:val="single" w:color="000000" w:sz="4" w:space="0"/>
              <w:right w:val="single" w:color="000000" w:sz="4" w:space="0"/>
            </w:tcBorders>
          </w:tcPr>
          <w:p w14:paraId="6D0F8487">
            <w:pPr>
              <w:autoSpaceDE w:val="0"/>
              <w:autoSpaceDN w:val="0"/>
              <w:jc w:val="center"/>
              <w:rPr>
                <w:kern w:val="0"/>
                <w:sz w:val="21"/>
                <w:szCs w:val="21"/>
                <w:lang w:eastAsia="en-US"/>
              </w:rPr>
            </w:pPr>
            <w:r>
              <w:rPr>
                <w:kern w:val="0"/>
                <w:sz w:val="21"/>
                <w:szCs w:val="21"/>
                <w:lang w:eastAsia="en-US"/>
              </w:rPr>
              <w:t>m</w:t>
            </w:r>
            <w:r>
              <w:rPr>
                <w:kern w:val="0"/>
                <w:sz w:val="21"/>
                <w:szCs w:val="21"/>
                <w:vertAlign w:val="superscript"/>
                <w:lang w:eastAsia="en-US"/>
              </w:rPr>
              <w:t>2</w:t>
            </w:r>
          </w:p>
        </w:tc>
        <w:tc>
          <w:tcPr>
            <w:tcW w:w="629" w:type="pct"/>
            <w:tcBorders>
              <w:top w:val="single" w:color="000000" w:sz="4" w:space="0"/>
              <w:left w:val="single" w:color="000000" w:sz="4" w:space="0"/>
              <w:bottom w:val="single" w:color="000000" w:sz="4" w:space="0"/>
              <w:right w:val="single" w:color="000000" w:sz="4" w:space="0"/>
            </w:tcBorders>
            <w:vAlign w:val="center"/>
          </w:tcPr>
          <w:p w14:paraId="075C2043">
            <w:pPr>
              <w:autoSpaceDE w:val="0"/>
              <w:autoSpaceDN w:val="0"/>
              <w:jc w:val="center"/>
              <w:rPr>
                <w:kern w:val="0"/>
                <w:sz w:val="21"/>
                <w:szCs w:val="21"/>
                <w:lang w:eastAsia="en-US"/>
              </w:rPr>
            </w:pPr>
            <w:r>
              <w:rPr>
                <w:kern w:val="0"/>
                <w:sz w:val="21"/>
                <w:szCs w:val="21"/>
                <w:lang w:eastAsia="en-US"/>
              </w:rPr>
              <w:t>8522</w:t>
            </w:r>
          </w:p>
        </w:tc>
      </w:tr>
      <w:tr w14:paraId="67BDFCD1">
        <w:tblPrEx>
          <w:tblCellMar>
            <w:top w:w="0" w:type="dxa"/>
            <w:left w:w="0" w:type="dxa"/>
            <w:bottom w:w="0" w:type="dxa"/>
            <w:right w:w="0" w:type="dxa"/>
          </w:tblCellMar>
        </w:tblPrEx>
        <w:trPr>
          <w:jc w:val="center"/>
        </w:trPr>
        <w:tc>
          <w:tcPr>
            <w:tcW w:w="449" w:type="pct"/>
            <w:tcBorders>
              <w:top w:val="single" w:color="000000" w:sz="4" w:space="0"/>
              <w:left w:val="single" w:color="000000" w:sz="4" w:space="0"/>
              <w:bottom w:val="single" w:color="000000" w:sz="4" w:space="0"/>
              <w:right w:val="single" w:color="000000" w:sz="4" w:space="0"/>
            </w:tcBorders>
            <w:vAlign w:val="center"/>
          </w:tcPr>
          <w:p w14:paraId="00184E15">
            <w:pPr>
              <w:autoSpaceDE w:val="0"/>
              <w:autoSpaceDN w:val="0"/>
              <w:jc w:val="center"/>
              <w:rPr>
                <w:kern w:val="0"/>
                <w:sz w:val="21"/>
                <w:szCs w:val="21"/>
                <w:lang w:eastAsia="en-US"/>
              </w:rPr>
            </w:pPr>
            <w:r>
              <w:rPr>
                <w:kern w:val="0"/>
                <w:sz w:val="21"/>
                <w:szCs w:val="21"/>
                <w:lang w:eastAsia="en-US"/>
              </w:rPr>
              <w:t>14</w:t>
            </w:r>
          </w:p>
        </w:tc>
        <w:tc>
          <w:tcPr>
            <w:tcW w:w="1301" w:type="pct"/>
            <w:tcBorders>
              <w:top w:val="single" w:color="000000" w:sz="4" w:space="0"/>
              <w:left w:val="single" w:color="000000" w:sz="4" w:space="0"/>
              <w:bottom w:val="single" w:color="000000" w:sz="4" w:space="0"/>
              <w:right w:val="single" w:color="000000" w:sz="4" w:space="0"/>
            </w:tcBorders>
            <w:vAlign w:val="center"/>
          </w:tcPr>
          <w:p w14:paraId="3F782151">
            <w:pPr>
              <w:autoSpaceDE w:val="0"/>
              <w:autoSpaceDN w:val="0"/>
              <w:jc w:val="center"/>
              <w:rPr>
                <w:kern w:val="0"/>
                <w:sz w:val="21"/>
                <w:szCs w:val="21"/>
                <w:lang w:eastAsia="en-US"/>
              </w:rPr>
            </w:pPr>
            <w:r>
              <w:rPr>
                <w:kern w:val="0"/>
                <w:sz w:val="21"/>
                <w:szCs w:val="21"/>
                <w:lang w:eastAsia="en-US"/>
              </w:rPr>
              <w:t>水葱</w:t>
            </w:r>
          </w:p>
        </w:tc>
        <w:tc>
          <w:tcPr>
            <w:tcW w:w="1993" w:type="pct"/>
            <w:tcBorders>
              <w:top w:val="single" w:color="000000" w:sz="4" w:space="0"/>
              <w:left w:val="single" w:color="000000" w:sz="4" w:space="0"/>
              <w:bottom w:val="single" w:color="000000" w:sz="4" w:space="0"/>
              <w:right w:val="single" w:color="000000" w:sz="4" w:space="0"/>
            </w:tcBorders>
            <w:vAlign w:val="center"/>
          </w:tcPr>
          <w:p w14:paraId="7EA30846">
            <w:pPr>
              <w:autoSpaceDE w:val="0"/>
              <w:autoSpaceDN w:val="0"/>
              <w:jc w:val="center"/>
              <w:rPr>
                <w:kern w:val="0"/>
                <w:sz w:val="21"/>
                <w:szCs w:val="21"/>
                <w:lang w:eastAsia="en-US"/>
              </w:rPr>
            </w:pPr>
            <w:r>
              <w:rPr>
                <w:kern w:val="0"/>
                <w:sz w:val="21"/>
                <w:szCs w:val="21"/>
                <w:lang w:eastAsia="en-US"/>
              </w:rPr>
              <w:t>9 丛/m2，15-20芽/丛</w:t>
            </w:r>
          </w:p>
        </w:tc>
        <w:tc>
          <w:tcPr>
            <w:tcW w:w="629" w:type="pct"/>
            <w:tcBorders>
              <w:top w:val="single" w:color="000000" w:sz="4" w:space="0"/>
              <w:left w:val="single" w:color="000000" w:sz="4" w:space="0"/>
              <w:bottom w:val="single" w:color="000000" w:sz="4" w:space="0"/>
              <w:right w:val="single" w:color="000000" w:sz="4" w:space="0"/>
            </w:tcBorders>
          </w:tcPr>
          <w:p w14:paraId="4F8169D4">
            <w:pPr>
              <w:autoSpaceDE w:val="0"/>
              <w:autoSpaceDN w:val="0"/>
              <w:jc w:val="center"/>
              <w:rPr>
                <w:kern w:val="0"/>
                <w:sz w:val="21"/>
                <w:szCs w:val="21"/>
                <w:lang w:eastAsia="en-US"/>
              </w:rPr>
            </w:pPr>
            <w:r>
              <w:rPr>
                <w:kern w:val="0"/>
                <w:sz w:val="21"/>
                <w:szCs w:val="21"/>
                <w:lang w:eastAsia="en-US"/>
              </w:rPr>
              <w:t>m</w:t>
            </w:r>
            <w:r>
              <w:rPr>
                <w:kern w:val="0"/>
                <w:sz w:val="21"/>
                <w:szCs w:val="21"/>
                <w:vertAlign w:val="superscript"/>
                <w:lang w:eastAsia="en-US"/>
              </w:rPr>
              <w:t>2</w:t>
            </w:r>
          </w:p>
        </w:tc>
        <w:tc>
          <w:tcPr>
            <w:tcW w:w="629" w:type="pct"/>
            <w:tcBorders>
              <w:top w:val="single" w:color="000000" w:sz="4" w:space="0"/>
              <w:left w:val="single" w:color="000000" w:sz="4" w:space="0"/>
              <w:bottom w:val="single" w:color="000000" w:sz="4" w:space="0"/>
              <w:right w:val="single" w:color="000000" w:sz="4" w:space="0"/>
            </w:tcBorders>
            <w:vAlign w:val="center"/>
          </w:tcPr>
          <w:p w14:paraId="32C5C25B">
            <w:pPr>
              <w:autoSpaceDE w:val="0"/>
              <w:autoSpaceDN w:val="0"/>
              <w:jc w:val="center"/>
              <w:rPr>
                <w:kern w:val="0"/>
                <w:sz w:val="21"/>
                <w:szCs w:val="21"/>
                <w:lang w:eastAsia="en-US"/>
              </w:rPr>
            </w:pPr>
            <w:r>
              <w:rPr>
                <w:kern w:val="0"/>
                <w:sz w:val="21"/>
                <w:szCs w:val="21"/>
                <w:lang w:eastAsia="en-US"/>
              </w:rPr>
              <w:t>8522</w:t>
            </w:r>
          </w:p>
        </w:tc>
      </w:tr>
      <w:tr w14:paraId="2EE050E9">
        <w:tblPrEx>
          <w:tblCellMar>
            <w:top w:w="0" w:type="dxa"/>
            <w:left w:w="0" w:type="dxa"/>
            <w:bottom w:w="0" w:type="dxa"/>
            <w:right w:w="0" w:type="dxa"/>
          </w:tblCellMar>
        </w:tblPrEx>
        <w:trPr>
          <w:trHeight w:val="333" w:hRule="atLeast"/>
          <w:jc w:val="center"/>
        </w:trPr>
        <w:tc>
          <w:tcPr>
            <w:tcW w:w="449" w:type="pct"/>
            <w:tcBorders>
              <w:top w:val="single" w:color="000000" w:sz="4" w:space="0"/>
              <w:left w:val="single" w:color="000000" w:sz="4" w:space="0"/>
              <w:bottom w:val="single" w:color="000000" w:sz="4" w:space="0"/>
              <w:right w:val="single" w:color="000000" w:sz="4" w:space="0"/>
            </w:tcBorders>
            <w:vAlign w:val="center"/>
          </w:tcPr>
          <w:p w14:paraId="7E98BD02">
            <w:pPr>
              <w:autoSpaceDE w:val="0"/>
              <w:autoSpaceDN w:val="0"/>
              <w:jc w:val="center"/>
              <w:rPr>
                <w:kern w:val="0"/>
                <w:sz w:val="21"/>
                <w:szCs w:val="21"/>
                <w:lang w:eastAsia="en-US"/>
              </w:rPr>
            </w:pPr>
            <w:r>
              <w:rPr>
                <w:kern w:val="0"/>
                <w:sz w:val="21"/>
                <w:szCs w:val="21"/>
                <w:lang w:eastAsia="en-US"/>
              </w:rPr>
              <w:t>15</w:t>
            </w:r>
          </w:p>
        </w:tc>
        <w:tc>
          <w:tcPr>
            <w:tcW w:w="1301" w:type="pct"/>
            <w:tcBorders>
              <w:top w:val="single" w:color="000000" w:sz="4" w:space="0"/>
              <w:left w:val="single" w:color="000000" w:sz="4" w:space="0"/>
              <w:bottom w:val="single" w:color="000000" w:sz="4" w:space="0"/>
              <w:right w:val="single" w:color="000000" w:sz="4" w:space="0"/>
            </w:tcBorders>
            <w:vAlign w:val="center"/>
          </w:tcPr>
          <w:p w14:paraId="4497E2D2">
            <w:pPr>
              <w:autoSpaceDE w:val="0"/>
              <w:autoSpaceDN w:val="0"/>
              <w:jc w:val="center"/>
              <w:rPr>
                <w:kern w:val="0"/>
                <w:sz w:val="21"/>
                <w:szCs w:val="21"/>
                <w:lang w:eastAsia="en-US"/>
              </w:rPr>
            </w:pPr>
            <w:r>
              <w:rPr>
                <w:kern w:val="0"/>
                <w:sz w:val="21"/>
                <w:szCs w:val="21"/>
                <w:lang w:eastAsia="en-US"/>
              </w:rPr>
              <w:t>菖蒲</w:t>
            </w:r>
          </w:p>
        </w:tc>
        <w:tc>
          <w:tcPr>
            <w:tcW w:w="1993" w:type="pct"/>
            <w:tcBorders>
              <w:top w:val="single" w:color="000000" w:sz="4" w:space="0"/>
              <w:left w:val="single" w:color="000000" w:sz="4" w:space="0"/>
              <w:bottom w:val="single" w:color="000000" w:sz="4" w:space="0"/>
              <w:right w:val="single" w:color="000000" w:sz="4" w:space="0"/>
            </w:tcBorders>
            <w:vAlign w:val="center"/>
          </w:tcPr>
          <w:p w14:paraId="11E57E1D">
            <w:pPr>
              <w:autoSpaceDE w:val="0"/>
              <w:autoSpaceDN w:val="0"/>
              <w:jc w:val="center"/>
              <w:rPr>
                <w:kern w:val="0"/>
                <w:sz w:val="21"/>
                <w:szCs w:val="21"/>
                <w:lang w:eastAsia="en-US"/>
              </w:rPr>
            </w:pPr>
            <w:r>
              <w:rPr>
                <w:kern w:val="0"/>
                <w:sz w:val="21"/>
                <w:szCs w:val="21"/>
                <w:lang w:eastAsia="en-US"/>
              </w:rPr>
              <w:t>9 丛/m2，3-5芽/丛</w:t>
            </w:r>
          </w:p>
        </w:tc>
        <w:tc>
          <w:tcPr>
            <w:tcW w:w="629" w:type="pct"/>
            <w:tcBorders>
              <w:top w:val="single" w:color="000000" w:sz="4" w:space="0"/>
              <w:left w:val="single" w:color="000000" w:sz="4" w:space="0"/>
              <w:bottom w:val="single" w:color="000000" w:sz="4" w:space="0"/>
              <w:right w:val="single" w:color="000000" w:sz="4" w:space="0"/>
            </w:tcBorders>
          </w:tcPr>
          <w:p w14:paraId="2C23E0A0">
            <w:pPr>
              <w:autoSpaceDE w:val="0"/>
              <w:autoSpaceDN w:val="0"/>
              <w:jc w:val="center"/>
              <w:rPr>
                <w:kern w:val="0"/>
                <w:sz w:val="21"/>
                <w:szCs w:val="21"/>
                <w:lang w:eastAsia="en-US"/>
              </w:rPr>
            </w:pPr>
            <w:r>
              <w:rPr>
                <w:kern w:val="0"/>
                <w:sz w:val="21"/>
                <w:szCs w:val="21"/>
                <w:lang w:eastAsia="en-US"/>
              </w:rPr>
              <w:t>m</w:t>
            </w:r>
            <w:r>
              <w:rPr>
                <w:kern w:val="0"/>
                <w:sz w:val="21"/>
                <w:szCs w:val="21"/>
                <w:vertAlign w:val="superscript"/>
                <w:lang w:eastAsia="en-US"/>
              </w:rPr>
              <w:t>2</w:t>
            </w:r>
          </w:p>
        </w:tc>
        <w:tc>
          <w:tcPr>
            <w:tcW w:w="629" w:type="pct"/>
            <w:tcBorders>
              <w:top w:val="single" w:color="000000" w:sz="4" w:space="0"/>
              <w:left w:val="single" w:color="000000" w:sz="4" w:space="0"/>
              <w:bottom w:val="single" w:color="000000" w:sz="4" w:space="0"/>
              <w:right w:val="single" w:color="000000" w:sz="4" w:space="0"/>
            </w:tcBorders>
            <w:vAlign w:val="center"/>
          </w:tcPr>
          <w:p w14:paraId="776D158A">
            <w:pPr>
              <w:autoSpaceDE w:val="0"/>
              <w:autoSpaceDN w:val="0"/>
              <w:jc w:val="center"/>
              <w:rPr>
                <w:kern w:val="0"/>
                <w:sz w:val="21"/>
                <w:szCs w:val="21"/>
                <w:lang w:eastAsia="en-US"/>
              </w:rPr>
            </w:pPr>
            <w:r>
              <w:rPr>
                <w:kern w:val="0"/>
                <w:sz w:val="21"/>
                <w:szCs w:val="21"/>
                <w:lang w:eastAsia="en-US"/>
              </w:rPr>
              <w:t>8522</w:t>
            </w:r>
          </w:p>
        </w:tc>
      </w:tr>
    </w:tbl>
    <w:p w14:paraId="6A529572">
      <w:pPr>
        <w:pStyle w:val="85"/>
        <w:ind w:firstLine="480"/>
        <w:rPr>
          <w:kern w:val="0"/>
        </w:rPr>
      </w:pPr>
      <w:r>
        <w:rPr>
          <w:rFonts w:hint="eastAsia"/>
          <w:kern w:val="0"/>
        </w:rPr>
        <w:t>小辽东段典型工程断面形式见</w:t>
      </w:r>
      <w:r>
        <w:rPr>
          <w:kern w:val="0"/>
        </w:rPr>
        <w:fldChar w:fldCharType="begin"/>
      </w:r>
      <w:r>
        <w:rPr>
          <w:kern w:val="0"/>
        </w:rPr>
        <w:instrText xml:space="preserve"> </w:instrText>
      </w:r>
      <w:r>
        <w:rPr>
          <w:rFonts w:hint="eastAsia"/>
          <w:kern w:val="0"/>
        </w:rPr>
        <w:instrText xml:space="preserve">REF _Ref176798572 \h</w:instrText>
      </w:r>
      <w:r>
        <w:rPr>
          <w:kern w:val="0"/>
        </w:rPr>
        <w:instrText xml:space="preserve"> </w:instrText>
      </w:r>
      <w:r>
        <w:rPr>
          <w:kern w:val="0"/>
        </w:rPr>
        <w:fldChar w:fldCharType="separate"/>
      </w:r>
      <w:r>
        <w:rPr>
          <w:rFonts w:eastAsia="黑体"/>
          <w:kern w:val="0"/>
        </w:rPr>
        <w:t>图2</w:t>
      </w:r>
      <w:r>
        <w:rPr>
          <w:rFonts w:eastAsia="黑体"/>
          <w:kern w:val="0"/>
        </w:rPr>
        <w:noBreakHyphen/>
      </w:r>
      <w:r>
        <w:rPr>
          <w:rFonts w:eastAsia="黑体"/>
          <w:kern w:val="0"/>
        </w:rPr>
        <w:t>1</w:t>
      </w:r>
      <w:r>
        <w:rPr>
          <w:kern w:val="0"/>
        </w:rPr>
        <w:fldChar w:fldCharType="end"/>
      </w:r>
      <w:r>
        <w:rPr>
          <w:rFonts w:hint="eastAsia"/>
          <w:kern w:val="0"/>
        </w:rPr>
        <w:t>。</w:t>
      </w:r>
    </w:p>
    <w:p w14:paraId="04D25915">
      <w:pPr>
        <w:pStyle w:val="85"/>
        <w:ind w:firstLine="480"/>
        <w:rPr>
          <w:kern w:val="0"/>
        </w:rPr>
      </w:pPr>
    </w:p>
    <w:p w14:paraId="5D2315B8">
      <w:pPr>
        <w:pStyle w:val="85"/>
        <w:ind w:firstLine="480"/>
        <w:rPr>
          <w:kern w:val="0"/>
        </w:rPr>
        <w:sectPr>
          <w:pgSz w:w="11906" w:h="16838"/>
          <w:pgMar w:top="2007" w:right="1797" w:bottom="1724" w:left="1797" w:header="1417" w:footer="1162" w:gutter="0"/>
          <w:pgNumType w:fmt="numberInDash"/>
          <w:cols w:space="425" w:num="1"/>
          <w:docGrid w:type="lines" w:linePitch="312" w:charSpace="0"/>
        </w:sectPr>
      </w:pPr>
    </w:p>
    <w:p w14:paraId="7ADF1E65">
      <w:pPr>
        <w:pStyle w:val="85"/>
        <w:spacing w:line="240" w:lineRule="auto"/>
        <w:ind w:firstLine="0" w:firstLineChars="0"/>
        <w:jc w:val="center"/>
        <w:rPr>
          <w:kern w:val="0"/>
        </w:rPr>
      </w:pPr>
      <w:r>
        <w:drawing>
          <wp:inline distT="0" distB="0" distL="0" distR="0">
            <wp:extent cx="8099425" cy="4895850"/>
            <wp:effectExtent l="19050" t="19050" r="15875" b="1905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8100000" cy="4896152"/>
                    </a:xfrm>
                    <a:prstGeom prst="rect">
                      <a:avLst/>
                    </a:prstGeom>
                    <a:noFill/>
                    <a:ln w="19050">
                      <a:solidFill>
                        <a:srgbClr val="000000"/>
                      </a:solidFill>
                      <a:miter lim="800000"/>
                      <a:headEnd/>
                      <a:tailEnd/>
                    </a:ln>
                  </pic:spPr>
                </pic:pic>
              </a:graphicData>
            </a:graphic>
          </wp:inline>
        </w:drawing>
      </w:r>
    </w:p>
    <w:p w14:paraId="35B73578">
      <w:pPr>
        <w:pStyle w:val="85"/>
        <w:spacing w:line="240" w:lineRule="auto"/>
        <w:ind w:firstLine="0" w:firstLineChars="0"/>
        <w:jc w:val="center"/>
        <w:rPr>
          <w:kern w:val="0"/>
        </w:rPr>
      </w:pPr>
      <w:bookmarkStart w:id="80" w:name="_Ref176798572"/>
      <w:r>
        <w:rPr>
          <w:rFonts w:eastAsia="黑体"/>
          <w:kern w:val="0"/>
        </w:rPr>
        <w:t>图</w:t>
      </w:r>
      <w:r>
        <w:rPr>
          <w:rFonts w:eastAsia="黑体"/>
          <w:kern w:val="0"/>
        </w:rPr>
        <w:fldChar w:fldCharType="begin"/>
      </w:r>
      <w:r>
        <w:rPr>
          <w:rFonts w:eastAsia="黑体"/>
          <w:kern w:val="0"/>
        </w:rPr>
        <w:instrText xml:space="preserve"> STYLEREF 1 \s </w:instrText>
      </w:r>
      <w:r>
        <w:rPr>
          <w:rFonts w:eastAsia="黑体"/>
          <w:kern w:val="0"/>
        </w:rPr>
        <w:fldChar w:fldCharType="separate"/>
      </w:r>
      <w:r>
        <w:rPr>
          <w:rFonts w:eastAsia="黑体"/>
          <w:kern w:val="0"/>
        </w:rPr>
        <w:t>2</w:t>
      </w:r>
      <w:r>
        <w:rPr>
          <w:rFonts w:eastAsia="黑体"/>
          <w:kern w:val="0"/>
        </w:rPr>
        <w:fldChar w:fldCharType="end"/>
      </w:r>
      <w:r>
        <w:rPr>
          <w:rFonts w:eastAsia="黑体"/>
          <w:kern w:val="0"/>
        </w:rPr>
        <w:noBreakHyphen/>
      </w:r>
      <w:r>
        <w:rPr>
          <w:rFonts w:eastAsia="黑体"/>
          <w:kern w:val="0"/>
        </w:rPr>
        <w:fldChar w:fldCharType="begin"/>
      </w:r>
      <w:r>
        <w:rPr>
          <w:rFonts w:eastAsia="黑体"/>
          <w:kern w:val="0"/>
        </w:rPr>
        <w:instrText xml:space="preserve"> SEQ 图 \* ARABIC \s 1 </w:instrText>
      </w:r>
      <w:r>
        <w:rPr>
          <w:rFonts w:eastAsia="黑体"/>
          <w:kern w:val="0"/>
        </w:rPr>
        <w:fldChar w:fldCharType="separate"/>
      </w:r>
      <w:r>
        <w:rPr>
          <w:rFonts w:eastAsia="黑体"/>
          <w:kern w:val="0"/>
        </w:rPr>
        <w:t>1</w:t>
      </w:r>
      <w:r>
        <w:rPr>
          <w:rFonts w:eastAsia="黑体"/>
          <w:kern w:val="0"/>
        </w:rPr>
        <w:fldChar w:fldCharType="end"/>
      </w:r>
      <w:bookmarkEnd w:id="80"/>
      <w:r>
        <w:rPr>
          <w:rFonts w:eastAsia="黑体"/>
          <w:kern w:val="0"/>
        </w:rPr>
        <w:t xml:space="preserve">  </w:t>
      </w:r>
      <w:r>
        <w:rPr>
          <w:rFonts w:hint="eastAsia" w:eastAsia="黑体"/>
          <w:kern w:val="0"/>
        </w:rPr>
        <w:t>小辽东段断面形式示意图</w:t>
      </w:r>
    </w:p>
    <w:p w14:paraId="3682E0B1">
      <w:pPr>
        <w:pStyle w:val="85"/>
        <w:ind w:firstLine="480"/>
        <w:rPr>
          <w:kern w:val="0"/>
        </w:rPr>
        <w:sectPr>
          <w:pgSz w:w="16838" w:h="11906" w:orient="landscape"/>
          <w:pgMar w:top="1797" w:right="2007" w:bottom="1797" w:left="1724" w:header="1417" w:footer="1162" w:gutter="0"/>
          <w:pgNumType w:fmt="numberInDash"/>
          <w:cols w:space="425" w:num="1"/>
          <w:docGrid w:type="lines" w:linePitch="312" w:charSpace="0"/>
        </w:sectPr>
      </w:pPr>
    </w:p>
    <w:p w14:paraId="40174125">
      <w:pPr>
        <w:pStyle w:val="5"/>
      </w:pPr>
      <w:r>
        <w:rPr>
          <w:rFonts w:hint="eastAsia"/>
        </w:rPr>
        <w:t>前沟门段工程内容</w:t>
      </w:r>
    </w:p>
    <w:p w14:paraId="7015F52A">
      <w:pPr>
        <w:pStyle w:val="85"/>
        <w:ind w:firstLine="480"/>
        <w:rPr>
          <w:kern w:val="0"/>
        </w:rPr>
      </w:pPr>
      <w:r>
        <w:rPr>
          <w:rFonts w:hint="eastAsia"/>
          <w:kern w:val="0"/>
        </w:rPr>
        <w:t>①基底修复</w:t>
      </w:r>
    </w:p>
    <w:p w14:paraId="239417AC">
      <w:pPr>
        <w:pStyle w:val="85"/>
        <w:ind w:firstLine="480"/>
        <w:rPr>
          <w:kern w:val="0"/>
        </w:rPr>
      </w:pPr>
      <w:r>
        <w:rPr>
          <w:rFonts w:hint="eastAsia"/>
          <w:kern w:val="0"/>
        </w:rPr>
        <w:t>对河床基底进行整理，经现场踏勘测量。河道堤防缺失，农田与河道间没有缓冲区域，农业面源污染直接影响水质，通过河道基底修复，清退占用堤防的农田，对淤积地形进行微地形整理，结合现状地形，构建浅滩-深潭结构，重塑河道形态，稳定河床和岸坡，有助于植被的良好发育和构建多样性的生物栖息地，为微生物创造良好的反硝化环境，促进河流自净功能的恢复。</w:t>
      </w:r>
    </w:p>
    <w:p w14:paraId="6E4C43E1">
      <w:pPr>
        <w:pStyle w:val="85"/>
        <w:ind w:firstLine="480"/>
        <w:rPr>
          <w:kern w:val="0"/>
        </w:rPr>
      </w:pPr>
      <w:r>
        <w:rPr>
          <w:rFonts w:hint="eastAsia"/>
          <w:kern w:val="0"/>
        </w:rPr>
        <w:t>②植被群落构建</w:t>
      </w:r>
    </w:p>
    <w:p w14:paraId="1FC6A07A">
      <w:pPr>
        <w:pStyle w:val="85"/>
        <w:ind w:firstLine="480"/>
        <w:rPr>
          <w:kern w:val="0"/>
        </w:rPr>
      </w:pPr>
      <w:r>
        <w:rPr>
          <w:rFonts w:hint="eastAsia"/>
          <w:kern w:val="0"/>
        </w:rPr>
        <w:t>补充种植高羊茅、连翘和蒿柳等陆域植被，恢复湿地挺水、沉水植被，构建富有层次感的植被群落，形成稳定的植物群落，增加生物多样性，实现对面源污染的有效削减，显著降低入河污染负荷。</w:t>
      </w:r>
    </w:p>
    <w:p w14:paraId="77D28B3C">
      <w:pPr>
        <w:pStyle w:val="85"/>
        <w:ind w:firstLine="480"/>
        <w:rPr>
          <w:kern w:val="0"/>
        </w:rPr>
      </w:pPr>
      <w:r>
        <w:rPr>
          <w:rFonts w:hint="eastAsia"/>
          <w:kern w:val="0"/>
        </w:rPr>
        <w:t>工程量见下表：</w:t>
      </w:r>
    </w:p>
    <w:p w14:paraId="43E772BB">
      <w:pPr>
        <w:pStyle w:val="85"/>
        <w:ind w:firstLine="448"/>
        <w:jc w:val="center"/>
        <w:rPr>
          <w:kern w:val="0"/>
        </w:rPr>
      </w:pPr>
      <w:r>
        <w:rPr>
          <w:rFonts w:hint="eastAsia" w:eastAsia="黑体"/>
          <w:bCs/>
          <w:spacing w:val="-8"/>
          <w:kern w:val="0"/>
        </w:rPr>
        <w:t>表</w:t>
      </w:r>
      <w:r>
        <w:rPr>
          <w:rFonts w:eastAsia="黑体"/>
          <w:bCs/>
          <w:spacing w:val="-8"/>
          <w:kern w:val="0"/>
        </w:rPr>
        <w:fldChar w:fldCharType="begin"/>
      </w:r>
      <w:r>
        <w:rPr>
          <w:rFonts w:eastAsia="黑体"/>
          <w:bCs/>
          <w:spacing w:val="-8"/>
          <w:kern w:val="0"/>
        </w:rPr>
        <w:instrText xml:space="preserve"> </w:instrText>
      </w:r>
      <w:r>
        <w:rPr>
          <w:rFonts w:hint="eastAsia" w:eastAsia="黑体"/>
          <w:bCs/>
          <w:spacing w:val="-8"/>
          <w:kern w:val="0"/>
        </w:rPr>
        <w:instrText xml:space="preserve">STYLEREF 1 \s</w:instrText>
      </w:r>
      <w:r>
        <w:rPr>
          <w:rFonts w:eastAsia="黑体"/>
          <w:bCs/>
          <w:spacing w:val="-8"/>
          <w:kern w:val="0"/>
        </w:rPr>
        <w:instrText xml:space="preserve"> </w:instrText>
      </w:r>
      <w:r>
        <w:rPr>
          <w:rFonts w:eastAsia="黑体"/>
          <w:bCs/>
          <w:spacing w:val="-8"/>
          <w:kern w:val="0"/>
        </w:rPr>
        <w:fldChar w:fldCharType="separate"/>
      </w:r>
      <w:r>
        <w:rPr>
          <w:rFonts w:eastAsia="黑体"/>
          <w:bCs/>
          <w:spacing w:val="-8"/>
          <w:kern w:val="0"/>
        </w:rPr>
        <w:t>2</w:t>
      </w:r>
      <w:r>
        <w:rPr>
          <w:rFonts w:eastAsia="黑体"/>
          <w:bCs/>
          <w:spacing w:val="-8"/>
          <w:kern w:val="0"/>
        </w:rPr>
        <w:fldChar w:fldCharType="end"/>
      </w:r>
      <w:r>
        <w:rPr>
          <w:rFonts w:eastAsia="黑体"/>
          <w:bCs/>
          <w:spacing w:val="-8"/>
          <w:kern w:val="0"/>
        </w:rPr>
        <w:noBreakHyphen/>
      </w:r>
      <w:r>
        <w:rPr>
          <w:rFonts w:eastAsia="黑体"/>
          <w:bCs/>
          <w:spacing w:val="-8"/>
          <w:kern w:val="0"/>
        </w:rPr>
        <w:fldChar w:fldCharType="begin"/>
      </w:r>
      <w:r>
        <w:rPr>
          <w:rFonts w:eastAsia="黑体"/>
          <w:bCs/>
          <w:spacing w:val="-8"/>
          <w:kern w:val="0"/>
        </w:rPr>
        <w:instrText xml:space="preserve"> </w:instrText>
      </w:r>
      <w:r>
        <w:rPr>
          <w:rFonts w:hint="eastAsia" w:eastAsia="黑体"/>
          <w:bCs/>
          <w:spacing w:val="-8"/>
          <w:kern w:val="0"/>
        </w:rPr>
        <w:instrText xml:space="preserve">SEQ 表 \* ARABIC \s 1</w:instrText>
      </w:r>
      <w:r>
        <w:rPr>
          <w:rFonts w:eastAsia="黑体"/>
          <w:bCs/>
          <w:spacing w:val="-8"/>
          <w:kern w:val="0"/>
        </w:rPr>
        <w:instrText xml:space="preserve"> </w:instrText>
      </w:r>
      <w:r>
        <w:rPr>
          <w:rFonts w:eastAsia="黑体"/>
          <w:bCs/>
          <w:spacing w:val="-8"/>
          <w:kern w:val="0"/>
        </w:rPr>
        <w:fldChar w:fldCharType="separate"/>
      </w:r>
      <w:r>
        <w:rPr>
          <w:rFonts w:eastAsia="黑体"/>
          <w:bCs/>
          <w:spacing w:val="-8"/>
          <w:kern w:val="0"/>
        </w:rPr>
        <w:t>3</w:t>
      </w:r>
      <w:r>
        <w:rPr>
          <w:rFonts w:eastAsia="黑体"/>
          <w:bCs/>
          <w:spacing w:val="-8"/>
          <w:kern w:val="0"/>
        </w:rPr>
        <w:fldChar w:fldCharType="end"/>
      </w:r>
      <w:r>
        <w:rPr>
          <w:rFonts w:eastAsia="黑体"/>
          <w:bCs/>
          <w:spacing w:val="-8"/>
          <w:kern w:val="0"/>
        </w:rPr>
        <w:t xml:space="preserve">  </w:t>
      </w:r>
      <w:r>
        <w:rPr>
          <w:rFonts w:hint="eastAsia" w:eastAsia="黑体"/>
          <w:bCs/>
          <w:spacing w:val="-8"/>
          <w:kern w:val="0"/>
        </w:rPr>
        <w:t>前沟门段主要工程量表</w:t>
      </w:r>
    </w:p>
    <w:tbl>
      <w:tblPr>
        <w:tblStyle w:val="265"/>
        <w:tblW w:w="5000" w:type="pct"/>
        <w:jc w:val="center"/>
        <w:tblLayout w:type="autofit"/>
        <w:tblCellMar>
          <w:top w:w="0" w:type="dxa"/>
          <w:left w:w="0" w:type="dxa"/>
          <w:bottom w:w="0" w:type="dxa"/>
          <w:right w:w="0" w:type="dxa"/>
        </w:tblCellMar>
      </w:tblPr>
      <w:tblGrid>
        <w:gridCol w:w="600"/>
        <w:gridCol w:w="2071"/>
        <w:gridCol w:w="4226"/>
        <w:gridCol w:w="603"/>
        <w:gridCol w:w="822"/>
      </w:tblGrid>
      <w:tr w14:paraId="17FF775A">
        <w:tblPrEx>
          <w:tblCellMar>
            <w:top w:w="0" w:type="dxa"/>
            <w:left w:w="0" w:type="dxa"/>
            <w:bottom w:w="0" w:type="dxa"/>
            <w:right w:w="0" w:type="dxa"/>
          </w:tblCellMar>
        </w:tblPrEx>
        <w:trPr>
          <w:jc w:val="center"/>
        </w:trPr>
        <w:tc>
          <w:tcPr>
            <w:tcW w:w="361" w:type="pct"/>
            <w:tcBorders>
              <w:top w:val="single" w:color="000000" w:sz="4" w:space="0"/>
              <w:left w:val="single" w:color="000000" w:sz="4" w:space="0"/>
              <w:bottom w:val="single" w:color="000000" w:sz="4" w:space="0"/>
              <w:right w:val="single" w:color="000000" w:sz="4" w:space="0"/>
            </w:tcBorders>
          </w:tcPr>
          <w:p w14:paraId="2E694AE1">
            <w:pPr>
              <w:autoSpaceDE w:val="0"/>
              <w:autoSpaceDN w:val="0"/>
              <w:jc w:val="center"/>
              <w:rPr>
                <w:kern w:val="0"/>
                <w:sz w:val="21"/>
                <w:szCs w:val="21"/>
                <w:lang w:eastAsia="en-US"/>
              </w:rPr>
            </w:pPr>
            <w:r>
              <w:rPr>
                <w:kern w:val="0"/>
                <w:sz w:val="21"/>
                <w:szCs w:val="21"/>
                <w:lang w:eastAsia="en-US"/>
              </w:rPr>
              <w:t>序号</w:t>
            </w:r>
          </w:p>
        </w:tc>
        <w:tc>
          <w:tcPr>
            <w:tcW w:w="1244" w:type="pct"/>
            <w:tcBorders>
              <w:top w:val="single" w:color="000000" w:sz="4" w:space="0"/>
              <w:left w:val="single" w:color="000000" w:sz="4" w:space="0"/>
              <w:bottom w:val="single" w:color="000000" w:sz="4" w:space="0"/>
              <w:right w:val="single" w:color="000000" w:sz="4" w:space="0"/>
            </w:tcBorders>
          </w:tcPr>
          <w:p w14:paraId="186A572F">
            <w:pPr>
              <w:autoSpaceDE w:val="0"/>
              <w:autoSpaceDN w:val="0"/>
              <w:jc w:val="center"/>
              <w:rPr>
                <w:kern w:val="0"/>
                <w:sz w:val="21"/>
                <w:szCs w:val="21"/>
                <w:lang w:eastAsia="en-US"/>
              </w:rPr>
            </w:pPr>
            <w:r>
              <w:rPr>
                <w:kern w:val="0"/>
                <w:sz w:val="21"/>
                <w:szCs w:val="21"/>
                <w:lang w:eastAsia="en-US"/>
              </w:rPr>
              <w:t>名称</w:t>
            </w:r>
          </w:p>
        </w:tc>
        <w:tc>
          <w:tcPr>
            <w:tcW w:w="2539" w:type="pct"/>
            <w:tcBorders>
              <w:top w:val="single" w:color="000000" w:sz="4" w:space="0"/>
              <w:left w:val="single" w:color="000000" w:sz="4" w:space="0"/>
              <w:bottom w:val="single" w:color="000000" w:sz="4" w:space="0"/>
              <w:right w:val="single" w:color="000000" w:sz="4" w:space="0"/>
            </w:tcBorders>
          </w:tcPr>
          <w:p w14:paraId="429F5774">
            <w:pPr>
              <w:autoSpaceDE w:val="0"/>
              <w:autoSpaceDN w:val="0"/>
              <w:jc w:val="center"/>
              <w:rPr>
                <w:kern w:val="0"/>
                <w:sz w:val="21"/>
                <w:szCs w:val="21"/>
                <w:lang w:eastAsia="en-US"/>
              </w:rPr>
            </w:pPr>
            <w:r>
              <w:rPr>
                <w:kern w:val="0"/>
                <w:sz w:val="21"/>
                <w:szCs w:val="21"/>
                <w:lang w:eastAsia="en-US"/>
              </w:rPr>
              <w:t>技术规格</w:t>
            </w:r>
          </w:p>
        </w:tc>
        <w:tc>
          <w:tcPr>
            <w:tcW w:w="362" w:type="pct"/>
            <w:tcBorders>
              <w:top w:val="single" w:color="000000" w:sz="4" w:space="0"/>
              <w:left w:val="single" w:color="000000" w:sz="4" w:space="0"/>
              <w:bottom w:val="single" w:color="000000" w:sz="4" w:space="0"/>
              <w:right w:val="single" w:color="000000" w:sz="4" w:space="0"/>
            </w:tcBorders>
          </w:tcPr>
          <w:p w14:paraId="75EACB83">
            <w:pPr>
              <w:autoSpaceDE w:val="0"/>
              <w:autoSpaceDN w:val="0"/>
              <w:jc w:val="center"/>
              <w:rPr>
                <w:kern w:val="0"/>
                <w:sz w:val="21"/>
                <w:szCs w:val="21"/>
                <w:lang w:eastAsia="en-US"/>
              </w:rPr>
            </w:pPr>
            <w:r>
              <w:rPr>
                <w:kern w:val="0"/>
                <w:sz w:val="21"/>
                <w:szCs w:val="21"/>
                <w:lang w:eastAsia="en-US"/>
              </w:rPr>
              <w:t>单位</w:t>
            </w:r>
          </w:p>
        </w:tc>
        <w:tc>
          <w:tcPr>
            <w:tcW w:w="494" w:type="pct"/>
            <w:tcBorders>
              <w:top w:val="single" w:color="000000" w:sz="4" w:space="0"/>
              <w:left w:val="single" w:color="000000" w:sz="4" w:space="0"/>
              <w:bottom w:val="single" w:color="000000" w:sz="4" w:space="0"/>
              <w:right w:val="single" w:color="000000" w:sz="4" w:space="0"/>
            </w:tcBorders>
          </w:tcPr>
          <w:p w14:paraId="4B8E60A4">
            <w:pPr>
              <w:autoSpaceDE w:val="0"/>
              <w:autoSpaceDN w:val="0"/>
              <w:jc w:val="center"/>
              <w:rPr>
                <w:kern w:val="0"/>
                <w:sz w:val="21"/>
                <w:szCs w:val="21"/>
                <w:lang w:eastAsia="en-US"/>
              </w:rPr>
            </w:pPr>
            <w:r>
              <w:rPr>
                <w:kern w:val="0"/>
                <w:sz w:val="21"/>
                <w:szCs w:val="21"/>
                <w:lang w:eastAsia="en-US"/>
              </w:rPr>
              <w:t>数量</w:t>
            </w:r>
          </w:p>
        </w:tc>
      </w:tr>
      <w:tr w14:paraId="60BA6CA4">
        <w:tblPrEx>
          <w:tblCellMar>
            <w:top w:w="0" w:type="dxa"/>
            <w:left w:w="0" w:type="dxa"/>
            <w:bottom w:w="0" w:type="dxa"/>
            <w:right w:w="0" w:type="dxa"/>
          </w:tblCellMar>
        </w:tblPrEx>
        <w:trPr>
          <w:jc w:val="center"/>
        </w:trPr>
        <w:tc>
          <w:tcPr>
            <w:tcW w:w="361" w:type="pct"/>
            <w:tcBorders>
              <w:top w:val="single" w:color="000000" w:sz="4" w:space="0"/>
              <w:left w:val="single" w:color="000000" w:sz="4" w:space="0"/>
              <w:bottom w:val="single" w:color="000000" w:sz="4" w:space="0"/>
              <w:right w:val="single" w:color="000000" w:sz="4" w:space="0"/>
            </w:tcBorders>
          </w:tcPr>
          <w:p w14:paraId="3E92810D">
            <w:pPr>
              <w:autoSpaceDE w:val="0"/>
              <w:autoSpaceDN w:val="0"/>
              <w:jc w:val="center"/>
              <w:rPr>
                <w:kern w:val="0"/>
                <w:sz w:val="21"/>
                <w:szCs w:val="21"/>
                <w:lang w:eastAsia="en-US"/>
              </w:rPr>
            </w:pPr>
            <w:bookmarkStart w:id="81" w:name="_Hlk196049667"/>
            <w:r>
              <w:rPr>
                <w:kern w:val="0"/>
                <w:sz w:val="21"/>
                <w:szCs w:val="21"/>
                <w:lang w:eastAsia="en-US"/>
              </w:rPr>
              <w:t>1</w:t>
            </w:r>
          </w:p>
        </w:tc>
        <w:tc>
          <w:tcPr>
            <w:tcW w:w="1244" w:type="pct"/>
            <w:tcBorders>
              <w:top w:val="single" w:color="000000" w:sz="4" w:space="0"/>
              <w:left w:val="single" w:color="000000" w:sz="4" w:space="0"/>
              <w:bottom w:val="single" w:color="000000" w:sz="4" w:space="0"/>
              <w:right w:val="single" w:color="000000" w:sz="4" w:space="0"/>
            </w:tcBorders>
          </w:tcPr>
          <w:p w14:paraId="156DA2E5">
            <w:pPr>
              <w:autoSpaceDE w:val="0"/>
              <w:autoSpaceDN w:val="0"/>
              <w:jc w:val="center"/>
              <w:rPr>
                <w:kern w:val="0"/>
                <w:sz w:val="21"/>
                <w:szCs w:val="21"/>
                <w:lang w:eastAsia="en-US"/>
              </w:rPr>
            </w:pPr>
            <w:r>
              <w:rPr>
                <w:kern w:val="0"/>
                <w:sz w:val="21"/>
                <w:szCs w:val="21"/>
                <w:lang w:eastAsia="en-US"/>
              </w:rPr>
              <w:t>土方开挖</w:t>
            </w:r>
          </w:p>
        </w:tc>
        <w:tc>
          <w:tcPr>
            <w:tcW w:w="2539" w:type="pct"/>
            <w:tcBorders>
              <w:top w:val="single" w:color="000000" w:sz="4" w:space="0"/>
              <w:left w:val="single" w:color="000000" w:sz="4" w:space="0"/>
              <w:bottom w:val="single" w:color="000000" w:sz="4" w:space="0"/>
              <w:right w:val="single" w:color="000000" w:sz="4" w:space="0"/>
            </w:tcBorders>
          </w:tcPr>
          <w:p w14:paraId="2A0EF67F">
            <w:pPr>
              <w:autoSpaceDE w:val="0"/>
              <w:autoSpaceDN w:val="0"/>
              <w:jc w:val="center"/>
              <w:rPr>
                <w:kern w:val="0"/>
                <w:sz w:val="21"/>
                <w:szCs w:val="21"/>
                <w:lang w:eastAsia="en-US"/>
              </w:rPr>
            </w:pPr>
            <w:r>
              <w:rPr>
                <w:kern w:val="0"/>
                <w:sz w:val="21"/>
                <w:szCs w:val="21"/>
                <w:lang w:eastAsia="en-US"/>
              </w:rPr>
              <w:t>/</w:t>
            </w:r>
          </w:p>
        </w:tc>
        <w:tc>
          <w:tcPr>
            <w:tcW w:w="362" w:type="pct"/>
            <w:tcBorders>
              <w:top w:val="single" w:color="000000" w:sz="4" w:space="0"/>
              <w:left w:val="single" w:color="000000" w:sz="4" w:space="0"/>
              <w:bottom w:val="single" w:color="000000" w:sz="4" w:space="0"/>
              <w:right w:val="single" w:color="000000" w:sz="4" w:space="0"/>
            </w:tcBorders>
          </w:tcPr>
          <w:p w14:paraId="1B132EAB">
            <w:pPr>
              <w:autoSpaceDE w:val="0"/>
              <w:autoSpaceDN w:val="0"/>
              <w:jc w:val="center"/>
              <w:rPr>
                <w:kern w:val="0"/>
                <w:sz w:val="21"/>
                <w:szCs w:val="21"/>
                <w:lang w:eastAsia="en-US"/>
              </w:rPr>
            </w:pPr>
            <w:r>
              <w:rPr>
                <w:kern w:val="0"/>
                <w:sz w:val="21"/>
                <w:szCs w:val="21"/>
                <w:lang w:eastAsia="en-US"/>
              </w:rPr>
              <w:t>m</w:t>
            </w:r>
            <w:r>
              <w:rPr>
                <w:kern w:val="0"/>
                <w:sz w:val="21"/>
                <w:szCs w:val="21"/>
                <w:vertAlign w:val="superscript"/>
                <w:lang w:eastAsia="en-US"/>
              </w:rPr>
              <w:t>3</w:t>
            </w:r>
          </w:p>
        </w:tc>
        <w:tc>
          <w:tcPr>
            <w:tcW w:w="494" w:type="pct"/>
            <w:tcBorders>
              <w:top w:val="single" w:color="000000" w:sz="4" w:space="0"/>
              <w:left w:val="single" w:color="000000" w:sz="4" w:space="0"/>
              <w:bottom w:val="single" w:color="000000" w:sz="4" w:space="0"/>
              <w:right w:val="single" w:color="000000" w:sz="4" w:space="0"/>
            </w:tcBorders>
          </w:tcPr>
          <w:p w14:paraId="49F2295E">
            <w:pPr>
              <w:autoSpaceDE w:val="0"/>
              <w:autoSpaceDN w:val="0"/>
              <w:jc w:val="center"/>
              <w:rPr>
                <w:kern w:val="0"/>
                <w:sz w:val="21"/>
                <w:szCs w:val="21"/>
                <w:lang w:eastAsia="en-US"/>
              </w:rPr>
            </w:pPr>
            <w:r>
              <w:rPr>
                <w:kern w:val="0"/>
                <w:sz w:val="21"/>
                <w:szCs w:val="21"/>
                <w:lang w:eastAsia="en-US"/>
              </w:rPr>
              <w:t>38884</w:t>
            </w:r>
          </w:p>
        </w:tc>
      </w:tr>
      <w:bookmarkEnd w:id="81"/>
      <w:tr w14:paraId="16FE5D54">
        <w:tblPrEx>
          <w:tblCellMar>
            <w:top w:w="0" w:type="dxa"/>
            <w:left w:w="0" w:type="dxa"/>
            <w:bottom w:w="0" w:type="dxa"/>
            <w:right w:w="0" w:type="dxa"/>
          </w:tblCellMar>
        </w:tblPrEx>
        <w:trPr>
          <w:jc w:val="center"/>
        </w:trPr>
        <w:tc>
          <w:tcPr>
            <w:tcW w:w="361" w:type="pct"/>
            <w:tcBorders>
              <w:top w:val="single" w:color="000000" w:sz="4" w:space="0"/>
              <w:left w:val="single" w:color="000000" w:sz="4" w:space="0"/>
              <w:bottom w:val="single" w:color="000000" w:sz="4" w:space="0"/>
              <w:right w:val="single" w:color="000000" w:sz="4" w:space="0"/>
            </w:tcBorders>
          </w:tcPr>
          <w:p w14:paraId="6AE6C98F">
            <w:pPr>
              <w:autoSpaceDE w:val="0"/>
              <w:autoSpaceDN w:val="0"/>
              <w:jc w:val="center"/>
              <w:rPr>
                <w:kern w:val="0"/>
                <w:sz w:val="21"/>
                <w:szCs w:val="21"/>
                <w:lang w:eastAsia="en-US"/>
              </w:rPr>
            </w:pPr>
            <w:r>
              <w:rPr>
                <w:kern w:val="0"/>
                <w:sz w:val="21"/>
                <w:szCs w:val="21"/>
                <w:lang w:eastAsia="en-US"/>
              </w:rPr>
              <w:t>2</w:t>
            </w:r>
          </w:p>
        </w:tc>
        <w:tc>
          <w:tcPr>
            <w:tcW w:w="1244" w:type="pct"/>
            <w:tcBorders>
              <w:top w:val="single" w:color="000000" w:sz="4" w:space="0"/>
              <w:left w:val="single" w:color="000000" w:sz="4" w:space="0"/>
              <w:bottom w:val="single" w:color="000000" w:sz="4" w:space="0"/>
              <w:right w:val="single" w:color="000000" w:sz="4" w:space="0"/>
            </w:tcBorders>
          </w:tcPr>
          <w:p w14:paraId="32CF6810">
            <w:pPr>
              <w:autoSpaceDE w:val="0"/>
              <w:autoSpaceDN w:val="0"/>
              <w:jc w:val="center"/>
              <w:rPr>
                <w:kern w:val="0"/>
                <w:sz w:val="21"/>
                <w:szCs w:val="21"/>
                <w:lang w:eastAsia="en-US"/>
              </w:rPr>
            </w:pPr>
            <w:r>
              <w:rPr>
                <w:kern w:val="0"/>
                <w:sz w:val="21"/>
                <w:szCs w:val="21"/>
                <w:lang w:eastAsia="en-US"/>
              </w:rPr>
              <w:t>土方回填</w:t>
            </w:r>
          </w:p>
        </w:tc>
        <w:tc>
          <w:tcPr>
            <w:tcW w:w="2539" w:type="pct"/>
            <w:tcBorders>
              <w:top w:val="single" w:color="000000" w:sz="4" w:space="0"/>
              <w:left w:val="single" w:color="000000" w:sz="4" w:space="0"/>
              <w:bottom w:val="single" w:color="000000" w:sz="4" w:space="0"/>
              <w:right w:val="single" w:color="000000" w:sz="4" w:space="0"/>
            </w:tcBorders>
          </w:tcPr>
          <w:p w14:paraId="59D8040E">
            <w:pPr>
              <w:autoSpaceDE w:val="0"/>
              <w:autoSpaceDN w:val="0"/>
              <w:jc w:val="center"/>
              <w:rPr>
                <w:kern w:val="0"/>
                <w:sz w:val="21"/>
                <w:szCs w:val="21"/>
                <w:lang w:eastAsia="en-US"/>
              </w:rPr>
            </w:pPr>
            <w:r>
              <w:rPr>
                <w:kern w:val="0"/>
                <w:sz w:val="21"/>
                <w:szCs w:val="21"/>
                <w:lang w:eastAsia="en-US"/>
              </w:rPr>
              <w:t>/</w:t>
            </w:r>
          </w:p>
        </w:tc>
        <w:tc>
          <w:tcPr>
            <w:tcW w:w="362" w:type="pct"/>
            <w:tcBorders>
              <w:top w:val="single" w:color="000000" w:sz="4" w:space="0"/>
              <w:left w:val="single" w:color="000000" w:sz="4" w:space="0"/>
              <w:bottom w:val="single" w:color="000000" w:sz="4" w:space="0"/>
              <w:right w:val="single" w:color="000000" w:sz="4" w:space="0"/>
            </w:tcBorders>
          </w:tcPr>
          <w:p w14:paraId="4F20698C">
            <w:pPr>
              <w:autoSpaceDE w:val="0"/>
              <w:autoSpaceDN w:val="0"/>
              <w:jc w:val="center"/>
              <w:rPr>
                <w:kern w:val="0"/>
                <w:sz w:val="21"/>
                <w:szCs w:val="21"/>
                <w:lang w:eastAsia="en-US"/>
              </w:rPr>
            </w:pPr>
            <w:r>
              <w:rPr>
                <w:kern w:val="0"/>
                <w:sz w:val="21"/>
                <w:szCs w:val="21"/>
                <w:lang w:eastAsia="en-US"/>
              </w:rPr>
              <w:t>m</w:t>
            </w:r>
            <w:r>
              <w:rPr>
                <w:kern w:val="0"/>
                <w:sz w:val="21"/>
                <w:szCs w:val="21"/>
                <w:vertAlign w:val="superscript"/>
                <w:lang w:eastAsia="en-US"/>
              </w:rPr>
              <w:t>3</w:t>
            </w:r>
          </w:p>
        </w:tc>
        <w:tc>
          <w:tcPr>
            <w:tcW w:w="494" w:type="pct"/>
            <w:tcBorders>
              <w:top w:val="single" w:color="000000" w:sz="4" w:space="0"/>
              <w:left w:val="single" w:color="000000" w:sz="4" w:space="0"/>
              <w:bottom w:val="single" w:color="000000" w:sz="4" w:space="0"/>
              <w:right w:val="single" w:color="000000" w:sz="4" w:space="0"/>
            </w:tcBorders>
          </w:tcPr>
          <w:p w14:paraId="297DFF3F">
            <w:pPr>
              <w:autoSpaceDE w:val="0"/>
              <w:autoSpaceDN w:val="0"/>
              <w:jc w:val="center"/>
              <w:rPr>
                <w:kern w:val="0"/>
                <w:sz w:val="21"/>
                <w:szCs w:val="21"/>
                <w:lang w:eastAsia="en-US"/>
              </w:rPr>
            </w:pPr>
            <w:r>
              <w:rPr>
                <w:kern w:val="0"/>
                <w:sz w:val="21"/>
                <w:szCs w:val="21"/>
                <w:lang w:eastAsia="en-US"/>
              </w:rPr>
              <w:t>28824</w:t>
            </w:r>
          </w:p>
        </w:tc>
      </w:tr>
      <w:tr w14:paraId="765DA441">
        <w:tblPrEx>
          <w:tblCellMar>
            <w:top w:w="0" w:type="dxa"/>
            <w:left w:w="0" w:type="dxa"/>
            <w:bottom w:w="0" w:type="dxa"/>
            <w:right w:w="0" w:type="dxa"/>
          </w:tblCellMar>
        </w:tblPrEx>
        <w:trPr>
          <w:jc w:val="center"/>
        </w:trPr>
        <w:tc>
          <w:tcPr>
            <w:tcW w:w="361" w:type="pct"/>
            <w:tcBorders>
              <w:top w:val="single" w:color="000000" w:sz="4" w:space="0"/>
              <w:left w:val="single" w:color="000000" w:sz="4" w:space="0"/>
              <w:bottom w:val="single" w:color="000000" w:sz="4" w:space="0"/>
              <w:right w:val="single" w:color="000000" w:sz="4" w:space="0"/>
            </w:tcBorders>
          </w:tcPr>
          <w:p w14:paraId="374F231A">
            <w:pPr>
              <w:autoSpaceDE w:val="0"/>
              <w:autoSpaceDN w:val="0"/>
              <w:jc w:val="center"/>
              <w:rPr>
                <w:kern w:val="0"/>
                <w:sz w:val="21"/>
                <w:szCs w:val="21"/>
                <w:lang w:eastAsia="en-US"/>
              </w:rPr>
            </w:pPr>
            <w:r>
              <w:rPr>
                <w:kern w:val="0"/>
                <w:sz w:val="21"/>
                <w:szCs w:val="21"/>
                <w:lang w:eastAsia="en-US"/>
              </w:rPr>
              <w:t>3</w:t>
            </w:r>
          </w:p>
        </w:tc>
        <w:tc>
          <w:tcPr>
            <w:tcW w:w="1244" w:type="pct"/>
            <w:tcBorders>
              <w:top w:val="single" w:color="000000" w:sz="4" w:space="0"/>
              <w:left w:val="single" w:color="000000" w:sz="4" w:space="0"/>
              <w:bottom w:val="single" w:color="000000" w:sz="4" w:space="0"/>
              <w:right w:val="single" w:color="000000" w:sz="4" w:space="0"/>
            </w:tcBorders>
          </w:tcPr>
          <w:p w14:paraId="72027023">
            <w:pPr>
              <w:autoSpaceDE w:val="0"/>
              <w:autoSpaceDN w:val="0"/>
              <w:jc w:val="center"/>
              <w:rPr>
                <w:kern w:val="0"/>
                <w:sz w:val="21"/>
                <w:szCs w:val="21"/>
                <w:lang w:eastAsia="en-US"/>
              </w:rPr>
            </w:pPr>
            <w:r>
              <w:rPr>
                <w:kern w:val="0"/>
                <w:sz w:val="21"/>
                <w:szCs w:val="21"/>
                <w:lang w:eastAsia="en-US"/>
              </w:rPr>
              <w:t>坡脚防护</w:t>
            </w:r>
          </w:p>
        </w:tc>
        <w:tc>
          <w:tcPr>
            <w:tcW w:w="2539" w:type="pct"/>
            <w:tcBorders>
              <w:top w:val="single" w:color="000000" w:sz="4" w:space="0"/>
              <w:left w:val="single" w:color="000000" w:sz="4" w:space="0"/>
              <w:bottom w:val="single" w:color="000000" w:sz="4" w:space="0"/>
              <w:right w:val="single" w:color="000000" w:sz="4" w:space="0"/>
            </w:tcBorders>
          </w:tcPr>
          <w:p w14:paraId="6294EACB">
            <w:pPr>
              <w:autoSpaceDE w:val="0"/>
              <w:autoSpaceDN w:val="0"/>
              <w:jc w:val="center"/>
              <w:rPr>
                <w:kern w:val="0"/>
                <w:sz w:val="21"/>
                <w:szCs w:val="21"/>
                <w:lang w:eastAsia="en-US"/>
              </w:rPr>
            </w:pPr>
            <w:r>
              <w:rPr>
                <w:kern w:val="0"/>
                <w:sz w:val="21"/>
                <w:szCs w:val="21"/>
                <w:lang w:eastAsia="en-US"/>
              </w:rPr>
              <w:t>/</w:t>
            </w:r>
          </w:p>
        </w:tc>
        <w:tc>
          <w:tcPr>
            <w:tcW w:w="362" w:type="pct"/>
            <w:tcBorders>
              <w:top w:val="single" w:color="000000" w:sz="4" w:space="0"/>
              <w:left w:val="single" w:color="000000" w:sz="4" w:space="0"/>
              <w:bottom w:val="single" w:color="000000" w:sz="4" w:space="0"/>
              <w:right w:val="single" w:color="000000" w:sz="4" w:space="0"/>
            </w:tcBorders>
          </w:tcPr>
          <w:p w14:paraId="06006629">
            <w:pPr>
              <w:autoSpaceDE w:val="0"/>
              <w:autoSpaceDN w:val="0"/>
              <w:jc w:val="center"/>
              <w:rPr>
                <w:kern w:val="0"/>
                <w:sz w:val="21"/>
                <w:szCs w:val="21"/>
                <w:lang w:eastAsia="en-US"/>
              </w:rPr>
            </w:pPr>
            <w:r>
              <w:rPr>
                <w:kern w:val="0"/>
                <w:sz w:val="21"/>
                <w:szCs w:val="21"/>
                <w:lang w:eastAsia="en-US"/>
              </w:rPr>
              <w:t>m</w:t>
            </w:r>
            <w:r>
              <w:rPr>
                <w:kern w:val="0"/>
                <w:sz w:val="21"/>
                <w:szCs w:val="21"/>
                <w:vertAlign w:val="superscript"/>
                <w:lang w:eastAsia="en-US"/>
              </w:rPr>
              <w:t>3</w:t>
            </w:r>
          </w:p>
        </w:tc>
        <w:tc>
          <w:tcPr>
            <w:tcW w:w="494" w:type="pct"/>
            <w:tcBorders>
              <w:top w:val="single" w:color="000000" w:sz="4" w:space="0"/>
              <w:left w:val="single" w:color="000000" w:sz="4" w:space="0"/>
              <w:bottom w:val="single" w:color="000000" w:sz="4" w:space="0"/>
              <w:right w:val="single" w:color="000000" w:sz="4" w:space="0"/>
            </w:tcBorders>
          </w:tcPr>
          <w:p w14:paraId="585BE266">
            <w:pPr>
              <w:autoSpaceDE w:val="0"/>
              <w:autoSpaceDN w:val="0"/>
              <w:jc w:val="center"/>
              <w:rPr>
                <w:kern w:val="0"/>
                <w:sz w:val="21"/>
                <w:szCs w:val="21"/>
                <w:lang w:eastAsia="en-US"/>
              </w:rPr>
            </w:pPr>
            <w:r>
              <w:rPr>
                <w:kern w:val="0"/>
                <w:sz w:val="21"/>
                <w:szCs w:val="21"/>
                <w:lang w:eastAsia="en-US"/>
              </w:rPr>
              <w:t>5809.5</w:t>
            </w:r>
          </w:p>
        </w:tc>
      </w:tr>
      <w:tr w14:paraId="0C9C15CD">
        <w:tblPrEx>
          <w:tblCellMar>
            <w:top w:w="0" w:type="dxa"/>
            <w:left w:w="0" w:type="dxa"/>
            <w:bottom w:w="0" w:type="dxa"/>
            <w:right w:w="0" w:type="dxa"/>
          </w:tblCellMar>
        </w:tblPrEx>
        <w:trPr>
          <w:jc w:val="center"/>
        </w:trPr>
        <w:tc>
          <w:tcPr>
            <w:tcW w:w="361" w:type="pct"/>
            <w:tcBorders>
              <w:top w:val="single" w:color="000000" w:sz="4" w:space="0"/>
              <w:left w:val="single" w:color="000000" w:sz="4" w:space="0"/>
              <w:bottom w:val="single" w:color="000000" w:sz="4" w:space="0"/>
              <w:right w:val="single" w:color="000000" w:sz="4" w:space="0"/>
            </w:tcBorders>
          </w:tcPr>
          <w:p w14:paraId="017358B7">
            <w:pPr>
              <w:autoSpaceDE w:val="0"/>
              <w:autoSpaceDN w:val="0"/>
              <w:jc w:val="center"/>
              <w:rPr>
                <w:kern w:val="0"/>
                <w:sz w:val="21"/>
                <w:szCs w:val="21"/>
                <w:lang w:eastAsia="en-US"/>
              </w:rPr>
            </w:pPr>
            <w:r>
              <w:rPr>
                <w:kern w:val="0"/>
                <w:sz w:val="21"/>
                <w:szCs w:val="21"/>
                <w:lang w:eastAsia="en-US"/>
              </w:rPr>
              <w:t>4</w:t>
            </w:r>
          </w:p>
        </w:tc>
        <w:tc>
          <w:tcPr>
            <w:tcW w:w="1244" w:type="pct"/>
            <w:tcBorders>
              <w:top w:val="single" w:color="000000" w:sz="4" w:space="0"/>
              <w:left w:val="single" w:color="000000" w:sz="4" w:space="0"/>
              <w:bottom w:val="single" w:color="000000" w:sz="4" w:space="0"/>
              <w:right w:val="single" w:color="000000" w:sz="4" w:space="0"/>
            </w:tcBorders>
          </w:tcPr>
          <w:p w14:paraId="411F04C6">
            <w:pPr>
              <w:autoSpaceDE w:val="0"/>
              <w:autoSpaceDN w:val="0"/>
              <w:jc w:val="center"/>
              <w:rPr>
                <w:kern w:val="0"/>
                <w:sz w:val="21"/>
                <w:szCs w:val="21"/>
                <w:lang w:eastAsia="en-US"/>
              </w:rPr>
            </w:pPr>
            <w:r>
              <w:rPr>
                <w:kern w:val="0"/>
                <w:sz w:val="21"/>
                <w:szCs w:val="21"/>
                <w:lang w:eastAsia="en-US"/>
              </w:rPr>
              <w:t>水平防护</w:t>
            </w:r>
          </w:p>
        </w:tc>
        <w:tc>
          <w:tcPr>
            <w:tcW w:w="2539" w:type="pct"/>
            <w:tcBorders>
              <w:top w:val="single" w:color="000000" w:sz="4" w:space="0"/>
              <w:left w:val="single" w:color="000000" w:sz="4" w:space="0"/>
              <w:bottom w:val="single" w:color="000000" w:sz="4" w:space="0"/>
              <w:right w:val="single" w:color="000000" w:sz="4" w:space="0"/>
            </w:tcBorders>
          </w:tcPr>
          <w:p w14:paraId="5E0704C8">
            <w:pPr>
              <w:autoSpaceDE w:val="0"/>
              <w:autoSpaceDN w:val="0"/>
              <w:jc w:val="center"/>
              <w:rPr>
                <w:kern w:val="0"/>
                <w:sz w:val="21"/>
                <w:szCs w:val="21"/>
                <w:lang w:eastAsia="en-US"/>
              </w:rPr>
            </w:pPr>
            <w:r>
              <w:rPr>
                <w:kern w:val="0"/>
                <w:sz w:val="21"/>
                <w:szCs w:val="21"/>
                <w:lang w:eastAsia="en-US"/>
              </w:rPr>
              <w:t>400g/m</w:t>
            </w:r>
            <w:r>
              <w:rPr>
                <w:kern w:val="0"/>
                <w:sz w:val="21"/>
                <w:szCs w:val="21"/>
                <w:vertAlign w:val="superscript"/>
                <w:lang w:eastAsia="en-US"/>
              </w:rPr>
              <w:t>2</w:t>
            </w:r>
          </w:p>
        </w:tc>
        <w:tc>
          <w:tcPr>
            <w:tcW w:w="362" w:type="pct"/>
            <w:tcBorders>
              <w:top w:val="single" w:color="000000" w:sz="4" w:space="0"/>
              <w:left w:val="single" w:color="000000" w:sz="4" w:space="0"/>
              <w:bottom w:val="single" w:color="000000" w:sz="4" w:space="0"/>
              <w:right w:val="single" w:color="000000" w:sz="4" w:space="0"/>
            </w:tcBorders>
          </w:tcPr>
          <w:p w14:paraId="4E4F64B1">
            <w:pPr>
              <w:autoSpaceDE w:val="0"/>
              <w:autoSpaceDN w:val="0"/>
              <w:jc w:val="center"/>
              <w:rPr>
                <w:kern w:val="0"/>
                <w:sz w:val="21"/>
                <w:szCs w:val="21"/>
                <w:lang w:eastAsia="en-US"/>
              </w:rPr>
            </w:pPr>
            <w:r>
              <w:rPr>
                <w:kern w:val="0"/>
                <w:sz w:val="21"/>
                <w:szCs w:val="21"/>
                <w:lang w:eastAsia="en-US"/>
              </w:rPr>
              <w:t>m</w:t>
            </w:r>
            <w:r>
              <w:rPr>
                <w:kern w:val="0"/>
                <w:sz w:val="21"/>
                <w:szCs w:val="21"/>
                <w:vertAlign w:val="superscript"/>
                <w:lang w:eastAsia="en-US"/>
              </w:rPr>
              <w:t>3</w:t>
            </w:r>
          </w:p>
        </w:tc>
        <w:tc>
          <w:tcPr>
            <w:tcW w:w="494" w:type="pct"/>
            <w:tcBorders>
              <w:top w:val="single" w:color="000000" w:sz="4" w:space="0"/>
              <w:left w:val="single" w:color="000000" w:sz="4" w:space="0"/>
              <w:bottom w:val="single" w:color="000000" w:sz="4" w:space="0"/>
              <w:right w:val="single" w:color="000000" w:sz="4" w:space="0"/>
            </w:tcBorders>
          </w:tcPr>
          <w:p w14:paraId="56D6B3B0">
            <w:pPr>
              <w:autoSpaceDE w:val="0"/>
              <w:autoSpaceDN w:val="0"/>
              <w:jc w:val="center"/>
              <w:rPr>
                <w:kern w:val="0"/>
                <w:sz w:val="21"/>
                <w:szCs w:val="21"/>
                <w:lang w:eastAsia="en-US"/>
              </w:rPr>
            </w:pPr>
            <w:r>
              <w:rPr>
                <w:kern w:val="0"/>
                <w:sz w:val="21"/>
                <w:szCs w:val="21"/>
                <w:lang w:eastAsia="en-US"/>
              </w:rPr>
              <w:t>3227.5</w:t>
            </w:r>
          </w:p>
        </w:tc>
      </w:tr>
      <w:tr w14:paraId="6A6A1758">
        <w:tblPrEx>
          <w:tblCellMar>
            <w:top w:w="0" w:type="dxa"/>
            <w:left w:w="0" w:type="dxa"/>
            <w:bottom w:w="0" w:type="dxa"/>
            <w:right w:w="0" w:type="dxa"/>
          </w:tblCellMar>
        </w:tblPrEx>
        <w:trPr>
          <w:jc w:val="center"/>
        </w:trPr>
        <w:tc>
          <w:tcPr>
            <w:tcW w:w="361" w:type="pct"/>
            <w:tcBorders>
              <w:top w:val="single" w:color="000000" w:sz="4" w:space="0"/>
              <w:left w:val="single" w:color="000000" w:sz="4" w:space="0"/>
              <w:bottom w:val="single" w:color="000000" w:sz="4" w:space="0"/>
              <w:right w:val="single" w:color="000000" w:sz="4" w:space="0"/>
            </w:tcBorders>
          </w:tcPr>
          <w:p w14:paraId="5AFCFF16">
            <w:pPr>
              <w:autoSpaceDE w:val="0"/>
              <w:autoSpaceDN w:val="0"/>
              <w:jc w:val="center"/>
              <w:rPr>
                <w:kern w:val="0"/>
                <w:sz w:val="21"/>
                <w:szCs w:val="21"/>
                <w:lang w:eastAsia="en-US"/>
              </w:rPr>
            </w:pPr>
            <w:r>
              <w:rPr>
                <w:kern w:val="0"/>
                <w:sz w:val="21"/>
                <w:szCs w:val="21"/>
                <w:lang w:eastAsia="en-US"/>
              </w:rPr>
              <w:t>5</w:t>
            </w:r>
          </w:p>
        </w:tc>
        <w:tc>
          <w:tcPr>
            <w:tcW w:w="1244" w:type="pct"/>
            <w:tcBorders>
              <w:top w:val="single" w:color="000000" w:sz="4" w:space="0"/>
              <w:left w:val="single" w:color="000000" w:sz="4" w:space="0"/>
              <w:bottom w:val="single" w:color="000000" w:sz="4" w:space="0"/>
              <w:right w:val="single" w:color="000000" w:sz="4" w:space="0"/>
            </w:tcBorders>
          </w:tcPr>
          <w:p w14:paraId="36D2CFE0">
            <w:pPr>
              <w:autoSpaceDE w:val="0"/>
              <w:autoSpaceDN w:val="0"/>
              <w:jc w:val="center"/>
              <w:rPr>
                <w:kern w:val="0"/>
                <w:sz w:val="21"/>
                <w:szCs w:val="21"/>
                <w:lang w:eastAsia="en-US"/>
              </w:rPr>
            </w:pPr>
            <w:r>
              <w:rPr>
                <w:kern w:val="0"/>
                <w:sz w:val="21"/>
                <w:szCs w:val="21"/>
                <w:lang w:eastAsia="en-US"/>
              </w:rPr>
              <w:t>坡脚防护土工布</w:t>
            </w:r>
          </w:p>
        </w:tc>
        <w:tc>
          <w:tcPr>
            <w:tcW w:w="2539" w:type="pct"/>
            <w:tcBorders>
              <w:top w:val="single" w:color="000000" w:sz="4" w:space="0"/>
              <w:left w:val="single" w:color="000000" w:sz="4" w:space="0"/>
              <w:bottom w:val="single" w:color="000000" w:sz="4" w:space="0"/>
              <w:right w:val="single" w:color="000000" w:sz="4" w:space="0"/>
            </w:tcBorders>
          </w:tcPr>
          <w:p w14:paraId="507D98E5">
            <w:pPr>
              <w:autoSpaceDE w:val="0"/>
              <w:autoSpaceDN w:val="0"/>
              <w:jc w:val="center"/>
              <w:rPr>
                <w:kern w:val="0"/>
                <w:sz w:val="21"/>
                <w:szCs w:val="21"/>
                <w:lang w:eastAsia="en-US"/>
              </w:rPr>
            </w:pPr>
            <w:r>
              <w:rPr>
                <w:kern w:val="0"/>
                <w:sz w:val="21"/>
                <w:szCs w:val="21"/>
                <w:lang w:eastAsia="en-US"/>
              </w:rPr>
              <w:t>/</w:t>
            </w:r>
          </w:p>
        </w:tc>
        <w:tc>
          <w:tcPr>
            <w:tcW w:w="362" w:type="pct"/>
            <w:tcBorders>
              <w:top w:val="single" w:color="000000" w:sz="4" w:space="0"/>
              <w:left w:val="single" w:color="000000" w:sz="4" w:space="0"/>
              <w:bottom w:val="single" w:color="000000" w:sz="4" w:space="0"/>
              <w:right w:val="single" w:color="000000" w:sz="4" w:space="0"/>
            </w:tcBorders>
          </w:tcPr>
          <w:p w14:paraId="7D5F5ED5">
            <w:pPr>
              <w:autoSpaceDE w:val="0"/>
              <w:autoSpaceDN w:val="0"/>
              <w:jc w:val="center"/>
              <w:rPr>
                <w:kern w:val="0"/>
                <w:sz w:val="21"/>
                <w:szCs w:val="21"/>
                <w:lang w:eastAsia="en-US"/>
              </w:rPr>
            </w:pPr>
            <w:r>
              <w:rPr>
                <w:kern w:val="0"/>
                <w:sz w:val="21"/>
                <w:szCs w:val="21"/>
                <w:lang w:eastAsia="en-US"/>
              </w:rPr>
              <w:t>m</w:t>
            </w:r>
            <w:r>
              <w:rPr>
                <w:kern w:val="0"/>
                <w:sz w:val="21"/>
                <w:szCs w:val="21"/>
                <w:vertAlign w:val="superscript"/>
                <w:lang w:eastAsia="en-US"/>
              </w:rPr>
              <w:t>2</w:t>
            </w:r>
          </w:p>
        </w:tc>
        <w:tc>
          <w:tcPr>
            <w:tcW w:w="494" w:type="pct"/>
            <w:tcBorders>
              <w:top w:val="single" w:color="000000" w:sz="4" w:space="0"/>
              <w:left w:val="single" w:color="000000" w:sz="4" w:space="0"/>
              <w:bottom w:val="single" w:color="000000" w:sz="4" w:space="0"/>
              <w:right w:val="single" w:color="000000" w:sz="4" w:space="0"/>
            </w:tcBorders>
          </w:tcPr>
          <w:p w14:paraId="1D670C6E">
            <w:pPr>
              <w:autoSpaceDE w:val="0"/>
              <w:autoSpaceDN w:val="0"/>
              <w:jc w:val="center"/>
              <w:rPr>
                <w:kern w:val="0"/>
                <w:sz w:val="21"/>
                <w:szCs w:val="21"/>
                <w:lang w:eastAsia="en-US"/>
              </w:rPr>
            </w:pPr>
            <w:r>
              <w:rPr>
                <w:kern w:val="0"/>
                <w:sz w:val="21"/>
                <w:szCs w:val="21"/>
                <w:lang w:eastAsia="en-US"/>
              </w:rPr>
              <w:t>13555.5</w:t>
            </w:r>
          </w:p>
        </w:tc>
      </w:tr>
      <w:tr w14:paraId="33C138F1">
        <w:tblPrEx>
          <w:tblCellMar>
            <w:top w:w="0" w:type="dxa"/>
            <w:left w:w="0" w:type="dxa"/>
            <w:bottom w:w="0" w:type="dxa"/>
            <w:right w:w="0" w:type="dxa"/>
          </w:tblCellMar>
        </w:tblPrEx>
        <w:trPr>
          <w:jc w:val="center"/>
        </w:trPr>
        <w:tc>
          <w:tcPr>
            <w:tcW w:w="361" w:type="pct"/>
            <w:tcBorders>
              <w:top w:val="single" w:color="000000" w:sz="4" w:space="0"/>
              <w:left w:val="single" w:color="000000" w:sz="4" w:space="0"/>
              <w:bottom w:val="single" w:color="000000" w:sz="4" w:space="0"/>
              <w:right w:val="single" w:color="000000" w:sz="4" w:space="0"/>
            </w:tcBorders>
          </w:tcPr>
          <w:p w14:paraId="030E810F">
            <w:pPr>
              <w:autoSpaceDE w:val="0"/>
              <w:autoSpaceDN w:val="0"/>
              <w:jc w:val="center"/>
              <w:rPr>
                <w:kern w:val="0"/>
                <w:sz w:val="21"/>
                <w:szCs w:val="21"/>
                <w:lang w:eastAsia="en-US"/>
              </w:rPr>
            </w:pPr>
            <w:r>
              <w:rPr>
                <w:kern w:val="0"/>
                <w:sz w:val="21"/>
                <w:szCs w:val="21"/>
                <w:lang w:eastAsia="en-US"/>
              </w:rPr>
              <w:t>6</w:t>
            </w:r>
          </w:p>
        </w:tc>
        <w:tc>
          <w:tcPr>
            <w:tcW w:w="1244" w:type="pct"/>
            <w:tcBorders>
              <w:top w:val="single" w:color="000000" w:sz="4" w:space="0"/>
              <w:left w:val="single" w:color="000000" w:sz="4" w:space="0"/>
              <w:bottom w:val="single" w:color="000000" w:sz="4" w:space="0"/>
              <w:right w:val="single" w:color="000000" w:sz="4" w:space="0"/>
            </w:tcBorders>
          </w:tcPr>
          <w:p w14:paraId="5E79DA1D">
            <w:pPr>
              <w:autoSpaceDE w:val="0"/>
              <w:autoSpaceDN w:val="0"/>
              <w:jc w:val="center"/>
              <w:rPr>
                <w:kern w:val="0"/>
                <w:sz w:val="21"/>
                <w:szCs w:val="21"/>
                <w:lang w:eastAsia="en-US"/>
              </w:rPr>
            </w:pPr>
            <w:r>
              <w:rPr>
                <w:kern w:val="0"/>
                <w:sz w:val="21"/>
                <w:szCs w:val="21"/>
                <w:lang w:eastAsia="en-US"/>
              </w:rPr>
              <w:t>蒿柳</w:t>
            </w:r>
          </w:p>
        </w:tc>
        <w:tc>
          <w:tcPr>
            <w:tcW w:w="2539" w:type="pct"/>
            <w:tcBorders>
              <w:top w:val="single" w:color="000000" w:sz="4" w:space="0"/>
              <w:left w:val="single" w:color="000000" w:sz="4" w:space="0"/>
              <w:bottom w:val="single" w:color="000000" w:sz="4" w:space="0"/>
              <w:right w:val="single" w:color="000000" w:sz="4" w:space="0"/>
            </w:tcBorders>
          </w:tcPr>
          <w:p w14:paraId="03B17730">
            <w:pPr>
              <w:autoSpaceDE w:val="0"/>
              <w:autoSpaceDN w:val="0"/>
              <w:jc w:val="center"/>
              <w:rPr>
                <w:kern w:val="0"/>
                <w:sz w:val="21"/>
                <w:szCs w:val="21"/>
                <w:lang w:eastAsia="en-US"/>
              </w:rPr>
            </w:pPr>
            <w:r>
              <w:rPr>
                <w:kern w:val="0"/>
                <w:sz w:val="21"/>
                <w:szCs w:val="21"/>
                <w:lang w:eastAsia="en-US"/>
              </w:rPr>
              <w:t>/</w:t>
            </w:r>
          </w:p>
        </w:tc>
        <w:tc>
          <w:tcPr>
            <w:tcW w:w="362" w:type="pct"/>
            <w:tcBorders>
              <w:top w:val="single" w:color="000000" w:sz="4" w:space="0"/>
              <w:left w:val="single" w:color="000000" w:sz="4" w:space="0"/>
              <w:bottom w:val="single" w:color="000000" w:sz="4" w:space="0"/>
              <w:right w:val="single" w:color="000000" w:sz="4" w:space="0"/>
            </w:tcBorders>
          </w:tcPr>
          <w:p w14:paraId="4A361F17">
            <w:pPr>
              <w:autoSpaceDE w:val="0"/>
              <w:autoSpaceDN w:val="0"/>
              <w:jc w:val="center"/>
              <w:rPr>
                <w:kern w:val="0"/>
                <w:sz w:val="21"/>
                <w:szCs w:val="21"/>
                <w:lang w:eastAsia="en-US"/>
              </w:rPr>
            </w:pPr>
            <w:r>
              <w:rPr>
                <w:kern w:val="0"/>
                <w:sz w:val="21"/>
                <w:szCs w:val="21"/>
                <w:lang w:eastAsia="en-US"/>
              </w:rPr>
              <w:t>m</w:t>
            </w:r>
            <w:r>
              <w:rPr>
                <w:kern w:val="0"/>
                <w:sz w:val="21"/>
                <w:szCs w:val="21"/>
                <w:vertAlign w:val="superscript"/>
                <w:lang w:eastAsia="en-US"/>
              </w:rPr>
              <w:t>2</w:t>
            </w:r>
          </w:p>
        </w:tc>
        <w:tc>
          <w:tcPr>
            <w:tcW w:w="494" w:type="pct"/>
            <w:tcBorders>
              <w:top w:val="single" w:color="000000" w:sz="4" w:space="0"/>
              <w:left w:val="single" w:color="000000" w:sz="4" w:space="0"/>
              <w:bottom w:val="single" w:color="000000" w:sz="4" w:space="0"/>
              <w:right w:val="single" w:color="000000" w:sz="4" w:space="0"/>
            </w:tcBorders>
          </w:tcPr>
          <w:p w14:paraId="1953871B">
            <w:pPr>
              <w:autoSpaceDE w:val="0"/>
              <w:autoSpaceDN w:val="0"/>
              <w:jc w:val="center"/>
              <w:rPr>
                <w:kern w:val="0"/>
                <w:sz w:val="21"/>
                <w:szCs w:val="21"/>
                <w:lang w:eastAsia="en-US"/>
              </w:rPr>
            </w:pPr>
            <w:r>
              <w:rPr>
                <w:kern w:val="0"/>
                <w:sz w:val="21"/>
                <w:szCs w:val="21"/>
                <w:lang w:eastAsia="en-US"/>
              </w:rPr>
              <w:t>124</w:t>
            </w:r>
          </w:p>
        </w:tc>
      </w:tr>
      <w:tr w14:paraId="36DCACBF">
        <w:tblPrEx>
          <w:tblCellMar>
            <w:top w:w="0" w:type="dxa"/>
            <w:left w:w="0" w:type="dxa"/>
            <w:bottom w:w="0" w:type="dxa"/>
            <w:right w:w="0" w:type="dxa"/>
          </w:tblCellMar>
        </w:tblPrEx>
        <w:trPr>
          <w:jc w:val="center"/>
        </w:trPr>
        <w:tc>
          <w:tcPr>
            <w:tcW w:w="361" w:type="pct"/>
            <w:tcBorders>
              <w:top w:val="single" w:color="000000" w:sz="4" w:space="0"/>
              <w:left w:val="single" w:color="000000" w:sz="4" w:space="0"/>
              <w:bottom w:val="single" w:color="000000" w:sz="4" w:space="0"/>
              <w:right w:val="single" w:color="000000" w:sz="4" w:space="0"/>
            </w:tcBorders>
          </w:tcPr>
          <w:p w14:paraId="16B241AE">
            <w:pPr>
              <w:autoSpaceDE w:val="0"/>
              <w:autoSpaceDN w:val="0"/>
              <w:jc w:val="center"/>
              <w:rPr>
                <w:kern w:val="0"/>
                <w:sz w:val="21"/>
                <w:szCs w:val="21"/>
                <w:lang w:eastAsia="en-US"/>
              </w:rPr>
            </w:pPr>
            <w:r>
              <w:rPr>
                <w:kern w:val="0"/>
                <w:sz w:val="21"/>
                <w:szCs w:val="21"/>
                <w:lang w:eastAsia="en-US"/>
              </w:rPr>
              <w:t>7</w:t>
            </w:r>
          </w:p>
        </w:tc>
        <w:tc>
          <w:tcPr>
            <w:tcW w:w="1244" w:type="pct"/>
            <w:tcBorders>
              <w:top w:val="single" w:color="000000" w:sz="4" w:space="0"/>
              <w:left w:val="single" w:color="000000" w:sz="4" w:space="0"/>
              <w:bottom w:val="single" w:color="000000" w:sz="4" w:space="0"/>
              <w:right w:val="single" w:color="000000" w:sz="4" w:space="0"/>
            </w:tcBorders>
          </w:tcPr>
          <w:p w14:paraId="4F8E78AA">
            <w:pPr>
              <w:autoSpaceDE w:val="0"/>
              <w:autoSpaceDN w:val="0"/>
              <w:jc w:val="center"/>
              <w:rPr>
                <w:kern w:val="0"/>
                <w:sz w:val="21"/>
                <w:szCs w:val="21"/>
                <w:lang w:eastAsia="en-US"/>
              </w:rPr>
            </w:pPr>
            <w:r>
              <w:rPr>
                <w:kern w:val="0"/>
                <w:sz w:val="21"/>
                <w:szCs w:val="21"/>
                <w:lang w:eastAsia="en-US"/>
              </w:rPr>
              <w:t>连翘</w:t>
            </w:r>
          </w:p>
        </w:tc>
        <w:tc>
          <w:tcPr>
            <w:tcW w:w="2539" w:type="pct"/>
            <w:tcBorders>
              <w:top w:val="single" w:color="000000" w:sz="4" w:space="0"/>
              <w:left w:val="single" w:color="000000" w:sz="4" w:space="0"/>
              <w:bottom w:val="single" w:color="000000" w:sz="4" w:space="0"/>
              <w:right w:val="single" w:color="000000" w:sz="4" w:space="0"/>
            </w:tcBorders>
          </w:tcPr>
          <w:p w14:paraId="27B80466">
            <w:pPr>
              <w:autoSpaceDE w:val="0"/>
              <w:autoSpaceDN w:val="0"/>
              <w:jc w:val="center"/>
              <w:rPr>
                <w:kern w:val="0"/>
                <w:sz w:val="21"/>
                <w:szCs w:val="21"/>
                <w:lang w:eastAsia="en-US"/>
              </w:rPr>
            </w:pPr>
            <w:r>
              <w:rPr>
                <w:kern w:val="0"/>
                <w:sz w:val="21"/>
                <w:szCs w:val="21"/>
                <w:lang w:eastAsia="en-US"/>
              </w:rPr>
              <w:t>400g/m</w:t>
            </w:r>
            <w:r>
              <w:rPr>
                <w:kern w:val="0"/>
                <w:sz w:val="21"/>
                <w:szCs w:val="21"/>
                <w:vertAlign w:val="superscript"/>
                <w:lang w:eastAsia="en-US"/>
              </w:rPr>
              <w:t>2</w:t>
            </w:r>
          </w:p>
        </w:tc>
        <w:tc>
          <w:tcPr>
            <w:tcW w:w="362" w:type="pct"/>
            <w:tcBorders>
              <w:top w:val="single" w:color="000000" w:sz="4" w:space="0"/>
              <w:left w:val="single" w:color="000000" w:sz="4" w:space="0"/>
              <w:bottom w:val="single" w:color="000000" w:sz="4" w:space="0"/>
              <w:right w:val="single" w:color="000000" w:sz="4" w:space="0"/>
            </w:tcBorders>
          </w:tcPr>
          <w:p w14:paraId="598D9372">
            <w:pPr>
              <w:autoSpaceDE w:val="0"/>
              <w:autoSpaceDN w:val="0"/>
              <w:jc w:val="center"/>
              <w:rPr>
                <w:kern w:val="0"/>
                <w:sz w:val="21"/>
                <w:szCs w:val="21"/>
                <w:lang w:eastAsia="en-US"/>
              </w:rPr>
            </w:pPr>
            <w:r>
              <w:rPr>
                <w:kern w:val="0"/>
                <w:sz w:val="21"/>
                <w:szCs w:val="21"/>
                <w:lang w:eastAsia="en-US"/>
              </w:rPr>
              <w:t>m</w:t>
            </w:r>
            <w:r>
              <w:rPr>
                <w:kern w:val="0"/>
                <w:sz w:val="21"/>
                <w:szCs w:val="21"/>
                <w:vertAlign w:val="superscript"/>
                <w:lang w:eastAsia="en-US"/>
              </w:rPr>
              <w:t>2</w:t>
            </w:r>
          </w:p>
        </w:tc>
        <w:tc>
          <w:tcPr>
            <w:tcW w:w="494" w:type="pct"/>
            <w:tcBorders>
              <w:top w:val="single" w:color="000000" w:sz="4" w:space="0"/>
              <w:left w:val="single" w:color="000000" w:sz="4" w:space="0"/>
              <w:bottom w:val="single" w:color="000000" w:sz="4" w:space="0"/>
              <w:right w:val="single" w:color="000000" w:sz="4" w:space="0"/>
            </w:tcBorders>
          </w:tcPr>
          <w:p w14:paraId="275E66D0">
            <w:pPr>
              <w:autoSpaceDE w:val="0"/>
              <w:autoSpaceDN w:val="0"/>
              <w:jc w:val="center"/>
              <w:rPr>
                <w:kern w:val="0"/>
                <w:sz w:val="21"/>
                <w:szCs w:val="21"/>
                <w:lang w:eastAsia="en-US"/>
              </w:rPr>
            </w:pPr>
            <w:r>
              <w:rPr>
                <w:kern w:val="0"/>
                <w:sz w:val="21"/>
                <w:szCs w:val="21"/>
                <w:lang w:eastAsia="en-US"/>
              </w:rPr>
              <w:t>1630</w:t>
            </w:r>
          </w:p>
        </w:tc>
      </w:tr>
      <w:tr w14:paraId="37255FFE">
        <w:tblPrEx>
          <w:tblCellMar>
            <w:top w:w="0" w:type="dxa"/>
            <w:left w:w="0" w:type="dxa"/>
            <w:bottom w:w="0" w:type="dxa"/>
            <w:right w:w="0" w:type="dxa"/>
          </w:tblCellMar>
        </w:tblPrEx>
        <w:trPr>
          <w:jc w:val="center"/>
        </w:trPr>
        <w:tc>
          <w:tcPr>
            <w:tcW w:w="361" w:type="pct"/>
            <w:tcBorders>
              <w:top w:val="single" w:color="000000" w:sz="4" w:space="0"/>
              <w:left w:val="single" w:color="000000" w:sz="4" w:space="0"/>
              <w:bottom w:val="single" w:color="000000" w:sz="4" w:space="0"/>
              <w:right w:val="single" w:color="000000" w:sz="4" w:space="0"/>
            </w:tcBorders>
          </w:tcPr>
          <w:p w14:paraId="4ADBEFD5">
            <w:pPr>
              <w:autoSpaceDE w:val="0"/>
              <w:autoSpaceDN w:val="0"/>
              <w:jc w:val="center"/>
              <w:rPr>
                <w:kern w:val="0"/>
                <w:sz w:val="21"/>
                <w:szCs w:val="21"/>
                <w:lang w:eastAsia="en-US"/>
              </w:rPr>
            </w:pPr>
            <w:r>
              <w:rPr>
                <w:kern w:val="0"/>
                <w:sz w:val="21"/>
                <w:szCs w:val="21"/>
                <w:lang w:eastAsia="en-US"/>
              </w:rPr>
              <w:t>8</w:t>
            </w:r>
          </w:p>
        </w:tc>
        <w:tc>
          <w:tcPr>
            <w:tcW w:w="1244" w:type="pct"/>
            <w:tcBorders>
              <w:top w:val="single" w:color="000000" w:sz="4" w:space="0"/>
              <w:left w:val="single" w:color="000000" w:sz="4" w:space="0"/>
              <w:bottom w:val="single" w:color="000000" w:sz="4" w:space="0"/>
              <w:right w:val="single" w:color="000000" w:sz="4" w:space="0"/>
            </w:tcBorders>
          </w:tcPr>
          <w:p w14:paraId="728C8D0D">
            <w:pPr>
              <w:autoSpaceDE w:val="0"/>
              <w:autoSpaceDN w:val="0"/>
              <w:jc w:val="center"/>
              <w:rPr>
                <w:kern w:val="0"/>
                <w:sz w:val="21"/>
                <w:szCs w:val="21"/>
                <w:lang w:eastAsia="en-US"/>
              </w:rPr>
            </w:pPr>
            <w:r>
              <w:rPr>
                <w:kern w:val="0"/>
                <w:sz w:val="21"/>
                <w:szCs w:val="21"/>
                <w:lang w:eastAsia="en-US"/>
              </w:rPr>
              <w:t>沙地柏</w:t>
            </w:r>
          </w:p>
        </w:tc>
        <w:tc>
          <w:tcPr>
            <w:tcW w:w="2539" w:type="pct"/>
            <w:tcBorders>
              <w:top w:val="single" w:color="000000" w:sz="4" w:space="0"/>
              <w:left w:val="single" w:color="000000" w:sz="4" w:space="0"/>
              <w:bottom w:val="single" w:color="000000" w:sz="4" w:space="0"/>
              <w:right w:val="single" w:color="000000" w:sz="4" w:space="0"/>
            </w:tcBorders>
          </w:tcPr>
          <w:p w14:paraId="150C214A">
            <w:pPr>
              <w:autoSpaceDE w:val="0"/>
              <w:autoSpaceDN w:val="0"/>
              <w:jc w:val="center"/>
              <w:rPr>
                <w:kern w:val="0"/>
                <w:sz w:val="21"/>
                <w:szCs w:val="21"/>
                <w:lang w:eastAsia="en-US"/>
              </w:rPr>
            </w:pPr>
            <w:r>
              <w:rPr>
                <w:kern w:val="0"/>
                <w:sz w:val="21"/>
                <w:szCs w:val="21"/>
                <w:lang w:eastAsia="en-US"/>
              </w:rPr>
              <w:t>高度 0.4m，种植密度 1.5 株/m</w:t>
            </w:r>
            <w:r>
              <w:rPr>
                <w:kern w:val="0"/>
                <w:sz w:val="21"/>
                <w:szCs w:val="21"/>
                <w:vertAlign w:val="superscript"/>
                <w:lang w:eastAsia="en-US"/>
              </w:rPr>
              <w:t>2</w:t>
            </w:r>
          </w:p>
        </w:tc>
        <w:tc>
          <w:tcPr>
            <w:tcW w:w="362" w:type="pct"/>
            <w:tcBorders>
              <w:top w:val="single" w:color="000000" w:sz="4" w:space="0"/>
              <w:left w:val="single" w:color="000000" w:sz="4" w:space="0"/>
              <w:bottom w:val="single" w:color="000000" w:sz="4" w:space="0"/>
              <w:right w:val="single" w:color="000000" w:sz="4" w:space="0"/>
            </w:tcBorders>
          </w:tcPr>
          <w:p w14:paraId="0D65C736">
            <w:pPr>
              <w:autoSpaceDE w:val="0"/>
              <w:autoSpaceDN w:val="0"/>
              <w:jc w:val="center"/>
              <w:rPr>
                <w:kern w:val="0"/>
                <w:sz w:val="21"/>
                <w:szCs w:val="21"/>
                <w:lang w:eastAsia="en-US"/>
              </w:rPr>
            </w:pPr>
            <w:r>
              <w:rPr>
                <w:kern w:val="0"/>
                <w:sz w:val="21"/>
                <w:szCs w:val="21"/>
                <w:lang w:eastAsia="en-US"/>
              </w:rPr>
              <w:t>m</w:t>
            </w:r>
            <w:r>
              <w:rPr>
                <w:kern w:val="0"/>
                <w:sz w:val="21"/>
                <w:szCs w:val="21"/>
                <w:vertAlign w:val="superscript"/>
                <w:lang w:eastAsia="en-US"/>
              </w:rPr>
              <w:t>2</w:t>
            </w:r>
          </w:p>
        </w:tc>
        <w:tc>
          <w:tcPr>
            <w:tcW w:w="494" w:type="pct"/>
            <w:tcBorders>
              <w:top w:val="single" w:color="000000" w:sz="4" w:space="0"/>
              <w:left w:val="single" w:color="000000" w:sz="4" w:space="0"/>
              <w:bottom w:val="single" w:color="000000" w:sz="4" w:space="0"/>
              <w:right w:val="single" w:color="000000" w:sz="4" w:space="0"/>
            </w:tcBorders>
          </w:tcPr>
          <w:p w14:paraId="1498265B">
            <w:pPr>
              <w:autoSpaceDE w:val="0"/>
              <w:autoSpaceDN w:val="0"/>
              <w:jc w:val="center"/>
              <w:rPr>
                <w:kern w:val="0"/>
                <w:sz w:val="21"/>
                <w:szCs w:val="21"/>
                <w:lang w:eastAsia="en-US"/>
              </w:rPr>
            </w:pPr>
            <w:r>
              <w:rPr>
                <w:kern w:val="0"/>
                <w:sz w:val="21"/>
                <w:szCs w:val="21"/>
                <w:lang w:eastAsia="en-US"/>
              </w:rPr>
              <w:t>1128</w:t>
            </w:r>
          </w:p>
        </w:tc>
      </w:tr>
      <w:tr w14:paraId="4BD7B18F">
        <w:tblPrEx>
          <w:tblCellMar>
            <w:top w:w="0" w:type="dxa"/>
            <w:left w:w="0" w:type="dxa"/>
            <w:bottom w:w="0" w:type="dxa"/>
            <w:right w:w="0" w:type="dxa"/>
          </w:tblCellMar>
        </w:tblPrEx>
        <w:trPr>
          <w:jc w:val="center"/>
        </w:trPr>
        <w:tc>
          <w:tcPr>
            <w:tcW w:w="361" w:type="pct"/>
            <w:tcBorders>
              <w:top w:val="single" w:color="000000" w:sz="4" w:space="0"/>
              <w:left w:val="single" w:color="000000" w:sz="4" w:space="0"/>
              <w:bottom w:val="single" w:color="000000" w:sz="4" w:space="0"/>
              <w:right w:val="single" w:color="000000" w:sz="4" w:space="0"/>
            </w:tcBorders>
          </w:tcPr>
          <w:p w14:paraId="2FE06612">
            <w:pPr>
              <w:autoSpaceDE w:val="0"/>
              <w:autoSpaceDN w:val="0"/>
              <w:jc w:val="center"/>
              <w:rPr>
                <w:kern w:val="0"/>
                <w:sz w:val="21"/>
                <w:szCs w:val="21"/>
                <w:lang w:eastAsia="en-US"/>
              </w:rPr>
            </w:pPr>
            <w:r>
              <w:rPr>
                <w:kern w:val="0"/>
                <w:sz w:val="21"/>
                <w:szCs w:val="21"/>
                <w:lang w:eastAsia="en-US"/>
              </w:rPr>
              <w:t>9</w:t>
            </w:r>
          </w:p>
        </w:tc>
        <w:tc>
          <w:tcPr>
            <w:tcW w:w="1244" w:type="pct"/>
            <w:tcBorders>
              <w:top w:val="single" w:color="000000" w:sz="4" w:space="0"/>
              <w:left w:val="single" w:color="000000" w:sz="4" w:space="0"/>
              <w:bottom w:val="single" w:color="000000" w:sz="4" w:space="0"/>
              <w:right w:val="single" w:color="000000" w:sz="4" w:space="0"/>
            </w:tcBorders>
          </w:tcPr>
          <w:p w14:paraId="4EB88F5D">
            <w:pPr>
              <w:autoSpaceDE w:val="0"/>
              <w:autoSpaceDN w:val="0"/>
              <w:jc w:val="center"/>
              <w:rPr>
                <w:kern w:val="0"/>
                <w:sz w:val="21"/>
                <w:szCs w:val="21"/>
                <w:lang w:eastAsia="en-US"/>
              </w:rPr>
            </w:pPr>
            <w:r>
              <w:rPr>
                <w:kern w:val="0"/>
                <w:sz w:val="21"/>
                <w:szCs w:val="21"/>
                <w:lang w:eastAsia="en-US"/>
              </w:rPr>
              <w:t>高羊茅</w:t>
            </w:r>
          </w:p>
        </w:tc>
        <w:tc>
          <w:tcPr>
            <w:tcW w:w="2539" w:type="pct"/>
            <w:tcBorders>
              <w:top w:val="single" w:color="000000" w:sz="4" w:space="0"/>
              <w:left w:val="single" w:color="000000" w:sz="4" w:space="0"/>
              <w:bottom w:val="single" w:color="000000" w:sz="4" w:space="0"/>
              <w:right w:val="single" w:color="000000" w:sz="4" w:space="0"/>
            </w:tcBorders>
          </w:tcPr>
          <w:p w14:paraId="1960BFEC">
            <w:pPr>
              <w:autoSpaceDE w:val="0"/>
              <w:autoSpaceDN w:val="0"/>
              <w:jc w:val="center"/>
              <w:rPr>
                <w:kern w:val="0"/>
                <w:sz w:val="21"/>
                <w:szCs w:val="21"/>
                <w:lang w:eastAsia="en-US"/>
              </w:rPr>
            </w:pPr>
            <w:r>
              <w:rPr>
                <w:kern w:val="0"/>
                <w:sz w:val="21"/>
                <w:szCs w:val="21"/>
                <w:lang w:eastAsia="en-US"/>
              </w:rPr>
              <w:t>200 株/亩，株距 2m</w:t>
            </w:r>
          </w:p>
        </w:tc>
        <w:tc>
          <w:tcPr>
            <w:tcW w:w="362" w:type="pct"/>
            <w:tcBorders>
              <w:top w:val="single" w:color="000000" w:sz="4" w:space="0"/>
              <w:left w:val="single" w:color="000000" w:sz="4" w:space="0"/>
              <w:bottom w:val="single" w:color="000000" w:sz="4" w:space="0"/>
              <w:right w:val="single" w:color="000000" w:sz="4" w:space="0"/>
            </w:tcBorders>
          </w:tcPr>
          <w:p w14:paraId="2FAF921C">
            <w:pPr>
              <w:autoSpaceDE w:val="0"/>
              <w:autoSpaceDN w:val="0"/>
              <w:jc w:val="center"/>
              <w:rPr>
                <w:kern w:val="0"/>
                <w:sz w:val="21"/>
                <w:szCs w:val="21"/>
                <w:lang w:eastAsia="en-US"/>
              </w:rPr>
            </w:pPr>
            <w:r>
              <w:rPr>
                <w:kern w:val="0"/>
                <w:sz w:val="21"/>
                <w:szCs w:val="21"/>
                <w:lang w:eastAsia="en-US"/>
              </w:rPr>
              <w:t>m</w:t>
            </w:r>
            <w:r>
              <w:rPr>
                <w:kern w:val="0"/>
                <w:sz w:val="21"/>
                <w:szCs w:val="21"/>
                <w:vertAlign w:val="superscript"/>
                <w:lang w:eastAsia="en-US"/>
              </w:rPr>
              <w:t>2</w:t>
            </w:r>
          </w:p>
        </w:tc>
        <w:tc>
          <w:tcPr>
            <w:tcW w:w="494" w:type="pct"/>
            <w:tcBorders>
              <w:top w:val="single" w:color="000000" w:sz="4" w:space="0"/>
              <w:left w:val="single" w:color="000000" w:sz="4" w:space="0"/>
              <w:bottom w:val="single" w:color="000000" w:sz="4" w:space="0"/>
              <w:right w:val="single" w:color="000000" w:sz="4" w:space="0"/>
            </w:tcBorders>
          </w:tcPr>
          <w:p w14:paraId="7D84F9AF">
            <w:pPr>
              <w:autoSpaceDE w:val="0"/>
              <w:autoSpaceDN w:val="0"/>
              <w:jc w:val="center"/>
              <w:rPr>
                <w:kern w:val="0"/>
                <w:sz w:val="21"/>
                <w:szCs w:val="21"/>
                <w:lang w:eastAsia="en-US"/>
              </w:rPr>
            </w:pPr>
            <w:r>
              <w:rPr>
                <w:kern w:val="0"/>
                <w:sz w:val="21"/>
                <w:szCs w:val="21"/>
                <w:lang w:eastAsia="en-US"/>
              </w:rPr>
              <w:t>1158</w:t>
            </w:r>
          </w:p>
        </w:tc>
      </w:tr>
      <w:tr w14:paraId="2515B098">
        <w:tblPrEx>
          <w:tblCellMar>
            <w:top w:w="0" w:type="dxa"/>
            <w:left w:w="0" w:type="dxa"/>
            <w:bottom w:w="0" w:type="dxa"/>
            <w:right w:w="0" w:type="dxa"/>
          </w:tblCellMar>
        </w:tblPrEx>
        <w:trPr>
          <w:jc w:val="center"/>
        </w:trPr>
        <w:tc>
          <w:tcPr>
            <w:tcW w:w="361" w:type="pct"/>
            <w:tcBorders>
              <w:top w:val="single" w:color="000000" w:sz="4" w:space="0"/>
              <w:left w:val="single" w:color="000000" w:sz="4" w:space="0"/>
              <w:bottom w:val="single" w:color="000000" w:sz="4" w:space="0"/>
              <w:right w:val="single" w:color="000000" w:sz="4" w:space="0"/>
            </w:tcBorders>
          </w:tcPr>
          <w:p w14:paraId="2CC39517">
            <w:pPr>
              <w:autoSpaceDE w:val="0"/>
              <w:autoSpaceDN w:val="0"/>
              <w:jc w:val="center"/>
              <w:rPr>
                <w:kern w:val="0"/>
                <w:sz w:val="21"/>
                <w:szCs w:val="21"/>
                <w:lang w:eastAsia="en-US"/>
              </w:rPr>
            </w:pPr>
            <w:r>
              <w:rPr>
                <w:kern w:val="0"/>
                <w:sz w:val="21"/>
                <w:szCs w:val="21"/>
                <w:lang w:eastAsia="en-US"/>
              </w:rPr>
              <w:t>10</w:t>
            </w:r>
          </w:p>
        </w:tc>
        <w:tc>
          <w:tcPr>
            <w:tcW w:w="1244" w:type="pct"/>
            <w:tcBorders>
              <w:top w:val="single" w:color="000000" w:sz="4" w:space="0"/>
              <w:left w:val="single" w:color="000000" w:sz="4" w:space="0"/>
              <w:bottom w:val="single" w:color="000000" w:sz="4" w:space="0"/>
              <w:right w:val="single" w:color="000000" w:sz="4" w:space="0"/>
            </w:tcBorders>
          </w:tcPr>
          <w:p w14:paraId="663B5A89">
            <w:pPr>
              <w:autoSpaceDE w:val="0"/>
              <w:autoSpaceDN w:val="0"/>
              <w:jc w:val="center"/>
              <w:rPr>
                <w:kern w:val="0"/>
                <w:sz w:val="21"/>
                <w:szCs w:val="21"/>
                <w:lang w:eastAsia="en-US"/>
              </w:rPr>
            </w:pPr>
            <w:r>
              <w:rPr>
                <w:kern w:val="0"/>
                <w:sz w:val="21"/>
                <w:szCs w:val="21"/>
                <w:lang w:eastAsia="en-US"/>
              </w:rPr>
              <w:t>种植土</w:t>
            </w:r>
          </w:p>
        </w:tc>
        <w:tc>
          <w:tcPr>
            <w:tcW w:w="2539" w:type="pct"/>
            <w:tcBorders>
              <w:top w:val="single" w:color="000000" w:sz="4" w:space="0"/>
              <w:left w:val="single" w:color="000000" w:sz="4" w:space="0"/>
              <w:bottom w:val="single" w:color="000000" w:sz="4" w:space="0"/>
              <w:right w:val="single" w:color="000000" w:sz="4" w:space="0"/>
            </w:tcBorders>
          </w:tcPr>
          <w:p w14:paraId="0E0D290B">
            <w:pPr>
              <w:autoSpaceDE w:val="0"/>
              <w:autoSpaceDN w:val="0"/>
              <w:jc w:val="center"/>
              <w:rPr>
                <w:kern w:val="0"/>
                <w:sz w:val="21"/>
                <w:szCs w:val="21"/>
                <w:lang w:eastAsia="en-US"/>
              </w:rPr>
            </w:pPr>
            <w:r>
              <w:rPr>
                <w:kern w:val="0"/>
                <w:sz w:val="21"/>
                <w:szCs w:val="21"/>
                <w:lang w:eastAsia="en-US"/>
              </w:rPr>
              <w:t>冠幅 30-40cm，8 株/m</w:t>
            </w:r>
            <w:r>
              <w:rPr>
                <w:kern w:val="0"/>
                <w:sz w:val="21"/>
                <w:szCs w:val="21"/>
                <w:vertAlign w:val="superscript"/>
                <w:lang w:eastAsia="en-US"/>
              </w:rPr>
              <w:t>2</w:t>
            </w:r>
          </w:p>
        </w:tc>
        <w:tc>
          <w:tcPr>
            <w:tcW w:w="362" w:type="pct"/>
            <w:tcBorders>
              <w:top w:val="single" w:color="000000" w:sz="4" w:space="0"/>
              <w:left w:val="single" w:color="000000" w:sz="4" w:space="0"/>
              <w:bottom w:val="single" w:color="000000" w:sz="4" w:space="0"/>
              <w:right w:val="single" w:color="000000" w:sz="4" w:space="0"/>
            </w:tcBorders>
          </w:tcPr>
          <w:p w14:paraId="29EC345C">
            <w:pPr>
              <w:autoSpaceDE w:val="0"/>
              <w:autoSpaceDN w:val="0"/>
              <w:jc w:val="center"/>
              <w:rPr>
                <w:kern w:val="0"/>
                <w:sz w:val="21"/>
                <w:szCs w:val="21"/>
                <w:lang w:eastAsia="en-US"/>
              </w:rPr>
            </w:pPr>
            <w:r>
              <w:rPr>
                <w:kern w:val="0"/>
                <w:sz w:val="21"/>
                <w:szCs w:val="21"/>
                <w:lang w:eastAsia="en-US"/>
              </w:rPr>
              <w:t>m</w:t>
            </w:r>
            <w:r>
              <w:rPr>
                <w:kern w:val="0"/>
                <w:sz w:val="21"/>
                <w:szCs w:val="21"/>
                <w:vertAlign w:val="superscript"/>
                <w:lang w:eastAsia="en-US"/>
              </w:rPr>
              <w:t>3</w:t>
            </w:r>
          </w:p>
        </w:tc>
        <w:tc>
          <w:tcPr>
            <w:tcW w:w="494" w:type="pct"/>
            <w:tcBorders>
              <w:top w:val="single" w:color="000000" w:sz="4" w:space="0"/>
              <w:left w:val="single" w:color="000000" w:sz="4" w:space="0"/>
              <w:bottom w:val="single" w:color="000000" w:sz="4" w:space="0"/>
              <w:right w:val="single" w:color="000000" w:sz="4" w:space="0"/>
            </w:tcBorders>
          </w:tcPr>
          <w:p w14:paraId="65A16B16">
            <w:pPr>
              <w:autoSpaceDE w:val="0"/>
              <w:autoSpaceDN w:val="0"/>
              <w:jc w:val="center"/>
              <w:rPr>
                <w:kern w:val="0"/>
                <w:sz w:val="21"/>
                <w:szCs w:val="21"/>
                <w:lang w:eastAsia="en-US"/>
              </w:rPr>
            </w:pPr>
            <w:r>
              <w:rPr>
                <w:kern w:val="0"/>
                <w:sz w:val="21"/>
                <w:szCs w:val="21"/>
                <w:lang w:eastAsia="en-US"/>
              </w:rPr>
              <w:t>1212</w:t>
            </w:r>
          </w:p>
        </w:tc>
      </w:tr>
      <w:tr w14:paraId="33AE95CB">
        <w:tblPrEx>
          <w:tblCellMar>
            <w:top w:w="0" w:type="dxa"/>
            <w:left w:w="0" w:type="dxa"/>
            <w:bottom w:w="0" w:type="dxa"/>
            <w:right w:w="0" w:type="dxa"/>
          </w:tblCellMar>
        </w:tblPrEx>
        <w:trPr>
          <w:jc w:val="center"/>
        </w:trPr>
        <w:tc>
          <w:tcPr>
            <w:tcW w:w="361" w:type="pct"/>
            <w:tcBorders>
              <w:top w:val="single" w:color="000000" w:sz="4" w:space="0"/>
              <w:left w:val="single" w:color="000000" w:sz="4" w:space="0"/>
              <w:bottom w:val="single" w:color="000000" w:sz="4" w:space="0"/>
              <w:right w:val="single" w:color="000000" w:sz="4" w:space="0"/>
            </w:tcBorders>
          </w:tcPr>
          <w:p w14:paraId="4C246BBE">
            <w:pPr>
              <w:autoSpaceDE w:val="0"/>
              <w:autoSpaceDN w:val="0"/>
              <w:jc w:val="center"/>
              <w:rPr>
                <w:kern w:val="0"/>
                <w:sz w:val="21"/>
                <w:szCs w:val="21"/>
                <w:lang w:eastAsia="en-US"/>
              </w:rPr>
            </w:pPr>
            <w:r>
              <w:rPr>
                <w:kern w:val="0"/>
                <w:sz w:val="21"/>
                <w:szCs w:val="21"/>
                <w:lang w:eastAsia="en-US"/>
              </w:rPr>
              <w:t>11</w:t>
            </w:r>
          </w:p>
        </w:tc>
        <w:tc>
          <w:tcPr>
            <w:tcW w:w="1244" w:type="pct"/>
            <w:tcBorders>
              <w:top w:val="single" w:color="000000" w:sz="4" w:space="0"/>
              <w:left w:val="single" w:color="000000" w:sz="4" w:space="0"/>
              <w:bottom w:val="single" w:color="000000" w:sz="4" w:space="0"/>
              <w:right w:val="single" w:color="000000" w:sz="4" w:space="0"/>
            </w:tcBorders>
          </w:tcPr>
          <w:p w14:paraId="2C463E87">
            <w:pPr>
              <w:autoSpaceDE w:val="0"/>
              <w:autoSpaceDN w:val="0"/>
              <w:jc w:val="center"/>
              <w:rPr>
                <w:kern w:val="0"/>
                <w:sz w:val="21"/>
                <w:szCs w:val="21"/>
                <w:lang w:eastAsia="en-US"/>
              </w:rPr>
            </w:pPr>
            <w:r>
              <w:rPr>
                <w:kern w:val="0"/>
                <w:sz w:val="21"/>
                <w:szCs w:val="21"/>
                <w:lang w:eastAsia="en-US"/>
              </w:rPr>
              <w:t>香蒲</w:t>
            </w:r>
          </w:p>
        </w:tc>
        <w:tc>
          <w:tcPr>
            <w:tcW w:w="2539" w:type="pct"/>
            <w:tcBorders>
              <w:top w:val="single" w:color="000000" w:sz="4" w:space="0"/>
              <w:left w:val="single" w:color="000000" w:sz="4" w:space="0"/>
              <w:bottom w:val="single" w:color="000000" w:sz="4" w:space="0"/>
              <w:right w:val="single" w:color="000000" w:sz="4" w:space="0"/>
            </w:tcBorders>
          </w:tcPr>
          <w:p w14:paraId="1DD9871A">
            <w:pPr>
              <w:autoSpaceDE w:val="0"/>
              <w:autoSpaceDN w:val="0"/>
              <w:jc w:val="center"/>
              <w:rPr>
                <w:kern w:val="0"/>
                <w:sz w:val="21"/>
                <w:szCs w:val="21"/>
                <w:lang w:eastAsia="en-US"/>
              </w:rPr>
            </w:pPr>
            <w:r>
              <w:rPr>
                <w:kern w:val="0"/>
                <w:sz w:val="21"/>
                <w:szCs w:val="21"/>
                <w:lang w:eastAsia="en-US"/>
              </w:rPr>
              <w:t>25g/ m</w:t>
            </w:r>
            <w:r>
              <w:rPr>
                <w:kern w:val="0"/>
                <w:sz w:val="21"/>
                <w:szCs w:val="21"/>
                <w:vertAlign w:val="superscript"/>
                <w:lang w:eastAsia="en-US"/>
              </w:rPr>
              <w:t>2</w:t>
            </w:r>
          </w:p>
        </w:tc>
        <w:tc>
          <w:tcPr>
            <w:tcW w:w="362" w:type="pct"/>
            <w:tcBorders>
              <w:top w:val="single" w:color="000000" w:sz="4" w:space="0"/>
              <w:left w:val="single" w:color="000000" w:sz="4" w:space="0"/>
              <w:bottom w:val="single" w:color="000000" w:sz="4" w:space="0"/>
              <w:right w:val="single" w:color="000000" w:sz="4" w:space="0"/>
            </w:tcBorders>
          </w:tcPr>
          <w:p w14:paraId="3D20C3EA">
            <w:pPr>
              <w:autoSpaceDE w:val="0"/>
              <w:autoSpaceDN w:val="0"/>
              <w:jc w:val="center"/>
              <w:rPr>
                <w:kern w:val="0"/>
                <w:sz w:val="21"/>
                <w:szCs w:val="21"/>
                <w:lang w:eastAsia="en-US"/>
              </w:rPr>
            </w:pPr>
            <w:r>
              <w:rPr>
                <w:kern w:val="0"/>
                <w:sz w:val="21"/>
                <w:szCs w:val="21"/>
                <w:lang w:eastAsia="en-US"/>
              </w:rPr>
              <w:t>m</w:t>
            </w:r>
            <w:r>
              <w:rPr>
                <w:kern w:val="0"/>
                <w:sz w:val="21"/>
                <w:szCs w:val="21"/>
                <w:vertAlign w:val="superscript"/>
                <w:lang w:eastAsia="en-US"/>
              </w:rPr>
              <w:t>2</w:t>
            </w:r>
          </w:p>
        </w:tc>
        <w:tc>
          <w:tcPr>
            <w:tcW w:w="494" w:type="pct"/>
            <w:tcBorders>
              <w:top w:val="single" w:color="000000" w:sz="4" w:space="0"/>
              <w:left w:val="single" w:color="000000" w:sz="4" w:space="0"/>
              <w:bottom w:val="single" w:color="000000" w:sz="4" w:space="0"/>
              <w:right w:val="single" w:color="000000" w:sz="4" w:space="0"/>
            </w:tcBorders>
          </w:tcPr>
          <w:p w14:paraId="2D08CF30">
            <w:pPr>
              <w:autoSpaceDE w:val="0"/>
              <w:autoSpaceDN w:val="0"/>
              <w:jc w:val="center"/>
              <w:rPr>
                <w:kern w:val="0"/>
                <w:sz w:val="21"/>
                <w:szCs w:val="21"/>
                <w:lang w:eastAsia="en-US"/>
              </w:rPr>
            </w:pPr>
            <w:r>
              <w:rPr>
                <w:kern w:val="0"/>
                <w:sz w:val="21"/>
                <w:szCs w:val="21"/>
                <w:lang w:eastAsia="en-US"/>
              </w:rPr>
              <w:t>2594</w:t>
            </w:r>
          </w:p>
        </w:tc>
      </w:tr>
      <w:tr w14:paraId="55650041">
        <w:tblPrEx>
          <w:tblCellMar>
            <w:top w:w="0" w:type="dxa"/>
            <w:left w:w="0" w:type="dxa"/>
            <w:bottom w:w="0" w:type="dxa"/>
            <w:right w:w="0" w:type="dxa"/>
          </w:tblCellMar>
        </w:tblPrEx>
        <w:trPr>
          <w:jc w:val="center"/>
        </w:trPr>
        <w:tc>
          <w:tcPr>
            <w:tcW w:w="361" w:type="pct"/>
            <w:tcBorders>
              <w:top w:val="single" w:color="000000" w:sz="4" w:space="0"/>
              <w:left w:val="single" w:color="000000" w:sz="4" w:space="0"/>
              <w:bottom w:val="single" w:color="000000" w:sz="4" w:space="0"/>
              <w:right w:val="single" w:color="000000" w:sz="4" w:space="0"/>
            </w:tcBorders>
          </w:tcPr>
          <w:p w14:paraId="4BB550EE">
            <w:pPr>
              <w:autoSpaceDE w:val="0"/>
              <w:autoSpaceDN w:val="0"/>
              <w:jc w:val="center"/>
              <w:rPr>
                <w:kern w:val="0"/>
                <w:sz w:val="21"/>
                <w:szCs w:val="21"/>
                <w:lang w:eastAsia="en-US"/>
              </w:rPr>
            </w:pPr>
            <w:r>
              <w:rPr>
                <w:kern w:val="0"/>
                <w:sz w:val="21"/>
                <w:szCs w:val="21"/>
                <w:lang w:eastAsia="en-US"/>
              </w:rPr>
              <w:t>12</w:t>
            </w:r>
          </w:p>
        </w:tc>
        <w:tc>
          <w:tcPr>
            <w:tcW w:w="1244" w:type="pct"/>
            <w:tcBorders>
              <w:top w:val="single" w:color="000000" w:sz="4" w:space="0"/>
              <w:left w:val="single" w:color="000000" w:sz="4" w:space="0"/>
              <w:bottom w:val="single" w:color="000000" w:sz="4" w:space="0"/>
              <w:right w:val="single" w:color="000000" w:sz="4" w:space="0"/>
            </w:tcBorders>
          </w:tcPr>
          <w:p w14:paraId="05EE9F8B">
            <w:pPr>
              <w:autoSpaceDE w:val="0"/>
              <w:autoSpaceDN w:val="0"/>
              <w:jc w:val="center"/>
              <w:rPr>
                <w:kern w:val="0"/>
                <w:sz w:val="21"/>
                <w:szCs w:val="21"/>
                <w:lang w:eastAsia="en-US"/>
              </w:rPr>
            </w:pPr>
            <w:r>
              <w:rPr>
                <w:kern w:val="0"/>
                <w:sz w:val="21"/>
                <w:szCs w:val="21"/>
                <w:lang w:eastAsia="en-US"/>
              </w:rPr>
              <w:t>水葱</w:t>
            </w:r>
          </w:p>
        </w:tc>
        <w:tc>
          <w:tcPr>
            <w:tcW w:w="2539" w:type="pct"/>
            <w:tcBorders>
              <w:top w:val="single" w:color="000000" w:sz="4" w:space="0"/>
              <w:left w:val="single" w:color="000000" w:sz="4" w:space="0"/>
              <w:bottom w:val="single" w:color="000000" w:sz="4" w:space="0"/>
              <w:right w:val="single" w:color="000000" w:sz="4" w:space="0"/>
            </w:tcBorders>
          </w:tcPr>
          <w:p w14:paraId="2E6B4C3F">
            <w:pPr>
              <w:autoSpaceDE w:val="0"/>
              <w:autoSpaceDN w:val="0"/>
              <w:jc w:val="center"/>
              <w:rPr>
                <w:kern w:val="0"/>
                <w:sz w:val="21"/>
                <w:szCs w:val="21"/>
                <w:lang w:eastAsia="en-US"/>
              </w:rPr>
            </w:pPr>
            <w:r>
              <w:rPr>
                <w:kern w:val="0"/>
                <w:sz w:val="21"/>
                <w:szCs w:val="21"/>
                <w:lang w:eastAsia="en-US"/>
              </w:rPr>
              <w:t>/</w:t>
            </w:r>
          </w:p>
        </w:tc>
        <w:tc>
          <w:tcPr>
            <w:tcW w:w="362" w:type="pct"/>
            <w:tcBorders>
              <w:top w:val="single" w:color="000000" w:sz="4" w:space="0"/>
              <w:left w:val="single" w:color="000000" w:sz="4" w:space="0"/>
              <w:bottom w:val="single" w:color="000000" w:sz="4" w:space="0"/>
              <w:right w:val="single" w:color="000000" w:sz="4" w:space="0"/>
            </w:tcBorders>
          </w:tcPr>
          <w:p w14:paraId="6558E1EE">
            <w:pPr>
              <w:autoSpaceDE w:val="0"/>
              <w:autoSpaceDN w:val="0"/>
              <w:jc w:val="center"/>
              <w:rPr>
                <w:kern w:val="0"/>
                <w:sz w:val="21"/>
                <w:szCs w:val="21"/>
                <w:lang w:eastAsia="en-US"/>
              </w:rPr>
            </w:pPr>
            <w:r>
              <w:rPr>
                <w:kern w:val="0"/>
                <w:sz w:val="21"/>
                <w:szCs w:val="21"/>
                <w:lang w:eastAsia="en-US"/>
              </w:rPr>
              <w:t>m</w:t>
            </w:r>
            <w:r>
              <w:rPr>
                <w:kern w:val="0"/>
                <w:sz w:val="21"/>
                <w:szCs w:val="21"/>
                <w:vertAlign w:val="superscript"/>
                <w:lang w:eastAsia="en-US"/>
              </w:rPr>
              <w:t>2</w:t>
            </w:r>
          </w:p>
        </w:tc>
        <w:tc>
          <w:tcPr>
            <w:tcW w:w="494" w:type="pct"/>
            <w:tcBorders>
              <w:top w:val="single" w:color="000000" w:sz="4" w:space="0"/>
              <w:left w:val="single" w:color="000000" w:sz="4" w:space="0"/>
              <w:bottom w:val="single" w:color="000000" w:sz="4" w:space="0"/>
              <w:right w:val="single" w:color="000000" w:sz="4" w:space="0"/>
            </w:tcBorders>
          </w:tcPr>
          <w:p w14:paraId="1DE04785">
            <w:pPr>
              <w:autoSpaceDE w:val="0"/>
              <w:autoSpaceDN w:val="0"/>
              <w:jc w:val="center"/>
              <w:rPr>
                <w:kern w:val="0"/>
                <w:sz w:val="21"/>
                <w:szCs w:val="21"/>
                <w:lang w:eastAsia="en-US"/>
              </w:rPr>
            </w:pPr>
            <w:r>
              <w:rPr>
                <w:kern w:val="0"/>
                <w:sz w:val="21"/>
                <w:szCs w:val="21"/>
                <w:lang w:eastAsia="en-US"/>
              </w:rPr>
              <w:t>2594</w:t>
            </w:r>
          </w:p>
        </w:tc>
      </w:tr>
      <w:tr w14:paraId="7C028AEF">
        <w:tblPrEx>
          <w:tblCellMar>
            <w:top w:w="0" w:type="dxa"/>
            <w:left w:w="0" w:type="dxa"/>
            <w:bottom w:w="0" w:type="dxa"/>
            <w:right w:w="0" w:type="dxa"/>
          </w:tblCellMar>
        </w:tblPrEx>
        <w:trPr>
          <w:jc w:val="center"/>
        </w:trPr>
        <w:tc>
          <w:tcPr>
            <w:tcW w:w="361" w:type="pct"/>
            <w:tcBorders>
              <w:top w:val="single" w:color="000000" w:sz="4" w:space="0"/>
              <w:left w:val="single" w:color="000000" w:sz="4" w:space="0"/>
              <w:bottom w:val="single" w:color="000000" w:sz="4" w:space="0"/>
              <w:right w:val="single" w:color="000000" w:sz="4" w:space="0"/>
            </w:tcBorders>
          </w:tcPr>
          <w:p w14:paraId="1EC7AAF0">
            <w:pPr>
              <w:autoSpaceDE w:val="0"/>
              <w:autoSpaceDN w:val="0"/>
              <w:jc w:val="center"/>
              <w:rPr>
                <w:kern w:val="0"/>
                <w:sz w:val="21"/>
                <w:szCs w:val="21"/>
                <w:lang w:eastAsia="en-US"/>
              </w:rPr>
            </w:pPr>
            <w:r>
              <w:rPr>
                <w:kern w:val="0"/>
                <w:sz w:val="21"/>
                <w:szCs w:val="21"/>
                <w:lang w:eastAsia="en-US"/>
              </w:rPr>
              <w:t>13</w:t>
            </w:r>
          </w:p>
        </w:tc>
        <w:tc>
          <w:tcPr>
            <w:tcW w:w="1244" w:type="pct"/>
            <w:tcBorders>
              <w:top w:val="single" w:color="000000" w:sz="4" w:space="0"/>
              <w:left w:val="single" w:color="000000" w:sz="4" w:space="0"/>
              <w:bottom w:val="single" w:color="000000" w:sz="4" w:space="0"/>
              <w:right w:val="single" w:color="000000" w:sz="4" w:space="0"/>
            </w:tcBorders>
          </w:tcPr>
          <w:p w14:paraId="6CF56D2F">
            <w:pPr>
              <w:autoSpaceDE w:val="0"/>
              <w:autoSpaceDN w:val="0"/>
              <w:jc w:val="center"/>
              <w:rPr>
                <w:kern w:val="0"/>
                <w:sz w:val="21"/>
                <w:szCs w:val="21"/>
                <w:lang w:eastAsia="en-US"/>
              </w:rPr>
            </w:pPr>
            <w:r>
              <w:rPr>
                <w:kern w:val="0"/>
                <w:sz w:val="21"/>
                <w:szCs w:val="21"/>
                <w:lang w:eastAsia="en-US"/>
              </w:rPr>
              <w:t>菖蒲</w:t>
            </w:r>
          </w:p>
        </w:tc>
        <w:tc>
          <w:tcPr>
            <w:tcW w:w="2539" w:type="pct"/>
            <w:tcBorders>
              <w:top w:val="single" w:color="000000" w:sz="4" w:space="0"/>
              <w:left w:val="single" w:color="000000" w:sz="4" w:space="0"/>
              <w:bottom w:val="single" w:color="000000" w:sz="4" w:space="0"/>
              <w:right w:val="single" w:color="000000" w:sz="4" w:space="0"/>
            </w:tcBorders>
          </w:tcPr>
          <w:p w14:paraId="1E6AA687">
            <w:pPr>
              <w:autoSpaceDE w:val="0"/>
              <w:autoSpaceDN w:val="0"/>
              <w:jc w:val="center"/>
              <w:rPr>
                <w:kern w:val="0"/>
                <w:sz w:val="21"/>
                <w:szCs w:val="21"/>
                <w:lang w:eastAsia="en-US"/>
              </w:rPr>
            </w:pPr>
            <w:r>
              <w:rPr>
                <w:kern w:val="0"/>
                <w:sz w:val="21"/>
                <w:szCs w:val="21"/>
                <w:lang w:eastAsia="en-US"/>
              </w:rPr>
              <w:t>9 株/ m</w:t>
            </w:r>
            <w:r>
              <w:rPr>
                <w:kern w:val="0"/>
                <w:sz w:val="21"/>
                <w:szCs w:val="21"/>
                <w:vertAlign w:val="superscript"/>
                <w:lang w:eastAsia="en-US"/>
              </w:rPr>
              <w:t>2</w:t>
            </w:r>
          </w:p>
        </w:tc>
        <w:tc>
          <w:tcPr>
            <w:tcW w:w="362" w:type="pct"/>
            <w:tcBorders>
              <w:top w:val="single" w:color="000000" w:sz="4" w:space="0"/>
              <w:left w:val="single" w:color="000000" w:sz="4" w:space="0"/>
              <w:bottom w:val="single" w:color="000000" w:sz="4" w:space="0"/>
              <w:right w:val="single" w:color="000000" w:sz="4" w:space="0"/>
            </w:tcBorders>
          </w:tcPr>
          <w:p w14:paraId="7C8345A8">
            <w:pPr>
              <w:autoSpaceDE w:val="0"/>
              <w:autoSpaceDN w:val="0"/>
              <w:jc w:val="center"/>
              <w:rPr>
                <w:kern w:val="0"/>
                <w:sz w:val="21"/>
                <w:szCs w:val="21"/>
                <w:lang w:eastAsia="en-US"/>
              </w:rPr>
            </w:pPr>
            <w:r>
              <w:rPr>
                <w:kern w:val="0"/>
                <w:sz w:val="21"/>
                <w:szCs w:val="21"/>
                <w:lang w:eastAsia="en-US"/>
              </w:rPr>
              <w:t>m</w:t>
            </w:r>
            <w:r>
              <w:rPr>
                <w:kern w:val="0"/>
                <w:sz w:val="21"/>
                <w:szCs w:val="21"/>
                <w:vertAlign w:val="superscript"/>
                <w:lang w:eastAsia="en-US"/>
              </w:rPr>
              <w:t>2</w:t>
            </w:r>
          </w:p>
        </w:tc>
        <w:tc>
          <w:tcPr>
            <w:tcW w:w="494" w:type="pct"/>
            <w:tcBorders>
              <w:top w:val="single" w:color="000000" w:sz="4" w:space="0"/>
              <w:left w:val="single" w:color="000000" w:sz="4" w:space="0"/>
              <w:bottom w:val="single" w:color="000000" w:sz="4" w:space="0"/>
              <w:right w:val="single" w:color="000000" w:sz="4" w:space="0"/>
            </w:tcBorders>
          </w:tcPr>
          <w:p w14:paraId="53143C36">
            <w:pPr>
              <w:autoSpaceDE w:val="0"/>
              <w:autoSpaceDN w:val="0"/>
              <w:jc w:val="center"/>
              <w:rPr>
                <w:kern w:val="0"/>
                <w:sz w:val="21"/>
                <w:szCs w:val="21"/>
                <w:lang w:eastAsia="en-US"/>
              </w:rPr>
            </w:pPr>
            <w:r>
              <w:rPr>
                <w:kern w:val="0"/>
                <w:sz w:val="21"/>
                <w:szCs w:val="21"/>
                <w:lang w:eastAsia="en-US"/>
              </w:rPr>
              <w:t>2594</w:t>
            </w:r>
          </w:p>
        </w:tc>
      </w:tr>
    </w:tbl>
    <w:p w14:paraId="66EDA08B">
      <w:pPr>
        <w:pStyle w:val="85"/>
        <w:ind w:firstLine="480"/>
        <w:rPr>
          <w:kern w:val="0"/>
        </w:rPr>
      </w:pPr>
      <w:r>
        <w:rPr>
          <w:rFonts w:hint="eastAsia"/>
          <w:kern w:val="0"/>
        </w:rPr>
        <w:t>前沟门段典型工程断面形式见下图</w:t>
      </w:r>
      <w:r>
        <w:rPr>
          <w:kern w:val="0"/>
        </w:rPr>
        <w:t>。</w:t>
      </w:r>
    </w:p>
    <w:p w14:paraId="0921B084">
      <w:pPr>
        <w:pStyle w:val="85"/>
        <w:ind w:firstLine="480"/>
        <w:rPr>
          <w:kern w:val="0"/>
        </w:rPr>
      </w:pPr>
    </w:p>
    <w:p w14:paraId="32E6007E">
      <w:pPr>
        <w:pStyle w:val="85"/>
        <w:ind w:firstLine="480"/>
        <w:rPr>
          <w:kern w:val="0"/>
        </w:rPr>
        <w:sectPr>
          <w:pgSz w:w="11906" w:h="16838"/>
          <w:pgMar w:top="2007" w:right="1797" w:bottom="1724" w:left="1797" w:header="1417" w:footer="1162" w:gutter="0"/>
          <w:pgNumType w:fmt="numberInDash"/>
          <w:cols w:space="425" w:num="1"/>
          <w:docGrid w:type="lines" w:linePitch="312" w:charSpace="0"/>
        </w:sectPr>
      </w:pPr>
    </w:p>
    <w:p w14:paraId="2497753A">
      <w:pPr>
        <w:pStyle w:val="85"/>
        <w:spacing w:line="240" w:lineRule="auto"/>
        <w:ind w:firstLine="0" w:firstLineChars="0"/>
        <w:jc w:val="center"/>
        <w:rPr>
          <w:kern w:val="0"/>
        </w:rPr>
      </w:pPr>
      <w:r>
        <w:drawing>
          <wp:inline distT="0" distB="0" distL="0" distR="0">
            <wp:extent cx="8279765" cy="3095625"/>
            <wp:effectExtent l="19050" t="19050" r="26035" b="28575"/>
            <wp:docPr id="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8280000" cy="3096047"/>
                    </a:xfrm>
                    <a:prstGeom prst="rect">
                      <a:avLst/>
                    </a:prstGeom>
                    <a:noFill/>
                    <a:ln w="19050">
                      <a:solidFill>
                        <a:srgbClr val="000000"/>
                      </a:solidFill>
                      <a:miter lim="800000"/>
                      <a:headEnd/>
                      <a:tailEnd/>
                    </a:ln>
                  </pic:spPr>
                </pic:pic>
              </a:graphicData>
            </a:graphic>
          </wp:inline>
        </w:drawing>
      </w:r>
    </w:p>
    <w:p w14:paraId="6178FA86">
      <w:pPr>
        <w:pStyle w:val="85"/>
        <w:spacing w:line="240" w:lineRule="auto"/>
        <w:ind w:firstLine="0" w:firstLineChars="0"/>
        <w:jc w:val="center"/>
        <w:rPr>
          <w:kern w:val="0"/>
        </w:rPr>
      </w:pPr>
      <w:r>
        <w:rPr>
          <w:rFonts w:eastAsia="黑体"/>
          <w:kern w:val="0"/>
        </w:rPr>
        <w:t>图</w:t>
      </w:r>
      <w:r>
        <w:rPr>
          <w:rFonts w:eastAsia="黑体"/>
          <w:kern w:val="0"/>
        </w:rPr>
        <w:fldChar w:fldCharType="begin"/>
      </w:r>
      <w:r>
        <w:rPr>
          <w:rFonts w:eastAsia="黑体"/>
          <w:kern w:val="0"/>
        </w:rPr>
        <w:instrText xml:space="preserve"> STYLEREF 1 \s </w:instrText>
      </w:r>
      <w:r>
        <w:rPr>
          <w:rFonts w:eastAsia="黑体"/>
          <w:kern w:val="0"/>
        </w:rPr>
        <w:fldChar w:fldCharType="separate"/>
      </w:r>
      <w:r>
        <w:rPr>
          <w:rFonts w:eastAsia="黑体"/>
          <w:kern w:val="0"/>
        </w:rPr>
        <w:t>2</w:t>
      </w:r>
      <w:r>
        <w:rPr>
          <w:rFonts w:eastAsia="黑体"/>
          <w:kern w:val="0"/>
        </w:rPr>
        <w:fldChar w:fldCharType="end"/>
      </w:r>
      <w:r>
        <w:rPr>
          <w:rFonts w:eastAsia="黑体"/>
          <w:kern w:val="0"/>
        </w:rPr>
        <w:noBreakHyphen/>
      </w:r>
      <w:r>
        <w:rPr>
          <w:rFonts w:eastAsia="黑体"/>
          <w:kern w:val="0"/>
        </w:rPr>
        <w:fldChar w:fldCharType="begin"/>
      </w:r>
      <w:r>
        <w:rPr>
          <w:rFonts w:eastAsia="黑体"/>
          <w:kern w:val="0"/>
        </w:rPr>
        <w:instrText xml:space="preserve"> SEQ 图 \* ARABIC \s 1 </w:instrText>
      </w:r>
      <w:r>
        <w:rPr>
          <w:rFonts w:eastAsia="黑体"/>
          <w:kern w:val="0"/>
        </w:rPr>
        <w:fldChar w:fldCharType="separate"/>
      </w:r>
      <w:r>
        <w:rPr>
          <w:rFonts w:eastAsia="黑体"/>
          <w:kern w:val="0"/>
        </w:rPr>
        <w:t>2</w:t>
      </w:r>
      <w:r>
        <w:rPr>
          <w:rFonts w:eastAsia="黑体"/>
          <w:kern w:val="0"/>
        </w:rPr>
        <w:fldChar w:fldCharType="end"/>
      </w:r>
      <w:r>
        <w:rPr>
          <w:rFonts w:eastAsia="黑体"/>
          <w:kern w:val="0"/>
        </w:rPr>
        <w:t xml:space="preserve">  </w:t>
      </w:r>
      <w:r>
        <w:rPr>
          <w:rFonts w:hint="eastAsia" w:eastAsia="黑体"/>
          <w:kern w:val="0"/>
        </w:rPr>
        <w:t>前沟门段断面形式示意图</w:t>
      </w:r>
    </w:p>
    <w:p w14:paraId="28EC4287">
      <w:pPr>
        <w:pStyle w:val="85"/>
        <w:ind w:firstLine="480"/>
        <w:rPr>
          <w:kern w:val="0"/>
        </w:rPr>
        <w:sectPr>
          <w:pgSz w:w="16838" w:h="11906" w:orient="landscape"/>
          <w:pgMar w:top="1797" w:right="2007" w:bottom="1797" w:left="1724" w:header="1417" w:footer="1162" w:gutter="0"/>
          <w:pgNumType w:fmt="numberInDash"/>
          <w:cols w:space="425" w:num="1"/>
          <w:docGrid w:type="lines" w:linePitch="312" w:charSpace="0"/>
        </w:sectPr>
      </w:pPr>
    </w:p>
    <w:p w14:paraId="24C6C891">
      <w:pPr>
        <w:pStyle w:val="5"/>
      </w:pPr>
      <w:r>
        <w:rPr>
          <w:rFonts w:hint="eastAsia"/>
        </w:rPr>
        <w:t>大河北段工程内容</w:t>
      </w:r>
    </w:p>
    <w:p w14:paraId="790919F8">
      <w:pPr>
        <w:pStyle w:val="85"/>
        <w:ind w:firstLine="480"/>
        <w:rPr>
          <w:kern w:val="0"/>
        </w:rPr>
      </w:pPr>
      <w:r>
        <w:rPr>
          <w:rFonts w:hint="eastAsia"/>
          <w:kern w:val="0"/>
        </w:rPr>
        <w:t>①基底修复</w:t>
      </w:r>
    </w:p>
    <w:p w14:paraId="6D36413E">
      <w:pPr>
        <w:pStyle w:val="85"/>
        <w:ind w:firstLine="480"/>
        <w:rPr>
          <w:kern w:val="0"/>
        </w:rPr>
      </w:pPr>
      <w:r>
        <w:rPr>
          <w:kern w:val="0"/>
        </w:rPr>
        <w:t>该段河道左岸有堤防，但是河道冲刷严重，造成地表植被缺失、水土流失。部分河段被开垦侵占，种植农作物。设计对河床基底进行整理，清退河道内小片开荒，采取利用为主、改造为辅原则，对淤积地形进行微地形整理和重塑，进行浅滩-深潭微地形改造，设置坡脚防护和水平防护，维护坡体稳定性，减少水流冲刷，降低水土流失，为微生物创造良好的反硝化环境，为生物创造栖息、繁殖空间，有利于河道生物多样性提升，有利于河流自净功能的恢复</w:t>
      </w:r>
      <w:r>
        <w:rPr>
          <w:rFonts w:hint="eastAsia"/>
          <w:kern w:val="0"/>
        </w:rPr>
        <w:t>。</w:t>
      </w:r>
    </w:p>
    <w:p w14:paraId="5571D4FE">
      <w:pPr>
        <w:pStyle w:val="85"/>
        <w:ind w:firstLine="480"/>
        <w:rPr>
          <w:kern w:val="0"/>
        </w:rPr>
      </w:pPr>
      <w:r>
        <w:rPr>
          <w:rFonts w:hint="eastAsia"/>
          <w:kern w:val="0"/>
        </w:rPr>
        <w:t>②植被群落构建</w:t>
      </w:r>
    </w:p>
    <w:p w14:paraId="0B04FCA7">
      <w:pPr>
        <w:pStyle w:val="85"/>
        <w:ind w:firstLine="480"/>
        <w:rPr>
          <w:kern w:val="0"/>
        </w:rPr>
      </w:pPr>
      <w:r>
        <w:rPr>
          <w:rFonts w:hint="eastAsia"/>
          <w:kern w:val="0"/>
        </w:rPr>
        <w:t>采用灌木+草本配置方式，构建富有层次感的植被群落，使河道生态系统和谐美观的同时，提升生态系统生态服务能力。设计补充种植高羊茅、连翘和蒿柳等陆域植被，恢复湿地挺水、沉水植被，增强岸坡固持土壤能力、吸纳径流污染物，提升河道生态系统维护生物多样性能力。</w:t>
      </w:r>
    </w:p>
    <w:p w14:paraId="595D471E">
      <w:pPr>
        <w:pStyle w:val="85"/>
        <w:ind w:firstLine="480"/>
        <w:rPr>
          <w:kern w:val="0"/>
        </w:rPr>
      </w:pPr>
      <w:r>
        <w:rPr>
          <w:rFonts w:hint="eastAsia"/>
          <w:kern w:val="0"/>
        </w:rPr>
        <w:t>工程量见下表：</w:t>
      </w:r>
    </w:p>
    <w:p w14:paraId="6A7E296E">
      <w:pPr>
        <w:pStyle w:val="85"/>
        <w:ind w:firstLine="448"/>
        <w:jc w:val="center"/>
        <w:rPr>
          <w:rFonts w:eastAsia="黑体"/>
          <w:bCs/>
          <w:spacing w:val="-8"/>
          <w:kern w:val="0"/>
        </w:rPr>
      </w:pPr>
      <w:r>
        <w:rPr>
          <w:rFonts w:hint="eastAsia" w:eastAsia="黑体"/>
          <w:bCs/>
          <w:spacing w:val="-8"/>
          <w:kern w:val="0"/>
        </w:rPr>
        <w:t>表</w:t>
      </w:r>
      <w:r>
        <w:rPr>
          <w:rFonts w:eastAsia="黑体"/>
          <w:bCs/>
          <w:spacing w:val="-8"/>
          <w:kern w:val="0"/>
        </w:rPr>
        <w:fldChar w:fldCharType="begin"/>
      </w:r>
      <w:r>
        <w:rPr>
          <w:rFonts w:eastAsia="黑体"/>
          <w:bCs/>
          <w:spacing w:val="-8"/>
          <w:kern w:val="0"/>
        </w:rPr>
        <w:instrText xml:space="preserve"> </w:instrText>
      </w:r>
      <w:r>
        <w:rPr>
          <w:rFonts w:hint="eastAsia" w:eastAsia="黑体"/>
          <w:bCs/>
          <w:spacing w:val="-8"/>
          <w:kern w:val="0"/>
        </w:rPr>
        <w:instrText xml:space="preserve">STYLEREF 1 \s</w:instrText>
      </w:r>
      <w:r>
        <w:rPr>
          <w:rFonts w:eastAsia="黑体"/>
          <w:bCs/>
          <w:spacing w:val="-8"/>
          <w:kern w:val="0"/>
        </w:rPr>
        <w:instrText xml:space="preserve"> </w:instrText>
      </w:r>
      <w:r>
        <w:rPr>
          <w:rFonts w:eastAsia="黑体"/>
          <w:bCs/>
          <w:spacing w:val="-8"/>
          <w:kern w:val="0"/>
        </w:rPr>
        <w:fldChar w:fldCharType="separate"/>
      </w:r>
      <w:r>
        <w:rPr>
          <w:rFonts w:eastAsia="黑体"/>
          <w:bCs/>
          <w:spacing w:val="-8"/>
          <w:kern w:val="0"/>
        </w:rPr>
        <w:t>2</w:t>
      </w:r>
      <w:r>
        <w:rPr>
          <w:rFonts w:eastAsia="黑体"/>
          <w:bCs/>
          <w:spacing w:val="-8"/>
          <w:kern w:val="0"/>
        </w:rPr>
        <w:fldChar w:fldCharType="end"/>
      </w:r>
      <w:r>
        <w:rPr>
          <w:rFonts w:eastAsia="黑体"/>
          <w:bCs/>
          <w:spacing w:val="-8"/>
          <w:kern w:val="0"/>
        </w:rPr>
        <w:noBreakHyphen/>
      </w:r>
      <w:r>
        <w:rPr>
          <w:rFonts w:eastAsia="黑体"/>
          <w:bCs/>
          <w:spacing w:val="-8"/>
          <w:kern w:val="0"/>
        </w:rPr>
        <w:fldChar w:fldCharType="begin"/>
      </w:r>
      <w:r>
        <w:rPr>
          <w:rFonts w:eastAsia="黑体"/>
          <w:bCs/>
          <w:spacing w:val="-8"/>
          <w:kern w:val="0"/>
        </w:rPr>
        <w:instrText xml:space="preserve"> </w:instrText>
      </w:r>
      <w:r>
        <w:rPr>
          <w:rFonts w:hint="eastAsia" w:eastAsia="黑体"/>
          <w:bCs/>
          <w:spacing w:val="-8"/>
          <w:kern w:val="0"/>
        </w:rPr>
        <w:instrText xml:space="preserve">SEQ 表 \* ARABIC \s 1</w:instrText>
      </w:r>
      <w:r>
        <w:rPr>
          <w:rFonts w:eastAsia="黑体"/>
          <w:bCs/>
          <w:spacing w:val="-8"/>
          <w:kern w:val="0"/>
        </w:rPr>
        <w:instrText xml:space="preserve"> </w:instrText>
      </w:r>
      <w:r>
        <w:rPr>
          <w:rFonts w:eastAsia="黑体"/>
          <w:bCs/>
          <w:spacing w:val="-8"/>
          <w:kern w:val="0"/>
        </w:rPr>
        <w:fldChar w:fldCharType="separate"/>
      </w:r>
      <w:r>
        <w:rPr>
          <w:rFonts w:eastAsia="黑体"/>
          <w:bCs/>
          <w:spacing w:val="-8"/>
          <w:kern w:val="0"/>
        </w:rPr>
        <w:t>4</w:t>
      </w:r>
      <w:r>
        <w:rPr>
          <w:rFonts w:eastAsia="黑体"/>
          <w:bCs/>
          <w:spacing w:val="-8"/>
          <w:kern w:val="0"/>
        </w:rPr>
        <w:fldChar w:fldCharType="end"/>
      </w:r>
      <w:r>
        <w:rPr>
          <w:rFonts w:eastAsia="黑体"/>
          <w:bCs/>
          <w:spacing w:val="-8"/>
          <w:kern w:val="0"/>
        </w:rPr>
        <w:t xml:space="preserve">  </w:t>
      </w:r>
      <w:r>
        <w:rPr>
          <w:rFonts w:hint="eastAsia" w:eastAsia="黑体"/>
          <w:bCs/>
          <w:spacing w:val="-8"/>
          <w:kern w:val="0"/>
        </w:rPr>
        <w:t>大河北段主要工程量表</w:t>
      </w:r>
    </w:p>
    <w:tbl>
      <w:tblPr>
        <w:tblStyle w:val="265"/>
        <w:tblW w:w="5000" w:type="pct"/>
        <w:tblInd w:w="0" w:type="dxa"/>
        <w:tblLayout w:type="autofit"/>
        <w:tblCellMar>
          <w:top w:w="0" w:type="dxa"/>
          <w:left w:w="0" w:type="dxa"/>
          <w:bottom w:w="0" w:type="dxa"/>
          <w:right w:w="0" w:type="dxa"/>
        </w:tblCellMar>
      </w:tblPr>
      <w:tblGrid>
        <w:gridCol w:w="590"/>
        <w:gridCol w:w="2029"/>
        <w:gridCol w:w="4163"/>
        <w:gridCol w:w="590"/>
        <w:gridCol w:w="950"/>
      </w:tblGrid>
      <w:tr w14:paraId="0BEA46E2">
        <w:tc>
          <w:tcPr>
            <w:tcW w:w="0" w:type="auto"/>
            <w:tcBorders>
              <w:top w:val="single" w:color="000000" w:sz="4" w:space="0"/>
              <w:left w:val="single" w:color="000000" w:sz="4" w:space="0"/>
              <w:bottom w:val="single" w:color="000000" w:sz="4" w:space="0"/>
              <w:right w:val="single" w:color="000000" w:sz="4" w:space="0"/>
            </w:tcBorders>
          </w:tcPr>
          <w:p w14:paraId="0D741A84">
            <w:pPr>
              <w:autoSpaceDE w:val="0"/>
              <w:autoSpaceDN w:val="0"/>
              <w:jc w:val="center"/>
              <w:rPr>
                <w:kern w:val="0"/>
                <w:sz w:val="21"/>
                <w:szCs w:val="21"/>
                <w:lang w:eastAsia="en-US"/>
              </w:rPr>
            </w:pPr>
            <w:r>
              <w:rPr>
                <w:kern w:val="0"/>
                <w:sz w:val="21"/>
                <w:szCs w:val="21"/>
                <w:lang w:eastAsia="en-US"/>
              </w:rPr>
              <w:t>序号</w:t>
            </w:r>
          </w:p>
        </w:tc>
        <w:tc>
          <w:tcPr>
            <w:tcW w:w="0" w:type="auto"/>
            <w:tcBorders>
              <w:top w:val="single" w:color="000000" w:sz="4" w:space="0"/>
              <w:left w:val="single" w:color="000000" w:sz="4" w:space="0"/>
              <w:bottom w:val="single" w:color="000000" w:sz="4" w:space="0"/>
              <w:right w:val="single" w:color="000000" w:sz="4" w:space="0"/>
            </w:tcBorders>
          </w:tcPr>
          <w:p w14:paraId="3A29F61F">
            <w:pPr>
              <w:autoSpaceDE w:val="0"/>
              <w:autoSpaceDN w:val="0"/>
              <w:jc w:val="center"/>
              <w:rPr>
                <w:kern w:val="0"/>
                <w:sz w:val="21"/>
                <w:szCs w:val="21"/>
                <w:lang w:eastAsia="en-US"/>
              </w:rPr>
            </w:pPr>
            <w:r>
              <w:rPr>
                <w:kern w:val="0"/>
                <w:sz w:val="21"/>
                <w:szCs w:val="21"/>
                <w:lang w:eastAsia="en-US"/>
              </w:rPr>
              <w:t>名称</w:t>
            </w:r>
          </w:p>
        </w:tc>
        <w:tc>
          <w:tcPr>
            <w:tcW w:w="0" w:type="auto"/>
            <w:tcBorders>
              <w:top w:val="single" w:color="000000" w:sz="4" w:space="0"/>
              <w:left w:val="single" w:color="000000" w:sz="4" w:space="0"/>
              <w:bottom w:val="single" w:color="000000" w:sz="4" w:space="0"/>
              <w:right w:val="single" w:color="000000" w:sz="4" w:space="0"/>
            </w:tcBorders>
          </w:tcPr>
          <w:p w14:paraId="76D3D7A1">
            <w:pPr>
              <w:autoSpaceDE w:val="0"/>
              <w:autoSpaceDN w:val="0"/>
              <w:jc w:val="center"/>
              <w:rPr>
                <w:kern w:val="0"/>
                <w:sz w:val="21"/>
                <w:szCs w:val="21"/>
                <w:lang w:eastAsia="en-US"/>
              </w:rPr>
            </w:pPr>
            <w:r>
              <w:rPr>
                <w:kern w:val="0"/>
                <w:sz w:val="21"/>
                <w:szCs w:val="21"/>
                <w:lang w:eastAsia="en-US"/>
              </w:rPr>
              <w:t>技术规格</w:t>
            </w:r>
          </w:p>
        </w:tc>
        <w:tc>
          <w:tcPr>
            <w:tcW w:w="0" w:type="auto"/>
            <w:tcBorders>
              <w:top w:val="single" w:color="000000" w:sz="4" w:space="0"/>
              <w:left w:val="single" w:color="000000" w:sz="4" w:space="0"/>
              <w:bottom w:val="single" w:color="000000" w:sz="4" w:space="0"/>
              <w:right w:val="single" w:color="000000" w:sz="4" w:space="0"/>
            </w:tcBorders>
          </w:tcPr>
          <w:p w14:paraId="3804298F">
            <w:pPr>
              <w:autoSpaceDE w:val="0"/>
              <w:autoSpaceDN w:val="0"/>
              <w:jc w:val="center"/>
              <w:rPr>
                <w:kern w:val="0"/>
                <w:sz w:val="21"/>
                <w:szCs w:val="21"/>
                <w:lang w:eastAsia="en-US"/>
              </w:rPr>
            </w:pPr>
            <w:r>
              <w:rPr>
                <w:kern w:val="0"/>
                <w:sz w:val="21"/>
                <w:szCs w:val="21"/>
                <w:lang w:eastAsia="en-US"/>
              </w:rPr>
              <w:t>单位</w:t>
            </w:r>
          </w:p>
        </w:tc>
        <w:tc>
          <w:tcPr>
            <w:tcW w:w="0" w:type="auto"/>
            <w:tcBorders>
              <w:top w:val="single" w:color="000000" w:sz="4" w:space="0"/>
              <w:left w:val="single" w:color="000000" w:sz="4" w:space="0"/>
              <w:bottom w:val="single" w:color="000000" w:sz="4" w:space="0"/>
              <w:right w:val="single" w:color="000000" w:sz="4" w:space="0"/>
            </w:tcBorders>
          </w:tcPr>
          <w:p w14:paraId="12BB2659">
            <w:pPr>
              <w:autoSpaceDE w:val="0"/>
              <w:autoSpaceDN w:val="0"/>
              <w:jc w:val="center"/>
              <w:rPr>
                <w:kern w:val="0"/>
                <w:sz w:val="21"/>
                <w:szCs w:val="21"/>
                <w:lang w:eastAsia="en-US"/>
              </w:rPr>
            </w:pPr>
            <w:r>
              <w:rPr>
                <w:kern w:val="0"/>
                <w:sz w:val="21"/>
                <w:szCs w:val="21"/>
                <w:lang w:eastAsia="en-US"/>
              </w:rPr>
              <w:t>数量</w:t>
            </w:r>
          </w:p>
        </w:tc>
      </w:tr>
      <w:tr w14:paraId="6878322A">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Pr>
          <w:p w14:paraId="35ADFA1C">
            <w:pPr>
              <w:autoSpaceDE w:val="0"/>
              <w:autoSpaceDN w:val="0"/>
              <w:jc w:val="center"/>
              <w:rPr>
                <w:kern w:val="0"/>
                <w:sz w:val="21"/>
                <w:szCs w:val="21"/>
                <w:lang w:eastAsia="en-US"/>
              </w:rPr>
            </w:pPr>
            <w:r>
              <w:rPr>
                <w:kern w:val="0"/>
                <w:sz w:val="21"/>
                <w:szCs w:val="21"/>
                <w:lang w:eastAsia="en-US"/>
              </w:rPr>
              <w:t>1</w:t>
            </w:r>
          </w:p>
        </w:tc>
        <w:tc>
          <w:tcPr>
            <w:tcW w:w="0" w:type="auto"/>
            <w:tcBorders>
              <w:top w:val="single" w:color="000000" w:sz="4" w:space="0"/>
              <w:left w:val="single" w:color="000000" w:sz="4" w:space="0"/>
              <w:bottom w:val="single" w:color="000000" w:sz="4" w:space="0"/>
              <w:right w:val="single" w:color="000000" w:sz="4" w:space="0"/>
            </w:tcBorders>
          </w:tcPr>
          <w:p w14:paraId="6E60CBE0">
            <w:pPr>
              <w:autoSpaceDE w:val="0"/>
              <w:autoSpaceDN w:val="0"/>
              <w:jc w:val="center"/>
              <w:rPr>
                <w:kern w:val="0"/>
                <w:sz w:val="21"/>
                <w:szCs w:val="21"/>
                <w:lang w:eastAsia="en-US"/>
              </w:rPr>
            </w:pPr>
            <w:r>
              <w:rPr>
                <w:kern w:val="0"/>
                <w:sz w:val="21"/>
                <w:szCs w:val="21"/>
                <w:lang w:eastAsia="en-US"/>
              </w:rPr>
              <w:t>土方开挖</w:t>
            </w:r>
          </w:p>
        </w:tc>
        <w:tc>
          <w:tcPr>
            <w:tcW w:w="0" w:type="auto"/>
            <w:tcBorders>
              <w:top w:val="single" w:color="000000" w:sz="4" w:space="0"/>
              <w:left w:val="single" w:color="000000" w:sz="4" w:space="0"/>
              <w:bottom w:val="single" w:color="000000" w:sz="4" w:space="0"/>
              <w:right w:val="single" w:color="000000" w:sz="4" w:space="0"/>
            </w:tcBorders>
          </w:tcPr>
          <w:p w14:paraId="127A4A10">
            <w:pPr>
              <w:autoSpaceDE w:val="0"/>
              <w:autoSpaceDN w:val="0"/>
              <w:jc w:val="center"/>
              <w:rPr>
                <w:kern w:val="0"/>
                <w:sz w:val="21"/>
                <w:szCs w:val="21"/>
                <w:lang w:eastAsia="en-US"/>
              </w:rPr>
            </w:pPr>
            <w:r>
              <w:rPr>
                <w:kern w:val="0"/>
                <w:sz w:val="21"/>
                <w:szCs w:val="21"/>
                <w:lang w:eastAsia="en-US"/>
              </w:rPr>
              <w:t>/</w:t>
            </w:r>
          </w:p>
        </w:tc>
        <w:tc>
          <w:tcPr>
            <w:tcW w:w="0" w:type="auto"/>
            <w:tcBorders>
              <w:top w:val="single" w:color="000000" w:sz="4" w:space="0"/>
              <w:left w:val="single" w:color="000000" w:sz="4" w:space="0"/>
              <w:bottom w:val="single" w:color="000000" w:sz="4" w:space="0"/>
              <w:right w:val="single" w:color="000000" w:sz="4" w:space="0"/>
            </w:tcBorders>
          </w:tcPr>
          <w:p w14:paraId="7877FAB0">
            <w:pPr>
              <w:autoSpaceDE w:val="0"/>
              <w:autoSpaceDN w:val="0"/>
              <w:jc w:val="center"/>
              <w:rPr>
                <w:kern w:val="0"/>
                <w:sz w:val="21"/>
                <w:szCs w:val="21"/>
                <w:lang w:eastAsia="en-US"/>
              </w:rPr>
            </w:pPr>
            <w:r>
              <w:rPr>
                <w:kern w:val="0"/>
                <w:sz w:val="21"/>
                <w:szCs w:val="21"/>
                <w:lang w:eastAsia="en-US"/>
              </w:rPr>
              <w:t>m</w:t>
            </w:r>
            <w:r>
              <w:rPr>
                <w:kern w:val="0"/>
                <w:sz w:val="21"/>
                <w:szCs w:val="21"/>
                <w:vertAlign w:val="superscript"/>
                <w:lang w:eastAsia="en-US"/>
              </w:rPr>
              <w:t>3</w:t>
            </w:r>
          </w:p>
        </w:tc>
        <w:tc>
          <w:tcPr>
            <w:tcW w:w="0" w:type="auto"/>
            <w:tcBorders>
              <w:top w:val="single" w:color="000000" w:sz="4" w:space="0"/>
              <w:left w:val="single" w:color="000000" w:sz="4" w:space="0"/>
              <w:bottom w:val="single" w:color="000000" w:sz="4" w:space="0"/>
              <w:right w:val="single" w:color="000000" w:sz="4" w:space="0"/>
            </w:tcBorders>
          </w:tcPr>
          <w:p w14:paraId="2DD91897">
            <w:pPr>
              <w:autoSpaceDE w:val="0"/>
              <w:autoSpaceDN w:val="0"/>
              <w:jc w:val="center"/>
              <w:rPr>
                <w:kern w:val="0"/>
                <w:sz w:val="21"/>
                <w:szCs w:val="21"/>
                <w:lang w:eastAsia="en-US"/>
              </w:rPr>
            </w:pPr>
            <w:r>
              <w:rPr>
                <w:kern w:val="0"/>
                <w:sz w:val="21"/>
                <w:szCs w:val="21"/>
                <w:lang w:eastAsia="en-US"/>
              </w:rPr>
              <w:t>109329</w:t>
            </w:r>
          </w:p>
        </w:tc>
      </w:tr>
      <w:tr w14:paraId="340B5FBA">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Pr>
          <w:p w14:paraId="66295517">
            <w:pPr>
              <w:autoSpaceDE w:val="0"/>
              <w:autoSpaceDN w:val="0"/>
              <w:jc w:val="center"/>
              <w:rPr>
                <w:kern w:val="0"/>
                <w:sz w:val="21"/>
                <w:szCs w:val="21"/>
                <w:lang w:eastAsia="en-US"/>
              </w:rPr>
            </w:pPr>
            <w:r>
              <w:rPr>
                <w:kern w:val="0"/>
                <w:sz w:val="21"/>
                <w:szCs w:val="21"/>
                <w:lang w:eastAsia="en-US"/>
              </w:rPr>
              <w:t>2</w:t>
            </w:r>
          </w:p>
        </w:tc>
        <w:tc>
          <w:tcPr>
            <w:tcW w:w="0" w:type="auto"/>
            <w:tcBorders>
              <w:top w:val="single" w:color="000000" w:sz="4" w:space="0"/>
              <w:left w:val="single" w:color="000000" w:sz="4" w:space="0"/>
              <w:bottom w:val="single" w:color="000000" w:sz="4" w:space="0"/>
              <w:right w:val="single" w:color="000000" w:sz="4" w:space="0"/>
            </w:tcBorders>
          </w:tcPr>
          <w:p w14:paraId="5AB23968">
            <w:pPr>
              <w:autoSpaceDE w:val="0"/>
              <w:autoSpaceDN w:val="0"/>
              <w:jc w:val="center"/>
              <w:rPr>
                <w:kern w:val="0"/>
                <w:sz w:val="21"/>
                <w:szCs w:val="21"/>
                <w:lang w:eastAsia="en-US"/>
              </w:rPr>
            </w:pPr>
            <w:r>
              <w:rPr>
                <w:kern w:val="0"/>
                <w:sz w:val="21"/>
                <w:szCs w:val="21"/>
                <w:lang w:eastAsia="en-US"/>
              </w:rPr>
              <w:t>土方回填</w:t>
            </w:r>
          </w:p>
        </w:tc>
        <w:tc>
          <w:tcPr>
            <w:tcW w:w="0" w:type="auto"/>
            <w:tcBorders>
              <w:top w:val="single" w:color="000000" w:sz="4" w:space="0"/>
              <w:left w:val="single" w:color="000000" w:sz="4" w:space="0"/>
              <w:bottom w:val="single" w:color="000000" w:sz="4" w:space="0"/>
              <w:right w:val="single" w:color="000000" w:sz="4" w:space="0"/>
            </w:tcBorders>
          </w:tcPr>
          <w:p w14:paraId="025133C3">
            <w:pPr>
              <w:autoSpaceDE w:val="0"/>
              <w:autoSpaceDN w:val="0"/>
              <w:jc w:val="center"/>
              <w:rPr>
                <w:kern w:val="0"/>
                <w:sz w:val="21"/>
                <w:szCs w:val="21"/>
                <w:lang w:eastAsia="en-US"/>
              </w:rPr>
            </w:pPr>
            <w:r>
              <w:rPr>
                <w:kern w:val="0"/>
                <w:sz w:val="21"/>
                <w:szCs w:val="21"/>
                <w:lang w:eastAsia="en-US"/>
              </w:rPr>
              <w:t>/</w:t>
            </w:r>
          </w:p>
        </w:tc>
        <w:tc>
          <w:tcPr>
            <w:tcW w:w="0" w:type="auto"/>
            <w:tcBorders>
              <w:top w:val="single" w:color="000000" w:sz="4" w:space="0"/>
              <w:left w:val="single" w:color="000000" w:sz="4" w:space="0"/>
              <w:bottom w:val="single" w:color="000000" w:sz="4" w:space="0"/>
              <w:right w:val="single" w:color="000000" w:sz="4" w:space="0"/>
            </w:tcBorders>
          </w:tcPr>
          <w:p w14:paraId="003B5F50">
            <w:pPr>
              <w:autoSpaceDE w:val="0"/>
              <w:autoSpaceDN w:val="0"/>
              <w:jc w:val="center"/>
              <w:rPr>
                <w:kern w:val="0"/>
                <w:sz w:val="21"/>
                <w:szCs w:val="21"/>
                <w:lang w:eastAsia="en-US"/>
              </w:rPr>
            </w:pPr>
            <w:r>
              <w:rPr>
                <w:kern w:val="0"/>
                <w:sz w:val="21"/>
                <w:szCs w:val="21"/>
                <w:lang w:eastAsia="en-US"/>
              </w:rPr>
              <w:t>m</w:t>
            </w:r>
            <w:r>
              <w:rPr>
                <w:kern w:val="0"/>
                <w:sz w:val="21"/>
                <w:szCs w:val="21"/>
                <w:vertAlign w:val="superscript"/>
                <w:lang w:eastAsia="en-US"/>
              </w:rPr>
              <w:t>3</w:t>
            </w:r>
          </w:p>
        </w:tc>
        <w:tc>
          <w:tcPr>
            <w:tcW w:w="0" w:type="auto"/>
            <w:tcBorders>
              <w:top w:val="single" w:color="000000" w:sz="4" w:space="0"/>
              <w:left w:val="single" w:color="000000" w:sz="4" w:space="0"/>
              <w:bottom w:val="single" w:color="000000" w:sz="4" w:space="0"/>
              <w:right w:val="single" w:color="000000" w:sz="4" w:space="0"/>
            </w:tcBorders>
          </w:tcPr>
          <w:p w14:paraId="00C43EA2">
            <w:pPr>
              <w:autoSpaceDE w:val="0"/>
              <w:autoSpaceDN w:val="0"/>
              <w:jc w:val="center"/>
              <w:rPr>
                <w:kern w:val="0"/>
                <w:sz w:val="21"/>
                <w:szCs w:val="21"/>
                <w:lang w:eastAsia="en-US"/>
              </w:rPr>
            </w:pPr>
            <w:r>
              <w:rPr>
                <w:kern w:val="0"/>
                <w:sz w:val="21"/>
                <w:szCs w:val="21"/>
                <w:lang w:eastAsia="en-US"/>
              </w:rPr>
              <w:t>118456</w:t>
            </w:r>
          </w:p>
        </w:tc>
      </w:tr>
      <w:tr w14:paraId="37956F87">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Pr>
          <w:p w14:paraId="33643681">
            <w:pPr>
              <w:autoSpaceDE w:val="0"/>
              <w:autoSpaceDN w:val="0"/>
              <w:jc w:val="center"/>
              <w:rPr>
                <w:kern w:val="0"/>
                <w:sz w:val="21"/>
                <w:szCs w:val="21"/>
                <w:lang w:eastAsia="en-US"/>
              </w:rPr>
            </w:pPr>
            <w:r>
              <w:rPr>
                <w:kern w:val="0"/>
                <w:sz w:val="21"/>
                <w:szCs w:val="21"/>
                <w:lang w:eastAsia="en-US"/>
              </w:rPr>
              <w:t>3</w:t>
            </w:r>
          </w:p>
        </w:tc>
        <w:tc>
          <w:tcPr>
            <w:tcW w:w="0" w:type="auto"/>
            <w:tcBorders>
              <w:top w:val="single" w:color="000000" w:sz="4" w:space="0"/>
              <w:left w:val="single" w:color="000000" w:sz="4" w:space="0"/>
              <w:bottom w:val="single" w:color="000000" w:sz="4" w:space="0"/>
              <w:right w:val="single" w:color="000000" w:sz="4" w:space="0"/>
            </w:tcBorders>
          </w:tcPr>
          <w:p w14:paraId="268BCE04">
            <w:pPr>
              <w:autoSpaceDE w:val="0"/>
              <w:autoSpaceDN w:val="0"/>
              <w:jc w:val="center"/>
              <w:rPr>
                <w:kern w:val="0"/>
                <w:sz w:val="21"/>
                <w:szCs w:val="21"/>
                <w:lang w:eastAsia="en-US"/>
              </w:rPr>
            </w:pPr>
            <w:r>
              <w:rPr>
                <w:kern w:val="0"/>
                <w:sz w:val="21"/>
                <w:szCs w:val="21"/>
                <w:lang w:eastAsia="en-US"/>
              </w:rPr>
              <w:t>坡脚防护</w:t>
            </w:r>
          </w:p>
        </w:tc>
        <w:tc>
          <w:tcPr>
            <w:tcW w:w="0" w:type="auto"/>
            <w:tcBorders>
              <w:top w:val="single" w:color="000000" w:sz="4" w:space="0"/>
              <w:left w:val="single" w:color="000000" w:sz="4" w:space="0"/>
              <w:bottom w:val="single" w:color="000000" w:sz="4" w:space="0"/>
              <w:right w:val="single" w:color="000000" w:sz="4" w:space="0"/>
            </w:tcBorders>
          </w:tcPr>
          <w:p w14:paraId="5C6B34CC">
            <w:pPr>
              <w:autoSpaceDE w:val="0"/>
              <w:autoSpaceDN w:val="0"/>
              <w:jc w:val="center"/>
              <w:rPr>
                <w:kern w:val="0"/>
                <w:sz w:val="21"/>
                <w:szCs w:val="21"/>
                <w:lang w:eastAsia="en-US"/>
              </w:rPr>
            </w:pPr>
            <w:r>
              <w:rPr>
                <w:kern w:val="0"/>
                <w:sz w:val="21"/>
                <w:szCs w:val="21"/>
                <w:lang w:eastAsia="en-US"/>
              </w:rPr>
              <w:t>/</w:t>
            </w:r>
          </w:p>
        </w:tc>
        <w:tc>
          <w:tcPr>
            <w:tcW w:w="0" w:type="auto"/>
            <w:tcBorders>
              <w:top w:val="single" w:color="000000" w:sz="4" w:space="0"/>
              <w:left w:val="single" w:color="000000" w:sz="4" w:space="0"/>
              <w:bottom w:val="single" w:color="000000" w:sz="4" w:space="0"/>
              <w:right w:val="single" w:color="000000" w:sz="4" w:space="0"/>
            </w:tcBorders>
          </w:tcPr>
          <w:p w14:paraId="17D5674B">
            <w:pPr>
              <w:autoSpaceDE w:val="0"/>
              <w:autoSpaceDN w:val="0"/>
              <w:jc w:val="center"/>
              <w:rPr>
                <w:kern w:val="0"/>
                <w:sz w:val="21"/>
                <w:szCs w:val="21"/>
                <w:lang w:eastAsia="en-US"/>
              </w:rPr>
            </w:pPr>
            <w:r>
              <w:rPr>
                <w:kern w:val="0"/>
                <w:sz w:val="21"/>
                <w:szCs w:val="21"/>
                <w:lang w:eastAsia="en-US"/>
              </w:rPr>
              <w:t>m</w:t>
            </w:r>
            <w:r>
              <w:rPr>
                <w:kern w:val="0"/>
                <w:sz w:val="21"/>
                <w:szCs w:val="21"/>
                <w:vertAlign w:val="superscript"/>
                <w:lang w:eastAsia="en-US"/>
              </w:rPr>
              <w:t>3</w:t>
            </w:r>
          </w:p>
        </w:tc>
        <w:tc>
          <w:tcPr>
            <w:tcW w:w="0" w:type="auto"/>
            <w:tcBorders>
              <w:top w:val="single" w:color="000000" w:sz="4" w:space="0"/>
              <w:left w:val="single" w:color="000000" w:sz="4" w:space="0"/>
              <w:bottom w:val="single" w:color="000000" w:sz="4" w:space="0"/>
              <w:right w:val="single" w:color="000000" w:sz="4" w:space="0"/>
            </w:tcBorders>
          </w:tcPr>
          <w:p w14:paraId="70E856B3">
            <w:pPr>
              <w:autoSpaceDE w:val="0"/>
              <w:autoSpaceDN w:val="0"/>
              <w:jc w:val="center"/>
              <w:rPr>
                <w:kern w:val="0"/>
                <w:sz w:val="21"/>
                <w:szCs w:val="21"/>
                <w:lang w:eastAsia="en-US"/>
              </w:rPr>
            </w:pPr>
            <w:r>
              <w:rPr>
                <w:kern w:val="0"/>
                <w:sz w:val="21"/>
                <w:szCs w:val="21"/>
                <w:lang w:eastAsia="en-US"/>
              </w:rPr>
              <w:t>19687.5</w:t>
            </w:r>
          </w:p>
        </w:tc>
      </w:tr>
      <w:tr w14:paraId="21E5F673">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Pr>
          <w:p w14:paraId="7AE4707F">
            <w:pPr>
              <w:autoSpaceDE w:val="0"/>
              <w:autoSpaceDN w:val="0"/>
              <w:jc w:val="center"/>
              <w:rPr>
                <w:kern w:val="0"/>
                <w:sz w:val="21"/>
                <w:szCs w:val="21"/>
                <w:lang w:eastAsia="en-US"/>
              </w:rPr>
            </w:pPr>
            <w:r>
              <w:rPr>
                <w:kern w:val="0"/>
                <w:sz w:val="21"/>
                <w:szCs w:val="21"/>
                <w:lang w:eastAsia="en-US"/>
              </w:rPr>
              <w:t>4</w:t>
            </w:r>
          </w:p>
        </w:tc>
        <w:tc>
          <w:tcPr>
            <w:tcW w:w="0" w:type="auto"/>
            <w:tcBorders>
              <w:top w:val="single" w:color="000000" w:sz="4" w:space="0"/>
              <w:left w:val="single" w:color="000000" w:sz="4" w:space="0"/>
              <w:bottom w:val="single" w:color="000000" w:sz="4" w:space="0"/>
              <w:right w:val="single" w:color="000000" w:sz="4" w:space="0"/>
            </w:tcBorders>
          </w:tcPr>
          <w:p w14:paraId="28BCABE7">
            <w:pPr>
              <w:autoSpaceDE w:val="0"/>
              <w:autoSpaceDN w:val="0"/>
              <w:jc w:val="center"/>
              <w:rPr>
                <w:kern w:val="0"/>
                <w:sz w:val="21"/>
                <w:szCs w:val="21"/>
                <w:lang w:eastAsia="en-US"/>
              </w:rPr>
            </w:pPr>
            <w:r>
              <w:rPr>
                <w:kern w:val="0"/>
                <w:sz w:val="21"/>
                <w:szCs w:val="21"/>
                <w:lang w:eastAsia="en-US"/>
              </w:rPr>
              <w:t>水平防护</w:t>
            </w:r>
          </w:p>
        </w:tc>
        <w:tc>
          <w:tcPr>
            <w:tcW w:w="0" w:type="auto"/>
            <w:tcBorders>
              <w:top w:val="single" w:color="000000" w:sz="4" w:space="0"/>
              <w:left w:val="single" w:color="000000" w:sz="4" w:space="0"/>
              <w:bottom w:val="single" w:color="000000" w:sz="4" w:space="0"/>
              <w:right w:val="single" w:color="000000" w:sz="4" w:space="0"/>
            </w:tcBorders>
          </w:tcPr>
          <w:p w14:paraId="691B88D1">
            <w:pPr>
              <w:autoSpaceDE w:val="0"/>
              <w:autoSpaceDN w:val="0"/>
              <w:jc w:val="center"/>
              <w:rPr>
                <w:kern w:val="0"/>
                <w:sz w:val="21"/>
                <w:szCs w:val="21"/>
                <w:lang w:eastAsia="en-US"/>
              </w:rPr>
            </w:pPr>
            <w:r>
              <w:rPr>
                <w:kern w:val="0"/>
                <w:sz w:val="21"/>
                <w:szCs w:val="21"/>
                <w:lang w:eastAsia="en-US"/>
              </w:rPr>
              <w:t>400g/m</w:t>
            </w:r>
            <w:r>
              <w:rPr>
                <w:kern w:val="0"/>
                <w:sz w:val="21"/>
                <w:szCs w:val="21"/>
                <w:vertAlign w:val="superscript"/>
                <w:lang w:eastAsia="en-US"/>
              </w:rPr>
              <w:t>2</w:t>
            </w:r>
          </w:p>
        </w:tc>
        <w:tc>
          <w:tcPr>
            <w:tcW w:w="0" w:type="auto"/>
            <w:tcBorders>
              <w:top w:val="single" w:color="000000" w:sz="4" w:space="0"/>
              <w:left w:val="single" w:color="000000" w:sz="4" w:space="0"/>
              <w:bottom w:val="single" w:color="000000" w:sz="4" w:space="0"/>
              <w:right w:val="single" w:color="000000" w:sz="4" w:space="0"/>
            </w:tcBorders>
          </w:tcPr>
          <w:p w14:paraId="605CBA34">
            <w:pPr>
              <w:autoSpaceDE w:val="0"/>
              <w:autoSpaceDN w:val="0"/>
              <w:jc w:val="center"/>
              <w:rPr>
                <w:kern w:val="0"/>
                <w:sz w:val="21"/>
                <w:szCs w:val="21"/>
                <w:lang w:eastAsia="en-US"/>
              </w:rPr>
            </w:pPr>
            <w:r>
              <w:rPr>
                <w:kern w:val="0"/>
                <w:sz w:val="21"/>
                <w:szCs w:val="21"/>
                <w:lang w:eastAsia="en-US"/>
              </w:rPr>
              <w:t>m</w:t>
            </w:r>
            <w:r>
              <w:rPr>
                <w:kern w:val="0"/>
                <w:sz w:val="21"/>
                <w:szCs w:val="21"/>
                <w:vertAlign w:val="superscript"/>
                <w:lang w:eastAsia="en-US"/>
              </w:rPr>
              <w:t>3</w:t>
            </w:r>
          </w:p>
        </w:tc>
        <w:tc>
          <w:tcPr>
            <w:tcW w:w="0" w:type="auto"/>
            <w:tcBorders>
              <w:top w:val="single" w:color="000000" w:sz="4" w:space="0"/>
              <w:left w:val="single" w:color="000000" w:sz="4" w:space="0"/>
              <w:bottom w:val="single" w:color="000000" w:sz="4" w:space="0"/>
              <w:right w:val="single" w:color="000000" w:sz="4" w:space="0"/>
            </w:tcBorders>
          </w:tcPr>
          <w:p w14:paraId="60603587">
            <w:pPr>
              <w:autoSpaceDE w:val="0"/>
              <w:autoSpaceDN w:val="0"/>
              <w:jc w:val="center"/>
              <w:rPr>
                <w:kern w:val="0"/>
                <w:sz w:val="21"/>
                <w:szCs w:val="21"/>
                <w:lang w:eastAsia="en-US"/>
              </w:rPr>
            </w:pPr>
            <w:r>
              <w:rPr>
                <w:kern w:val="0"/>
                <w:sz w:val="21"/>
                <w:szCs w:val="21"/>
                <w:lang w:eastAsia="en-US"/>
              </w:rPr>
              <w:t>10937.5</w:t>
            </w:r>
          </w:p>
        </w:tc>
      </w:tr>
      <w:tr w14:paraId="29244E61">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Pr>
          <w:p w14:paraId="0E2C6203">
            <w:pPr>
              <w:autoSpaceDE w:val="0"/>
              <w:autoSpaceDN w:val="0"/>
              <w:jc w:val="center"/>
              <w:rPr>
                <w:kern w:val="0"/>
                <w:sz w:val="21"/>
                <w:szCs w:val="21"/>
                <w:lang w:eastAsia="en-US"/>
              </w:rPr>
            </w:pPr>
            <w:r>
              <w:rPr>
                <w:kern w:val="0"/>
                <w:sz w:val="21"/>
                <w:szCs w:val="21"/>
                <w:lang w:eastAsia="en-US"/>
              </w:rPr>
              <w:t>5</w:t>
            </w:r>
          </w:p>
        </w:tc>
        <w:tc>
          <w:tcPr>
            <w:tcW w:w="0" w:type="auto"/>
            <w:tcBorders>
              <w:top w:val="single" w:color="000000" w:sz="4" w:space="0"/>
              <w:left w:val="single" w:color="000000" w:sz="4" w:space="0"/>
              <w:bottom w:val="single" w:color="000000" w:sz="4" w:space="0"/>
              <w:right w:val="single" w:color="000000" w:sz="4" w:space="0"/>
            </w:tcBorders>
          </w:tcPr>
          <w:p w14:paraId="57B8C476">
            <w:pPr>
              <w:autoSpaceDE w:val="0"/>
              <w:autoSpaceDN w:val="0"/>
              <w:jc w:val="center"/>
              <w:rPr>
                <w:kern w:val="0"/>
                <w:sz w:val="21"/>
                <w:szCs w:val="21"/>
                <w:lang w:eastAsia="en-US"/>
              </w:rPr>
            </w:pPr>
            <w:r>
              <w:rPr>
                <w:kern w:val="0"/>
                <w:sz w:val="21"/>
                <w:szCs w:val="21"/>
                <w:lang w:eastAsia="en-US"/>
              </w:rPr>
              <w:t>坡脚防护土工布</w:t>
            </w:r>
          </w:p>
        </w:tc>
        <w:tc>
          <w:tcPr>
            <w:tcW w:w="0" w:type="auto"/>
            <w:tcBorders>
              <w:top w:val="single" w:color="000000" w:sz="4" w:space="0"/>
              <w:left w:val="single" w:color="000000" w:sz="4" w:space="0"/>
              <w:bottom w:val="single" w:color="000000" w:sz="4" w:space="0"/>
              <w:right w:val="single" w:color="000000" w:sz="4" w:space="0"/>
            </w:tcBorders>
          </w:tcPr>
          <w:p w14:paraId="6655C59F">
            <w:pPr>
              <w:autoSpaceDE w:val="0"/>
              <w:autoSpaceDN w:val="0"/>
              <w:jc w:val="center"/>
              <w:rPr>
                <w:kern w:val="0"/>
                <w:sz w:val="21"/>
                <w:szCs w:val="21"/>
                <w:lang w:eastAsia="en-US"/>
              </w:rPr>
            </w:pPr>
            <w:r>
              <w:rPr>
                <w:kern w:val="0"/>
                <w:sz w:val="21"/>
                <w:szCs w:val="21"/>
                <w:lang w:eastAsia="en-US"/>
              </w:rPr>
              <w:t>/</w:t>
            </w:r>
          </w:p>
        </w:tc>
        <w:tc>
          <w:tcPr>
            <w:tcW w:w="0" w:type="auto"/>
            <w:tcBorders>
              <w:top w:val="single" w:color="000000" w:sz="4" w:space="0"/>
              <w:left w:val="single" w:color="000000" w:sz="4" w:space="0"/>
              <w:bottom w:val="single" w:color="000000" w:sz="4" w:space="0"/>
              <w:right w:val="single" w:color="000000" w:sz="4" w:space="0"/>
            </w:tcBorders>
          </w:tcPr>
          <w:p w14:paraId="038B4E0A">
            <w:pPr>
              <w:autoSpaceDE w:val="0"/>
              <w:autoSpaceDN w:val="0"/>
              <w:jc w:val="center"/>
              <w:rPr>
                <w:kern w:val="0"/>
                <w:sz w:val="21"/>
                <w:szCs w:val="21"/>
                <w:lang w:eastAsia="en-US"/>
              </w:rPr>
            </w:pPr>
            <w:r>
              <w:rPr>
                <w:kern w:val="0"/>
                <w:sz w:val="21"/>
                <w:szCs w:val="21"/>
                <w:lang w:eastAsia="en-US"/>
              </w:rPr>
              <w:t>m</w:t>
            </w:r>
            <w:r>
              <w:rPr>
                <w:kern w:val="0"/>
                <w:sz w:val="21"/>
                <w:szCs w:val="21"/>
                <w:vertAlign w:val="superscript"/>
                <w:lang w:eastAsia="en-US"/>
              </w:rPr>
              <w:t>2</w:t>
            </w:r>
          </w:p>
        </w:tc>
        <w:tc>
          <w:tcPr>
            <w:tcW w:w="0" w:type="auto"/>
            <w:tcBorders>
              <w:top w:val="single" w:color="000000" w:sz="4" w:space="0"/>
              <w:left w:val="single" w:color="000000" w:sz="4" w:space="0"/>
              <w:bottom w:val="single" w:color="000000" w:sz="4" w:space="0"/>
              <w:right w:val="single" w:color="000000" w:sz="4" w:space="0"/>
            </w:tcBorders>
          </w:tcPr>
          <w:p w14:paraId="123D90FB">
            <w:pPr>
              <w:autoSpaceDE w:val="0"/>
              <w:autoSpaceDN w:val="0"/>
              <w:jc w:val="center"/>
              <w:rPr>
                <w:kern w:val="0"/>
                <w:sz w:val="21"/>
                <w:szCs w:val="21"/>
                <w:lang w:eastAsia="en-US"/>
              </w:rPr>
            </w:pPr>
            <w:r>
              <w:rPr>
                <w:kern w:val="0"/>
                <w:sz w:val="21"/>
                <w:szCs w:val="21"/>
                <w:lang w:eastAsia="en-US"/>
              </w:rPr>
              <w:t>45937.5</w:t>
            </w:r>
          </w:p>
        </w:tc>
      </w:tr>
      <w:tr w14:paraId="267D78EB">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Pr>
          <w:p w14:paraId="70DFAE6F">
            <w:pPr>
              <w:autoSpaceDE w:val="0"/>
              <w:autoSpaceDN w:val="0"/>
              <w:jc w:val="center"/>
              <w:rPr>
                <w:kern w:val="0"/>
                <w:sz w:val="21"/>
                <w:szCs w:val="21"/>
                <w:lang w:eastAsia="en-US"/>
              </w:rPr>
            </w:pPr>
            <w:r>
              <w:rPr>
                <w:kern w:val="0"/>
                <w:sz w:val="21"/>
                <w:szCs w:val="21"/>
                <w:lang w:eastAsia="en-US"/>
              </w:rPr>
              <w:t>6</w:t>
            </w:r>
          </w:p>
        </w:tc>
        <w:tc>
          <w:tcPr>
            <w:tcW w:w="0" w:type="auto"/>
            <w:tcBorders>
              <w:top w:val="single" w:color="000000" w:sz="4" w:space="0"/>
              <w:left w:val="single" w:color="000000" w:sz="4" w:space="0"/>
              <w:bottom w:val="single" w:color="000000" w:sz="4" w:space="0"/>
              <w:right w:val="single" w:color="000000" w:sz="4" w:space="0"/>
            </w:tcBorders>
          </w:tcPr>
          <w:p w14:paraId="5033D84D">
            <w:pPr>
              <w:autoSpaceDE w:val="0"/>
              <w:autoSpaceDN w:val="0"/>
              <w:jc w:val="center"/>
              <w:rPr>
                <w:kern w:val="0"/>
                <w:sz w:val="21"/>
                <w:szCs w:val="21"/>
                <w:lang w:eastAsia="en-US"/>
              </w:rPr>
            </w:pPr>
            <w:r>
              <w:rPr>
                <w:kern w:val="0"/>
                <w:sz w:val="21"/>
                <w:szCs w:val="21"/>
                <w:lang w:eastAsia="en-US"/>
              </w:rPr>
              <w:t>蒿柳</w:t>
            </w:r>
          </w:p>
        </w:tc>
        <w:tc>
          <w:tcPr>
            <w:tcW w:w="0" w:type="auto"/>
            <w:tcBorders>
              <w:top w:val="single" w:color="000000" w:sz="4" w:space="0"/>
              <w:left w:val="single" w:color="000000" w:sz="4" w:space="0"/>
              <w:bottom w:val="single" w:color="000000" w:sz="4" w:space="0"/>
              <w:right w:val="single" w:color="000000" w:sz="4" w:space="0"/>
            </w:tcBorders>
          </w:tcPr>
          <w:p w14:paraId="6FFDE51A">
            <w:pPr>
              <w:autoSpaceDE w:val="0"/>
              <w:autoSpaceDN w:val="0"/>
              <w:jc w:val="center"/>
              <w:rPr>
                <w:kern w:val="0"/>
                <w:sz w:val="21"/>
                <w:szCs w:val="21"/>
                <w:lang w:eastAsia="en-US"/>
              </w:rPr>
            </w:pPr>
            <w:r>
              <w:rPr>
                <w:kern w:val="0"/>
                <w:sz w:val="21"/>
                <w:szCs w:val="21"/>
                <w:lang w:eastAsia="en-US"/>
              </w:rPr>
              <w:t>/</w:t>
            </w:r>
          </w:p>
        </w:tc>
        <w:tc>
          <w:tcPr>
            <w:tcW w:w="0" w:type="auto"/>
            <w:tcBorders>
              <w:top w:val="single" w:color="000000" w:sz="4" w:space="0"/>
              <w:left w:val="single" w:color="000000" w:sz="4" w:space="0"/>
              <w:bottom w:val="single" w:color="000000" w:sz="4" w:space="0"/>
              <w:right w:val="single" w:color="000000" w:sz="4" w:space="0"/>
            </w:tcBorders>
          </w:tcPr>
          <w:p w14:paraId="7A4AFC32">
            <w:pPr>
              <w:autoSpaceDE w:val="0"/>
              <w:autoSpaceDN w:val="0"/>
              <w:jc w:val="center"/>
              <w:rPr>
                <w:kern w:val="0"/>
                <w:sz w:val="21"/>
                <w:szCs w:val="21"/>
                <w:lang w:eastAsia="en-US"/>
              </w:rPr>
            </w:pPr>
            <w:r>
              <w:rPr>
                <w:kern w:val="0"/>
                <w:sz w:val="21"/>
                <w:szCs w:val="21"/>
                <w:lang w:eastAsia="en-US"/>
              </w:rPr>
              <w:t>m</w:t>
            </w:r>
            <w:r>
              <w:rPr>
                <w:kern w:val="0"/>
                <w:sz w:val="21"/>
                <w:szCs w:val="21"/>
                <w:vertAlign w:val="superscript"/>
                <w:lang w:eastAsia="en-US"/>
              </w:rPr>
              <w:t>2</w:t>
            </w:r>
          </w:p>
        </w:tc>
        <w:tc>
          <w:tcPr>
            <w:tcW w:w="0" w:type="auto"/>
            <w:tcBorders>
              <w:top w:val="single" w:color="000000" w:sz="4" w:space="0"/>
              <w:left w:val="single" w:color="000000" w:sz="4" w:space="0"/>
              <w:bottom w:val="single" w:color="000000" w:sz="4" w:space="0"/>
              <w:right w:val="single" w:color="000000" w:sz="4" w:space="0"/>
            </w:tcBorders>
          </w:tcPr>
          <w:p w14:paraId="29B9FDC8">
            <w:pPr>
              <w:autoSpaceDE w:val="0"/>
              <w:autoSpaceDN w:val="0"/>
              <w:jc w:val="center"/>
              <w:rPr>
                <w:kern w:val="0"/>
                <w:sz w:val="21"/>
                <w:szCs w:val="21"/>
                <w:lang w:eastAsia="en-US"/>
              </w:rPr>
            </w:pPr>
            <w:r>
              <w:rPr>
                <w:kern w:val="0"/>
                <w:sz w:val="21"/>
                <w:szCs w:val="21"/>
                <w:lang w:eastAsia="en-US"/>
              </w:rPr>
              <w:t>2864</w:t>
            </w:r>
          </w:p>
        </w:tc>
      </w:tr>
      <w:tr w14:paraId="3E123AB5">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Pr>
          <w:p w14:paraId="3694A743">
            <w:pPr>
              <w:autoSpaceDE w:val="0"/>
              <w:autoSpaceDN w:val="0"/>
              <w:jc w:val="center"/>
              <w:rPr>
                <w:kern w:val="0"/>
                <w:sz w:val="21"/>
                <w:szCs w:val="21"/>
                <w:lang w:eastAsia="en-US"/>
              </w:rPr>
            </w:pPr>
            <w:r>
              <w:rPr>
                <w:kern w:val="0"/>
                <w:sz w:val="21"/>
                <w:szCs w:val="21"/>
                <w:lang w:eastAsia="en-US"/>
              </w:rPr>
              <w:t>7</w:t>
            </w:r>
          </w:p>
        </w:tc>
        <w:tc>
          <w:tcPr>
            <w:tcW w:w="0" w:type="auto"/>
            <w:tcBorders>
              <w:top w:val="single" w:color="000000" w:sz="4" w:space="0"/>
              <w:left w:val="single" w:color="000000" w:sz="4" w:space="0"/>
              <w:bottom w:val="single" w:color="000000" w:sz="4" w:space="0"/>
              <w:right w:val="single" w:color="000000" w:sz="4" w:space="0"/>
            </w:tcBorders>
          </w:tcPr>
          <w:p w14:paraId="7FE191A6">
            <w:pPr>
              <w:autoSpaceDE w:val="0"/>
              <w:autoSpaceDN w:val="0"/>
              <w:jc w:val="center"/>
              <w:rPr>
                <w:kern w:val="0"/>
                <w:sz w:val="21"/>
                <w:szCs w:val="21"/>
                <w:lang w:eastAsia="en-US"/>
              </w:rPr>
            </w:pPr>
            <w:r>
              <w:rPr>
                <w:kern w:val="0"/>
                <w:sz w:val="21"/>
                <w:szCs w:val="21"/>
                <w:lang w:eastAsia="en-US"/>
              </w:rPr>
              <w:t>连翘</w:t>
            </w:r>
          </w:p>
        </w:tc>
        <w:tc>
          <w:tcPr>
            <w:tcW w:w="0" w:type="auto"/>
            <w:tcBorders>
              <w:top w:val="single" w:color="000000" w:sz="4" w:space="0"/>
              <w:left w:val="single" w:color="000000" w:sz="4" w:space="0"/>
              <w:bottom w:val="single" w:color="000000" w:sz="4" w:space="0"/>
              <w:right w:val="single" w:color="000000" w:sz="4" w:space="0"/>
            </w:tcBorders>
          </w:tcPr>
          <w:p w14:paraId="0B9D851E">
            <w:pPr>
              <w:autoSpaceDE w:val="0"/>
              <w:autoSpaceDN w:val="0"/>
              <w:jc w:val="center"/>
              <w:rPr>
                <w:kern w:val="0"/>
                <w:sz w:val="21"/>
                <w:szCs w:val="21"/>
                <w:lang w:eastAsia="en-US"/>
              </w:rPr>
            </w:pPr>
            <w:r>
              <w:rPr>
                <w:kern w:val="0"/>
                <w:sz w:val="21"/>
                <w:szCs w:val="21"/>
                <w:lang w:eastAsia="en-US"/>
              </w:rPr>
              <w:t>400g/ m</w:t>
            </w:r>
            <w:r>
              <w:rPr>
                <w:kern w:val="0"/>
                <w:sz w:val="21"/>
                <w:szCs w:val="21"/>
                <w:vertAlign w:val="superscript"/>
                <w:lang w:eastAsia="en-US"/>
              </w:rPr>
              <w:t>2</w:t>
            </w:r>
          </w:p>
        </w:tc>
        <w:tc>
          <w:tcPr>
            <w:tcW w:w="0" w:type="auto"/>
            <w:tcBorders>
              <w:top w:val="single" w:color="000000" w:sz="4" w:space="0"/>
              <w:left w:val="single" w:color="000000" w:sz="4" w:space="0"/>
              <w:bottom w:val="single" w:color="000000" w:sz="4" w:space="0"/>
              <w:right w:val="single" w:color="000000" w:sz="4" w:space="0"/>
            </w:tcBorders>
          </w:tcPr>
          <w:p w14:paraId="35089475">
            <w:pPr>
              <w:autoSpaceDE w:val="0"/>
              <w:autoSpaceDN w:val="0"/>
              <w:jc w:val="center"/>
              <w:rPr>
                <w:kern w:val="0"/>
                <w:sz w:val="21"/>
                <w:szCs w:val="21"/>
                <w:lang w:eastAsia="en-US"/>
              </w:rPr>
            </w:pPr>
            <w:r>
              <w:rPr>
                <w:kern w:val="0"/>
                <w:sz w:val="21"/>
                <w:szCs w:val="21"/>
                <w:lang w:eastAsia="en-US"/>
              </w:rPr>
              <w:t>m</w:t>
            </w:r>
            <w:r>
              <w:rPr>
                <w:kern w:val="0"/>
                <w:sz w:val="21"/>
                <w:szCs w:val="21"/>
                <w:vertAlign w:val="superscript"/>
                <w:lang w:eastAsia="en-US"/>
              </w:rPr>
              <w:t>2</w:t>
            </w:r>
          </w:p>
        </w:tc>
        <w:tc>
          <w:tcPr>
            <w:tcW w:w="0" w:type="auto"/>
            <w:tcBorders>
              <w:top w:val="single" w:color="000000" w:sz="4" w:space="0"/>
              <w:left w:val="single" w:color="000000" w:sz="4" w:space="0"/>
              <w:bottom w:val="single" w:color="000000" w:sz="4" w:space="0"/>
              <w:right w:val="single" w:color="000000" w:sz="4" w:space="0"/>
            </w:tcBorders>
          </w:tcPr>
          <w:p w14:paraId="25342E10">
            <w:pPr>
              <w:autoSpaceDE w:val="0"/>
              <w:autoSpaceDN w:val="0"/>
              <w:jc w:val="center"/>
              <w:rPr>
                <w:kern w:val="0"/>
                <w:sz w:val="21"/>
                <w:szCs w:val="21"/>
                <w:lang w:eastAsia="en-US"/>
              </w:rPr>
            </w:pPr>
            <w:r>
              <w:rPr>
                <w:kern w:val="0"/>
                <w:sz w:val="21"/>
                <w:szCs w:val="21"/>
                <w:lang w:eastAsia="en-US"/>
              </w:rPr>
              <w:t>23713</w:t>
            </w:r>
          </w:p>
        </w:tc>
      </w:tr>
      <w:tr w14:paraId="3C9092C3">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Pr>
          <w:p w14:paraId="5C630034">
            <w:pPr>
              <w:autoSpaceDE w:val="0"/>
              <w:autoSpaceDN w:val="0"/>
              <w:jc w:val="center"/>
              <w:rPr>
                <w:kern w:val="0"/>
                <w:sz w:val="21"/>
                <w:szCs w:val="21"/>
                <w:lang w:eastAsia="en-US"/>
              </w:rPr>
            </w:pPr>
            <w:r>
              <w:rPr>
                <w:kern w:val="0"/>
                <w:sz w:val="21"/>
                <w:szCs w:val="21"/>
                <w:lang w:eastAsia="en-US"/>
              </w:rPr>
              <w:t>8</w:t>
            </w:r>
          </w:p>
        </w:tc>
        <w:tc>
          <w:tcPr>
            <w:tcW w:w="0" w:type="auto"/>
            <w:tcBorders>
              <w:top w:val="single" w:color="000000" w:sz="4" w:space="0"/>
              <w:left w:val="single" w:color="000000" w:sz="4" w:space="0"/>
              <w:bottom w:val="single" w:color="000000" w:sz="4" w:space="0"/>
              <w:right w:val="single" w:color="000000" w:sz="4" w:space="0"/>
            </w:tcBorders>
          </w:tcPr>
          <w:p w14:paraId="5D0BAB8C">
            <w:pPr>
              <w:autoSpaceDE w:val="0"/>
              <w:autoSpaceDN w:val="0"/>
              <w:jc w:val="center"/>
              <w:rPr>
                <w:kern w:val="0"/>
                <w:sz w:val="21"/>
                <w:szCs w:val="21"/>
                <w:lang w:eastAsia="en-US"/>
              </w:rPr>
            </w:pPr>
            <w:r>
              <w:rPr>
                <w:kern w:val="0"/>
                <w:sz w:val="21"/>
                <w:szCs w:val="21"/>
                <w:lang w:eastAsia="en-US"/>
              </w:rPr>
              <w:t>沙地柏</w:t>
            </w:r>
          </w:p>
        </w:tc>
        <w:tc>
          <w:tcPr>
            <w:tcW w:w="0" w:type="auto"/>
            <w:tcBorders>
              <w:top w:val="single" w:color="000000" w:sz="4" w:space="0"/>
              <w:left w:val="single" w:color="000000" w:sz="4" w:space="0"/>
              <w:bottom w:val="single" w:color="000000" w:sz="4" w:space="0"/>
              <w:right w:val="single" w:color="000000" w:sz="4" w:space="0"/>
            </w:tcBorders>
          </w:tcPr>
          <w:p w14:paraId="23C0FFD7">
            <w:pPr>
              <w:autoSpaceDE w:val="0"/>
              <w:autoSpaceDN w:val="0"/>
              <w:jc w:val="center"/>
              <w:rPr>
                <w:kern w:val="0"/>
                <w:sz w:val="21"/>
                <w:szCs w:val="21"/>
                <w:lang w:eastAsia="en-US"/>
              </w:rPr>
            </w:pPr>
            <w:r>
              <w:rPr>
                <w:kern w:val="0"/>
                <w:sz w:val="21"/>
                <w:szCs w:val="21"/>
                <w:lang w:eastAsia="en-US"/>
              </w:rPr>
              <w:t>高度 0.4m，种植密度 1.5 株/ m</w:t>
            </w:r>
            <w:r>
              <w:rPr>
                <w:kern w:val="0"/>
                <w:sz w:val="21"/>
                <w:szCs w:val="21"/>
                <w:vertAlign w:val="superscript"/>
                <w:lang w:eastAsia="en-US"/>
              </w:rPr>
              <w:t>2</w:t>
            </w:r>
          </w:p>
        </w:tc>
        <w:tc>
          <w:tcPr>
            <w:tcW w:w="0" w:type="auto"/>
            <w:tcBorders>
              <w:top w:val="single" w:color="000000" w:sz="4" w:space="0"/>
              <w:left w:val="single" w:color="000000" w:sz="4" w:space="0"/>
              <w:bottom w:val="single" w:color="000000" w:sz="4" w:space="0"/>
              <w:right w:val="single" w:color="000000" w:sz="4" w:space="0"/>
            </w:tcBorders>
          </w:tcPr>
          <w:p w14:paraId="3E2396C0">
            <w:pPr>
              <w:autoSpaceDE w:val="0"/>
              <w:autoSpaceDN w:val="0"/>
              <w:jc w:val="center"/>
              <w:rPr>
                <w:kern w:val="0"/>
                <w:sz w:val="21"/>
                <w:szCs w:val="21"/>
                <w:lang w:eastAsia="en-US"/>
              </w:rPr>
            </w:pPr>
            <w:r>
              <w:rPr>
                <w:kern w:val="0"/>
                <w:sz w:val="21"/>
                <w:szCs w:val="21"/>
                <w:lang w:eastAsia="en-US"/>
              </w:rPr>
              <w:t>m</w:t>
            </w:r>
            <w:r>
              <w:rPr>
                <w:kern w:val="0"/>
                <w:sz w:val="21"/>
                <w:szCs w:val="21"/>
                <w:vertAlign w:val="superscript"/>
                <w:lang w:eastAsia="en-US"/>
              </w:rPr>
              <w:t>2</w:t>
            </w:r>
          </w:p>
        </w:tc>
        <w:tc>
          <w:tcPr>
            <w:tcW w:w="0" w:type="auto"/>
            <w:tcBorders>
              <w:top w:val="single" w:color="000000" w:sz="4" w:space="0"/>
              <w:left w:val="single" w:color="000000" w:sz="4" w:space="0"/>
              <w:bottom w:val="single" w:color="000000" w:sz="4" w:space="0"/>
              <w:right w:val="single" w:color="000000" w:sz="4" w:space="0"/>
            </w:tcBorders>
          </w:tcPr>
          <w:p w14:paraId="765B0DB4">
            <w:pPr>
              <w:autoSpaceDE w:val="0"/>
              <w:autoSpaceDN w:val="0"/>
              <w:jc w:val="center"/>
              <w:rPr>
                <w:kern w:val="0"/>
                <w:sz w:val="21"/>
                <w:szCs w:val="21"/>
                <w:lang w:eastAsia="en-US"/>
              </w:rPr>
            </w:pPr>
            <w:r>
              <w:rPr>
                <w:kern w:val="0"/>
                <w:sz w:val="21"/>
                <w:szCs w:val="21"/>
                <w:lang w:eastAsia="en-US"/>
              </w:rPr>
              <w:t>23713</w:t>
            </w:r>
          </w:p>
        </w:tc>
      </w:tr>
      <w:tr w14:paraId="0C047478">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Pr>
          <w:p w14:paraId="115B1C4F">
            <w:pPr>
              <w:autoSpaceDE w:val="0"/>
              <w:autoSpaceDN w:val="0"/>
              <w:jc w:val="center"/>
              <w:rPr>
                <w:kern w:val="0"/>
                <w:sz w:val="21"/>
                <w:szCs w:val="21"/>
                <w:lang w:eastAsia="en-US"/>
              </w:rPr>
            </w:pPr>
            <w:r>
              <w:rPr>
                <w:kern w:val="0"/>
                <w:sz w:val="21"/>
                <w:szCs w:val="21"/>
                <w:lang w:eastAsia="en-US"/>
              </w:rPr>
              <w:t>9</w:t>
            </w:r>
          </w:p>
        </w:tc>
        <w:tc>
          <w:tcPr>
            <w:tcW w:w="0" w:type="auto"/>
            <w:tcBorders>
              <w:top w:val="single" w:color="000000" w:sz="4" w:space="0"/>
              <w:left w:val="single" w:color="000000" w:sz="4" w:space="0"/>
              <w:bottom w:val="single" w:color="000000" w:sz="4" w:space="0"/>
              <w:right w:val="single" w:color="000000" w:sz="4" w:space="0"/>
            </w:tcBorders>
          </w:tcPr>
          <w:p w14:paraId="6F59B187">
            <w:pPr>
              <w:autoSpaceDE w:val="0"/>
              <w:autoSpaceDN w:val="0"/>
              <w:jc w:val="center"/>
              <w:rPr>
                <w:kern w:val="0"/>
                <w:sz w:val="21"/>
                <w:szCs w:val="21"/>
                <w:lang w:eastAsia="en-US"/>
              </w:rPr>
            </w:pPr>
            <w:r>
              <w:rPr>
                <w:kern w:val="0"/>
                <w:sz w:val="21"/>
                <w:szCs w:val="21"/>
                <w:lang w:eastAsia="en-US"/>
              </w:rPr>
              <w:t>高羊茅</w:t>
            </w:r>
          </w:p>
        </w:tc>
        <w:tc>
          <w:tcPr>
            <w:tcW w:w="0" w:type="auto"/>
            <w:tcBorders>
              <w:top w:val="single" w:color="000000" w:sz="4" w:space="0"/>
              <w:left w:val="single" w:color="000000" w:sz="4" w:space="0"/>
              <w:bottom w:val="single" w:color="000000" w:sz="4" w:space="0"/>
              <w:right w:val="single" w:color="000000" w:sz="4" w:space="0"/>
            </w:tcBorders>
          </w:tcPr>
          <w:p w14:paraId="5EFC7609">
            <w:pPr>
              <w:autoSpaceDE w:val="0"/>
              <w:autoSpaceDN w:val="0"/>
              <w:jc w:val="center"/>
              <w:rPr>
                <w:kern w:val="0"/>
                <w:sz w:val="21"/>
                <w:szCs w:val="21"/>
                <w:lang w:eastAsia="en-US"/>
              </w:rPr>
            </w:pPr>
            <w:r>
              <w:rPr>
                <w:kern w:val="0"/>
                <w:sz w:val="21"/>
                <w:szCs w:val="21"/>
                <w:lang w:eastAsia="en-US"/>
              </w:rPr>
              <w:t>200 株/亩，株距 2m</w:t>
            </w:r>
          </w:p>
        </w:tc>
        <w:tc>
          <w:tcPr>
            <w:tcW w:w="0" w:type="auto"/>
            <w:tcBorders>
              <w:top w:val="single" w:color="000000" w:sz="4" w:space="0"/>
              <w:left w:val="single" w:color="000000" w:sz="4" w:space="0"/>
              <w:bottom w:val="single" w:color="000000" w:sz="4" w:space="0"/>
              <w:right w:val="single" w:color="000000" w:sz="4" w:space="0"/>
            </w:tcBorders>
          </w:tcPr>
          <w:p w14:paraId="164929FD">
            <w:pPr>
              <w:autoSpaceDE w:val="0"/>
              <w:autoSpaceDN w:val="0"/>
              <w:jc w:val="center"/>
              <w:rPr>
                <w:kern w:val="0"/>
                <w:sz w:val="21"/>
                <w:szCs w:val="21"/>
                <w:lang w:eastAsia="en-US"/>
              </w:rPr>
            </w:pPr>
            <w:r>
              <w:rPr>
                <w:kern w:val="0"/>
                <w:sz w:val="21"/>
                <w:szCs w:val="21"/>
                <w:lang w:eastAsia="en-US"/>
              </w:rPr>
              <w:t>m</w:t>
            </w:r>
            <w:r>
              <w:rPr>
                <w:kern w:val="0"/>
                <w:sz w:val="21"/>
                <w:szCs w:val="21"/>
                <w:vertAlign w:val="superscript"/>
                <w:lang w:eastAsia="en-US"/>
              </w:rPr>
              <w:t>2</w:t>
            </w:r>
          </w:p>
        </w:tc>
        <w:tc>
          <w:tcPr>
            <w:tcW w:w="0" w:type="auto"/>
            <w:tcBorders>
              <w:top w:val="single" w:color="000000" w:sz="4" w:space="0"/>
              <w:left w:val="single" w:color="000000" w:sz="4" w:space="0"/>
              <w:bottom w:val="single" w:color="000000" w:sz="4" w:space="0"/>
              <w:right w:val="single" w:color="000000" w:sz="4" w:space="0"/>
            </w:tcBorders>
          </w:tcPr>
          <w:p w14:paraId="0FDC85E9">
            <w:pPr>
              <w:autoSpaceDE w:val="0"/>
              <w:autoSpaceDN w:val="0"/>
              <w:jc w:val="center"/>
              <w:rPr>
                <w:kern w:val="0"/>
                <w:sz w:val="21"/>
                <w:szCs w:val="21"/>
                <w:lang w:eastAsia="en-US"/>
              </w:rPr>
            </w:pPr>
            <w:r>
              <w:rPr>
                <w:kern w:val="0"/>
                <w:sz w:val="21"/>
                <w:szCs w:val="21"/>
                <w:lang w:eastAsia="en-US"/>
              </w:rPr>
              <w:t>23713</w:t>
            </w:r>
          </w:p>
        </w:tc>
      </w:tr>
      <w:tr w14:paraId="5F10515C">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Pr>
          <w:p w14:paraId="21F4D911">
            <w:pPr>
              <w:autoSpaceDE w:val="0"/>
              <w:autoSpaceDN w:val="0"/>
              <w:jc w:val="center"/>
              <w:rPr>
                <w:kern w:val="0"/>
                <w:sz w:val="21"/>
                <w:szCs w:val="21"/>
                <w:lang w:eastAsia="en-US"/>
              </w:rPr>
            </w:pPr>
            <w:r>
              <w:rPr>
                <w:kern w:val="0"/>
                <w:sz w:val="21"/>
                <w:szCs w:val="21"/>
                <w:lang w:eastAsia="en-US"/>
              </w:rPr>
              <w:t>10</w:t>
            </w:r>
          </w:p>
        </w:tc>
        <w:tc>
          <w:tcPr>
            <w:tcW w:w="0" w:type="auto"/>
            <w:tcBorders>
              <w:top w:val="single" w:color="000000" w:sz="4" w:space="0"/>
              <w:left w:val="single" w:color="000000" w:sz="4" w:space="0"/>
              <w:bottom w:val="single" w:color="000000" w:sz="4" w:space="0"/>
              <w:right w:val="single" w:color="000000" w:sz="4" w:space="0"/>
            </w:tcBorders>
          </w:tcPr>
          <w:p w14:paraId="493820DD">
            <w:pPr>
              <w:autoSpaceDE w:val="0"/>
              <w:autoSpaceDN w:val="0"/>
              <w:jc w:val="center"/>
              <w:rPr>
                <w:kern w:val="0"/>
                <w:sz w:val="21"/>
                <w:szCs w:val="21"/>
                <w:lang w:eastAsia="en-US"/>
              </w:rPr>
            </w:pPr>
            <w:r>
              <w:rPr>
                <w:kern w:val="0"/>
                <w:sz w:val="21"/>
                <w:szCs w:val="21"/>
                <w:lang w:eastAsia="en-US"/>
              </w:rPr>
              <w:t>种植土</w:t>
            </w:r>
          </w:p>
        </w:tc>
        <w:tc>
          <w:tcPr>
            <w:tcW w:w="0" w:type="auto"/>
            <w:tcBorders>
              <w:top w:val="single" w:color="000000" w:sz="4" w:space="0"/>
              <w:left w:val="single" w:color="000000" w:sz="4" w:space="0"/>
              <w:bottom w:val="single" w:color="000000" w:sz="4" w:space="0"/>
              <w:right w:val="single" w:color="000000" w:sz="4" w:space="0"/>
            </w:tcBorders>
          </w:tcPr>
          <w:p w14:paraId="0951A743">
            <w:pPr>
              <w:autoSpaceDE w:val="0"/>
              <w:autoSpaceDN w:val="0"/>
              <w:jc w:val="center"/>
              <w:rPr>
                <w:kern w:val="0"/>
                <w:sz w:val="21"/>
                <w:szCs w:val="21"/>
                <w:lang w:eastAsia="en-US"/>
              </w:rPr>
            </w:pPr>
            <w:r>
              <w:rPr>
                <w:kern w:val="0"/>
                <w:sz w:val="21"/>
                <w:szCs w:val="21"/>
                <w:lang w:eastAsia="en-US"/>
              </w:rPr>
              <w:t>冠幅 30-40cm，8 株/ m</w:t>
            </w:r>
            <w:r>
              <w:rPr>
                <w:kern w:val="0"/>
                <w:sz w:val="21"/>
                <w:szCs w:val="21"/>
                <w:vertAlign w:val="superscript"/>
                <w:lang w:eastAsia="en-US"/>
              </w:rPr>
              <w:t>2</w:t>
            </w:r>
          </w:p>
        </w:tc>
        <w:tc>
          <w:tcPr>
            <w:tcW w:w="0" w:type="auto"/>
            <w:tcBorders>
              <w:top w:val="single" w:color="000000" w:sz="4" w:space="0"/>
              <w:left w:val="single" w:color="000000" w:sz="4" w:space="0"/>
              <w:bottom w:val="single" w:color="000000" w:sz="4" w:space="0"/>
              <w:right w:val="single" w:color="000000" w:sz="4" w:space="0"/>
            </w:tcBorders>
          </w:tcPr>
          <w:p w14:paraId="1C8A7B2D">
            <w:pPr>
              <w:autoSpaceDE w:val="0"/>
              <w:autoSpaceDN w:val="0"/>
              <w:jc w:val="center"/>
              <w:rPr>
                <w:kern w:val="0"/>
                <w:sz w:val="21"/>
                <w:szCs w:val="21"/>
                <w:lang w:eastAsia="en-US"/>
              </w:rPr>
            </w:pPr>
            <w:r>
              <w:rPr>
                <w:kern w:val="0"/>
                <w:sz w:val="21"/>
                <w:szCs w:val="21"/>
                <w:lang w:eastAsia="en-US"/>
              </w:rPr>
              <w:t>m</w:t>
            </w:r>
            <w:r>
              <w:rPr>
                <w:kern w:val="0"/>
                <w:sz w:val="21"/>
                <w:szCs w:val="21"/>
                <w:vertAlign w:val="superscript"/>
                <w:lang w:eastAsia="en-US"/>
              </w:rPr>
              <w:t>3</w:t>
            </w:r>
          </w:p>
        </w:tc>
        <w:tc>
          <w:tcPr>
            <w:tcW w:w="0" w:type="auto"/>
            <w:tcBorders>
              <w:top w:val="single" w:color="000000" w:sz="4" w:space="0"/>
              <w:left w:val="single" w:color="000000" w:sz="4" w:space="0"/>
              <w:bottom w:val="single" w:color="000000" w:sz="4" w:space="0"/>
              <w:right w:val="single" w:color="000000" w:sz="4" w:space="0"/>
            </w:tcBorders>
          </w:tcPr>
          <w:p w14:paraId="07A42BEB">
            <w:pPr>
              <w:autoSpaceDE w:val="0"/>
              <w:autoSpaceDN w:val="0"/>
              <w:jc w:val="center"/>
              <w:rPr>
                <w:kern w:val="0"/>
                <w:sz w:val="21"/>
                <w:szCs w:val="21"/>
                <w:lang w:eastAsia="en-US"/>
              </w:rPr>
            </w:pPr>
            <w:r>
              <w:rPr>
                <w:kern w:val="0"/>
                <w:sz w:val="21"/>
                <w:szCs w:val="21"/>
                <w:lang w:eastAsia="en-US"/>
              </w:rPr>
              <w:t>22200.9</w:t>
            </w:r>
          </w:p>
        </w:tc>
      </w:tr>
      <w:tr w14:paraId="1A22DA11">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Pr>
          <w:p w14:paraId="100E15BC">
            <w:pPr>
              <w:autoSpaceDE w:val="0"/>
              <w:autoSpaceDN w:val="0"/>
              <w:jc w:val="center"/>
              <w:rPr>
                <w:kern w:val="0"/>
                <w:sz w:val="21"/>
                <w:szCs w:val="21"/>
                <w:lang w:eastAsia="en-US"/>
              </w:rPr>
            </w:pPr>
            <w:r>
              <w:rPr>
                <w:kern w:val="0"/>
                <w:sz w:val="21"/>
                <w:szCs w:val="21"/>
                <w:lang w:eastAsia="en-US"/>
              </w:rPr>
              <w:t>11</w:t>
            </w:r>
          </w:p>
        </w:tc>
        <w:tc>
          <w:tcPr>
            <w:tcW w:w="0" w:type="auto"/>
            <w:tcBorders>
              <w:top w:val="single" w:color="000000" w:sz="4" w:space="0"/>
              <w:left w:val="single" w:color="000000" w:sz="4" w:space="0"/>
              <w:bottom w:val="single" w:color="000000" w:sz="4" w:space="0"/>
              <w:right w:val="single" w:color="000000" w:sz="4" w:space="0"/>
            </w:tcBorders>
          </w:tcPr>
          <w:p w14:paraId="07648293">
            <w:pPr>
              <w:autoSpaceDE w:val="0"/>
              <w:autoSpaceDN w:val="0"/>
              <w:jc w:val="center"/>
              <w:rPr>
                <w:kern w:val="0"/>
                <w:sz w:val="21"/>
                <w:szCs w:val="21"/>
                <w:lang w:eastAsia="en-US"/>
              </w:rPr>
            </w:pPr>
            <w:r>
              <w:rPr>
                <w:kern w:val="0"/>
                <w:sz w:val="21"/>
                <w:szCs w:val="21"/>
                <w:lang w:eastAsia="en-US"/>
              </w:rPr>
              <w:t>香蒲</w:t>
            </w:r>
          </w:p>
        </w:tc>
        <w:tc>
          <w:tcPr>
            <w:tcW w:w="0" w:type="auto"/>
            <w:tcBorders>
              <w:top w:val="single" w:color="000000" w:sz="4" w:space="0"/>
              <w:left w:val="single" w:color="000000" w:sz="4" w:space="0"/>
              <w:bottom w:val="single" w:color="000000" w:sz="4" w:space="0"/>
              <w:right w:val="single" w:color="000000" w:sz="4" w:space="0"/>
            </w:tcBorders>
          </w:tcPr>
          <w:p w14:paraId="35F1FA80">
            <w:pPr>
              <w:autoSpaceDE w:val="0"/>
              <w:autoSpaceDN w:val="0"/>
              <w:jc w:val="center"/>
              <w:rPr>
                <w:kern w:val="0"/>
                <w:sz w:val="21"/>
                <w:szCs w:val="21"/>
                <w:lang w:eastAsia="en-US"/>
              </w:rPr>
            </w:pPr>
            <w:r>
              <w:rPr>
                <w:kern w:val="0"/>
                <w:sz w:val="21"/>
                <w:szCs w:val="21"/>
                <w:lang w:eastAsia="en-US"/>
              </w:rPr>
              <w:t>25g/ m</w:t>
            </w:r>
            <w:r>
              <w:rPr>
                <w:kern w:val="0"/>
                <w:sz w:val="21"/>
                <w:szCs w:val="21"/>
                <w:vertAlign w:val="superscript"/>
                <w:lang w:eastAsia="en-US"/>
              </w:rPr>
              <w:t>2</w:t>
            </w:r>
          </w:p>
        </w:tc>
        <w:tc>
          <w:tcPr>
            <w:tcW w:w="0" w:type="auto"/>
            <w:tcBorders>
              <w:top w:val="single" w:color="000000" w:sz="4" w:space="0"/>
              <w:left w:val="single" w:color="000000" w:sz="4" w:space="0"/>
              <w:bottom w:val="single" w:color="000000" w:sz="4" w:space="0"/>
              <w:right w:val="single" w:color="000000" w:sz="4" w:space="0"/>
            </w:tcBorders>
          </w:tcPr>
          <w:p w14:paraId="1F23C3B7">
            <w:pPr>
              <w:autoSpaceDE w:val="0"/>
              <w:autoSpaceDN w:val="0"/>
              <w:jc w:val="center"/>
              <w:rPr>
                <w:kern w:val="0"/>
                <w:sz w:val="21"/>
                <w:szCs w:val="21"/>
                <w:lang w:eastAsia="en-US"/>
              </w:rPr>
            </w:pPr>
            <w:r>
              <w:rPr>
                <w:kern w:val="0"/>
                <w:sz w:val="21"/>
                <w:szCs w:val="21"/>
                <w:lang w:eastAsia="en-US"/>
              </w:rPr>
              <w:t>m</w:t>
            </w:r>
            <w:r>
              <w:rPr>
                <w:kern w:val="0"/>
                <w:sz w:val="21"/>
                <w:szCs w:val="21"/>
                <w:vertAlign w:val="superscript"/>
                <w:lang w:eastAsia="en-US"/>
              </w:rPr>
              <w:t>2</w:t>
            </w:r>
          </w:p>
        </w:tc>
        <w:tc>
          <w:tcPr>
            <w:tcW w:w="0" w:type="auto"/>
            <w:tcBorders>
              <w:top w:val="single" w:color="000000" w:sz="4" w:space="0"/>
              <w:left w:val="single" w:color="000000" w:sz="4" w:space="0"/>
              <w:bottom w:val="single" w:color="000000" w:sz="4" w:space="0"/>
              <w:right w:val="single" w:color="000000" w:sz="4" w:space="0"/>
            </w:tcBorders>
          </w:tcPr>
          <w:p w14:paraId="3A17F456">
            <w:pPr>
              <w:autoSpaceDE w:val="0"/>
              <w:autoSpaceDN w:val="0"/>
              <w:jc w:val="center"/>
              <w:rPr>
                <w:kern w:val="0"/>
                <w:sz w:val="21"/>
                <w:szCs w:val="21"/>
                <w:lang w:eastAsia="en-US"/>
              </w:rPr>
            </w:pPr>
            <w:r>
              <w:rPr>
                <w:kern w:val="0"/>
                <w:sz w:val="21"/>
                <w:szCs w:val="21"/>
                <w:lang w:eastAsia="en-US"/>
              </w:rPr>
              <w:t>16086</w:t>
            </w:r>
          </w:p>
        </w:tc>
      </w:tr>
      <w:tr w14:paraId="40AD6DAA">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Pr>
          <w:p w14:paraId="46147F4A">
            <w:pPr>
              <w:autoSpaceDE w:val="0"/>
              <w:autoSpaceDN w:val="0"/>
              <w:jc w:val="center"/>
              <w:rPr>
                <w:kern w:val="0"/>
                <w:sz w:val="21"/>
                <w:szCs w:val="21"/>
                <w:lang w:eastAsia="en-US"/>
              </w:rPr>
            </w:pPr>
            <w:r>
              <w:rPr>
                <w:kern w:val="0"/>
                <w:sz w:val="21"/>
                <w:szCs w:val="21"/>
                <w:lang w:eastAsia="en-US"/>
              </w:rPr>
              <w:t>12</w:t>
            </w:r>
          </w:p>
        </w:tc>
        <w:tc>
          <w:tcPr>
            <w:tcW w:w="0" w:type="auto"/>
            <w:tcBorders>
              <w:top w:val="single" w:color="000000" w:sz="4" w:space="0"/>
              <w:left w:val="single" w:color="000000" w:sz="4" w:space="0"/>
              <w:bottom w:val="single" w:color="000000" w:sz="4" w:space="0"/>
              <w:right w:val="single" w:color="000000" w:sz="4" w:space="0"/>
            </w:tcBorders>
          </w:tcPr>
          <w:p w14:paraId="1B640DCE">
            <w:pPr>
              <w:autoSpaceDE w:val="0"/>
              <w:autoSpaceDN w:val="0"/>
              <w:jc w:val="center"/>
              <w:rPr>
                <w:kern w:val="0"/>
                <w:sz w:val="21"/>
                <w:szCs w:val="21"/>
                <w:lang w:eastAsia="en-US"/>
              </w:rPr>
            </w:pPr>
            <w:r>
              <w:rPr>
                <w:kern w:val="0"/>
                <w:sz w:val="21"/>
                <w:szCs w:val="21"/>
                <w:lang w:eastAsia="en-US"/>
              </w:rPr>
              <w:t>水葱</w:t>
            </w:r>
          </w:p>
        </w:tc>
        <w:tc>
          <w:tcPr>
            <w:tcW w:w="0" w:type="auto"/>
            <w:tcBorders>
              <w:top w:val="single" w:color="000000" w:sz="4" w:space="0"/>
              <w:left w:val="single" w:color="000000" w:sz="4" w:space="0"/>
              <w:bottom w:val="single" w:color="000000" w:sz="4" w:space="0"/>
              <w:right w:val="single" w:color="000000" w:sz="4" w:space="0"/>
            </w:tcBorders>
          </w:tcPr>
          <w:p w14:paraId="68725C18">
            <w:pPr>
              <w:autoSpaceDE w:val="0"/>
              <w:autoSpaceDN w:val="0"/>
              <w:jc w:val="center"/>
              <w:rPr>
                <w:kern w:val="0"/>
                <w:sz w:val="21"/>
                <w:szCs w:val="21"/>
                <w:lang w:eastAsia="en-US"/>
              </w:rPr>
            </w:pPr>
            <w:r>
              <w:rPr>
                <w:kern w:val="0"/>
                <w:sz w:val="21"/>
                <w:szCs w:val="21"/>
                <w:lang w:eastAsia="en-US"/>
              </w:rPr>
              <w:t>/</w:t>
            </w:r>
          </w:p>
        </w:tc>
        <w:tc>
          <w:tcPr>
            <w:tcW w:w="0" w:type="auto"/>
            <w:tcBorders>
              <w:top w:val="single" w:color="000000" w:sz="4" w:space="0"/>
              <w:left w:val="single" w:color="000000" w:sz="4" w:space="0"/>
              <w:bottom w:val="single" w:color="000000" w:sz="4" w:space="0"/>
              <w:right w:val="single" w:color="000000" w:sz="4" w:space="0"/>
            </w:tcBorders>
          </w:tcPr>
          <w:p w14:paraId="0643F0C5">
            <w:pPr>
              <w:autoSpaceDE w:val="0"/>
              <w:autoSpaceDN w:val="0"/>
              <w:jc w:val="center"/>
              <w:rPr>
                <w:kern w:val="0"/>
                <w:sz w:val="21"/>
                <w:szCs w:val="21"/>
                <w:lang w:eastAsia="en-US"/>
              </w:rPr>
            </w:pPr>
            <w:r>
              <w:rPr>
                <w:kern w:val="0"/>
                <w:sz w:val="21"/>
                <w:szCs w:val="21"/>
                <w:lang w:eastAsia="en-US"/>
              </w:rPr>
              <w:t>m</w:t>
            </w:r>
            <w:r>
              <w:rPr>
                <w:kern w:val="0"/>
                <w:sz w:val="21"/>
                <w:szCs w:val="21"/>
                <w:vertAlign w:val="superscript"/>
                <w:lang w:eastAsia="en-US"/>
              </w:rPr>
              <w:t>2</w:t>
            </w:r>
          </w:p>
        </w:tc>
        <w:tc>
          <w:tcPr>
            <w:tcW w:w="0" w:type="auto"/>
            <w:tcBorders>
              <w:top w:val="single" w:color="000000" w:sz="4" w:space="0"/>
              <w:left w:val="single" w:color="000000" w:sz="4" w:space="0"/>
              <w:bottom w:val="single" w:color="000000" w:sz="4" w:space="0"/>
              <w:right w:val="single" w:color="000000" w:sz="4" w:space="0"/>
            </w:tcBorders>
          </w:tcPr>
          <w:p w14:paraId="77786631">
            <w:pPr>
              <w:autoSpaceDE w:val="0"/>
              <w:autoSpaceDN w:val="0"/>
              <w:jc w:val="center"/>
              <w:rPr>
                <w:kern w:val="0"/>
                <w:sz w:val="21"/>
                <w:szCs w:val="21"/>
                <w:lang w:eastAsia="en-US"/>
              </w:rPr>
            </w:pPr>
            <w:r>
              <w:rPr>
                <w:kern w:val="0"/>
                <w:sz w:val="21"/>
                <w:szCs w:val="21"/>
                <w:lang w:eastAsia="en-US"/>
              </w:rPr>
              <w:t>16086</w:t>
            </w:r>
          </w:p>
        </w:tc>
      </w:tr>
      <w:tr w14:paraId="6E60CD0E">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Pr>
          <w:p w14:paraId="5854F91C">
            <w:pPr>
              <w:autoSpaceDE w:val="0"/>
              <w:autoSpaceDN w:val="0"/>
              <w:jc w:val="center"/>
              <w:rPr>
                <w:kern w:val="0"/>
                <w:sz w:val="21"/>
                <w:szCs w:val="21"/>
                <w:lang w:eastAsia="en-US"/>
              </w:rPr>
            </w:pPr>
            <w:r>
              <w:rPr>
                <w:kern w:val="0"/>
                <w:sz w:val="21"/>
                <w:szCs w:val="21"/>
                <w:lang w:eastAsia="en-US"/>
              </w:rPr>
              <w:t>13</w:t>
            </w:r>
          </w:p>
        </w:tc>
        <w:tc>
          <w:tcPr>
            <w:tcW w:w="0" w:type="auto"/>
            <w:tcBorders>
              <w:top w:val="single" w:color="000000" w:sz="4" w:space="0"/>
              <w:left w:val="single" w:color="000000" w:sz="4" w:space="0"/>
              <w:bottom w:val="single" w:color="000000" w:sz="4" w:space="0"/>
              <w:right w:val="single" w:color="000000" w:sz="4" w:space="0"/>
            </w:tcBorders>
          </w:tcPr>
          <w:p w14:paraId="4EE585A8">
            <w:pPr>
              <w:autoSpaceDE w:val="0"/>
              <w:autoSpaceDN w:val="0"/>
              <w:jc w:val="center"/>
              <w:rPr>
                <w:kern w:val="0"/>
                <w:sz w:val="21"/>
                <w:szCs w:val="21"/>
                <w:lang w:eastAsia="en-US"/>
              </w:rPr>
            </w:pPr>
            <w:r>
              <w:rPr>
                <w:kern w:val="0"/>
                <w:sz w:val="21"/>
                <w:szCs w:val="21"/>
                <w:lang w:eastAsia="en-US"/>
              </w:rPr>
              <w:t>菖蒲</w:t>
            </w:r>
          </w:p>
        </w:tc>
        <w:tc>
          <w:tcPr>
            <w:tcW w:w="0" w:type="auto"/>
            <w:tcBorders>
              <w:top w:val="single" w:color="000000" w:sz="4" w:space="0"/>
              <w:left w:val="single" w:color="000000" w:sz="4" w:space="0"/>
              <w:bottom w:val="single" w:color="000000" w:sz="4" w:space="0"/>
              <w:right w:val="single" w:color="000000" w:sz="4" w:space="0"/>
            </w:tcBorders>
          </w:tcPr>
          <w:p w14:paraId="564559BE">
            <w:pPr>
              <w:autoSpaceDE w:val="0"/>
              <w:autoSpaceDN w:val="0"/>
              <w:jc w:val="center"/>
              <w:rPr>
                <w:kern w:val="0"/>
                <w:sz w:val="21"/>
                <w:szCs w:val="21"/>
                <w:lang w:eastAsia="en-US"/>
              </w:rPr>
            </w:pPr>
            <w:r>
              <w:rPr>
                <w:kern w:val="0"/>
                <w:sz w:val="21"/>
                <w:szCs w:val="21"/>
                <w:lang w:eastAsia="en-US"/>
              </w:rPr>
              <w:t>9 株/ m</w:t>
            </w:r>
            <w:r>
              <w:rPr>
                <w:kern w:val="0"/>
                <w:sz w:val="21"/>
                <w:szCs w:val="21"/>
                <w:vertAlign w:val="superscript"/>
                <w:lang w:eastAsia="en-US"/>
              </w:rPr>
              <w:t>2</w:t>
            </w:r>
          </w:p>
        </w:tc>
        <w:tc>
          <w:tcPr>
            <w:tcW w:w="0" w:type="auto"/>
            <w:tcBorders>
              <w:top w:val="single" w:color="000000" w:sz="4" w:space="0"/>
              <w:left w:val="single" w:color="000000" w:sz="4" w:space="0"/>
              <w:bottom w:val="single" w:color="000000" w:sz="4" w:space="0"/>
              <w:right w:val="single" w:color="000000" w:sz="4" w:space="0"/>
            </w:tcBorders>
          </w:tcPr>
          <w:p w14:paraId="3D90B473">
            <w:pPr>
              <w:autoSpaceDE w:val="0"/>
              <w:autoSpaceDN w:val="0"/>
              <w:jc w:val="center"/>
              <w:rPr>
                <w:kern w:val="0"/>
                <w:sz w:val="21"/>
                <w:szCs w:val="21"/>
                <w:lang w:eastAsia="en-US"/>
              </w:rPr>
            </w:pPr>
            <w:r>
              <w:rPr>
                <w:kern w:val="0"/>
                <w:sz w:val="21"/>
                <w:szCs w:val="21"/>
                <w:lang w:eastAsia="en-US"/>
              </w:rPr>
              <w:t>m</w:t>
            </w:r>
            <w:r>
              <w:rPr>
                <w:kern w:val="0"/>
                <w:sz w:val="21"/>
                <w:szCs w:val="21"/>
                <w:vertAlign w:val="superscript"/>
                <w:lang w:eastAsia="en-US"/>
              </w:rPr>
              <w:t>2</w:t>
            </w:r>
          </w:p>
        </w:tc>
        <w:tc>
          <w:tcPr>
            <w:tcW w:w="0" w:type="auto"/>
            <w:tcBorders>
              <w:top w:val="single" w:color="000000" w:sz="4" w:space="0"/>
              <w:left w:val="single" w:color="000000" w:sz="4" w:space="0"/>
              <w:bottom w:val="single" w:color="000000" w:sz="4" w:space="0"/>
              <w:right w:val="single" w:color="000000" w:sz="4" w:space="0"/>
            </w:tcBorders>
          </w:tcPr>
          <w:p w14:paraId="7367853A">
            <w:pPr>
              <w:autoSpaceDE w:val="0"/>
              <w:autoSpaceDN w:val="0"/>
              <w:jc w:val="center"/>
              <w:rPr>
                <w:kern w:val="0"/>
                <w:sz w:val="21"/>
                <w:szCs w:val="21"/>
                <w:lang w:eastAsia="en-US"/>
              </w:rPr>
            </w:pPr>
            <w:r>
              <w:rPr>
                <w:kern w:val="0"/>
                <w:sz w:val="21"/>
                <w:szCs w:val="21"/>
                <w:lang w:eastAsia="en-US"/>
              </w:rPr>
              <w:t>16086</w:t>
            </w:r>
          </w:p>
        </w:tc>
      </w:tr>
      <w:tr w14:paraId="17490170">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Pr>
          <w:p w14:paraId="12A77AFD">
            <w:pPr>
              <w:autoSpaceDE w:val="0"/>
              <w:autoSpaceDN w:val="0"/>
              <w:jc w:val="center"/>
              <w:rPr>
                <w:kern w:val="0"/>
                <w:sz w:val="21"/>
                <w:szCs w:val="21"/>
                <w:lang w:eastAsia="en-US"/>
              </w:rPr>
            </w:pPr>
            <w:r>
              <w:rPr>
                <w:kern w:val="0"/>
                <w:sz w:val="21"/>
                <w:szCs w:val="21"/>
                <w:lang w:eastAsia="en-US"/>
              </w:rPr>
              <w:t>14</w:t>
            </w:r>
          </w:p>
        </w:tc>
        <w:tc>
          <w:tcPr>
            <w:tcW w:w="0" w:type="auto"/>
            <w:tcBorders>
              <w:top w:val="single" w:color="000000" w:sz="4" w:space="0"/>
              <w:left w:val="single" w:color="000000" w:sz="4" w:space="0"/>
              <w:bottom w:val="single" w:color="000000" w:sz="4" w:space="0"/>
              <w:right w:val="single" w:color="000000" w:sz="4" w:space="0"/>
            </w:tcBorders>
          </w:tcPr>
          <w:p w14:paraId="3E25FAC7">
            <w:pPr>
              <w:autoSpaceDE w:val="0"/>
              <w:autoSpaceDN w:val="0"/>
              <w:jc w:val="center"/>
              <w:rPr>
                <w:kern w:val="0"/>
                <w:sz w:val="21"/>
                <w:szCs w:val="21"/>
                <w:lang w:eastAsia="en-US"/>
              </w:rPr>
            </w:pPr>
            <w:r>
              <w:rPr>
                <w:kern w:val="0"/>
                <w:sz w:val="21"/>
                <w:szCs w:val="21"/>
                <w:lang w:eastAsia="en-US"/>
              </w:rPr>
              <w:t>苦草</w:t>
            </w:r>
          </w:p>
        </w:tc>
        <w:tc>
          <w:tcPr>
            <w:tcW w:w="0" w:type="auto"/>
            <w:tcBorders>
              <w:top w:val="single" w:color="000000" w:sz="4" w:space="0"/>
              <w:left w:val="single" w:color="000000" w:sz="4" w:space="0"/>
              <w:bottom w:val="single" w:color="000000" w:sz="4" w:space="0"/>
              <w:right w:val="single" w:color="000000" w:sz="4" w:space="0"/>
            </w:tcBorders>
          </w:tcPr>
          <w:p w14:paraId="521266FA">
            <w:pPr>
              <w:autoSpaceDE w:val="0"/>
              <w:autoSpaceDN w:val="0"/>
              <w:jc w:val="center"/>
              <w:rPr>
                <w:kern w:val="0"/>
                <w:sz w:val="21"/>
                <w:szCs w:val="21"/>
                <w:lang w:eastAsia="en-US"/>
              </w:rPr>
            </w:pPr>
            <w:r>
              <w:rPr>
                <w:kern w:val="0"/>
                <w:sz w:val="21"/>
                <w:szCs w:val="21"/>
                <w:lang w:eastAsia="en-US"/>
              </w:rPr>
              <w:t>9 丛/m2，15-20 芽/丛</w:t>
            </w:r>
          </w:p>
        </w:tc>
        <w:tc>
          <w:tcPr>
            <w:tcW w:w="0" w:type="auto"/>
            <w:tcBorders>
              <w:top w:val="single" w:color="000000" w:sz="4" w:space="0"/>
              <w:left w:val="single" w:color="000000" w:sz="4" w:space="0"/>
              <w:bottom w:val="single" w:color="000000" w:sz="4" w:space="0"/>
              <w:right w:val="single" w:color="000000" w:sz="4" w:space="0"/>
            </w:tcBorders>
          </w:tcPr>
          <w:p w14:paraId="270577FD">
            <w:pPr>
              <w:autoSpaceDE w:val="0"/>
              <w:autoSpaceDN w:val="0"/>
              <w:jc w:val="center"/>
              <w:rPr>
                <w:kern w:val="0"/>
                <w:sz w:val="21"/>
                <w:szCs w:val="21"/>
                <w:lang w:eastAsia="en-US"/>
              </w:rPr>
            </w:pPr>
            <w:r>
              <w:rPr>
                <w:kern w:val="0"/>
                <w:sz w:val="21"/>
                <w:szCs w:val="21"/>
                <w:lang w:eastAsia="en-US"/>
              </w:rPr>
              <w:t>m</w:t>
            </w:r>
            <w:r>
              <w:rPr>
                <w:kern w:val="0"/>
                <w:sz w:val="21"/>
                <w:szCs w:val="21"/>
                <w:vertAlign w:val="superscript"/>
                <w:lang w:eastAsia="en-US"/>
              </w:rPr>
              <w:t>2</w:t>
            </w:r>
          </w:p>
        </w:tc>
        <w:tc>
          <w:tcPr>
            <w:tcW w:w="0" w:type="auto"/>
            <w:tcBorders>
              <w:top w:val="single" w:color="000000" w:sz="4" w:space="0"/>
              <w:left w:val="single" w:color="000000" w:sz="4" w:space="0"/>
              <w:bottom w:val="single" w:color="000000" w:sz="4" w:space="0"/>
              <w:right w:val="single" w:color="000000" w:sz="4" w:space="0"/>
            </w:tcBorders>
          </w:tcPr>
          <w:p w14:paraId="17D8DF5B">
            <w:pPr>
              <w:autoSpaceDE w:val="0"/>
              <w:autoSpaceDN w:val="0"/>
              <w:jc w:val="center"/>
              <w:rPr>
                <w:kern w:val="0"/>
                <w:sz w:val="21"/>
                <w:szCs w:val="21"/>
                <w:lang w:eastAsia="en-US"/>
              </w:rPr>
            </w:pPr>
            <w:r>
              <w:rPr>
                <w:kern w:val="0"/>
                <w:sz w:val="21"/>
                <w:szCs w:val="21"/>
                <w:lang w:eastAsia="en-US"/>
              </w:rPr>
              <w:t>13790</w:t>
            </w:r>
          </w:p>
        </w:tc>
      </w:tr>
      <w:tr w14:paraId="31FE8D8A">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Pr>
          <w:p w14:paraId="66C8F08A">
            <w:pPr>
              <w:autoSpaceDE w:val="0"/>
              <w:autoSpaceDN w:val="0"/>
              <w:jc w:val="center"/>
              <w:rPr>
                <w:kern w:val="0"/>
                <w:sz w:val="21"/>
                <w:szCs w:val="21"/>
                <w:lang w:eastAsia="en-US"/>
              </w:rPr>
            </w:pPr>
            <w:r>
              <w:rPr>
                <w:kern w:val="0"/>
                <w:sz w:val="21"/>
                <w:szCs w:val="21"/>
                <w:lang w:eastAsia="en-US"/>
              </w:rPr>
              <w:t>15</w:t>
            </w:r>
          </w:p>
        </w:tc>
        <w:tc>
          <w:tcPr>
            <w:tcW w:w="0" w:type="auto"/>
            <w:tcBorders>
              <w:top w:val="single" w:color="000000" w:sz="4" w:space="0"/>
              <w:left w:val="single" w:color="000000" w:sz="4" w:space="0"/>
              <w:bottom w:val="single" w:color="000000" w:sz="4" w:space="0"/>
              <w:right w:val="single" w:color="000000" w:sz="4" w:space="0"/>
            </w:tcBorders>
          </w:tcPr>
          <w:p w14:paraId="45C0C994">
            <w:pPr>
              <w:autoSpaceDE w:val="0"/>
              <w:autoSpaceDN w:val="0"/>
              <w:jc w:val="center"/>
              <w:rPr>
                <w:kern w:val="0"/>
                <w:sz w:val="21"/>
                <w:szCs w:val="21"/>
                <w:lang w:eastAsia="en-US"/>
              </w:rPr>
            </w:pPr>
            <w:r>
              <w:rPr>
                <w:kern w:val="0"/>
                <w:sz w:val="21"/>
                <w:szCs w:val="21"/>
                <w:lang w:eastAsia="en-US"/>
              </w:rPr>
              <w:t>轮叶黑藻</w:t>
            </w:r>
          </w:p>
        </w:tc>
        <w:tc>
          <w:tcPr>
            <w:tcW w:w="0" w:type="auto"/>
            <w:tcBorders>
              <w:top w:val="single" w:color="000000" w:sz="4" w:space="0"/>
              <w:left w:val="single" w:color="000000" w:sz="4" w:space="0"/>
              <w:bottom w:val="single" w:color="000000" w:sz="4" w:space="0"/>
              <w:right w:val="single" w:color="000000" w:sz="4" w:space="0"/>
            </w:tcBorders>
          </w:tcPr>
          <w:p w14:paraId="10021EBE">
            <w:pPr>
              <w:autoSpaceDE w:val="0"/>
              <w:autoSpaceDN w:val="0"/>
              <w:jc w:val="center"/>
              <w:rPr>
                <w:kern w:val="0"/>
                <w:sz w:val="21"/>
                <w:szCs w:val="21"/>
                <w:lang w:eastAsia="en-US"/>
              </w:rPr>
            </w:pPr>
            <w:r>
              <w:rPr>
                <w:kern w:val="0"/>
                <w:sz w:val="21"/>
                <w:szCs w:val="21"/>
                <w:lang w:eastAsia="en-US"/>
              </w:rPr>
              <w:t>9 丛/m2，3-5 芽/丛</w:t>
            </w:r>
          </w:p>
        </w:tc>
        <w:tc>
          <w:tcPr>
            <w:tcW w:w="0" w:type="auto"/>
            <w:tcBorders>
              <w:top w:val="single" w:color="000000" w:sz="4" w:space="0"/>
              <w:left w:val="single" w:color="000000" w:sz="4" w:space="0"/>
              <w:bottom w:val="single" w:color="000000" w:sz="4" w:space="0"/>
              <w:right w:val="single" w:color="000000" w:sz="4" w:space="0"/>
            </w:tcBorders>
          </w:tcPr>
          <w:p w14:paraId="3C6208AF">
            <w:pPr>
              <w:autoSpaceDE w:val="0"/>
              <w:autoSpaceDN w:val="0"/>
              <w:jc w:val="center"/>
              <w:rPr>
                <w:kern w:val="0"/>
                <w:sz w:val="21"/>
                <w:szCs w:val="21"/>
                <w:lang w:eastAsia="en-US"/>
              </w:rPr>
            </w:pPr>
            <w:r>
              <w:rPr>
                <w:kern w:val="0"/>
                <w:sz w:val="21"/>
                <w:szCs w:val="21"/>
                <w:lang w:eastAsia="en-US"/>
              </w:rPr>
              <w:t>m</w:t>
            </w:r>
            <w:r>
              <w:rPr>
                <w:kern w:val="0"/>
                <w:sz w:val="21"/>
                <w:szCs w:val="21"/>
                <w:vertAlign w:val="superscript"/>
                <w:lang w:eastAsia="en-US"/>
              </w:rPr>
              <w:t>2</w:t>
            </w:r>
          </w:p>
        </w:tc>
        <w:tc>
          <w:tcPr>
            <w:tcW w:w="0" w:type="auto"/>
            <w:tcBorders>
              <w:top w:val="single" w:color="000000" w:sz="4" w:space="0"/>
              <w:left w:val="single" w:color="000000" w:sz="4" w:space="0"/>
              <w:bottom w:val="single" w:color="000000" w:sz="4" w:space="0"/>
              <w:right w:val="single" w:color="000000" w:sz="4" w:space="0"/>
            </w:tcBorders>
          </w:tcPr>
          <w:p w14:paraId="17F3FB1E">
            <w:pPr>
              <w:autoSpaceDE w:val="0"/>
              <w:autoSpaceDN w:val="0"/>
              <w:jc w:val="center"/>
              <w:rPr>
                <w:kern w:val="0"/>
                <w:sz w:val="21"/>
                <w:szCs w:val="21"/>
                <w:lang w:eastAsia="en-US"/>
              </w:rPr>
            </w:pPr>
            <w:r>
              <w:rPr>
                <w:kern w:val="0"/>
                <w:sz w:val="21"/>
                <w:szCs w:val="21"/>
                <w:lang w:eastAsia="en-US"/>
              </w:rPr>
              <w:t>13790</w:t>
            </w:r>
          </w:p>
        </w:tc>
      </w:tr>
    </w:tbl>
    <w:p w14:paraId="47DF55C6">
      <w:pPr>
        <w:pStyle w:val="85"/>
        <w:ind w:firstLine="480"/>
        <w:rPr>
          <w:kern w:val="0"/>
        </w:rPr>
        <w:sectPr>
          <w:pgSz w:w="11906" w:h="16838"/>
          <w:pgMar w:top="2007" w:right="1797" w:bottom="1724" w:left="1797" w:header="1417" w:footer="1162" w:gutter="0"/>
          <w:pgNumType w:fmt="numberInDash"/>
          <w:cols w:space="425" w:num="1"/>
          <w:docGrid w:type="lines" w:linePitch="312" w:charSpace="0"/>
        </w:sectPr>
      </w:pPr>
    </w:p>
    <w:p w14:paraId="53749BCD">
      <w:pPr>
        <w:pStyle w:val="85"/>
        <w:ind w:firstLine="480"/>
        <w:rPr>
          <w:kern w:val="0"/>
        </w:rPr>
      </w:pPr>
      <w:r>
        <w:rPr>
          <w:rFonts w:hint="eastAsia"/>
          <w:kern w:val="0"/>
        </w:rPr>
        <w:t>大河北段典型工程断面形式见下图</w:t>
      </w:r>
      <w:r>
        <w:rPr>
          <w:kern w:val="0"/>
        </w:rPr>
        <w:t>。</w:t>
      </w:r>
    </w:p>
    <w:p w14:paraId="7D139998">
      <w:pPr>
        <w:pStyle w:val="85"/>
        <w:spacing w:line="240" w:lineRule="auto"/>
        <w:ind w:firstLine="0" w:firstLineChars="0"/>
        <w:jc w:val="center"/>
        <w:rPr>
          <w:kern w:val="0"/>
        </w:rPr>
      </w:pPr>
      <w:r>
        <w:drawing>
          <wp:inline distT="0" distB="0" distL="0" distR="0">
            <wp:extent cx="8174990" cy="2681605"/>
            <wp:effectExtent l="19050" t="19050" r="16510" b="23495"/>
            <wp:docPr id="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8175600" cy="2682000"/>
                    </a:xfrm>
                    <a:prstGeom prst="rect">
                      <a:avLst/>
                    </a:prstGeom>
                    <a:noFill/>
                    <a:ln w="19050">
                      <a:solidFill>
                        <a:srgbClr val="000000"/>
                      </a:solidFill>
                    </a:ln>
                  </pic:spPr>
                </pic:pic>
              </a:graphicData>
            </a:graphic>
          </wp:inline>
        </w:drawing>
      </w:r>
    </w:p>
    <w:p w14:paraId="73F85E24">
      <w:pPr>
        <w:pStyle w:val="85"/>
        <w:spacing w:line="240" w:lineRule="auto"/>
        <w:ind w:firstLine="0" w:firstLineChars="0"/>
        <w:jc w:val="center"/>
        <w:rPr>
          <w:kern w:val="0"/>
        </w:rPr>
      </w:pPr>
      <w:r>
        <w:rPr>
          <w:rFonts w:eastAsia="黑体"/>
          <w:kern w:val="0"/>
        </w:rPr>
        <w:t>图</w:t>
      </w:r>
      <w:r>
        <w:rPr>
          <w:rFonts w:eastAsia="黑体"/>
          <w:kern w:val="0"/>
        </w:rPr>
        <w:fldChar w:fldCharType="begin"/>
      </w:r>
      <w:r>
        <w:rPr>
          <w:rFonts w:eastAsia="黑体"/>
          <w:kern w:val="0"/>
        </w:rPr>
        <w:instrText xml:space="preserve"> STYLEREF 1 \s </w:instrText>
      </w:r>
      <w:r>
        <w:rPr>
          <w:rFonts w:eastAsia="黑体"/>
          <w:kern w:val="0"/>
        </w:rPr>
        <w:fldChar w:fldCharType="separate"/>
      </w:r>
      <w:r>
        <w:rPr>
          <w:rFonts w:eastAsia="黑体"/>
          <w:kern w:val="0"/>
        </w:rPr>
        <w:t>2</w:t>
      </w:r>
      <w:r>
        <w:rPr>
          <w:rFonts w:eastAsia="黑体"/>
          <w:kern w:val="0"/>
        </w:rPr>
        <w:fldChar w:fldCharType="end"/>
      </w:r>
      <w:r>
        <w:rPr>
          <w:rFonts w:eastAsia="黑体"/>
          <w:kern w:val="0"/>
        </w:rPr>
        <w:noBreakHyphen/>
      </w:r>
      <w:r>
        <w:rPr>
          <w:rFonts w:eastAsia="黑体"/>
          <w:kern w:val="0"/>
        </w:rPr>
        <w:fldChar w:fldCharType="begin"/>
      </w:r>
      <w:r>
        <w:rPr>
          <w:rFonts w:eastAsia="黑体"/>
          <w:kern w:val="0"/>
        </w:rPr>
        <w:instrText xml:space="preserve"> SEQ 图 \* ARABIC \s 1 </w:instrText>
      </w:r>
      <w:r>
        <w:rPr>
          <w:rFonts w:eastAsia="黑体"/>
          <w:kern w:val="0"/>
        </w:rPr>
        <w:fldChar w:fldCharType="separate"/>
      </w:r>
      <w:r>
        <w:rPr>
          <w:rFonts w:eastAsia="黑体"/>
          <w:kern w:val="0"/>
        </w:rPr>
        <w:t>3</w:t>
      </w:r>
      <w:r>
        <w:rPr>
          <w:rFonts w:eastAsia="黑体"/>
          <w:kern w:val="0"/>
        </w:rPr>
        <w:fldChar w:fldCharType="end"/>
      </w:r>
      <w:r>
        <w:rPr>
          <w:rFonts w:eastAsia="黑体"/>
          <w:kern w:val="0"/>
        </w:rPr>
        <w:t xml:space="preserve">  </w:t>
      </w:r>
      <w:r>
        <w:rPr>
          <w:rFonts w:hint="eastAsia" w:eastAsia="黑体"/>
          <w:kern w:val="0"/>
        </w:rPr>
        <w:t>大河北段断面形式示意图</w:t>
      </w:r>
    </w:p>
    <w:p w14:paraId="35DB5316">
      <w:pPr>
        <w:pStyle w:val="85"/>
        <w:ind w:firstLine="480"/>
        <w:rPr>
          <w:kern w:val="0"/>
        </w:rPr>
        <w:sectPr>
          <w:pgSz w:w="16838" w:h="11906" w:orient="landscape"/>
          <w:pgMar w:top="1797" w:right="2007" w:bottom="1797" w:left="1724" w:header="1417" w:footer="1162" w:gutter="0"/>
          <w:pgNumType w:fmt="numberInDash"/>
          <w:cols w:space="425" w:num="1"/>
          <w:docGrid w:type="lines" w:linePitch="312" w:charSpace="0"/>
        </w:sectPr>
      </w:pPr>
    </w:p>
    <w:p w14:paraId="3C73D708">
      <w:pPr>
        <w:pStyle w:val="5"/>
      </w:pPr>
      <w:r>
        <w:rPr>
          <w:rFonts w:hint="eastAsia"/>
        </w:rPr>
        <w:t>岗子河入河口段工程内容</w:t>
      </w:r>
    </w:p>
    <w:p w14:paraId="430D299E">
      <w:pPr>
        <w:pStyle w:val="85"/>
        <w:ind w:firstLine="480"/>
        <w:rPr>
          <w:kern w:val="0"/>
        </w:rPr>
      </w:pPr>
      <w:r>
        <w:rPr>
          <w:rFonts w:hint="eastAsia"/>
          <w:kern w:val="0"/>
        </w:rPr>
        <w:t>①基底修复</w:t>
      </w:r>
    </w:p>
    <w:p w14:paraId="6B0278D3">
      <w:pPr>
        <w:pStyle w:val="85"/>
        <w:ind w:firstLine="480"/>
        <w:rPr>
          <w:kern w:val="0"/>
        </w:rPr>
      </w:pPr>
      <w:r>
        <w:rPr>
          <w:rFonts w:hint="eastAsia"/>
          <w:kern w:val="0"/>
        </w:rPr>
        <w:t>该段河道建设有堤防，由于人为活动，拦截河道，同时因水力作用，河床侵蚀、植被破坏严重。依据河道现状，现有河床基底在总体坡度控制条件下，对河床基底进行整理，对水位变幅区基底进行微地形整理或土壤换填调整土质，满足水生植被生长；对陆域缓冲区梳理河道岸坡，采取利用为主、改造为辅原则，设置坡脚防护和水平防护，对较陡的坡岸进行削平处理，削低高地，平整岸坡，去直取弯，进行缓坡岸带地形恢复，恢复河床生态系统，营造植被健康生长环境。</w:t>
      </w:r>
    </w:p>
    <w:p w14:paraId="58E21C1B">
      <w:pPr>
        <w:pStyle w:val="85"/>
        <w:ind w:firstLine="480"/>
        <w:rPr>
          <w:kern w:val="0"/>
        </w:rPr>
      </w:pPr>
      <w:r>
        <w:rPr>
          <w:rFonts w:hint="eastAsia"/>
          <w:kern w:val="0"/>
        </w:rPr>
        <w:t>②植被群落构建</w:t>
      </w:r>
    </w:p>
    <w:p w14:paraId="755D0F8C">
      <w:pPr>
        <w:pStyle w:val="85"/>
        <w:ind w:firstLine="480"/>
        <w:rPr>
          <w:kern w:val="0"/>
        </w:rPr>
      </w:pPr>
      <w:r>
        <w:rPr>
          <w:rFonts w:hint="eastAsia"/>
          <w:kern w:val="0"/>
        </w:rPr>
        <w:t>补充种植高羊茅、连翘和蒿柳等陆域植被，恢复湿地挺水、沉水植被，营造河道生态景观，提高河道的面源污染拦截能力，降低入河污染负荷，净化水质、修复生物群落。</w:t>
      </w:r>
    </w:p>
    <w:p w14:paraId="0E2A629A">
      <w:pPr>
        <w:pStyle w:val="85"/>
        <w:ind w:firstLine="480"/>
        <w:rPr>
          <w:kern w:val="0"/>
        </w:rPr>
      </w:pPr>
      <w:r>
        <w:rPr>
          <w:rFonts w:hint="eastAsia"/>
          <w:kern w:val="0"/>
        </w:rPr>
        <w:t>工程量见下表：</w:t>
      </w:r>
    </w:p>
    <w:p w14:paraId="0B15616D">
      <w:pPr>
        <w:pStyle w:val="85"/>
        <w:ind w:firstLine="448"/>
        <w:jc w:val="center"/>
        <w:rPr>
          <w:rFonts w:eastAsia="黑体"/>
          <w:bCs/>
          <w:spacing w:val="-8"/>
          <w:kern w:val="0"/>
        </w:rPr>
      </w:pPr>
      <w:r>
        <w:rPr>
          <w:rFonts w:hint="eastAsia" w:eastAsia="黑体"/>
          <w:bCs/>
          <w:spacing w:val="-8"/>
          <w:kern w:val="0"/>
        </w:rPr>
        <w:t>表</w:t>
      </w:r>
      <w:r>
        <w:rPr>
          <w:rFonts w:eastAsia="黑体"/>
          <w:bCs/>
          <w:spacing w:val="-8"/>
          <w:kern w:val="0"/>
        </w:rPr>
        <w:fldChar w:fldCharType="begin"/>
      </w:r>
      <w:r>
        <w:rPr>
          <w:rFonts w:eastAsia="黑体"/>
          <w:bCs/>
          <w:spacing w:val="-8"/>
          <w:kern w:val="0"/>
        </w:rPr>
        <w:instrText xml:space="preserve"> </w:instrText>
      </w:r>
      <w:r>
        <w:rPr>
          <w:rFonts w:hint="eastAsia" w:eastAsia="黑体"/>
          <w:bCs/>
          <w:spacing w:val="-8"/>
          <w:kern w:val="0"/>
        </w:rPr>
        <w:instrText xml:space="preserve">STYLEREF 1 \s</w:instrText>
      </w:r>
      <w:r>
        <w:rPr>
          <w:rFonts w:eastAsia="黑体"/>
          <w:bCs/>
          <w:spacing w:val="-8"/>
          <w:kern w:val="0"/>
        </w:rPr>
        <w:instrText xml:space="preserve"> </w:instrText>
      </w:r>
      <w:r>
        <w:rPr>
          <w:rFonts w:eastAsia="黑体"/>
          <w:bCs/>
          <w:spacing w:val="-8"/>
          <w:kern w:val="0"/>
        </w:rPr>
        <w:fldChar w:fldCharType="separate"/>
      </w:r>
      <w:r>
        <w:rPr>
          <w:rFonts w:eastAsia="黑体"/>
          <w:bCs/>
          <w:spacing w:val="-8"/>
          <w:kern w:val="0"/>
        </w:rPr>
        <w:t>2</w:t>
      </w:r>
      <w:r>
        <w:rPr>
          <w:rFonts w:eastAsia="黑体"/>
          <w:bCs/>
          <w:spacing w:val="-8"/>
          <w:kern w:val="0"/>
        </w:rPr>
        <w:fldChar w:fldCharType="end"/>
      </w:r>
      <w:r>
        <w:rPr>
          <w:rFonts w:eastAsia="黑体"/>
          <w:bCs/>
          <w:spacing w:val="-8"/>
          <w:kern w:val="0"/>
        </w:rPr>
        <w:noBreakHyphen/>
      </w:r>
      <w:r>
        <w:rPr>
          <w:rFonts w:eastAsia="黑体"/>
          <w:bCs/>
          <w:spacing w:val="-8"/>
          <w:kern w:val="0"/>
        </w:rPr>
        <w:fldChar w:fldCharType="begin"/>
      </w:r>
      <w:r>
        <w:rPr>
          <w:rFonts w:eastAsia="黑体"/>
          <w:bCs/>
          <w:spacing w:val="-8"/>
          <w:kern w:val="0"/>
        </w:rPr>
        <w:instrText xml:space="preserve"> </w:instrText>
      </w:r>
      <w:r>
        <w:rPr>
          <w:rFonts w:hint="eastAsia" w:eastAsia="黑体"/>
          <w:bCs/>
          <w:spacing w:val="-8"/>
          <w:kern w:val="0"/>
        </w:rPr>
        <w:instrText xml:space="preserve">SEQ 表 \* ARABIC \s 1</w:instrText>
      </w:r>
      <w:r>
        <w:rPr>
          <w:rFonts w:eastAsia="黑体"/>
          <w:bCs/>
          <w:spacing w:val="-8"/>
          <w:kern w:val="0"/>
        </w:rPr>
        <w:instrText xml:space="preserve"> </w:instrText>
      </w:r>
      <w:r>
        <w:rPr>
          <w:rFonts w:eastAsia="黑体"/>
          <w:bCs/>
          <w:spacing w:val="-8"/>
          <w:kern w:val="0"/>
        </w:rPr>
        <w:fldChar w:fldCharType="separate"/>
      </w:r>
      <w:r>
        <w:rPr>
          <w:rFonts w:eastAsia="黑体"/>
          <w:bCs/>
          <w:spacing w:val="-8"/>
          <w:kern w:val="0"/>
        </w:rPr>
        <w:t>5</w:t>
      </w:r>
      <w:r>
        <w:rPr>
          <w:rFonts w:eastAsia="黑体"/>
          <w:bCs/>
          <w:spacing w:val="-8"/>
          <w:kern w:val="0"/>
        </w:rPr>
        <w:fldChar w:fldCharType="end"/>
      </w:r>
      <w:r>
        <w:rPr>
          <w:rFonts w:eastAsia="黑体"/>
          <w:bCs/>
          <w:spacing w:val="-8"/>
          <w:kern w:val="0"/>
        </w:rPr>
        <w:t xml:space="preserve">  </w:t>
      </w:r>
      <w:r>
        <w:rPr>
          <w:rFonts w:hint="eastAsia" w:eastAsia="黑体"/>
          <w:bCs/>
          <w:spacing w:val="-8"/>
          <w:kern w:val="0"/>
        </w:rPr>
        <w:t>岗子河入河口段主要工程量表</w:t>
      </w:r>
    </w:p>
    <w:tbl>
      <w:tblPr>
        <w:tblStyle w:val="265"/>
        <w:tblW w:w="5000" w:type="pct"/>
        <w:tblInd w:w="0" w:type="dxa"/>
        <w:tblLayout w:type="autofit"/>
        <w:tblCellMar>
          <w:top w:w="0" w:type="dxa"/>
          <w:left w:w="0" w:type="dxa"/>
          <w:bottom w:w="0" w:type="dxa"/>
          <w:right w:w="0" w:type="dxa"/>
        </w:tblCellMar>
      </w:tblPr>
      <w:tblGrid>
        <w:gridCol w:w="955"/>
        <w:gridCol w:w="2046"/>
        <w:gridCol w:w="3380"/>
        <w:gridCol w:w="817"/>
        <w:gridCol w:w="1124"/>
      </w:tblGrid>
      <w:tr w14:paraId="488A01E8">
        <w:tblPrEx>
          <w:tblCellMar>
            <w:top w:w="0" w:type="dxa"/>
            <w:left w:w="0" w:type="dxa"/>
            <w:bottom w:w="0" w:type="dxa"/>
            <w:right w:w="0" w:type="dxa"/>
          </w:tblCellMar>
        </w:tblPrEx>
        <w:tc>
          <w:tcPr>
            <w:tcW w:w="574" w:type="pct"/>
            <w:tcBorders>
              <w:top w:val="single" w:color="000000" w:sz="4" w:space="0"/>
              <w:left w:val="single" w:color="000000" w:sz="4" w:space="0"/>
              <w:bottom w:val="single" w:color="000000" w:sz="4" w:space="0"/>
              <w:right w:val="single" w:color="000000" w:sz="4" w:space="0"/>
            </w:tcBorders>
          </w:tcPr>
          <w:p w14:paraId="1BD8AD34">
            <w:pPr>
              <w:autoSpaceDE w:val="0"/>
              <w:autoSpaceDN w:val="0"/>
              <w:jc w:val="center"/>
              <w:rPr>
                <w:kern w:val="0"/>
                <w:sz w:val="22"/>
                <w:lang w:eastAsia="en-US"/>
              </w:rPr>
            </w:pPr>
            <w:r>
              <w:rPr>
                <w:kern w:val="0"/>
                <w:sz w:val="22"/>
                <w:lang w:eastAsia="en-US"/>
              </w:rPr>
              <w:t>序号</w:t>
            </w:r>
          </w:p>
        </w:tc>
        <w:tc>
          <w:tcPr>
            <w:tcW w:w="1229" w:type="pct"/>
            <w:tcBorders>
              <w:top w:val="single" w:color="000000" w:sz="4" w:space="0"/>
              <w:left w:val="single" w:color="000000" w:sz="4" w:space="0"/>
              <w:bottom w:val="single" w:color="000000" w:sz="4" w:space="0"/>
              <w:right w:val="single" w:color="000000" w:sz="4" w:space="0"/>
            </w:tcBorders>
          </w:tcPr>
          <w:p w14:paraId="62795844">
            <w:pPr>
              <w:autoSpaceDE w:val="0"/>
              <w:autoSpaceDN w:val="0"/>
              <w:jc w:val="center"/>
              <w:rPr>
                <w:kern w:val="0"/>
                <w:sz w:val="22"/>
                <w:lang w:eastAsia="en-US"/>
              </w:rPr>
            </w:pPr>
            <w:r>
              <w:rPr>
                <w:kern w:val="0"/>
                <w:sz w:val="22"/>
                <w:lang w:eastAsia="en-US"/>
              </w:rPr>
              <w:t>名称</w:t>
            </w:r>
          </w:p>
        </w:tc>
        <w:tc>
          <w:tcPr>
            <w:tcW w:w="2031" w:type="pct"/>
            <w:tcBorders>
              <w:top w:val="single" w:color="000000" w:sz="4" w:space="0"/>
              <w:left w:val="single" w:color="000000" w:sz="4" w:space="0"/>
              <w:bottom w:val="single" w:color="000000" w:sz="4" w:space="0"/>
              <w:right w:val="single" w:color="000000" w:sz="4" w:space="0"/>
            </w:tcBorders>
          </w:tcPr>
          <w:p w14:paraId="643C0144">
            <w:pPr>
              <w:autoSpaceDE w:val="0"/>
              <w:autoSpaceDN w:val="0"/>
              <w:jc w:val="center"/>
              <w:rPr>
                <w:kern w:val="0"/>
                <w:sz w:val="22"/>
                <w:lang w:eastAsia="en-US"/>
              </w:rPr>
            </w:pPr>
            <w:r>
              <w:rPr>
                <w:kern w:val="0"/>
                <w:sz w:val="22"/>
                <w:lang w:eastAsia="en-US"/>
              </w:rPr>
              <w:t>技术规格</w:t>
            </w:r>
          </w:p>
        </w:tc>
        <w:tc>
          <w:tcPr>
            <w:tcW w:w="491" w:type="pct"/>
            <w:tcBorders>
              <w:top w:val="single" w:color="000000" w:sz="4" w:space="0"/>
              <w:left w:val="single" w:color="000000" w:sz="4" w:space="0"/>
              <w:bottom w:val="single" w:color="000000" w:sz="4" w:space="0"/>
              <w:right w:val="single" w:color="000000" w:sz="4" w:space="0"/>
            </w:tcBorders>
          </w:tcPr>
          <w:p w14:paraId="6D09825D">
            <w:pPr>
              <w:autoSpaceDE w:val="0"/>
              <w:autoSpaceDN w:val="0"/>
              <w:jc w:val="center"/>
              <w:rPr>
                <w:kern w:val="0"/>
                <w:sz w:val="22"/>
                <w:lang w:eastAsia="en-US"/>
              </w:rPr>
            </w:pPr>
            <w:r>
              <w:rPr>
                <w:kern w:val="0"/>
                <w:sz w:val="22"/>
                <w:lang w:eastAsia="en-US"/>
              </w:rPr>
              <w:t>单位</w:t>
            </w:r>
          </w:p>
        </w:tc>
        <w:tc>
          <w:tcPr>
            <w:tcW w:w="675" w:type="pct"/>
            <w:tcBorders>
              <w:top w:val="single" w:color="000000" w:sz="4" w:space="0"/>
              <w:left w:val="single" w:color="000000" w:sz="4" w:space="0"/>
              <w:bottom w:val="single" w:color="000000" w:sz="4" w:space="0"/>
              <w:right w:val="single" w:color="000000" w:sz="4" w:space="0"/>
            </w:tcBorders>
          </w:tcPr>
          <w:p w14:paraId="20DB22DF">
            <w:pPr>
              <w:autoSpaceDE w:val="0"/>
              <w:autoSpaceDN w:val="0"/>
              <w:jc w:val="center"/>
              <w:rPr>
                <w:kern w:val="0"/>
                <w:sz w:val="22"/>
                <w:lang w:eastAsia="en-US"/>
              </w:rPr>
            </w:pPr>
            <w:r>
              <w:rPr>
                <w:kern w:val="0"/>
                <w:sz w:val="22"/>
                <w:lang w:eastAsia="en-US"/>
              </w:rPr>
              <w:t>数量</w:t>
            </w:r>
          </w:p>
        </w:tc>
      </w:tr>
      <w:tr w14:paraId="2C1E2C0C">
        <w:tblPrEx>
          <w:tblCellMar>
            <w:top w:w="0" w:type="dxa"/>
            <w:left w:w="0" w:type="dxa"/>
            <w:bottom w:w="0" w:type="dxa"/>
            <w:right w:w="0" w:type="dxa"/>
          </w:tblCellMar>
        </w:tblPrEx>
        <w:tc>
          <w:tcPr>
            <w:tcW w:w="574" w:type="pct"/>
            <w:tcBorders>
              <w:top w:val="single" w:color="000000" w:sz="4" w:space="0"/>
              <w:left w:val="single" w:color="000000" w:sz="4" w:space="0"/>
              <w:bottom w:val="single" w:color="000000" w:sz="4" w:space="0"/>
              <w:right w:val="single" w:color="000000" w:sz="4" w:space="0"/>
            </w:tcBorders>
          </w:tcPr>
          <w:p w14:paraId="7177F247">
            <w:pPr>
              <w:autoSpaceDE w:val="0"/>
              <w:autoSpaceDN w:val="0"/>
              <w:jc w:val="center"/>
              <w:rPr>
                <w:kern w:val="0"/>
                <w:sz w:val="22"/>
                <w:lang w:eastAsia="en-US"/>
              </w:rPr>
            </w:pPr>
            <w:r>
              <w:rPr>
                <w:kern w:val="0"/>
                <w:sz w:val="22"/>
                <w:lang w:eastAsia="en-US"/>
              </w:rPr>
              <w:t>1</w:t>
            </w:r>
          </w:p>
        </w:tc>
        <w:tc>
          <w:tcPr>
            <w:tcW w:w="1229" w:type="pct"/>
            <w:tcBorders>
              <w:top w:val="single" w:color="000000" w:sz="4" w:space="0"/>
              <w:left w:val="single" w:color="000000" w:sz="4" w:space="0"/>
              <w:bottom w:val="single" w:color="000000" w:sz="4" w:space="0"/>
              <w:right w:val="single" w:color="000000" w:sz="4" w:space="0"/>
            </w:tcBorders>
          </w:tcPr>
          <w:p w14:paraId="21967532">
            <w:pPr>
              <w:autoSpaceDE w:val="0"/>
              <w:autoSpaceDN w:val="0"/>
              <w:jc w:val="center"/>
              <w:rPr>
                <w:kern w:val="0"/>
                <w:sz w:val="22"/>
                <w:lang w:eastAsia="en-US"/>
              </w:rPr>
            </w:pPr>
            <w:r>
              <w:rPr>
                <w:kern w:val="0"/>
                <w:sz w:val="22"/>
                <w:lang w:eastAsia="en-US"/>
              </w:rPr>
              <w:t>土方开挖</w:t>
            </w:r>
          </w:p>
        </w:tc>
        <w:tc>
          <w:tcPr>
            <w:tcW w:w="2031" w:type="pct"/>
            <w:tcBorders>
              <w:top w:val="single" w:color="000000" w:sz="4" w:space="0"/>
              <w:left w:val="single" w:color="000000" w:sz="4" w:space="0"/>
              <w:bottom w:val="single" w:color="000000" w:sz="4" w:space="0"/>
              <w:right w:val="single" w:color="000000" w:sz="4" w:space="0"/>
            </w:tcBorders>
          </w:tcPr>
          <w:p w14:paraId="241ACC1E">
            <w:pPr>
              <w:autoSpaceDE w:val="0"/>
              <w:autoSpaceDN w:val="0"/>
              <w:jc w:val="center"/>
              <w:rPr>
                <w:kern w:val="0"/>
                <w:sz w:val="22"/>
                <w:lang w:eastAsia="en-US"/>
              </w:rPr>
            </w:pPr>
            <w:r>
              <w:rPr>
                <w:kern w:val="0"/>
                <w:sz w:val="22"/>
                <w:lang w:eastAsia="en-US"/>
              </w:rPr>
              <w:t>/</w:t>
            </w:r>
          </w:p>
        </w:tc>
        <w:tc>
          <w:tcPr>
            <w:tcW w:w="491" w:type="pct"/>
            <w:tcBorders>
              <w:top w:val="single" w:color="000000" w:sz="4" w:space="0"/>
              <w:left w:val="single" w:color="000000" w:sz="4" w:space="0"/>
              <w:bottom w:val="single" w:color="000000" w:sz="4" w:space="0"/>
              <w:right w:val="single" w:color="000000" w:sz="4" w:space="0"/>
            </w:tcBorders>
          </w:tcPr>
          <w:p w14:paraId="33156348">
            <w:pPr>
              <w:autoSpaceDE w:val="0"/>
              <w:autoSpaceDN w:val="0"/>
              <w:jc w:val="center"/>
              <w:rPr>
                <w:kern w:val="0"/>
                <w:sz w:val="22"/>
                <w:lang w:eastAsia="en-US"/>
              </w:rPr>
            </w:pPr>
            <w:r>
              <w:rPr>
                <w:kern w:val="0"/>
                <w:sz w:val="21"/>
                <w:szCs w:val="21"/>
                <w:lang w:eastAsia="en-US"/>
              </w:rPr>
              <w:t>m</w:t>
            </w:r>
            <w:r>
              <w:rPr>
                <w:kern w:val="0"/>
                <w:sz w:val="21"/>
                <w:szCs w:val="21"/>
                <w:vertAlign w:val="superscript"/>
                <w:lang w:eastAsia="en-US"/>
              </w:rPr>
              <w:t>3</w:t>
            </w:r>
          </w:p>
        </w:tc>
        <w:tc>
          <w:tcPr>
            <w:tcW w:w="675" w:type="pct"/>
            <w:tcBorders>
              <w:top w:val="single" w:color="000000" w:sz="4" w:space="0"/>
              <w:left w:val="single" w:color="000000" w:sz="4" w:space="0"/>
              <w:bottom w:val="single" w:color="000000" w:sz="4" w:space="0"/>
              <w:right w:val="single" w:color="000000" w:sz="4" w:space="0"/>
            </w:tcBorders>
          </w:tcPr>
          <w:p w14:paraId="568E8677">
            <w:pPr>
              <w:autoSpaceDE w:val="0"/>
              <w:autoSpaceDN w:val="0"/>
              <w:jc w:val="center"/>
              <w:rPr>
                <w:kern w:val="0"/>
                <w:sz w:val="22"/>
                <w:lang w:eastAsia="en-US"/>
              </w:rPr>
            </w:pPr>
            <w:r>
              <w:rPr>
                <w:kern w:val="0"/>
                <w:sz w:val="22"/>
                <w:lang w:eastAsia="en-US"/>
              </w:rPr>
              <w:t>40298</w:t>
            </w:r>
          </w:p>
        </w:tc>
      </w:tr>
      <w:tr w14:paraId="6BC150BD">
        <w:tblPrEx>
          <w:tblCellMar>
            <w:top w:w="0" w:type="dxa"/>
            <w:left w:w="0" w:type="dxa"/>
            <w:bottom w:w="0" w:type="dxa"/>
            <w:right w:w="0" w:type="dxa"/>
          </w:tblCellMar>
        </w:tblPrEx>
        <w:tc>
          <w:tcPr>
            <w:tcW w:w="574" w:type="pct"/>
            <w:tcBorders>
              <w:top w:val="single" w:color="000000" w:sz="4" w:space="0"/>
              <w:left w:val="single" w:color="000000" w:sz="4" w:space="0"/>
              <w:bottom w:val="single" w:color="000000" w:sz="4" w:space="0"/>
              <w:right w:val="single" w:color="000000" w:sz="4" w:space="0"/>
            </w:tcBorders>
          </w:tcPr>
          <w:p w14:paraId="1C8CA306">
            <w:pPr>
              <w:autoSpaceDE w:val="0"/>
              <w:autoSpaceDN w:val="0"/>
              <w:jc w:val="center"/>
              <w:rPr>
                <w:kern w:val="0"/>
                <w:sz w:val="22"/>
                <w:lang w:eastAsia="en-US"/>
              </w:rPr>
            </w:pPr>
            <w:r>
              <w:rPr>
                <w:kern w:val="0"/>
                <w:sz w:val="22"/>
                <w:lang w:eastAsia="en-US"/>
              </w:rPr>
              <w:t>2</w:t>
            </w:r>
          </w:p>
        </w:tc>
        <w:tc>
          <w:tcPr>
            <w:tcW w:w="1229" w:type="pct"/>
            <w:tcBorders>
              <w:top w:val="single" w:color="000000" w:sz="4" w:space="0"/>
              <w:left w:val="single" w:color="000000" w:sz="4" w:space="0"/>
              <w:bottom w:val="single" w:color="000000" w:sz="4" w:space="0"/>
              <w:right w:val="single" w:color="000000" w:sz="4" w:space="0"/>
            </w:tcBorders>
          </w:tcPr>
          <w:p w14:paraId="5A56EEC6">
            <w:pPr>
              <w:autoSpaceDE w:val="0"/>
              <w:autoSpaceDN w:val="0"/>
              <w:jc w:val="center"/>
              <w:rPr>
                <w:kern w:val="0"/>
                <w:sz w:val="22"/>
                <w:lang w:eastAsia="en-US"/>
              </w:rPr>
            </w:pPr>
            <w:r>
              <w:rPr>
                <w:kern w:val="0"/>
                <w:sz w:val="22"/>
                <w:lang w:eastAsia="en-US"/>
              </w:rPr>
              <w:t>土方回填</w:t>
            </w:r>
          </w:p>
        </w:tc>
        <w:tc>
          <w:tcPr>
            <w:tcW w:w="2031" w:type="pct"/>
            <w:tcBorders>
              <w:top w:val="single" w:color="000000" w:sz="4" w:space="0"/>
              <w:left w:val="single" w:color="000000" w:sz="4" w:space="0"/>
              <w:bottom w:val="single" w:color="000000" w:sz="4" w:space="0"/>
              <w:right w:val="single" w:color="000000" w:sz="4" w:space="0"/>
            </w:tcBorders>
          </w:tcPr>
          <w:p w14:paraId="54131AB7">
            <w:pPr>
              <w:autoSpaceDE w:val="0"/>
              <w:autoSpaceDN w:val="0"/>
              <w:jc w:val="center"/>
              <w:rPr>
                <w:kern w:val="0"/>
                <w:sz w:val="22"/>
                <w:lang w:eastAsia="en-US"/>
              </w:rPr>
            </w:pPr>
            <w:r>
              <w:rPr>
                <w:kern w:val="0"/>
                <w:sz w:val="22"/>
                <w:lang w:eastAsia="en-US"/>
              </w:rPr>
              <w:t>/</w:t>
            </w:r>
          </w:p>
        </w:tc>
        <w:tc>
          <w:tcPr>
            <w:tcW w:w="491" w:type="pct"/>
            <w:tcBorders>
              <w:top w:val="single" w:color="000000" w:sz="4" w:space="0"/>
              <w:left w:val="single" w:color="000000" w:sz="4" w:space="0"/>
              <w:bottom w:val="single" w:color="000000" w:sz="4" w:space="0"/>
              <w:right w:val="single" w:color="000000" w:sz="4" w:space="0"/>
            </w:tcBorders>
          </w:tcPr>
          <w:p w14:paraId="7BF4B0D3">
            <w:pPr>
              <w:autoSpaceDE w:val="0"/>
              <w:autoSpaceDN w:val="0"/>
              <w:jc w:val="center"/>
              <w:rPr>
                <w:kern w:val="0"/>
                <w:sz w:val="22"/>
                <w:lang w:eastAsia="en-US"/>
              </w:rPr>
            </w:pPr>
            <w:r>
              <w:rPr>
                <w:kern w:val="0"/>
                <w:sz w:val="21"/>
                <w:szCs w:val="21"/>
                <w:lang w:eastAsia="en-US"/>
              </w:rPr>
              <w:t>m</w:t>
            </w:r>
            <w:r>
              <w:rPr>
                <w:kern w:val="0"/>
                <w:sz w:val="21"/>
                <w:szCs w:val="21"/>
                <w:vertAlign w:val="superscript"/>
                <w:lang w:eastAsia="en-US"/>
              </w:rPr>
              <w:t>3</w:t>
            </w:r>
          </w:p>
        </w:tc>
        <w:tc>
          <w:tcPr>
            <w:tcW w:w="675" w:type="pct"/>
            <w:tcBorders>
              <w:top w:val="single" w:color="000000" w:sz="4" w:space="0"/>
              <w:left w:val="single" w:color="000000" w:sz="4" w:space="0"/>
              <w:bottom w:val="single" w:color="000000" w:sz="4" w:space="0"/>
              <w:right w:val="single" w:color="000000" w:sz="4" w:space="0"/>
            </w:tcBorders>
          </w:tcPr>
          <w:p w14:paraId="75308064">
            <w:pPr>
              <w:autoSpaceDE w:val="0"/>
              <w:autoSpaceDN w:val="0"/>
              <w:jc w:val="center"/>
              <w:rPr>
                <w:kern w:val="0"/>
                <w:sz w:val="22"/>
                <w:lang w:eastAsia="en-US"/>
              </w:rPr>
            </w:pPr>
            <w:r>
              <w:rPr>
                <w:kern w:val="0"/>
                <w:sz w:val="22"/>
                <w:lang w:eastAsia="en-US"/>
              </w:rPr>
              <w:t>27083</w:t>
            </w:r>
          </w:p>
        </w:tc>
      </w:tr>
      <w:tr w14:paraId="50D3AB6D">
        <w:tblPrEx>
          <w:tblCellMar>
            <w:top w:w="0" w:type="dxa"/>
            <w:left w:w="0" w:type="dxa"/>
            <w:bottom w:w="0" w:type="dxa"/>
            <w:right w:w="0" w:type="dxa"/>
          </w:tblCellMar>
        </w:tblPrEx>
        <w:tc>
          <w:tcPr>
            <w:tcW w:w="574" w:type="pct"/>
            <w:tcBorders>
              <w:top w:val="single" w:color="000000" w:sz="4" w:space="0"/>
              <w:left w:val="single" w:color="000000" w:sz="4" w:space="0"/>
              <w:bottom w:val="single" w:color="000000" w:sz="4" w:space="0"/>
              <w:right w:val="single" w:color="000000" w:sz="4" w:space="0"/>
            </w:tcBorders>
          </w:tcPr>
          <w:p w14:paraId="72435A65">
            <w:pPr>
              <w:autoSpaceDE w:val="0"/>
              <w:autoSpaceDN w:val="0"/>
              <w:jc w:val="center"/>
              <w:rPr>
                <w:kern w:val="0"/>
                <w:sz w:val="22"/>
                <w:lang w:eastAsia="en-US"/>
              </w:rPr>
            </w:pPr>
            <w:r>
              <w:rPr>
                <w:kern w:val="0"/>
                <w:sz w:val="22"/>
                <w:lang w:eastAsia="en-US"/>
              </w:rPr>
              <w:t>3</w:t>
            </w:r>
          </w:p>
        </w:tc>
        <w:tc>
          <w:tcPr>
            <w:tcW w:w="1229" w:type="pct"/>
            <w:tcBorders>
              <w:top w:val="single" w:color="000000" w:sz="4" w:space="0"/>
              <w:left w:val="single" w:color="000000" w:sz="4" w:space="0"/>
              <w:bottom w:val="single" w:color="000000" w:sz="4" w:space="0"/>
              <w:right w:val="single" w:color="000000" w:sz="4" w:space="0"/>
            </w:tcBorders>
          </w:tcPr>
          <w:p w14:paraId="1CEFB8B9">
            <w:pPr>
              <w:autoSpaceDE w:val="0"/>
              <w:autoSpaceDN w:val="0"/>
              <w:jc w:val="center"/>
              <w:rPr>
                <w:kern w:val="0"/>
                <w:sz w:val="22"/>
                <w:lang w:eastAsia="en-US"/>
              </w:rPr>
            </w:pPr>
            <w:r>
              <w:rPr>
                <w:kern w:val="0"/>
                <w:sz w:val="22"/>
                <w:lang w:eastAsia="en-US"/>
              </w:rPr>
              <w:t>坡脚防护</w:t>
            </w:r>
          </w:p>
        </w:tc>
        <w:tc>
          <w:tcPr>
            <w:tcW w:w="2031" w:type="pct"/>
            <w:tcBorders>
              <w:top w:val="single" w:color="000000" w:sz="4" w:space="0"/>
              <w:left w:val="single" w:color="000000" w:sz="4" w:space="0"/>
              <w:bottom w:val="single" w:color="000000" w:sz="4" w:space="0"/>
              <w:right w:val="single" w:color="000000" w:sz="4" w:space="0"/>
            </w:tcBorders>
          </w:tcPr>
          <w:p w14:paraId="338E5791">
            <w:pPr>
              <w:autoSpaceDE w:val="0"/>
              <w:autoSpaceDN w:val="0"/>
              <w:jc w:val="center"/>
              <w:rPr>
                <w:kern w:val="0"/>
                <w:sz w:val="22"/>
                <w:lang w:eastAsia="en-US"/>
              </w:rPr>
            </w:pPr>
            <w:r>
              <w:rPr>
                <w:kern w:val="0"/>
                <w:sz w:val="22"/>
                <w:lang w:eastAsia="en-US"/>
              </w:rPr>
              <w:t>/</w:t>
            </w:r>
          </w:p>
        </w:tc>
        <w:tc>
          <w:tcPr>
            <w:tcW w:w="491" w:type="pct"/>
            <w:tcBorders>
              <w:top w:val="single" w:color="000000" w:sz="4" w:space="0"/>
              <w:left w:val="single" w:color="000000" w:sz="4" w:space="0"/>
              <w:bottom w:val="single" w:color="000000" w:sz="4" w:space="0"/>
              <w:right w:val="single" w:color="000000" w:sz="4" w:space="0"/>
            </w:tcBorders>
          </w:tcPr>
          <w:p w14:paraId="76C21EA7">
            <w:pPr>
              <w:autoSpaceDE w:val="0"/>
              <w:autoSpaceDN w:val="0"/>
              <w:jc w:val="center"/>
              <w:rPr>
                <w:kern w:val="0"/>
                <w:sz w:val="22"/>
                <w:lang w:eastAsia="en-US"/>
              </w:rPr>
            </w:pPr>
            <w:r>
              <w:rPr>
                <w:kern w:val="0"/>
                <w:sz w:val="21"/>
                <w:szCs w:val="21"/>
                <w:lang w:eastAsia="en-US"/>
              </w:rPr>
              <w:t>m</w:t>
            </w:r>
            <w:r>
              <w:rPr>
                <w:kern w:val="0"/>
                <w:sz w:val="21"/>
                <w:szCs w:val="21"/>
                <w:vertAlign w:val="superscript"/>
                <w:lang w:eastAsia="en-US"/>
              </w:rPr>
              <w:t>3</w:t>
            </w:r>
          </w:p>
        </w:tc>
        <w:tc>
          <w:tcPr>
            <w:tcW w:w="675" w:type="pct"/>
            <w:tcBorders>
              <w:top w:val="single" w:color="000000" w:sz="4" w:space="0"/>
              <w:left w:val="single" w:color="000000" w:sz="4" w:space="0"/>
              <w:bottom w:val="single" w:color="000000" w:sz="4" w:space="0"/>
              <w:right w:val="single" w:color="000000" w:sz="4" w:space="0"/>
            </w:tcBorders>
          </w:tcPr>
          <w:p w14:paraId="101EE9BA">
            <w:pPr>
              <w:autoSpaceDE w:val="0"/>
              <w:autoSpaceDN w:val="0"/>
              <w:jc w:val="center"/>
              <w:rPr>
                <w:kern w:val="0"/>
                <w:sz w:val="22"/>
                <w:lang w:eastAsia="en-US"/>
              </w:rPr>
            </w:pPr>
            <w:r>
              <w:rPr>
                <w:kern w:val="0"/>
                <w:sz w:val="22"/>
                <w:lang w:eastAsia="en-US"/>
              </w:rPr>
              <w:t>11880</w:t>
            </w:r>
          </w:p>
        </w:tc>
      </w:tr>
      <w:tr w14:paraId="1BFEBF65">
        <w:tblPrEx>
          <w:tblCellMar>
            <w:top w:w="0" w:type="dxa"/>
            <w:left w:w="0" w:type="dxa"/>
            <w:bottom w:w="0" w:type="dxa"/>
            <w:right w:w="0" w:type="dxa"/>
          </w:tblCellMar>
        </w:tblPrEx>
        <w:tc>
          <w:tcPr>
            <w:tcW w:w="574" w:type="pct"/>
            <w:tcBorders>
              <w:top w:val="single" w:color="000000" w:sz="4" w:space="0"/>
              <w:left w:val="single" w:color="000000" w:sz="4" w:space="0"/>
              <w:bottom w:val="single" w:color="000000" w:sz="4" w:space="0"/>
              <w:right w:val="single" w:color="000000" w:sz="4" w:space="0"/>
            </w:tcBorders>
          </w:tcPr>
          <w:p w14:paraId="63645554">
            <w:pPr>
              <w:autoSpaceDE w:val="0"/>
              <w:autoSpaceDN w:val="0"/>
              <w:jc w:val="center"/>
              <w:rPr>
                <w:kern w:val="0"/>
                <w:sz w:val="22"/>
                <w:lang w:eastAsia="en-US"/>
              </w:rPr>
            </w:pPr>
            <w:r>
              <w:rPr>
                <w:kern w:val="0"/>
                <w:sz w:val="22"/>
                <w:lang w:eastAsia="en-US"/>
              </w:rPr>
              <w:t>4</w:t>
            </w:r>
          </w:p>
        </w:tc>
        <w:tc>
          <w:tcPr>
            <w:tcW w:w="1229" w:type="pct"/>
            <w:tcBorders>
              <w:top w:val="single" w:color="000000" w:sz="4" w:space="0"/>
              <w:left w:val="single" w:color="000000" w:sz="4" w:space="0"/>
              <w:bottom w:val="single" w:color="000000" w:sz="4" w:space="0"/>
              <w:right w:val="single" w:color="000000" w:sz="4" w:space="0"/>
            </w:tcBorders>
          </w:tcPr>
          <w:p w14:paraId="1B2A6477">
            <w:pPr>
              <w:autoSpaceDE w:val="0"/>
              <w:autoSpaceDN w:val="0"/>
              <w:jc w:val="center"/>
              <w:rPr>
                <w:kern w:val="0"/>
                <w:sz w:val="22"/>
                <w:lang w:eastAsia="en-US"/>
              </w:rPr>
            </w:pPr>
            <w:r>
              <w:rPr>
                <w:kern w:val="0"/>
                <w:sz w:val="22"/>
                <w:lang w:eastAsia="en-US"/>
              </w:rPr>
              <w:t>水平防护</w:t>
            </w:r>
          </w:p>
        </w:tc>
        <w:tc>
          <w:tcPr>
            <w:tcW w:w="2031" w:type="pct"/>
            <w:tcBorders>
              <w:top w:val="single" w:color="000000" w:sz="4" w:space="0"/>
              <w:left w:val="single" w:color="000000" w:sz="4" w:space="0"/>
              <w:bottom w:val="single" w:color="000000" w:sz="4" w:space="0"/>
              <w:right w:val="single" w:color="000000" w:sz="4" w:space="0"/>
            </w:tcBorders>
          </w:tcPr>
          <w:p w14:paraId="445CE0C1">
            <w:pPr>
              <w:autoSpaceDE w:val="0"/>
              <w:autoSpaceDN w:val="0"/>
              <w:jc w:val="center"/>
              <w:rPr>
                <w:kern w:val="0"/>
                <w:sz w:val="22"/>
                <w:lang w:eastAsia="en-US"/>
              </w:rPr>
            </w:pPr>
            <w:r>
              <w:rPr>
                <w:kern w:val="0"/>
                <w:sz w:val="22"/>
                <w:lang w:eastAsia="en-US"/>
              </w:rPr>
              <w:t>400g/</w:t>
            </w:r>
            <w:r>
              <w:rPr>
                <w:kern w:val="0"/>
                <w:sz w:val="21"/>
                <w:szCs w:val="21"/>
                <w:lang w:eastAsia="en-US"/>
              </w:rPr>
              <w:t xml:space="preserve"> m</w:t>
            </w:r>
            <w:r>
              <w:rPr>
                <w:kern w:val="0"/>
                <w:sz w:val="21"/>
                <w:szCs w:val="21"/>
                <w:vertAlign w:val="superscript"/>
                <w:lang w:eastAsia="en-US"/>
              </w:rPr>
              <w:t>2</w:t>
            </w:r>
          </w:p>
        </w:tc>
        <w:tc>
          <w:tcPr>
            <w:tcW w:w="491" w:type="pct"/>
            <w:tcBorders>
              <w:top w:val="single" w:color="000000" w:sz="4" w:space="0"/>
              <w:left w:val="single" w:color="000000" w:sz="4" w:space="0"/>
              <w:bottom w:val="single" w:color="000000" w:sz="4" w:space="0"/>
              <w:right w:val="single" w:color="000000" w:sz="4" w:space="0"/>
            </w:tcBorders>
          </w:tcPr>
          <w:p w14:paraId="3A271671">
            <w:pPr>
              <w:autoSpaceDE w:val="0"/>
              <w:autoSpaceDN w:val="0"/>
              <w:jc w:val="center"/>
              <w:rPr>
                <w:kern w:val="0"/>
                <w:sz w:val="22"/>
                <w:lang w:eastAsia="en-US"/>
              </w:rPr>
            </w:pPr>
            <w:r>
              <w:rPr>
                <w:kern w:val="0"/>
                <w:sz w:val="21"/>
                <w:szCs w:val="21"/>
                <w:lang w:eastAsia="en-US"/>
              </w:rPr>
              <w:t>m</w:t>
            </w:r>
            <w:r>
              <w:rPr>
                <w:kern w:val="0"/>
                <w:sz w:val="21"/>
                <w:szCs w:val="21"/>
                <w:vertAlign w:val="superscript"/>
                <w:lang w:eastAsia="en-US"/>
              </w:rPr>
              <w:t>3</w:t>
            </w:r>
          </w:p>
        </w:tc>
        <w:tc>
          <w:tcPr>
            <w:tcW w:w="675" w:type="pct"/>
            <w:tcBorders>
              <w:top w:val="single" w:color="000000" w:sz="4" w:space="0"/>
              <w:left w:val="single" w:color="000000" w:sz="4" w:space="0"/>
              <w:bottom w:val="single" w:color="000000" w:sz="4" w:space="0"/>
              <w:right w:val="single" w:color="000000" w:sz="4" w:space="0"/>
            </w:tcBorders>
          </w:tcPr>
          <w:p w14:paraId="0894CE16">
            <w:pPr>
              <w:autoSpaceDE w:val="0"/>
              <w:autoSpaceDN w:val="0"/>
              <w:jc w:val="center"/>
              <w:rPr>
                <w:kern w:val="0"/>
                <w:sz w:val="22"/>
                <w:lang w:eastAsia="en-US"/>
              </w:rPr>
            </w:pPr>
            <w:r>
              <w:rPr>
                <w:kern w:val="0"/>
                <w:sz w:val="22"/>
                <w:lang w:eastAsia="en-US"/>
              </w:rPr>
              <w:t>6600</w:t>
            </w:r>
          </w:p>
        </w:tc>
      </w:tr>
      <w:tr w14:paraId="22137FA5">
        <w:tblPrEx>
          <w:tblCellMar>
            <w:top w:w="0" w:type="dxa"/>
            <w:left w:w="0" w:type="dxa"/>
            <w:bottom w:w="0" w:type="dxa"/>
            <w:right w:w="0" w:type="dxa"/>
          </w:tblCellMar>
        </w:tblPrEx>
        <w:tc>
          <w:tcPr>
            <w:tcW w:w="574" w:type="pct"/>
            <w:tcBorders>
              <w:top w:val="single" w:color="000000" w:sz="4" w:space="0"/>
              <w:left w:val="single" w:color="000000" w:sz="4" w:space="0"/>
              <w:bottom w:val="single" w:color="000000" w:sz="4" w:space="0"/>
              <w:right w:val="single" w:color="000000" w:sz="4" w:space="0"/>
            </w:tcBorders>
          </w:tcPr>
          <w:p w14:paraId="17015186">
            <w:pPr>
              <w:autoSpaceDE w:val="0"/>
              <w:autoSpaceDN w:val="0"/>
              <w:jc w:val="center"/>
              <w:rPr>
                <w:kern w:val="0"/>
                <w:sz w:val="22"/>
                <w:lang w:eastAsia="en-US"/>
              </w:rPr>
            </w:pPr>
            <w:r>
              <w:rPr>
                <w:kern w:val="0"/>
                <w:sz w:val="22"/>
                <w:lang w:eastAsia="en-US"/>
              </w:rPr>
              <w:t>5</w:t>
            </w:r>
          </w:p>
        </w:tc>
        <w:tc>
          <w:tcPr>
            <w:tcW w:w="1229" w:type="pct"/>
            <w:tcBorders>
              <w:top w:val="single" w:color="000000" w:sz="4" w:space="0"/>
              <w:left w:val="single" w:color="000000" w:sz="4" w:space="0"/>
              <w:bottom w:val="single" w:color="000000" w:sz="4" w:space="0"/>
              <w:right w:val="single" w:color="000000" w:sz="4" w:space="0"/>
            </w:tcBorders>
          </w:tcPr>
          <w:p w14:paraId="28A12E44">
            <w:pPr>
              <w:autoSpaceDE w:val="0"/>
              <w:autoSpaceDN w:val="0"/>
              <w:jc w:val="center"/>
              <w:rPr>
                <w:kern w:val="0"/>
                <w:sz w:val="22"/>
                <w:lang w:eastAsia="en-US"/>
              </w:rPr>
            </w:pPr>
            <w:r>
              <w:rPr>
                <w:kern w:val="0"/>
                <w:sz w:val="22"/>
                <w:lang w:eastAsia="en-US"/>
              </w:rPr>
              <w:t>坡脚防护土工布</w:t>
            </w:r>
          </w:p>
        </w:tc>
        <w:tc>
          <w:tcPr>
            <w:tcW w:w="2031" w:type="pct"/>
            <w:tcBorders>
              <w:top w:val="single" w:color="000000" w:sz="4" w:space="0"/>
              <w:left w:val="single" w:color="000000" w:sz="4" w:space="0"/>
              <w:bottom w:val="single" w:color="000000" w:sz="4" w:space="0"/>
              <w:right w:val="single" w:color="000000" w:sz="4" w:space="0"/>
            </w:tcBorders>
          </w:tcPr>
          <w:p w14:paraId="4A789D1A">
            <w:pPr>
              <w:autoSpaceDE w:val="0"/>
              <w:autoSpaceDN w:val="0"/>
              <w:jc w:val="center"/>
              <w:rPr>
                <w:kern w:val="0"/>
                <w:sz w:val="22"/>
                <w:lang w:eastAsia="en-US"/>
              </w:rPr>
            </w:pPr>
            <w:r>
              <w:rPr>
                <w:kern w:val="0"/>
                <w:sz w:val="22"/>
                <w:lang w:eastAsia="en-US"/>
              </w:rPr>
              <w:t>/</w:t>
            </w:r>
          </w:p>
        </w:tc>
        <w:tc>
          <w:tcPr>
            <w:tcW w:w="491" w:type="pct"/>
            <w:tcBorders>
              <w:top w:val="single" w:color="000000" w:sz="4" w:space="0"/>
              <w:left w:val="single" w:color="000000" w:sz="4" w:space="0"/>
              <w:bottom w:val="single" w:color="000000" w:sz="4" w:space="0"/>
              <w:right w:val="single" w:color="000000" w:sz="4" w:space="0"/>
            </w:tcBorders>
          </w:tcPr>
          <w:p w14:paraId="102FC358">
            <w:pPr>
              <w:autoSpaceDE w:val="0"/>
              <w:autoSpaceDN w:val="0"/>
              <w:jc w:val="center"/>
              <w:rPr>
                <w:kern w:val="0"/>
                <w:sz w:val="22"/>
                <w:lang w:eastAsia="en-US"/>
              </w:rPr>
            </w:pPr>
            <w:r>
              <w:rPr>
                <w:kern w:val="0"/>
                <w:sz w:val="21"/>
                <w:szCs w:val="21"/>
                <w:lang w:eastAsia="en-US"/>
              </w:rPr>
              <w:t>m</w:t>
            </w:r>
            <w:r>
              <w:rPr>
                <w:kern w:val="0"/>
                <w:sz w:val="21"/>
                <w:szCs w:val="21"/>
                <w:vertAlign w:val="superscript"/>
                <w:lang w:eastAsia="en-US"/>
              </w:rPr>
              <w:t>2</w:t>
            </w:r>
          </w:p>
        </w:tc>
        <w:tc>
          <w:tcPr>
            <w:tcW w:w="675" w:type="pct"/>
            <w:tcBorders>
              <w:top w:val="single" w:color="000000" w:sz="4" w:space="0"/>
              <w:left w:val="single" w:color="000000" w:sz="4" w:space="0"/>
              <w:bottom w:val="single" w:color="000000" w:sz="4" w:space="0"/>
              <w:right w:val="single" w:color="000000" w:sz="4" w:space="0"/>
            </w:tcBorders>
          </w:tcPr>
          <w:p w14:paraId="1365B2BB">
            <w:pPr>
              <w:autoSpaceDE w:val="0"/>
              <w:autoSpaceDN w:val="0"/>
              <w:jc w:val="center"/>
              <w:rPr>
                <w:kern w:val="0"/>
                <w:sz w:val="22"/>
                <w:lang w:eastAsia="en-US"/>
              </w:rPr>
            </w:pPr>
            <w:r>
              <w:rPr>
                <w:kern w:val="0"/>
                <w:sz w:val="22"/>
                <w:lang w:eastAsia="en-US"/>
              </w:rPr>
              <w:t>27720</w:t>
            </w:r>
          </w:p>
        </w:tc>
      </w:tr>
      <w:tr w14:paraId="5DC11993">
        <w:tblPrEx>
          <w:tblCellMar>
            <w:top w:w="0" w:type="dxa"/>
            <w:left w:w="0" w:type="dxa"/>
            <w:bottom w:w="0" w:type="dxa"/>
            <w:right w:w="0" w:type="dxa"/>
          </w:tblCellMar>
        </w:tblPrEx>
        <w:tc>
          <w:tcPr>
            <w:tcW w:w="574" w:type="pct"/>
            <w:tcBorders>
              <w:top w:val="single" w:color="000000" w:sz="4" w:space="0"/>
              <w:left w:val="single" w:color="000000" w:sz="4" w:space="0"/>
              <w:bottom w:val="single" w:color="000000" w:sz="4" w:space="0"/>
              <w:right w:val="single" w:color="000000" w:sz="4" w:space="0"/>
            </w:tcBorders>
          </w:tcPr>
          <w:p w14:paraId="6114AAF1">
            <w:pPr>
              <w:autoSpaceDE w:val="0"/>
              <w:autoSpaceDN w:val="0"/>
              <w:jc w:val="center"/>
              <w:rPr>
                <w:kern w:val="0"/>
                <w:sz w:val="22"/>
                <w:lang w:eastAsia="en-US"/>
              </w:rPr>
            </w:pPr>
            <w:r>
              <w:rPr>
                <w:kern w:val="0"/>
                <w:sz w:val="22"/>
                <w:lang w:eastAsia="en-US"/>
              </w:rPr>
              <w:t>6</w:t>
            </w:r>
          </w:p>
        </w:tc>
        <w:tc>
          <w:tcPr>
            <w:tcW w:w="1229" w:type="pct"/>
            <w:tcBorders>
              <w:top w:val="single" w:color="000000" w:sz="4" w:space="0"/>
              <w:left w:val="single" w:color="000000" w:sz="4" w:space="0"/>
              <w:bottom w:val="single" w:color="000000" w:sz="4" w:space="0"/>
              <w:right w:val="single" w:color="000000" w:sz="4" w:space="0"/>
            </w:tcBorders>
          </w:tcPr>
          <w:p w14:paraId="70EEBCC2">
            <w:pPr>
              <w:autoSpaceDE w:val="0"/>
              <w:autoSpaceDN w:val="0"/>
              <w:jc w:val="center"/>
              <w:rPr>
                <w:kern w:val="0"/>
                <w:sz w:val="22"/>
                <w:lang w:eastAsia="en-US"/>
              </w:rPr>
            </w:pPr>
            <w:r>
              <w:rPr>
                <w:kern w:val="0"/>
                <w:sz w:val="22"/>
                <w:lang w:eastAsia="en-US"/>
              </w:rPr>
              <w:t>蒿柳</w:t>
            </w:r>
          </w:p>
        </w:tc>
        <w:tc>
          <w:tcPr>
            <w:tcW w:w="2031" w:type="pct"/>
            <w:tcBorders>
              <w:top w:val="single" w:color="000000" w:sz="4" w:space="0"/>
              <w:left w:val="single" w:color="000000" w:sz="4" w:space="0"/>
              <w:bottom w:val="single" w:color="000000" w:sz="4" w:space="0"/>
              <w:right w:val="single" w:color="000000" w:sz="4" w:space="0"/>
            </w:tcBorders>
          </w:tcPr>
          <w:p w14:paraId="11CC5D2F">
            <w:pPr>
              <w:autoSpaceDE w:val="0"/>
              <w:autoSpaceDN w:val="0"/>
              <w:jc w:val="center"/>
              <w:rPr>
                <w:kern w:val="0"/>
                <w:sz w:val="22"/>
                <w:lang w:eastAsia="en-US"/>
              </w:rPr>
            </w:pPr>
            <w:r>
              <w:rPr>
                <w:kern w:val="0"/>
                <w:sz w:val="22"/>
                <w:lang w:eastAsia="en-US"/>
              </w:rPr>
              <w:t>/</w:t>
            </w:r>
          </w:p>
        </w:tc>
        <w:tc>
          <w:tcPr>
            <w:tcW w:w="491" w:type="pct"/>
            <w:tcBorders>
              <w:top w:val="single" w:color="000000" w:sz="4" w:space="0"/>
              <w:left w:val="single" w:color="000000" w:sz="4" w:space="0"/>
              <w:bottom w:val="single" w:color="000000" w:sz="4" w:space="0"/>
              <w:right w:val="single" w:color="000000" w:sz="4" w:space="0"/>
            </w:tcBorders>
          </w:tcPr>
          <w:p w14:paraId="681F8D8B">
            <w:pPr>
              <w:autoSpaceDE w:val="0"/>
              <w:autoSpaceDN w:val="0"/>
              <w:jc w:val="center"/>
              <w:rPr>
                <w:kern w:val="0"/>
                <w:sz w:val="22"/>
                <w:lang w:eastAsia="en-US"/>
              </w:rPr>
            </w:pPr>
            <w:r>
              <w:rPr>
                <w:kern w:val="0"/>
                <w:sz w:val="21"/>
                <w:szCs w:val="21"/>
                <w:lang w:eastAsia="en-US"/>
              </w:rPr>
              <w:t>m</w:t>
            </w:r>
            <w:r>
              <w:rPr>
                <w:kern w:val="0"/>
                <w:sz w:val="21"/>
                <w:szCs w:val="21"/>
                <w:vertAlign w:val="superscript"/>
                <w:lang w:eastAsia="en-US"/>
              </w:rPr>
              <w:t>2</w:t>
            </w:r>
          </w:p>
        </w:tc>
        <w:tc>
          <w:tcPr>
            <w:tcW w:w="675" w:type="pct"/>
            <w:tcBorders>
              <w:top w:val="single" w:color="000000" w:sz="4" w:space="0"/>
              <w:left w:val="single" w:color="000000" w:sz="4" w:space="0"/>
              <w:bottom w:val="single" w:color="000000" w:sz="4" w:space="0"/>
              <w:right w:val="single" w:color="000000" w:sz="4" w:space="0"/>
            </w:tcBorders>
          </w:tcPr>
          <w:p w14:paraId="1D85F38D">
            <w:pPr>
              <w:autoSpaceDE w:val="0"/>
              <w:autoSpaceDN w:val="0"/>
              <w:jc w:val="center"/>
              <w:rPr>
                <w:kern w:val="0"/>
                <w:sz w:val="22"/>
                <w:lang w:eastAsia="en-US"/>
              </w:rPr>
            </w:pPr>
            <w:r>
              <w:rPr>
                <w:kern w:val="0"/>
                <w:sz w:val="22"/>
                <w:lang w:eastAsia="en-US"/>
              </w:rPr>
              <w:t>4400</w:t>
            </w:r>
          </w:p>
        </w:tc>
      </w:tr>
      <w:tr w14:paraId="094CDB5E">
        <w:tblPrEx>
          <w:tblCellMar>
            <w:top w:w="0" w:type="dxa"/>
            <w:left w:w="0" w:type="dxa"/>
            <w:bottom w:w="0" w:type="dxa"/>
            <w:right w:w="0" w:type="dxa"/>
          </w:tblCellMar>
        </w:tblPrEx>
        <w:tc>
          <w:tcPr>
            <w:tcW w:w="574" w:type="pct"/>
            <w:tcBorders>
              <w:top w:val="single" w:color="000000" w:sz="4" w:space="0"/>
              <w:left w:val="single" w:color="000000" w:sz="4" w:space="0"/>
              <w:bottom w:val="single" w:color="000000" w:sz="4" w:space="0"/>
              <w:right w:val="single" w:color="000000" w:sz="4" w:space="0"/>
            </w:tcBorders>
          </w:tcPr>
          <w:p w14:paraId="53FF0154">
            <w:pPr>
              <w:autoSpaceDE w:val="0"/>
              <w:autoSpaceDN w:val="0"/>
              <w:jc w:val="center"/>
              <w:rPr>
                <w:kern w:val="0"/>
                <w:sz w:val="22"/>
                <w:lang w:eastAsia="en-US"/>
              </w:rPr>
            </w:pPr>
            <w:r>
              <w:rPr>
                <w:kern w:val="0"/>
                <w:sz w:val="22"/>
                <w:lang w:eastAsia="en-US"/>
              </w:rPr>
              <w:t>7</w:t>
            </w:r>
          </w:p>
        </w:tc>
        <w:tc>
          <w:tcPr>
            <w:tcW w:w="1229" w:type="pct"/>
            <w:tcBorders>
              <w:top w:val="single" w:color="000000" w:sz="4" w:space="0"/>
              <w:left w:val="single" w:color="000000" w:sz="4" w:space="0"/>
              <w:bottom w:val="single" w:color="000000" w:sz="4" w:space="0"/>
              <w:right w:val="single" w:color="000000" w:sz="4" w:space="0"/>
            </w:tcBorders>
          </w:tcPr>
          <w:p w14:paraId="78E2E70D">
            <w:pPr>
              <w:autoSpaceDE w:val="0"/>
              <w:autoSpaceDN w:val="0"/>
              <w:jc w:val="center"/>
              <w:rPr>
                <w:kern w:val="0"/>
                <w:sz w:val="22"/>
                <w:lang w:eastAsia="en-US"/>
              </w:rPr>
            </w:pPr>
            <w:r>
              <w:rPr>
                <w:kern w:val="0"/>
                <w:sz w:val="22"/>
                <w:lang w:eastAsia="en-US"/>
              </w:rPr>
              <w:t>连翘</w:t>
            </w:r>
          </w:p>
        </w:tc>
        <w:tc>
          <w:tcPr>
            <w:tcW w:w="2031" w:type="pct"/>
            <w:tcBorders>
              <w:top w:val="single" w:color="000000" w:sz="4" w:space="0"/>
              <w:left w:val="single" w:color="000000" w:sz="4" w:space="0"/>
              <w:bottom w:val="single" w:color="000000" w:sz="4" w:space="0"/>
              <w:right w:val="single" w:color="000000" w:sz="4" w:space="0"/>
            </w:tcBorders>
          </w:tcPr>
          <w:p w14:paraId="33C6E15F">
            <w:pPr>
              <w:autoSpaceDE w:val="0"/>
              <w:autoSpaceDN w:val="0"/>
              <w:jc w:val="center"/>
              <w:rPr>
                <w:kern w:val="0"/>
                <w:sz w:val="22"/>
                <w:lang w:eastAsia="en-US"/>
              </w:rPr>
            </w:pPr>
            <w:r>
              <w:rPr>
                <w:kern w:val="0"/>
                <w:sz w:val="22"/>
                <w:lang w:eastAsia="en-US"/>
              </w:rPr>
              <w:t>400g/</w:t>
            </w:r>
            <w:r>
              <w:rPr>
                <w:kern w:val="0"/>
                <w:sz w:val="21"/>
                <w:szCs w:val="21"/>
                <w:lang w:eastAsia="en-US"/>
              </w:rPr>
              <w:t xml:space="preserve"> m</w:t>
            </w:r>
            <w:r>
              <w:rPr>
                <w:kern w:val="0"/>
                <w:sz w:val="21"/>
                <w:szCs w:val="21"/>
                <w:vertAlign w:val="superscript"/>
                <w:lang w:eastAsia="en-US"/>
              </w:rPr>
              <w:t>2</w:t>
            </w:r>
          </w:p>
        </w:tc>
        <w:tc>
          <w:tcPr>
            <w:tcW w:w="491" w:type="pct"/>
            <w:tcBorders>
              <w:top w:val="single" w:color="000000" w:sz="4" w:space="0"/>
              <w:left w:val="single" w:color="000000" w:sz="4" w:space="0"/>
              <w:bottom w:val="single" w:color="000000" w:sz="4" w:space="0"/>
              <w:right w:val="single" w:color="000000" w:sz="4" w:space="0"/>
            </w:tcBorders>
          </w:tcPr>
          <w:p w14:paraId="6FC0D8E5">
            <w:pPr>
              <w:autoSpaceDE w:val="0"/>
              <w:autoSpaceDN w:val="0"/>
              <w:jc w:val="center"/>
              <w:rPr>
                <w:kern w:val="0"/>
                <w:sz w:val="22"/>
                <w:lang w:eastAsia="en-US"/>
              </w:rPr>
            </w:pPr>
            <w:r>
              <w:rPr>
                <w:kern w:val="0"/>
                <w:sz w:val="21"/>
                <w:szCs w:val="21"/>
                <w:lang w:eastAsia="en-US"/>
              </w:rPr>
              <w:t>m</w:t>
            </w:r>
            <w:r>
              <w:rPr>
                <w:kern w:val="0"/>
                <w:sz w:val="21"/>
                <w:szCs w:val="21"/>
                <w:vertAlign w:val="superscript"/>
                <w:lang w:eastAsia="en-US"/>
              </w:rPr>
              <w:t>2</w:t>
            </w:r>
          </w:p>
        </w:tc>
        <w:tc>
          <w:tcPr>
            <w:tcW w:w="675" w:type="pct"/>
            <w:tcBorders>
              <w:top w:val="single" w:color="000000" w:sz="4" w:space="0"/>
              <w:left w:val="single" w:color="000000" w:sz="4" w:space="0"/>
              <w:bottom w:val="single" w:color="000000" w:sz="4" w:space="0"/>
              <w:right w:val="single" w:color="000000" w:sz="4" w:space="0"/>
            </w:tcBorders>
          </w:tcPr>
          <w:p w14:paraId="544DABCC">
            <w:pPr>
              <w:autoSpaceDE w:val="0"/>
              <w:autoSpaceDN w:val="0"/>
              <w:jc w:val="center"/>
              <w:rPr>
                <w:kern w:val="0"/>
                <w:sz w:val="22"/>
                <w:lang w:eastAsia="en-US"/>
              </w:rPr>
            </w:pPr>
            <w:r>
              <w:rPr>
                <w:kern w:val="0"/>
                <w:sz w:val="22"/>
                <w:lang w:eastAsia="en-US"/>
              </w:rPr>
              <w:t>2522</w:t>
            </w:r>
          </w:p>
        </w:tc>
      </w:tr>
      <w:tr w14:paraId="63A02334">
        <w:tblPrEx>
          <w:tblCellMar>
            <w:top w:w="0" w:type="dxa"/>
            <w:left w:w="0" w:type="dxa"/>
            <w:bottom w:w="0" w:type="dxa"/>
            <w:right w:w="0" w:type="dxa"/>
          </w:tblCellMar>
        </w:tblPrEx>
        <w:tc>
          <w:tcPr>
            <w:tcW w:w="574" w:type="pct"/>
            <w:tcBorders>
              <w:top w:val="single" w:color="000000" w:sz="4" w:space="0"/>
              <w:left w:val="single" w:color="000000" w:sz="4" w:space="0"/>
              <w:bottom w:val="single" w:color="000000" w:sz="4" w:space="0"/>
              <w:right w:val="single" w:color="000000" w:sz="4" w:space="0"/>
            </w:tcBorders>
          </w:tcPr>
          <w:p w14:paraId="6488527A">
            <w:pPr>
              <w:autoSpaceDE w:val="0"/>
              <w:autoSpaceDN w:val="0"/>
              <w:jc w:val="center"/>
              <w:rPr>
                <w:kern w:val="0"/>
                <w:sz w:val="22"/>
                <w:lang w:eastAsia="en-US"/>
              </w:rPr>
            </w:pPr>
            <w:r>
              <w:rPr>
                <w:kern w:val="0"/>
                <w:sz w:val="22"/>
                <w:lang w:eastAsia="en-US"/>
              </w:rPr>
              <w:t>8</w:t>
            </w:r>
          </w:p>
        </w:tc>
        <w:tc>
          <w:tcPr>
            <w:tcW w:w="1229" w:type="pct"/>
            <w:tcBorders>
              <w:top w:val="single" w:color="000000" w:sz="4" w:space="0"/>
              <w:left w:val="single" w:color="000000" w:sz="4" w:space="0"/>
              <w:bottom w:val="single" w:color="000000" w:sz="4" w:space="0"/>
              <w:right w:val="single" w:color="000000" w:sz="4" w:space="0"/>
            </w:tcBorders>
          </w:tcPr>
          <w:p w14:paraId="5CD10E66">
            <w:pPr>
              <w:autoSpaceDE w:val="0"/>
              <w:autoSpaceDN w:val="0"/>
              <w:jc w:val="center"/>
              <w:rPr>
                <w:kern w:val="0"/>
                <w:sz w:val="22"/>
                <w:lang w:eastAsia="en-US"/>
              </w:rPr>
            </w:pPr>
            <w:r>
              <w:rPr>
                <w:kern w:val="0"/>
                <w:sz w:val="22"/>
                <w:lang w:eastAsia="en-US"/>
              </w:rPr>
              <w:t>沙地柏</w:t>
            </w:r>
          </w:p>
        </w:tc>
        <w:tc>
          <w:tcPr>
            <w:tcW w:w="2031" w:type="pct"/>
            <w:tcBorders>
              <w:top w:val="single" w:color="000000" w:sz="4" w:space="0"/>
              <w:left w:val="single" w:color="000000" w:sz="4" w:space="0"/>
              <w:bottom w:val="single" w:color="000000" w:sz="4" w:space="0"/>
              <w:right w:val="single" w:color="000000" w:sz="4" w:space="0"/>
            </w:tcBorders>
          </w:tcPr>
          <w:p w14:paraId="5B225777">
            <w:pPr>
              <w:autoSpaceDE w:val="0"/>
              <w:autoSpaceDN w:val="0"/>
              <w:jc w:val="center"/>
              <w:rPr>
                <w:kern w:val="0"/>
                <w:sz w:val="22"/>
                <w:lang w:eastAsia="en-US"/>
              </w:rPr>
            </w:pPr>
            <w:r>
              <w:rPr>
                <w:kern w:val="0"/>
                <w:sz w:val="22"/>
                <w:lang w:eastAsia="en-US"/>
              </w:rPr>
              <w:t>高度 0.4m，种植密度 1.5 株/</w:t>
            </w:r>
            <w:r>
              <w:rPr>
                <w:kern w:val="0"/>
                <w:sz w:val="21"/>
                <w:szCs w:val="21"/>
                <w:lang w:eastAsia="en-US"/>
              </w:rPr>
              <w:t xml:space="preserve"> m</w:t>
            </w:r>
            <w:r>
              <w:rPr>
                <w:kern w:val="0"/>
                <w:sz w:val="21"/>
                <w:szCs w:val="21"/>
                <w:vertAlign w:val="superscript"/>
                <w:lang w:eastAsia="en-US"/>
              </w:rPr>
              <w:t>2</w:t>
            </w:r>
          </w:p>
        </w:tc>
        <w:tc>
          <w:tcPr>
            <w:tcW w:w="491" w:type="pct"/>
            <w:tcBorders>
              <w:top w:val="single" w:color="000000" w:sz="4" w:space="0"/>
              <w:left w:val="single" w:color="000000" w:sz="4" w:space="0"/>
              <w:bottom w:val="single" w:color="000000" w:sz="4" w:space="0"/>
              <w:right w:val="single" w:color="000000" w:sz="4" w:space="0"/>
            </w:tcBorders>
          </w:tcPr>
          <w:p w14:paraId="4F824619">
            <w:pPr>
              <w:autoSpaceDE w:val="0"/>
              <w:autoSpaceDN w:val="0"/>
              <w:jc w:val="center"/>
              <w:rPr>
                <w:kern w:val="0"/>
                <w:sz w:val="22"/>
                <w:lang w:eastAsia="en-US"/>
              </w:rPr>
            </w:pPr>
            <w:r>
              <w:rPr>
                <w:kern w:val="0"/>
                <w:sz w:val="21"/>
                <w:szCs w:val="21"/>
                <w:lang w:eastAsia="en-US"/>
              </w:rPr>
              <w:t>m</w:t>
            </w:r>
            <w:r>
              <w:rPr>
                <w:kern w:val="0"/>
                <w:sz w:val="21"/>
                <w:szCs w:val="21"/>
                <w:vertAlign w:val="superscript"/>
                <w:lang w:eastAsia="en-US"/>
              </w:rPr>
              <w:t>2</w:t>
            </w:r>
          </w:p>
        </w:tc>
        <w:tc>
          <w:tcPr>
            <w:tcW w:w="675" w:type="pct"/>
            <w:tcBorders>
              <w:top w:val="single" w:color="000000" w:sz="4" w:space="0"/>
              <w:left w:val="single" w:color="000000" w:sz="4" w:space="0"/>
              <w:bottom w:val="single" w:color="000000" w:sz="4" w:space="0"/>
              <w:right w:val="single" w:color="000000" w:sz="4" w:space="0"/>
            </w:tcBorders>
          </w:tcPr>
          <w:p w14:paraId="53C80D10">
            <w:pPr>
              <w:autoSpaceDE w:val="0"/>
              <w:autoSpaceDN w:val="0"/>
              <w:jc w:val="center"/>
              <w:rPr>
                <w:kern w:val="0"/>
                <w:sz w:val="22"/>
                <w:lang w:eastAsia="en-US"/>
              </w:rPr>
            </w:pPr>
            <w:r>
              <w:rPr>
                <w:kern w:val="0"/>
                <w:sz w:val="22"/>
                <w:lang w:eastAsia="en-US"/>
              </w:rPr>
              <w:t>2522</w:t>
            </w:r>
          </w:p>
        </w:tc>
      </w:tr>
      <w:tr w14:paraId="607714A2">
        <w:tblPrEx>
          <w:tblCellMar>
            <w:top w:w="0" w:type="dxa"/>
            <w:left w:w="0" w:type="dxa"/>
            <w:bottom w:w="0" w:type="dxa"/>
            <w:right w:w="0" w:type="dxa"/>
          </w:tblCellMar>
        </w:tblPrEx>
        <w:tc>
          <w:tcPr>
            <w:tcW w:w="574" w:type="pct"/>
            <w:tcBorders>
              <w:top w:val="single" w:color="000000" w:sz="4" w:space="0"/>
              <w:left w:val="single" w:color="000000" w:sz="4" w:space="0"/>
              <w:bottom w:val="single" w:color="000000" w:sz="4" w:space="0"/>
              <w:right w:val="single" w:color="000000" w:sz="4" w:space="0"/>
            </w:tcBorders>
          </w:tcPr>
          <w:p w14:paraId="11736ED7">
            <w:pPr>
              <w:autoSpaceDE w:val="0"/>
              <w:autoSpaceDN w:val="0"/>
              <w:jc w:val="center"/>
              <w:rPr>
                <w:kern w:val="0"/>
                <w:sz w:val="22"/>
                <w:lang w:eastAsia="en-US"/>
              </w:rPr>
            </w:pPr>
            <w:r>
              <w:rPr>
                <w:kern w:val="0"/>
                <w:sz w:val="22"/>
                <w:lang w:eastAsia="en-US"/>
              </w:rPr>
              <w:t>9</w:t>
            </w:r>
          </w:p>
        </w:tc>
        <w:tc>
          <w:tcPr>
            <w:tcW w:w="1229" w:type="pct"/>
            <w:tcBorders>
              <w:top w:val="single" w:color="000000" w:sz="4" w:space="0"/>
              <w:left w:val="single" w:color="000000" w:sz="4" w:space="0"/>
              <w:bottom w:val="single" w:color="000000" w:sz="4" w:space="0"/>
              <w:right w:val="single" w:color="000000" w:sz="4" w:space="0"/>
            </w:tcBorders>
          </w:tcPr>
          <w:p w14:paraId="146FE5A1">
            <w:pPr>
              <w:autoSpaceDE w:val="0"/>
              <w:autoSpaceDN w:val="0"/>
              <w:jc w:val="center"/>
              <w:rPr>
                <w:kern w:val="0"/>
                <w:sz w:val="22"/>
                <w:lang w:eastAsia="en-US"/>
              </w:rPr>
            </w:pPr>
            <w:r>
              <w:rPr>
                <w:kern w:val="0"/>
                <w:sz w:val="22"/>
                <w:lang w:eastAsia="en-US"/>
              </w:rPr>
              <w:t>高羊茅</w:t>
            </w:r>
          </w:p>
        </w:tc>
        <w:tc>
          <w:tcPr>
            <w:tcW w:w="2031" w:type="pct"/>
            <w:tcBorders>
              <w:top w:val="single" w:color="000000" w:sz="4" w:space="0"/>
              <w:left w:val="single" w:color="000000" w:sz="4" w:space="0"/>
              <w:bottom w:val="single" w:color="000000" w:sz="4" w:space="0"/>
              <w:right w:val="single" w:color="000000" w:sz="4" w:space="0"/>
            </w:tcBorders>
          </w:tcPr>
          <w:p w14:paraId="23C91BD2">
            <w:pPr>
              <w:autoSpaceDE w:val="0"/>
              <w:autoSpaceDN w:val="0"/>
              <w:jc w:val="center"/>
              <w:rPr>
                <w:kern w:val="0"/>
                <w:sz w:val="22"/>
                <w:lang w:eastAsia="en-US"/>
              </w:rPr>
            </w:pPr>
            <w:r>
              <w:rPr>
                <w:kern w:val="0"/>
                <w:sz w:val="22"/>
                <w:lang w:eastAsia="en-US"/>
              </w:rPr>
              <w:t>200 株/亩，株距 2m</w:t>
            </w:r>
          </w:p>
        </w:tc>
        <w:tc>
          <w:tcPr>
            <w:tcW w:w="491" w:type="pct"/>
            <w:tcBorders>
              <w:top w:val="single" w:color="000000" w:sz="4" w:space="0"/>
              <w:left w:val="single" w:color="000000" w:sz="4" w:space="0"/>
              <w:bottom w:val="single" w:color="000000" w:sz="4" w:space="0"/>
              <w:right w:val="single" w:color="000000" w:sz="4" w:space="0"/>
            </w:tcBorders>
          </w:tcPr>
          <w:p w14:paraId="753D01F4">
            <w:pPr>
              <w:autoSpaceDE w:val="0"/>
              <w:autoSpaceDN w:val="0"/>
              <w:jc w:val="center"/>
              <w:rPr>
                <w:kern w:val="0"/>
                <w:sz w:val="22"/>
                <w:lang w:eastAsia="en-US"/>
              </w:rPr>
            </w:pPr>
            <w:r>
              <w:rPr>
                <w:kern w:val="0"/>
                <w:sz w:val="21"/>
                <w:szCs w:val="21"/>
                <w:lang w:eastAsia="en-US"/>
              </w:rPr>
              <w:t>m</w:t>
            </w:r>
            <w:r>
              <w:rPr>
                <w:kern w:val="0"/>
                <w:sz w:val="21"/>
                <w:szCs w:val="21"/>
                <w:vertAlign w:val="superscript"/>
                <w:lang w:eastAsia="en-US"/>
              </w:rPr>
              <w:t>2</w:t>
            </w:r>
          </w:p>
        </w:tc>
        <w:tc>
          <w:tcPr>
            <w:tcW w:w="675" w:type="pct"/>
            <w:tcBorders>
              <w:top w:val="single" w:color="000000" w:sz="4" w:space="0"/>
              <w:left w:val="single" w:color="000000" w:sz="4" w:space="0"/>
              <w:bottom w:val="single" w:color="000000" w:sz="4" w:space="0"/>
              <w:right w:val="single" w:color="000000" w:sz="4" w:space="0"/>
            </w:tcBorders>
          </w:tcPr>
          <w:p w14:paraId="4080F676">
            <w:pPr>
              <w:autoSpaceDE w:val="0"/>
              <w:autoSpaceDN w:val="0"/>
              <w:jc w:val="center"/>
              <w:rPr>
                <w:kern w:val="0"/>
                <w:sz w:val="22"/>
                <w:lang w:eastAsia="en-US"/>
              </w:rPr>
            </w:pPr>
            <w:r>
              <w:rPr>
                <w:kern w:val="0"/>
                <w:sz w:val="22"/>
                <w:lang w:eastAsia="en-US"/>
              </w:rPr>
              <w:t>2522</w:t>
            </w:r>
          </w:p>
        </w:tc>
      </w:tr>
      <w:tr w14:paraId="39095D6A">
        <w:tblPrEx>
          <w:tblCellMar>
            <w:top w:w="0" w:type="dxa"/>
            <w:left w:w="0" w:type="dxa"/>
            <w:bottom w:w="0" w:type="dxa"/>
            <w:right w:w="0" w:type="dxa"/>
          </w:tblCellMar>
        </w:tblPrEx>
        <w:tc>
          <w:tcPr>
            <w:tcW w:w="574" w:type="pct"/>
            <w:tcBorders>
              <w:top w:val="single" w:color="000000" w:sz="4" w:space="0"/>
              <w:left w:val="single" w:color="000000" w:sz="4" w:space="0"/>
              <w:bottom w:val="single" w:color="000000" w:sz="4" w:space="0"/>
              <w:right w:val="single" w:color="000000" w:sz="4" w:space="0"/>
            </w:tcBorders>
          </w:tcPr>
          <w:p w14:paraId="535F7BEB">
            <w:pPr>
              <w:autoSpaceDE w:val="0"/>
              <w:autoSpaceDN w:val="0"/>
              <w:jc w:val="center"/>
              <w:rPr>
                <w:kern w:val="0"/>
                <w:sz w:val="22"/>
                <w:lang w:eastAsia="en-US"/>
              </w:rPr>
            </w:pPr>
            <w:r>
              <w:rPr>
                <w:kern w:val="0"/>
                <w:sz w:val="22"/>
                <w:lang w:eastAsia="en-US"/>
              </w:rPr>
              <w:t>10</w:t>
            </w:r>
          </w:p>
        </w:tc>
        <w:tc>
          <w:tcPr>
            <w:tcW w:w="1229" w:type="pct"/>
            <w:tcBorders>
              <w:top w:val="single" w:color="000000" w:sz="4" w:space="0"/>
              <w:left w:val="single" w:color="000000" w:sz="4" w:space="0"/>
              <w:bottom w:val="single" w:color="000000" w:sz="4" w:space="0"/>
              <w:right w:val="single" w:color="000000" w:sz="4" w:space="0"/>
            </w:tcBorders>
          </w:tcPr>
          <w:p w14:paraId="1121C3E3">
            <w:pPr>
              <w:autoSpaceDE w:val="0"/>
              <w:autoSpaceDN w:val="0"/>
              <w:jc w:val="center"/>
              <w:rPr>
                <w:kern w:val="0"/>
                <w:sz w:val="22"/>
                <w:lang w:eastAsia="en-US"/>
              </w:rPr>
            </w:pPr>
            <w:r>
              <w:rPr>
                <w:kern w:val="0"/>
                <w:sz w:val="22"/>
                <w:lang w:eastAsia="en-US"/>
              </w:rPr>
              <w:t>种植土</w:t>
            </w:r>
          </w:p>
        </w:tc>
        <w:tc>
          <w:tcPr>
            <w:tcW w:w="2031" w:type="pct"/>
            <w:tcBorders>
              <w:top w:val="single" w:color="000000" w:sz="4" w:space="0"/>
              <w:left w:val="single" w:color="000000" w:sz="4" w:space="0"/>
              <w:bottom w:val="single" w:color="000000" w:sz="4" w:space="0"/>
              <w:right w:val="single" w:color="000000" w:sz="4" w:space="0"/>
            </w:tcBorders>
          </w:tcPr>
          <w:p w14:paraId="576482F3">
            <w:pPr>
              <w:autoSpaceDE w:val="0"/>
              <w:autoSpaceDN w:val="0"/>
              <w:jc w:val="center"/>
              <w:rPr>
                <w:kern w:val="0"/>
                <w:sz w:val="22"/>
                <w:lang w:eastAsia="en-US"/>
              </w:rPr>
            </w:pPr>
            <w:r>
              <w:rPr>
                <w:kern w:val="0"/>
                <w:sz w:val="22"/>
                <w:lang w:eastAsia="en-US"/>
              </w:rPr>
              <w:t>冠幅 30-40cm，8 株/</w:t>
            </w:r>
            <w:r>
              <w:rPr>
                <w:kern w:val="0"/>
                <w:sz w:val="21"/>
                <w:szCs w:val="21"/>
                <w:lang w:eastAsia="en-US"/>
              </w:rPr>
              <w:t xml:space="preserve"> m</w:t>
            </w:r>
            <w:r>
              <w:rPr>
                <w:kern w:val="0"/>
                <w:sz w:val="21"/>
                <w:szCs w:val="21"/>
                <w:vertAlign w:val="superscript"/>
                <w:lang w:eastAsia="en-US"/>
              </w:rPr>
              <w:t>2</w:t>
            </w:r>
          </w:p>
        </w:tc>
        <w:tc>
          <w:tcPr>
            <w:tcW w:w="491" w:type="pct"/>
            <w:tcBorders>
              <w:top w:val="single" w:color="000000" w:sz="4" w:space="0"/>
              <w:left w:val="single" w:color="000000" w:sz="4" w:space="0"/>
              <w:bottom w:val="single" w:color="000000" w:sz="4" w:space="0"/>
              <w:right w:val="single" w:color="000000" w:sz="4" w:space="0"/>
            </w:tcBorders>
          </w:tcPr>
          <w:p w14:paraId="460099EA">
            <w:pPr>
              <w:autoSpaceDE w:val="0"/>
              <w:autoSpaceDN w:val="0"/>
              <w:jc w:val="center"/>
              <w:rPr>
                <w:kern w:val="0"/>
                <w:sz w:val="22"/>
                <w:lang w:eastAsia="en-US"/>
              </w:rPr>
            </w:pPr>
            <w:r>
              <w:rPr>
                <w:kern w:val="0"/>
                <w:sz w:val="21"/>
                <w:szCs w:val="21"/>
                <w:lang w:eastAsia="en-US"/>
              </w:rPr>
              <w:t>m</w:t>
            </w:r>
            <w:r>
              <w:rPr>
                <w:kern w:val="0"/>
                <w:sz w:val="21"/>
                <w:szCs w:val="21"/>
                <w:vertAlign w:val="superscript"/>
                <w:lang w:eastAsia="en-US"/>
              </w:rPr>
              <w:t>3</w:t>
            </w:r>
          </w:p>
        </w:tc>
        <w:tc>
          <w:tcPr>
            <w:tcW w:w="675" w:type="pct"/>
            <w:tcBorders>
              <w:top w:val="single" w:color="000000" w:sz="4" w:space="0"/>
              <w:left w:val="single" w:color="000000" w:sz="4" w:space="0"/>
              <w:bottom w:val="single" w:color="000000" w:sz="4" w:space="0"/>
              <w:right w:val="single" w:color="000000" w:sz="4" w:space="0"/>
            </w:tcBorders>
          </w:tcPr>
          <w:p w14:paraId="201D8698">
            <w:pPr>
              <w:autoSpaceDE w:val="0"/>
              <w:autoSpaceDN w:val="0"/>
              <w:jc w:val="center"/>
              <w:rPr>
                <w:kern w:val="0"/>
                <w:sz w:val="22"/>
                <w:lang w:eastAsia="en-US"/>
              </w:rPr>
            </w:pPr>
            <w:r>
              <w:rPr>
                <w:kern w:val="0"/>
                <w:sz w:val="22"/>
                <w:lang w:eastAsia="en-US"/>
              </w:rPr>
              <w:t>3589.8</w:t>
            </w:r>
          </w:p>
        </w:tc>
      </w:tr>
      <w:tr w14:paraId="2DC77C6C">
        <w:tblPrEx>
          <w:tblCellMar>
            <w:top w:w="0" w:type="dxa"/>
            <w:left w:w="0" w:type="dxa"/>
            <w:bottom w:w="0" w:type="dxa"/>
            <w:right w:w="0" w:type="dxa"/>
          </w:tblCellMar>
        </w:tblPrEx>
        <w:tc>
          <w:tcPr>
            <w:tcW w:w="574" w:type="pct"/>
            <w:tcBorders>
              <w:top w:val="single" w:color="000000" w:sz="4" w:space="0"/>
              <w:left w:val="single" w:color="000000" w:sz="4" w:space="0"/>
              <w:bottom w:val="single" w:color="000000" w:sz="4" w:space="0"/>
              <w:right w:val="single" w:color="000000" w:sz="4" w:space="0"/>
            </w:tcBorders>
          </w:tcPr>
          <w:p w14:paraId="37517517">
            <w:pPr>
              <w:autoSpaceDE w:val="0"/>
              <w:autoSpaceDN w:val="0"/>
              <w:jc w:val="center"/>
              <w:rPr>
                <w:kern w:val="0"/>
                <w:sz w:val="22"/>
                <w:lang w:eastAsia="en-US"/>
              </w:rPr>
            </w:pPr>
            <w:r>
              <w:rPr>
                <w:kern w:val="0"/>
                <w:sz w:val="22"/>
                <w:lang w:eastAsia="en-US"/>
              </w:rPr>
              <w:t>11</w:t>
            </w:r>
          </w:p>
        </w:tc>
        <w:tc>
          <w:tcPr>
            <w:tcW w:w="1229" w:type="pct"/>
            <w:tcBorders>
              <w:top w:val="single" w:color="000000" w:sz="4" w:space="0"/>
              <w:left w:val="single" w:color="000000" w:sz="4" w:space="0"/>
              <w:bottom w:val="single" w:color="000000" w:sz="4" w:space="0"/>
              <w:right w:val="single" w:color="000000" w:sz="4" w:space="0"/>
            </w:tcBorders>
          </w:tcPr>
          <w:p w14:paraId="4B05B511">
            <w:pPr>
              <w:autoSpaceDE w:val="0"/>
              <w:autoSpaceDN w:val="0"/>
              <w:jc w:val="center"/>
              <w:rPr>
                <w:kern w:val="0"/>
                <w:sz w:val="22"/>
                <w:lang w:eastAsia="en-US"/>
              </w:rPr>
            </w:pPr>
            <w:r>
              <w:rPr>
                <w:kern w:val="0"/>
                <w:sz w:val="22"/>
                <w:lang w:eastAsia="en-US"/>
              </w:rPr>
              <w:t>香蒲</w:t>
            </w:r>
          </w:p>
        </w:tc>
        <w:tc>
          <w:tcPr>
            <w:tcW w:w="2031" w:type="pct"/>
            <w:tcBorders>
              <w:top w:val="single" w:color="000000" w:sz="4" w:space="0"/>
              <w:left w:val="single" w:color="000000" w:sz="4" w:space="0"/>
              <w:bottom w:val="single" w:color="000000" w:sz="4" w:space="0"/>
              <w:right w:val="single" w:color="000000" w:sz="4" w:space="0"/>
            </w:tcBorders>
          </w:tcPr>
          <w:p w14:paraId="3500327B">
            <w:pPr>
              <w:autoSpaceDE w:val="0"/>
              <w:autoSpaceDN w:val="0"/>
              <w:jc w:val="center"/>
              <w:rPr>
                <w:kern w:val="0"/>
                <w:sz w:val="22"/>
                <w:lang w:eastAsia="en-US"/>
              </w:rPr>
            </w:pPr>
            <w:r>
              <w:rPr>
                <w:kern w:val="0"/>
                <w:sz w:val="22"/>
                <w:lang w:eastAsia="en-US"/>
              </w:rPr>
              <w:t>25g/</w:t>
            </w:r>
            <w:r>
              <w:rPr>
                <w:kern w:val="0"/>
                <w:sz w:val="21"/>
                <w:szCs w:val="21"/>
                <w:lang w:eastAsia="en-US"/>
              </w:rPr>
              <w:t xml:space="preserve"> m</w:t>
            </w:r>
            <w:r>
              <w:rPr>
                <w:kern w:val="0"/>
                <w:sz w:val="21"/>
                <w:szCs w:val="21"/>
                <w:vertAlign w:val="superscript"/>
                <w:lang w:eastAsia="en-US"/>
              </w:rPr>
              <w:t>2</w:t>
            </w:r>
          </w:p>
        </w:tc>
        <w:tc>
          <w:tcPr>
            <w:tcW w:w="491" w:type="pct"/>
            <w:tcBorders>
              <w:top w:val="single" w:color="000000" w:sz="4" w:space="0"/>
              <w:left w:val="single" w:color="000000" w:sz="4" w:space="0"/>
              <w:bottom w:val="single" w:color="000000" w:sz="4" w:space="0"/>
              <w:right w:val="single" w:color="000000" w:sz="4" w:space="0"/>
            </w:tcBorders>
          </w:tcPr>
          <w:p w14:paraId="639D6256">
            <w:pPr>
              <w:autoSpaceDE w:val="0"/>
              <w:autoSpaceDN w:val="0"/>
              <w:jc w:val="center"/>
              <w:rPr>
                <w:kern w:val="0"/>
                <w:sz w:val="22"/>
                <w:lang w:eastAsia="en-US"/>
              </w:rPr>
            </w:pPr>
            <w:r>
              <w:rPr>
                <w:kern w:val="0"/>
                <w:sz w:val="21"/>
                <w:szCs w:val="21"/>
                <w:lang w:eastAsia="en-US"/>
              </w:rPr>
              <w:t>m</w:t>
            </w:r>
            <w:r>
              <w:rPr>
                <w:kern w:val="0"/>
                <w:sz w:val="21"/>
                <w:szCs w:val="21"/>
                <w:vertAlign w:val="superscript"/>
                <w:lang w:eastAsia="en-US"/>
              </w:rPr>
              <w:t>2</w:t>
            </w:r>
          </w:p>
        </w:tc>
        <w:tc>
          <w:tcPr>
            <w:tcW w:w="675" w:type="pct"/>
            <w:tcBorders>
              <w:top w:val="single" w:color="000000" w:sz="4" w:space="0"/>
              <w:left w:val="single" w:color="000000" w:sz="4" w:space="0"/>
              <w:bottom w:val="single" w:color="000000" w:sz="4" w:space="0"/>
              <w:right w:val="single" w:color="000000" w:sz="4" w:space="0"/>
            </w:tcBorders>
          </w:tcPr>
          <w:p w14:paraId="27D26C4A">
            <w:pPr>
              <w:autoSpaceDE w:val="0"/>
              <w:autoSpaceDN w:val="0"/>
              <w:jc w:val="center"/>
              <w:rPr>
                <w:kern w:val="0"/>
                <w:sz w:val="22"/>
                <w:lang w:eastAsia="en-US"/>
              </w:rPr>
            </w:pPr>
            <w:r>
              <w:rPr>
                <w:kern w:val="0"/>
                <w:sz w:val="22"/>
                <w:lang w:eastAsia="en-US"/>
              </w:rPr>
              <w:t>18586</w:t>
            </w:r>
          </w:p>
        </w:tc>
      </w:tr>
      <w:tr w14:paraId="6575ACAC">
        <w:tblPrEx>
          <w:tblCellMar>
            <w:top w:w="0" w:type="dxa"/>
            <w:left w:w="0" w:type="dxa"/>
            <w:bottom w:w="0" w:type="dxa"/>
            <w:right w:w="0" w:type="dxa"/>
          </w:tblCellMar>
        </w:tblPrEx>
        <w:tc>
          <w:tcPr>
            <w:tcW w:w="574" w:type="pct"/>
            <w:tcBorders>
              <w:top w:val="single" w:color="000000" w:sz="4" w:space="0"/>
              <w:left w:val="single" w:color="000000" w:sz="4" w:space="0"/>
              <w:bottom w:val="single" w:color="000000" w:sz="4" w:space="0"/>
              <w:right w:val="single" w:color="000000" w:sz="4" w:space="0"/>
            </w:tcBorders>
          </w:tcPr>
          <w:p w14:paraId="58FD0064">
            <w:pPr>
              <w:autoSpaceDE w:val="0"/>
              <w:autoSpaceDN w:val="0"/>
              <w:jc w:val="center"/>
              <w:rPr>
                <w:kern w:val="0"/>
                <w:sz w:val="22"/>
                <w:lang w:eastAsia="en-US"/>
              </w:rPr>
            </w:pPr>
            <w:r>
              <w:rPr>
                <w:kern w:val="0"/>
                <w:sz w:val="22"/>
                <w:lang w:eastAsia="en-US"/>
              </w:rPr>
              <w:t>12</w:t>
            </w:r>
          </w:p>
        </w:tc>
        <w:tc>
          <w:tcPr>
            <w:tcW w:w="1229" w:type="pct"/>
            <w:tcBorders>
              <w:top w:val="single" w:color="000000" w:sz="4" w:space="0"/>
              <w:left w:val="single" w:color="000000" w:sz="4" w:space="0"/>
              <w:bottom w:val="single" w:color="000000" w:sz="4" w:space="0"/>
              <w:right w:val="single" w:color="000000" w:sz="4" w:space="0"/>
            </w:tcBorders>
          </w:tcPr>
          <w:p w14:paraId="7D04EF44">
            <w:pPr>
              <w:autoSpaceDE w:val="0"/>
              <w:autoSpaceDN w:val="0"/>
              <w:jc w:val="center"/>
              <w:rPr>
                <w:kern w:val="0"/>
                <w:sz w:val="22"/>
                <w:lang w:eastAsia="en-US"/>
              </w:rPr>
            </w:pPr>
            <w:r>
              <w:rPr>
                <w:kern w:val="0"/>
                <w:sz w:val="22"/>
                <w:lang w:eastAsia="en-US"/>
              </w:rPr>
              <w:t>水葱</w:t>
            </w:r>
          </w:p>
        </w:tc>
        <w:tc>
          <w:tcPr>
            <w:tcW w:w="2031" w:type="pct"/>
            <w:tcBorders>
              <w:top w:val="single" w:color="000000" w:sz="4" w:space="0"/>
              <w:left w:val="single" w:color="000000" w:sz="4" w:space="0"/>
              <w:bottom w:val="single" w:color="000000" w:sz="4" w:space="0"/>
              <w:right w:val="single" w:color="000000" w:sz="4" w:space="0"/>
            </w:tcBorders>
          </w:tcPr>
          <w:p w14:paraId="415BF5F8">
            <w:pPr>
              <w:autoSpaceDE w:val="0"/>
              <w:autoSpaceDN w:val="0"/>
              <w:jc w:val="center"/>
              <w:rPr>
                <w:kern w:val="0"/>
                <w:sz w:val="22"/>
                <w:lang w:eastAsia="en-US"/>
              </w:rPr>
            </w:pPr>
            <w:r>
              <w:rPr>
                <w:kern w:val="0"/>
                <w:sz w:val="22"/>
                <w:lang w:eastAsia="en-US"/>
              </w:rPr>
              <w:t>/</w:t>
            </w:r>
          </w:p>
        </w:tc>
        <w:tc>
          <w:tcPr>
            <w:tcW w:w="491" w:type="pct"/>
            <w:tcBorders>
              <w:top w:val="single" w:color="000000" w:sz="4" w:space="0"/>
              <w:left w:val="single" w:color="000000" w:sz="4" w:space="0"/>
              <w:bottom w:val="single" w:color="000000" w:sz="4" w:space="0"/>
              <w:right w:val="single" w:color="000000" w:sz="4" w:space="0"/>
            </w:tcBorders>
          </w:tcPr>
          <w:p w14:paraId="7FF80514">
            <w:pPr>
              <w:autoSpaceDE w:val="0"/>
              <w:autoSpaceDN w:val="0"/>
              <w:jc w:val="center"/>
              <w:rPr>
                <w:kern w:val="0"/>
                <w:sz w:val="22"/>
                <w:lang w:eastAsia="en-US"/>
              </w:rPr>
            </w:pPr>
            <w:r>
              <w:rPr>
                <w:kern w:val="0"/>
                <w:sz w:val="21"/>
                <w:szCs w:val="21"/>
                <w:lang w:eastAsia="en-US"/>
              </w:rPr>
              <w:t>m</w:t>
            </w:r>
            <w:r>
              <w:rPr>
                <w:kern w:val="0"/>
                <w:sz w:val="21"/>
                <w:szCs w:val="21"/>
                <w:vertAlign w:val="superscript"/>
                <w:lang w:eastAsia="en-US"/>
              </w:rPr>
              <w:t>2</w:t>
            </w:r>
          </w:p>
        </w:tc>
        <w:tc>
          <w:tcPr>
            <w:tcW w:w="675" w:type="pct"/>
            <w:tcBorders>
              <w:top w:val="single" w:color="000000" w:sz="4" w:space="0"/>
              <w:left w:val="single" w:color="000000" w:sz="4" w:space="0"/>
              <w:bottom w:val="single" w:color="000000" w:sz="4" w:space="0"/>
              <w:right w:val="single" w:color="000000" w:sz="4" w:space="0"/>
            </w:tcBorders>
          </w:tcPr>
          <w:p w14:paraId="68E7D63C">
            <w:pPr>
              <w:autoSpaceDE w:val="0"/>
              <w:autoSpaceDN w:val="0"/>
              <w:jc w:val="center"/>
              <w:rPr>
                <w:kern w:val="0"/>
                <w:sz w:val="22"/>
                <w:lang w:eastAsia="en-US"/>
              </w:rPr>
            </w:pPr>
            <w:r>
              <w:rPr>
                <w:kern w:val="0"/>
                <w:sz w:val="22"/>
                <w:lang w:eastAsia="en-US"/>
              </w:rPr>
              <w:t>18586</w:t>
            </w:r>
          </w:p>
        </w:tc>
      </w:tr>
      <w:tr w14:paraId="5B5ADFE0">
        <w:tblPrEx>
          <w:tblCellMar>
            <w:top w:w="0" w:type="dxa"/>
            <w:left w:w="0" w:type="dxa"/>
            <w:bottom w:w="0" w:type="dxa"/>
            <w:right w:w="0" w:type="dxa"/>
          </w:tblCellMar>
        </w:tblPrEx>
        <w:tc>
          <w:tcPr>
            <w:tcW w:w="574" w:type="pct"/>
            <w:tcBorders>
              <w:top w:val="single" w:color="000000" w:sz="4" w:space="0"/>
              <w:left w:val="single" w:color="000000" w:sz="4" w:space="0"/>
              <w:bottom w:val="single" w:color="000000" w:sz="4" w:space="0"/>
              <w:right w:val="single" w:color="000000" w:sz="4" w:space="0"/>
            </w:tcBorders>
          </w:tcPr>
          <w:p w14:paraId="6E6E2D8E">
            <w:pPr>
              <w:autoSpaceDE w:val="0"/>
              <w:autoSpaceDN w:val="0"/>
              <w:jc w:val="center"/>
              <w:rPr>
                <w:kern w:val="0"/>
                <w:sz w:val="22"/>
                <w:lang w:eastAsia="en-US"/>
              </w:rPr>
            </w:pPr>
            <w:r>
              <w:rPr>
                <w:kern w:val="0"/>
                <w:sz w:val="22"/>
                <w:lang w:eastAsia="en-US"/>
              </w:rPr>
              <w:t>13</w:t>
            </w:r>
          </w:p>
        </w:tc>
        <w:tc>
          <w:tcPr>
            <w:tcW w:w="1229" w:type="pct"/>
            <w:tcBorders>
              <w:top w:val="single" w:color="000000" w:sz="4" w:space="0"/>
              <w:left w:val="single" w:color="000000" w:sz="4" w:space="0"/>
              <w:bottom w:val="single" w:color="000000" w:sz="4" w:space="0"/>
              <w:right w:val="single" w:color="000000" w:sz="4" w:space="0"/>
            </w:tcBorders>
          </w:tcPr>
          <w:p w14:paraId="13D69015">
            <w:pPr>
              <w:autoSpaceDE w:val="0"/>
              <w:autoSpaceDN w:val="0"/>
              <w:jc w:val="center"/>
              <w:rPr>
                <w:kern w:val="0"/>
                <w:sz w:val="22"/>
                <w:lang w:eastAsia="en-US"/>
              </w:rPr>
            </w:pPr>
            <w:r>
              <w:rPr>
                <w:kern w:val="0"/>
                <w:sz w:val="22"/>
                <w:lang w:eastAsia="en-US"/>
              </w:rPr>
              <w:t>菖蒲</w:t>
            </w:r>
          </w:p>
        </w:tc>
        <w:tc>
          <w:tcPr>
            <w:tcW w:w="2031" w:type="pct"/>
            <w:tcBorders>
              <w:top w:val="single" w:color="000000" w:sz="4" w:space="0"/>
              <w:left w:val="single" w:color="000000" w:sz="4" w:space="0"/>
              <w:bottom w:val="single" w:color="000000" w:sz="4" w:space="0"/>
              <w:right w:val="single" w:color="000000" w:sz="4" w:space="0"/>
            </w:tcBorders>
          </w:tcPr>
          <w:p w14:paraId="296233E5">
            <w:pPr>
              <w:autoSpaceDE w:val="0"/>
              <w:autoSpaceDN w:val="0"/>
              <w:jc w:val="center"/>
              <w:rPr>
                <w:kern w:val="0"/>
                <w:sz w:val="22"/>
                <w:lang w:eastAsia="en-US"/>
              </w:rPr>
            </w:pPr>
            <w:r>
              <w:rPr>
                <w:kern w:val="0"/>
                <w:sz w:val="22"/>
                <w:lang w:eastAsia="en-US"/>
              </w:rPr>
              <w:t>9 株/</w:t>
            </w:r>
            <w:r>
              <w:rPr>
                <w:kern w:val="0"/>
                <w:sz w:val="21"/>
                <w:szCs w:val="21"/>
                <w:lang w:eastAsia="en-US"/>
              </w:rPr>
              <w:t xml:space="preserve"> m</w:t>
            </w:r>
            <w:r>
              <w:rPr>
                <w:kern w:val="0"/>
                <w:sz w:val="21"/>
                <w:szCs w:val="21"/>
                <w:vertAlign w:val="superscript"/>
                <w:lang w:eastAsia="en-US"/>
              </w:rPr>
              <w:t>2</w:t>
            </w:r>
          </w:p>
        </w:tc>
        <w:tc>
          <w:tcPr>
            <w:tcW w:w="491" w:type="pct"/>
            <w:tcBorders>
              <w:top w:val="single" w:color="000000" w:sz="4" w:space="0"/>
              <w:left w:val="single" w:color="000000" w:sz="4" w:space="0"/>
              <w:bottom w:val="single" w:color="000000" w:sz="4" w:space="0"/>
              <w:right w:val="single" w:color="000000" w:sz="4" w:space="0"/>
            </w:tcBorders>
          </w:tcPr>
          <w:p w14:paraId="376DAFDC">
            <w:pPr>
              <w:autoSpaceDE w:val="0"/>
              <w:autoSpaceDN w:val="0"/>
              <w:jc w:val="center"/>
              <w:rPr>
                <w:kern w:val="0"/>
                <w:sz w:val="22"/>
                <w:lang w:eastAsia="en-US"/>
              </w:rPr>
            </w:pPr>
            <w:r>
              <w:rPr>
                <w:kern w:val="0"/>
                <w:sz w:val="21"/>
                <w:szCs w:val="21"/>
                <w:lang w:eastAsia="en-US"/>
              </w:rPr>
              <w:t>m</w:t>
            </w:r>
            <w:r>
              <w:rPr>
                <w:kern w:val="0"/>
                <w:sz w:val="21"/>
                <w:szCs w:val="21"/>
                <w:vertAlign w:val="superscript"/>
                <w:lang w:eastAsia="en-US"/>
              </w:rPr>
              <w:t>2</w:t>
            </w:r>
          </w:p>
        </w:tc>
        <w:tc>
          <w:tcPr>
            <w:tcW w:w="675" w:type="pct"/>
            <w:tcBorders>
              <w:top w:val="single" w:color="000000" w:sz="4" w:space="0"/>
              <w:left w:val="single" w:color="000000" w:sz="4" w:space="0"/>
              <w:bottom w:val="single" w:color="000000" w:sz="4" w:space="0"/>
              <w:right w:val="single" w:color="000000" w:sz="4" w:space="0"/>
            </w:tcBorders>
          </w:tcPr>
          <w:p w14:paraId="06005255">
            <w:pPr>
              <w:autoSpaceDE w:val="0"/>
              <w:autoSpaceDN w:val="0"/>
              <w:jc w:val="center"/>
              <w:rPr>
                <w:kern w:val="0"/>
                <w:sz w:val="22"/>
                <w:lang w:eastAsia="en-US"/>
              </w:rPr>
            </w:pPr>
            <w:r>
              <w:rPr>
                <w:kern w:val="0"/>
                <w:sz w:val="22"/>
                <w:lang w:eastAsia="en-US"/>
              </w:rPr>
              <w:t>18586</w:t>
            </w:r>
          </w:p>
        </w:tc>
      </w:tr>
    </w:tbl>
    <w:p w14:paraId="6F369400">
      <w:pPr>
        <w:pStyle w:val="85"/>
        <w:ind w:firstLine="448"/>
        <w:jc w:val="center"/>
        <w:rPr>
          <w:rFonts w:eastAsia="黑体"/>
          <w:bCs/>
          <w:spacing w:val="-8"/>
          <w:kern w:val="0"/>
        </w:rPr>
      </w:pPr>
    </w:p>
    <w:p w14:paraId="630437DA">
      <w:pPr>
        <w:pStyle w:val="85"/>
        <w:ind w:firstLine="480"/>
        <w:rPr>
          <w:kern w:val="0"/>
        </w:rPr>
        <w:sectPr>
          <w:pgSz w:w="11906" w:h="16838"/>
          <w:pgMar w:top="2007" w:right="1797" w:bottom="1724" w:left="1797" w:header="1417" w:footer="1162" w:gutter="0"/>
          <w:pgNumType w:fmt="numberInDash"/>
          <w:cols w:space="425" w:num="1"/>
          <w:docGrid w:type="lines" w:linePitch="312" w:charSpace="0"/>
        </w:sectPr>
      </w:pPr>
    </w:p>
    <w:p w14:paraId="0C4F0A40">
      <w:pPr>
        <w:pStyle w:val="85"/>
        <w:ind w:firstLine="480"/>
        <w:rPr>
          <w:kern w:val="0"/>
        </w:rPr>
      </w:pPr>
      <w:r>
        <w:rPr>
          <w:rFonts w:hint="eastAsia"/>
          <w:kern w:val="0"/>
        </w:rPr>
        <w:t>岗子河入河口段典型工程断面形式见下图</w:t>
      </w:r>
      <w:r>
        <w:rPr>
          <w:kern w:val="0"/>
        </w:rPr>
        <w:t>。</w:t>
      </w:r>
    </w:p>
    <w:p w14:paraId="4F48EF6C">
      <w:pPr>
        <w:pStyle w:val="85"/>
        <w:spacing w:line="240" w:lineRule="auto"/>
        <w:ind w:firstLine="0" w:firstLineChars="0"/>
        <w:jc w:val="center"/>
        <w:rPr>
          <w:kern w:val="0"/>
        </w:rPr>
      </w:pPr>
      <w:r>
        <w:drawing>
          <wp:inline distT="0" distB="0" distL="0" distR="0">
            <wp:extent cx="8279765" cy="2007235"/>
            <wp:effectExtent l="19050" t="19050" r="26035" b="12065"/>
            <wp:docPr id="12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8280000" cy="2007362"/>
                    </a:xfrm>
                    <a:prstGeom prst="rect">
                      <a:avLst/>
                    </a:prstGeom>
                    <a:noFill/>
                    <a:ln w="19050">
                      <a:solidFill>
                        <a:srgbClr val="000000"/>
                      </a:solidFill>
                      <a:miter lim="800000"/>
                      <a:headEnd/>
                      <a:tailEnd/>
                    </a:ln>
                  </pic:spPr>
                </pic:pic>
              </a:graphicData>
            </a:graphic>
          </wp:inline>
        </w:drawing>
      </w:r>
    </w:p>
    <w:p w14:paraId="3C15E896">
      <w:pPr>
        <w:pStyle w:val="85"/>
        <w:spacing w:line="240" w:lineRule="auto"/>
        <w:ind w:firstLine="0" w:firstLineChars="0"/>
        <w:jc w:val="center"/>
        <w:rPr>
          <w:kern w:val="0"/>
        </w:rPr>
      </w:pPr>
      <w:bookmarkStart w:id="82" w:name="_Hlk196048574"/>
      <w:r>
        <w:rPr>
          <w:rFonts w:eastAsia="黑体"/>
          <w:kern w:val="0"/>
        </w:rPr>
        <w:t>图</w:t>
      </w:r>
      <w:r>
        <w:rPr>
          <w:rFonts w:eastAsia="黑体"/>
          <w:kern w:val="0"/>
        </w:rPr>
        <w:fldChar w:fldCharType="begin"/>
      </w:r>
      <w:r>
        <w:rPr>
          <w:rFonts w:eastAsia="黑体"/>
          <w:kern w:val="0"/>
        </w:rPr>
        <w:instrText xml:space="preserve"> STYLEREF 1 \s </w:instrText>
      </w:r>
      <w:r>
        <w:rPr>
          <w:rFonts w:eastAsia="黑体"/>
          <w:kern w:val="0"/>
        </w:rPr>
        <w:fldChar w:fldCharType="separate"/>
      </w:r>
      <w:r>
        <w:rPr>
          <w:rFonts w:eastAsia="黑体"/>
          <w:kern w:val="0"/>
        </w:rPr>
        <w:t>2</w:t>
      </w:r>
      <w:r>
        <w:rPr>
          <w:rFonts w:eastAsia="黑体"/>
          <w:kern w:val="0"/>
        </w:rPr>
        <w:fldChar w:fldCharType="end"/>
      </w:r>
      <w:r>
        <w:rPr>
          <w:rFonts w:eastAsia="黑体"/>
          <w:kern w:val="0"/>
        </w:rPr>
        <w:noBreakHyphen/>
      </w:r>
      <w:r>
        <w:rPr>
          <w:rFonts w:eastAsia="黑体"/>
          <w:kern w:val="0"/>
        </w:rPr>
        <w:fldChar w:fldCharType="begin"/>
      </w:r>
      <w:r>
        <w:rPr>
          <w:rFonts w:eastAsia="黑体"/>
          <w:kern w:val="0"/>
        </w:rPr>
        <w:instrText xml:space="preserve"> SEQ 图 \* ARABIC \s 1 </w:instrText>
      </w:r>
      <w:r>
        <w:rPr>
          <w:rFonts w:eastAsia="黑体"/>
          <w:kern w:val="0"/>
        </w:rPr>
        <w:fldChar w:fldCharType="separate"/>
      </w:r>
      <w:r>
        <w:rPr>
          <w:rFonts w:eastAsia="黑体"/>
          <w:kern w:val="0"/>
        </w:rPr>
        <w:t>4</w:t>
      </w:r>
      <w:r>
        <w:rPr>
          <w:rFonts w:eastAsia="黑体"/>
          <w:kern w:val="0"/>
        </w:rPr>
        <w:fldChar w:fldCharType="end"/>
      </w:r>
      <w:r>
        <w:rPr>
          <w:rFonts w:eastAsia="黑体"/>
          <w:kern w:val="0"/>
        </w:rPr>
        <w:t xml:space="preserve">  </w:t>
      </w:r>
      <w:bookmarkEnd w:id="82"/>
      <w:r>
        <w:rPr>
          <w:rFonts w:hint="eastAsia" w:eastAsia="黑体"/>
          <w:kern w:val="0"/>
        </w:rPr>
        <w:t>岗子河入河口段断面形式示意图</w:t>
      </w:r>
    </w:p>
    <w:p w14:paraId="651FADE6">
      <w:pPr>
        <w:pStyle w:val="85"/>
        <w:ind w:firstLine="480"/>
        <w:rPr>
          <w:kern w:val="0"/>
        </w:rPr>
        <w:sectPr>
          <w:pgSz w:w="16838" w:h="11906" w:orient="landscape"/>
          <w:pgMar w:top="1797" w:right="2007" w:bottom="1797" w:left="1724" w:header="1417" w:footer="1162" w:gutter="0"/>
          <w:pgNumType w:fmt="numberInDash"/>
          <w:cols w:space="425" w:num="1"/>
          <w:docGrid w:type="lines" w:linePitch="312" w:charSpace="0"/>
        </w:sectPr>
      </w:pPr>
    </w:p>
    <w:p w14:paraId="0E9C504D">
      <w:pPr>
        <w:pStyle w:val="4"/>
        <w:rPr>
          <w:kern w:val="0"/>
        </w:rPr>
      </w:pPr>
      <w:r>
        <w:rPr>
          <w:rFonts w:hint="eastAsia"/>
          <w:kern w:val="0"/>
        </w:rPr>
        <w:t>施工</w:t>
      </w:r>
      <w:r>
        <w:rPr>
          <w:kern w:val="0"/>
        </w:rPr>
        <w:t>方案</w:t>
      </w:r>
    </w:p>
    <w:p w14:paraId="1DC1510C">
      <w:pPr>
        <w:pStyle w:val="5"/>
        <w:rPr>
          <w:kern w:val="0"/>
        </w:rPr>
      </w:pPr>
      <w:r>
        <w:rPr>
          <w:rFonts w:hint="eastAsia"/>
          <w:kern w:val="0"/>
        </w:rPr>
        <w:t>施工导流</w:t>
      </w:r>
    </w:p>
    <w:p w14:paraId="3A8C15B7">
      <w:pPr>
        <w:pStyle w:val="85"/>
        <w:ind w:firstLine="480"/>
        <w:rPr>
          <w:kern w:val="0"/>
        </w:rPr>
      </w:pPr>
      <w:r>
        <w:rPr>
          <w:rFonts w:hint="eastAsia"/>
          <w:kern w:val="0"/>
        </w:rPr>
        <w:t>（1）施工时段</w:t>
      </w:r>
    </w:p>
    <w:p w14:paraId="53EA7308">
      <w:pPr>
        <w:pStyle w:val="85"/>
        <w:ind w:firstLine="480"/>
        <w:rPr>
          <w:kern w:val="0"/>
        </w:rPr>
      </w:pPr>
      <w:r>
        <w:rPr>
          <w:rFonts w:hint="eastAsia"/>
          <w:kern w:val="0"/>
        </w:rPr>
        <w:t>选择施工期选择在非汛期，施工期水量较少，施工期河道水深 0-1.0 米。坝施工采用土石方围堰与泵抽取围堰内积水的排水方式，分段控制施工，向下游排出积水，形成干场作业。土方开挖采用导流明渠的排水方式。</w:t>
      </w:r>
    </w:p>
    <w:p w14:paraId="02F4F6F2">
      <w:pPr>
        <w:pStyle w:val="85"/>
        <w:ind w:firstLine="480"/>
        <w:rPr>
          <w:kern w:val="0"/>
        </w:rPr>
      </w:pPr>
      <w:r>
        <w:rPr>
          <w:rFonts w:hint="eastAsia"/>
          <w:kern w:val="0"/>
        </w:rPr>
        <w:t>（2）围堰形式</w:t>
      </w:r>
    </w:p>
    <w:p w14:paraId="4EB05968">
      <w:pPr>
        <w:pStyle w:val="85"/>
        <w:ind w:firstLine="480"/>
        <w:rPr>
          <w:kern w:val="0"/>
        </w:rPr>
      </w:pPr>
      <w:r>
        <w:rPr>
          <w:rFonts w:hint="eastAsia"/>
          <w:kern w:val="0"/>
        </w:rPr>
        <w:t>结合工程布置、河道特点等条件，设置围堰。本工程施工安排在枯期时段内进行。工程分段施工，挡水围堰采用左右岸分期导流。</w:t>
      </w:r>
      <w:bookmarkStart w:id="83" w:name="_Hlk196052608"/>
      <w:r>
        <w:rPr>
          <w:rFonts w:hint="eastAsia"/>
          <w:kern w:val="0"/>
        </w:rPr>
        <w:t>围堰型式采用土石方围堰和袋装黏土组合，河道水深约 0-1.0m，考虑壅水高度及安全加高，围堰高度1.50m。</w:t>
      </w:r>
      <w:bookmarkEnd w:id="83"/>
    </w:p>
    <w:p w14:paraId="77126888">
      <w:pPr>
        <w:pStyle w:val="85"/>
        <w:ind w:firstLine="480"/>
        <w:rPr>
          <w:kern w:val="0"/>
        </w:rPr>
      </w:pPr>
      <w:r>
        <w:rPr>
          <w:rFonts w:hint="eastAsia"/>
          <w:kern w:val="0"/>
        </w:rPr>
        <w:t>（3）围堰内排水</w:t>
      </w:r>
    </w:p>
    <w:p w14:paraId="5F96E2CA">
      <w:pPr>
        <w:pStyle w:val="85"/>
        <w:ind w:firstLine="480"/>
        <w:rPr>
          <w:kern w:val="0"/>
        </w:rPr>
      </w:pPr>
      <w:r>
        <w:rPr>
          <w:rFonts w:hint="eastAsia"/>
          <w:kern w:val="0"/>
        </w:rPr>
        <w:t>围堰施工完成后，设置排水泵及时向下游抽排围堰内河水。围堰分左右岸分期施工，保证河水不断流。施工过程中应及时排出渗水，确保干场作业</w:t>
      </w:r>
      <w:r>
        <w:rPr>
          <w:kern w:val="0"/>
        </w:rPr>
        <w:t>。</w:t>
      </w:r>
    </w:p>
    <w:p w14:paraId="657C70DF">
      <w:pPr>
        <w:pStyle w:val="85"/>
        <w:ind w:firstLine="480"/>
        <w:rPr>
          <w:kern w:val="0"/>
        </w:rPr>
      </w:pPr>
      <w:r>
        <w:rPr>
          <w:rFonts w:hint="eastAsia"/>
          <w:kern w:val="0"/>
        </w:rPr>
        <w:t>（</w:t>
      </w:r>
      <w:r>
        <w:rPr>
          <w:kern w:val="0"/>
        </w:rPr>
        <w:t>4</w:t>
      </w:r>
      <w:r>
        <w:rPr>
          <w:rFonts w:hint="eastAsia"/>
          <w:kern w:val="0"/>
        </w:rPr>
        <w:t>）导流明渠</w:t>
      </w:r>
    </w:p>
    <w:p w14:paraId="4225F608">
      <w:pPr>
        <w:pStyle w:val="85"/>
        <w:ind w:firstLine="480"/>
        <w:rPr>
          <w:kern w:val="0"/>
        </w:rPr>
      </w:pPr>
      <w:r>
        <w:rPr>
          <w:rFonts w:hint="eastAsia"/>
          <w:kern w:val="0"/>
        </w:rPr>
        <w:t>本次治理工程部分河道有基流出露，微地形改造可采用分期施工、局部导流的方式。施工期安排在非汛期，对局部河道疏浚段进行施工导流。 导流采用明渠导流方式。把河道内基流集中在明渠中流向下游，明沟底宽 3m，开挖边坡 1:1.5，高 1.5m。</w:t>
      </w:r>
    </w:p>
    <w:p w14:paraId="799E157F">
      <w:pPr>
        <w:pStyle w:val="5"/>
      </w:pPr>
      <w:r>
        <w:rPr>
          <w:rFonts w:hint="eastAsia"/>
        </w:rPr>
        <w:t>土方工程</w:t>
      </w:r>
    </w:p>
    <w:p w14:paraId="6A047F68">
      <w:pPr>
        <w:pStyle w:val="85"/>
        <w:ind w:firstLine="480"/>
        <w:rPr>
          <w:kern w:val="0"/>
        </w:rPr>
      </w:pPr>
      <w:r>
        <w:rPr>
          <w:rFonts w:hint="eastAsia"/>
          <w:kern w:val="0"/>
        </w:rPr>
        <w:t>土方工程含植被清理、土方倒运等。</w:t>
      </w:r>
    </w:p>
    <w:p w14:paraId="6E900020">
      <w:pPr>
        <w:pStyle w:val="85"/>
        <w:ind w:firstLine="480"/>
        <w:rPr>
          <w:kern w:val="0"/>
        </w:rPr>
      </w:pPr>
      <w:r>
        <w:rPr>
          <w:rFonts w:hint="eastAsia"/>
          <w:kern w:val="0"/>
        </w:rPr>
        <w:t>（1）植被清理</w:t>
      </w:r>
    </w:p>
    <w:p w14:paraId="029BB19F">
      <w:pPr>
        <w:pStyle w:val="85"/>
        <w:ind w:firstLine="480"/>
        <w:rPr>
          <w:kern w:val="0"/>
        </w:rPr>
      </w:pPr>
      <w:r>
        <w:rPr>
          <w:rFonts w:hint="eastAsia"/>
          <w:kern w:val="0"/>
        </w:rPr>
        <w:t>本工程主体工程施工场地地表的植被清理至离最大开挖边线外侧5m的距离。植被清理过程中严格按照规定清理开挖工程区域内的杂草及监理人指明的其它有碍物，保护清理区域附近的其他天然植被。</w:t>
      </w:r>
    </w:p>
    <w:p w14:paraId="29F9C674">
      <w:pPr>
        <w:pStyle w:val="85"/>
        <w:ind w:firstLine="480"/>
        <w:rPr>
          <w:kern w:val="0"/>
        </w:rPr>
      </w:pPr>
      <w:r>
        <w:rPr>
          <w:rFonts w:hint="eastAsia"/>
          <w:kern w:val="0"/>
        </w:rPr>
        <w:t>（2）土方倒运</w:t>
      </w:r>
    </w:p>
    <w:p w14:paraId="6E3F11A1">
      <w:pPr>
        <w:pStyle w:val="85"/>
        <w:ind w:firstLine="480"/>
        <w:rPr>
          <w:kern w:val="0"/>
        </w:rPr>
      </w:pPr>
      <w:r>
        <w:rPr>
          <w:rFonts w:hint="eastAsia"/>
          <w:kern w:val="0"/>
        </w:rPr>
        <w:t>1）土方开挖前，收集施工现场的一切资料，以便掌握现场实际情况。</w:t>
      </w:r>
    </w:p>
    <w:p w14:paraId="049434E5">
      <w:pPr>
        <w:pStyle w:val="85"/>
        <w:ind w:firstLine="480"/>
        <w:rPr>
          <w:kern w:val="0"/>
        </w:rPr>
      </w:pPr>
      <w:r>
        <w:rPr>
          <w:rFonts w:hint="eastAsia"/>
          <w:kern w:val="0"/>
        </w:rPr>
        <w:t>2）认真查看图纸，核对场地平面尺寸和设计底标高，并绘制出详细的开挖图标明尺寸、坡度、形状等。</w:t>
      </w:r>
    </w:p>
    <w:p w14:paraId="44BDDBC8">
      <w:pPr>
        <w:pStyle w:val="85"/>
        <w:ind w:firstLine="480"/>
        <w:rPr>
          <w:kern w:val="0"/>
        </w:rPr>
      </w:pPr>
      <w:r>
        <w:rPr>
          <w:rFonts w:hint="eastAsia"/>
          <w:kern w:val="0"/>
        </w:rPr>
        <w:t>3）根据给定的国家永久性控制坐标和水准点，引测入施工现场，设置现场的测量控制网，包括控制基线、轴线和水平基准点。</w:t>
      </w:r>
    </w:p>
    <w:p w14:paraId="42A5500A">
      <w:pPr>
        <w:pStyle w:val="85"/>
        <w:ind w:firstLine="480"/>
        <w:rPr>
          <w:kern w:val="0"/>
        </w:rPr>
      </w:pPr>
      <w:r>
        <w:rPr>
          <w:rFonts w:hint="eastAsia"/>
          <w:kern w:val="0"/>
        </w:rPr>
        <w:t>4）基坑的尺寸不小于设计尺寸，底部高程要求不高于设计高程，不能及时施工时，要预留保护土厚度。</w:t>
      </w:r>
    </w:p>
    <w:p w14:paraId="5AFC54F1">
      <w:pPr>
        <w:pStyle w:val="85"/>
        <w:ind w:firstLine="480"/>
        <w:rPr>
          <w:kern w:val="0"/>
        </w:rPr>
      </w:pPr>
      <w:r>
        <w:rPr>
          <w:rFonts w:hint="eastAsia"/>
          <w:kern w:val="0"/>
        </w:rPr>
        <w:t>5）基坑的开挖采用机械配合人工开挖方式，</w:t>
      </w:r>
      <w:bookmarkStart w:id="84" w:name="OLE_LINK28"/>
      <w:r>
        <w:rPr>
          <w:rFonts w:hint="eastAsia"/>
          <w:kern w:val="0"/>
        </w:rPr>
        <w:t>基础肥槽宽</w:t>
      </w:r>
      <w:bookmarkEnd w:id="84"/>
      <w:r>
        <w:rPr>
          <w:rFonts w:hint="eastAsia"/>
          <w:kern w:val="0"/>
        </w:rPr>
        <w:t>及边坡根据施工方法和土质情况现场确定。</w:t>
      </w:r>
    </w:p>
    <w:p w14:paraId="1D537C11">
      <w:pPr>
        <w:pStyle w:val="85"/>
        <w:ind w:firstLine="480"/>
        <w:rPr>
          <w:kern w:val="0"/>
        </w:rPr>
      </w:pPr>
      <w:r>
        <w:rPr>
          <w:rFonts w:hint="eastAsia"/>
          <w:kern w:val="0"/>
        </w:rPr>
        <w:t>6）开挖时严格按开挖图测量放线，并在高程变化的位置要有明显的标志，放线完毕后由监理检查确认，并办理完预检手续。</w:t>
      </w:r>
    </w:p>
    <w:p w14:paraId="01714F3C">
      <w:pPr>
        <w:pStyle w:val="85"/>
        <w:ind w:firstLine="480"/>
        <w:rPr>
          <w:kern w:val="0"/>
        </w:rPr>
      </w:pPr>
      <w:r>
        <w:rPr>
          <w:rFonts w:hint="eastAsia"/>
          <w:kern w:val="0"/>
        </w:rPr>
        <w:t>7）合理安排开挖顺序，防止错挖或超挖。开挖时，严格控制标高，人工开挖时禁止挖至设计标高以下，以免扰动持力层；机械开挖要留出 150mm 厚的原土层，以防止扰动地基持力层。人工清理时，要按照测量员给定的高程，及时清理剩余土方。不得在机械开挖全部结束之后，再清理土方，避免造成人工和工期的浪费</w:t>
      </w:r>
      <w:r>
        <w:rPr>
          <w:kern w:val="0"/>
        </w:rPr>
        <w:t>。</w:t>
      </w:r>
    </w:p>
    <w:p w14:paraId="1FD2FABE">
      <w:pPr>
        <w:pStyle w:val="85"/>
        <w:ind w:firstLine="480"/>
        <w:rPr>
          <w:kern w:val="0"/>
        </w:rPr>
      </w:pPr>
      <w:r>
        <w:rPr>
          <w:rFonts w:hint="eastAsia"/>
          <w:kern w:val="0"/>
        </w:rPr>
        <w:t>8）将开挖出来的土方合理摊铺至边坡及护坡上。</w:t>
      </w:r>
    </w:p>
    <w:p w14:paraId="7556FD10">
      <w:pPr>
        <w:pStyle w:val="5"/>
        <w:rPr>
          <w:kern w:val="0"/>
        </w:rPr>
      </w:pPr>
      <w:r>
        <w:rPr>
          <w:rFonts w:hint="eastAsia"/>
          <w:kern w:val="0"/>
        </w:rPr>
        <w:t>水生植物种植</w:t>
      </w:r>
    </w:p>
    <w:p w14:paraId="0F1313D5">
      <w:pPr>
        <w:pStyle w:val="85"/>
        <w:ind w:firstLine="480"/>
        <w:rPr>
          <w:kern w:val="0"/>
        </w:rPr>
      </w:pPr>
      <w:r>
        <w:rPr>
          <w:rFonts w:hint="eastAsia"/>
          <w:kern w:val="0"/>
        </w:rPr>
        <w:t>（1）水生植物种植时间</w:t>
      </w:r>
    </w:p>
    <w:p w14:paraId="73E8C65B">
      <w:pPr>
        <w:pStyle w:val="85"/>
        <w:ind w:firstLine="480"/>
        <w:rPr>
          <w:kern w:val="0"/>
        </w:rPr>
      </w:pPr>
      <w:r>
        <w:rPr>
          <w:rFonts w:hint="eastAsia"/>
          <w:kern w:val="0"/>
        </w:rPr>
        <w:t>水生植物的种植时间与陆生植物有所区别。大多数挺水植物、沉水植物，适宜在休眠后至春季萌芽前，与陆生植物相仿。生长季也可以种植，但要做适当加强养护。盛夏高温天气不适宜种植，但因工期等需要的话，技术措施得当，成活也没有大的问题。目前水生植物的容器苗也较多，选择容器苗种植基本就不受季节的限制。沉水植物与一般植物不同，它们大多在生长季进行繁殖、栽植，通常在 4—9 月。</w:t>
      </w:r>
    </w:p>
    <w:p w14:paraId="26FF469C">
      <w:pPr>
        <w:pStyle w:val="85"/>
        <w:ind w:firstLine="480"/>
        <w:rPr>
          <w:kern w:val="0"/>
        </w:rPr>
      </w:pPr>
      <w:r>
        <w:rPr>
          <w:rFonts w:hint="eastAsia"/>
          <w:kern w:val="0"/>
        </w:rPr>
        <w:t>（2）水生植物种植密度</w:t>
      </w:r>
    </w:p>
    <w:p w14:paraId="7E4C24A2">
      <w:pPr>
        <w:pStyle w:val="85"/>
        <w:ind w:firstLine="480"/>
        <w:rPr>
          <w:kern w:val="0"/>
        </w:rPr>
      </w:pPr>
      <w:r>
        <w:rPr>
          <w:rFonts w:hint="eastAsia"/>
          <w:kern w:val="0"/>
        </w:rPr>
        <w:t>种植密度主要根据植株的形态、生长的速度，一般挺水、湿生植物种植密度为 25～36 株/平方米或 9～12 丛。黄菖蒲 20～25 株/平方米或 6～9 丛/平方米；香蒲，8-12 株/平方米；水葱，8-12 丛/平方米，每丛 15-20 芽。黑藻，8-12 丛/平方米，每丛 6-8 芽；苦草，5-10 丛/ 平方米，每丛 3-5 芽。</w:t>
      </w:r>
    </w:p>
    <w:p w14:paraId="659505D7">
      <w:pPr>
        <w:pStyle w:val="85"/>
        <w:ind w:firstLine="480"/>
        <w:rPr>
          <w:kern w:val="0"/>
        </w:rPr>
      </w:pPr>
      <w:r>
        <w:rPr>
          <w:rFonts w:hint="eastAsia"/>
          <w:kern w:val="0"/>
        </w:rPr>
        <w:t>（3）水生植物水位控制</w:t>
      </w:r>
    </w:p>
    <w:p w14:paraId="635CE994">
      <w:pPr>
        <w:pStyle w:val="85"/>
        <w:ind w:firstLine="480"/>
        <w:rPr>
          <w:kern w:val="0"/>
        </w:rPr>
      </w:pPr>
      <w:r>
        <w:rPr>
          <w:rFonts w:hint="eastAsia"/>
          <w:kern w:val="0"/>
        </w:rPr>
        <w:t>在长期的进化过程中，不同水生植物对水位的深浅有不同的要求；即使同一种植物在不同的季节和生长发育阶段，对水位的深浅要求也不一样。</w:t>
      </w:r>
    </w:p>
    <w:p w14:paraId="22296B12">
      <w:pPr>
        <w:pStyle w:val="85"/>
        <w:ind w:firstLine="480"/>
        <w:rPr>
          <w:kern w:val="0"/>
        </w:rPr>
      </w:pPr>
      <w:r>
        <w:rPr>
          <w:rFonts w:hint="eastAsia"/>
          <w:kern w:val="0"/>
        </w:rPr>
        <w:t>一般植物都适宜春季浅--夏季深--秋季浅--冬季湿的规律。即汛期或雨季时水位较深，冬季或旱季则要浅水或湿生。</w:t>
      </w:r>
    </w:p>
    <w:p w14:paraId="29FD5427">
      <w:pPr>
        <w:pStyle w:val="85"/>
        <w:ind w:firstLine="480"/>
        <w:rPr>
          <w:kern w:val="0"/>
        </w:rPr>
      </w:pPr>
      <w:r>
        <w:rPr>
          <w:rFonts w:hint="eastAsia"/>
          <w:kern w:val="0"/>
        </w:rPr>
        <w:t>初植时水位都要比正常生长时低些。挺水植物有 10cm 左右即可，生长恢复后，水位可提高到 20cm 左右，大多不宜超过 40cm。沉水植物对水位的要求与水体的透明度有很大关系，但总体来说，初植期在 30cm 左右，生长期深度在50～100cm 为好。</w:t>
      </w:r>
    </w:p>
    <w:p w14:paraId="76922200">
      <w:pPr>
        <w:pStyle w:val="85"/>
        <w:ind w:firstLine="480"/>
        <w:rPr>
          <w:kern w:val="0"/>
        </w:rPr>
      </w:pPr>
      <w:r>
        <w:rPr>
          <w:rFonts w:hint="eastAsia"/>
          <w:kern w:val="0"/>
        </w:rPr>
        <w:t>为方便水位调节，在季节适宜时建议先种植深水区的沉水植物，然后才是岸边浅水区植物。</w:t>
      </w:r>
    </w:p>
    <w:p w14:paraId="5F2F3EED">
      <w:pPr>
        <w:pStyle w:val="85"/>
        <w:ind w:firstLine="480"/>
        <w:rPr>
          <w:kern w:val="0"/>
        </w:rPr>
      </w:pPr>
      <w:r>
        <w:rPr>
          <w:rFonts w:hint="eastAsia"/>
          <w:kern w:val="0"/>
        </w:rPr>
        <w:t>（4）水生植物种植方法本工程水生植物分为两大类型，挺水植物、沉水植物，不同类型种植方法有所不同。</w:t>
      </w:r>
    </w:p>
    <w:p w14:paraId="0A78D358">
      <w:pPr>
        <w:pStyle w:val="85"/>
        <w:ind w:firstLine="480"/>
        <w:rPr>
          <w:kern w:val="0"/>
        </w:rPr>
      </w:pPr>
      <w:r>
        <w:rPr>
          <w:rFonts w:hint="eastAsia"/>
          <w:kern w:val="0"/>
        </w:rPr>
        <w:t>1）挺水植物</w:t>
      </w:r>
    </w:p>
    <w:p w14:paraId="0C4B1360">
      <w:pPr>
        <w:pStyle w:val="85"/>
        <w:ind w:firstLine="480"/>
        <w:rPr>
          <w:kern w:val="0"/>
        </w:rPr>
      </w:pPr>
      <w:r>
        <w:rPr>
          <w:rFonts w:hint="eastAsia"/>
          <w:kern w:val="0"/>
        </w:rPr>
        <w:t>大多数生长于岸边湿地或浅水地带，或者因雨洪影响而在水陆交替状态中。挺水植物种植以春季萌发前最好。</w:t>
      </w:r>
    </w:p>
    <w:p w14:paraId="3732FEB3">
      <w:pPr>
        <w:pStyle w:val="85"/>
        <w:ind w:firstLine="480"/>
        <w:rPr>
          <w:kern w:val="0"/>
        </w:rPr>
      </w:pPr>
      <w:r>
        <w:rPr>
          <w:rFonts w:hint="eastAsia"/>
          <w:kern w:val="0"/>
        </w:rPr>
        <w:t>整地完成后在土壤湿润或浅水状态下都可以种植。种植时通常 3～5 株 为一丛，植株细小的则有 10～20 株一丛，种植时覆土深约 5cm，扶正、压实，防止加水后漂浮或倒伏。栽种要及时，种植后要及时浇水保持土壤潮湿或处于浅水状态，不能干，水位也不能太深，初期水位以 10cm 左右为好。</w:t>
      </w:r>
    </w:p>
    <w:p w14:paraId="0DFB4DA5">
      <w:pPr>
        <w:pStyle w:val="85"/>
        <w:ind w:firstLine="480"/>
        <w:rPr>
          <w:kern w:val="0"/>
        </w:rPr>
      </w:pPr>
      <w:r>
        <w:rPr>
          <w:rFonts w:hint="eastAsia"/>
          <w:kern w:val="0"/>
        </w:rPr>
        <w:t>生长季节种植运输量会加大，运输过程中要防止烧苗，种植前要加强修剪。挺水植物种植密度按设计进行。一般情况下，25～36 株/平方米或 9～ 12 丛/平方米。</w:t>
      </w:r>
    </w:p>
    <w:p w14:paraId="107C4B5F">
      <w:pPr>
        <w:pStyle w:val="85"/>
        <w:ind w:firstLine="480"/>
        <w:rPr>
          <w:kern w:val="0"/>
        </w:rPr>
      </w:pPr>
      <w:r>
        <w:rPr>
          <w:rFonts w:hint="eastAsia"/>
          <w:kern w:val="0"/>
        </w:rPr>
        <w:t>2）沉水植物</w:t>
      </w:r>
    </w:p>
    <w:p w14:paraId="7B67E467">
      <w:pPr>
        <w:pStyle w:val="85"/>
        <w:ind w:firstLine="480"/>
        <w:rPr>
          <w:kern w:val="0"/>
        </w:rPr>
      </w:pPr>
      <w:r>
        <w:rPr>
          <w:rFonts w:hint="eastAsia"/>
          <w:kern w:val="0"/>
        </w:rPr>
        <w:t>繁殖栽种时间以 4～9 月为宜。种植密度大多在 60～100 株/ 平方米，即 9～12 丛/平方米。常用操作方法有：</w:t>
      </w:r>
    </w:p>
    <w:p w14:paraId="0834F10A">
      <w:pPr>
        <w:pStyle w:val="85"/>
        <w:ind w:firstLine="480"/>
        <w:rPr>
          <w:kern w:val="0"/>
        </w:rPr>
      </w:pPr>
      <w:r>
        <w:rPr>
          <w:rFonts w:hint="eastAsia"/>
          <w:kern w:val="0"/>
        </w:rPr>
        <w:t>a、栽种法：施工时，如果水位深度能控制 50cm 以内，则直接种植，就像农村栽秧一样，由施工人员直接手工种植，将小苗插入泥土中 5～10cm，并随手用泥</w:t>
      </w:r>
      <w:bookmarkStart w:id="85" w:name="OLE_LINK29"/>
      <w:r>
        <w:rPr>
          <w:rFonts w:hint="eastAsia"/>
          <w:kern w:val="0"/>
        </w:rPr>
        <w:t>掩实找平</w:t>
      </w:r>
      <w:bookmarkEnd w:id="85"/>
      <w:r>
        <w:rPr>
          <w:rFonts w:hint="eastAsia"/>
          <w:kern w:val="0"/>
        </w:rPr>
        <w:t>，防止植物根系不牢飘浮。</w:t>
      </w:r>
    </w:p>
    <w:p w14:paraId="380E413C">
      <w:pPr>
        <w:rPr>
          <w:rFonts w:ascii="宋体" w:hAnsi="宋体" w:cs="宋体"/>
          <w:sz w:val="20"/>
          <w:szCs w:val="20"/>
        </w:rPr>
      </w:pPr>
      <w:r>
        <w:rPr>
          <w:rFonts w:ascii="宋体" w:hAnsi="宋体" w:cs="宋体"/>
          <w:position w:val="-94"/>
          <w:sz w:val="20"/>
          <w:szCs w:val="20"/>
        </w:rPr>
        <w:drawing>
          <wp:inline distT="0" distB="0" distL="0" distR="0">
            <wp:extent cx="5287010" cy="2971800"/>
            <wp:effectExtent l="0" t="0" r="0" b="0"/>
            <wp:docPr id="6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44.jpeg"/>
                    <pic:cNvPicPr>
                      <a:picLocks noChangeAspect="1"/>
                    </pic:cNvPicPr>
                  </pic:nvPicPr>
                  <pic:blipFill>
                    <a:blip r:embed="rId18" cstate="print"/>
                    <a:stretch>
                      <a:fillRect/>
                    </a:stretch>
                  </pic:blipFill>
                  <pic:spPr>
                    <a:xfrm>
                      <a:off x="0" y="0"/>
                      <a:ext cx="5293802" cy="2976061"/>
                    </a:xfrm>
                    <a:prstGeom prst="rect">
                      <a:avLst/>
                    </a:prstGeom>
                  </pic:spPr>
                </pic:pic>
              </a:graphicData>
            </a:graphic>
          </wp:inline>
        </w:drawing>
      </w:r>
    </w:p>
    <w:p w14:paraId="15E9758A">
      <w:pPr>
        <w:pStyle w:val="24"/>
        <w:jc w:val="center"/>
        <w:rPr>
          <w:rFonts w:ascii="Times New Roman" w:hAnsi="Times New Roman" w:eastAsia="黑体" w:cs="Times New Roman"/>
        </w:rPr>
      </w:pPr>
      <w:r>
        <w:rPr>
          <w:rFonts w:ascii="Times New Roman" w:hAnsi="Times New Roman" w:eastAsia="黑体" w:cs="Times New Roman"/>
        </w:rPr>
        <w:t>图</w:t>
      </w:r>
      <w:r>
        <w:rPr>
          <w:rFonts w:ascii="Times New Roman" w:hAnsi="Times New Roman" w:eastAsia="黑体" w:cs="Times New Roman"/>
        </w:rPr>
        <w:fldChar w:fldCharType="begin"/>
      </w:r>
      <w:r>
        <w:rPr>
          <w:rFonts w:ascii="Times New Roman" w:hAnsi="Times New Roman" w:eastAsia="黑体" w:cs="Times New Roman"/>
        </w:rPr>
        <w:instrText xml:space="preserve"> STYLEREF 1 \s </w:instrText>
      </w:r>
      <w:r>
        <w:rPr>
          <w:rFonts w:ascii="Times New Roman" w:hAnsi="Times New Roman" w:eastAsia="黑体" w:cs="Times New Roman"/>
        </w:rPr>
        <w:fldChar w:fldCharType="separate"/>
      </w:r>
      <w:r>
        <w:rPr>
          <w:rFonts w:ascii="Times New Roman" w:hAnsi="Times New Roman" w:eastAsia="黑体" w:cs="Times New Roman"/>
        </w:rPr>
        <w:t>2</w:t>
      </w:r>
      <w:r>
        <w:rPr>
          <w:rFonts w:ascii="Times New Roman" w:hAnsi="Times New Roman" w:eastAsia="黑体" w:cs="Times New Roman"/>
        </w:rPr>
        <w:fldChar w:fldCharType="end"/>
      </w:r>
      <w:r>
        <w:rPr>
          <w:rFonts w:ascii="Times New Roman" w:hAnsi="Times New Roman" w:eastAsia="黑体" w:cs="Times New Roman"/>
        </w:rPr>
        <w:noBreakHyphen/>
      </w:r>
      <w:r>
        <w:rPr>
          <w:rFonts w:ascii="Times New Roman" w:hAnsi="Times New Roman" w:eastAsia="黑体" w:cs="Times New Roman"/>
        </w:rPr>
        <w:fldChar w:fldCharType="begin"/>
      </w:r>
      <w:r>
        <w:rPr>
          <w:rFonts w:ascii="Times New Roman" w:hAnsi="Times New Roman" w:eastAsia="黑体" w:cs="Times New Roman"/>
        </w:rPr>
        <w:instrText xml:space="preserve"> SEQ 图 \* ARABIC \s 1 </w:instrText>
      </w:r>
      <w:r>
        <w:rPr>
          <w:rFonts w:ascii="Times New Roman" w:hAnsi="Times New Roman" w:eastAsia="黑体" w:cs="Times New Roman"/>
        </w:rPr>
        <w:fldChar w:fldCharType="separate"/>
      </w:r>
      <w:r>
        <w:rPr>
          <w:rFonts w:ascii="Times New Roman" w:hAnsi="Times New Roman" w:eastAsia="黑体" w:cs="Times New Roman"/>
        </w:rPr>
        <w:t>5</w:t>
      </w:r>
      <w:r>
        <w:rPr>
          <w:rFonts w:ascii="Times New Roman" w:hAnsi="Times New Roman" w:eastAsia="黑体" w:cs="Times New Roman"/>
        </w:rPr>
        <w:fldChar w:fldCharType="end"/>
      </w:r>
      <w:r>
        <w:rPr>
          <w:rFonts w:ascii="Times New Roman" w:hAnsi="Times New Roman" w:eastAsia="黑体" w:cs="Times New Roman"/>
        </w:rPr>
        <w:t xml:space="preserve">  水生植物种植实景</w:t>
      </w:r>
      <w:r>
        <w:rPr>
          <w:rFonts w:hint="eastAsia" w:ascii="Times New Roman" w:hAnsi="Times New Roman" w:eastAsia="黑体" w:cs="Times New Roman"/>
        </w:rPr>
        <w:t>示意</w:t>
      </w:r>
      <w:r>
        <w:rPr>
          <w:rFonts w:ascii="Times New Roman" w:hAnsi="Times New Roman" w:eastAsia="黑体" w:cs="Times New Roman"/>
        </w:rPr>
        <w:t>图</w:t>
      </w:r>
    </w:p>
    <w:p w14:paraId="1C8CB582">
      <w:pPr>
        <w:rPr>
          <w:rFonts w:ascii="宋体" w:hAnsi="宋体" w:cs="宋体"/>
          <w:sz w:val="20"/>
          <w:szCs w:val="20"/>
        </w:rPr>
      </w:pPr>
      <w:r>
        <w:rPr>
          <w:rFonts w:ascii="宋体" w:hAnsi="宋体" w:cs="宋体"/>
          <w:position w:val="-95"/>
          <w:sz w:val="20"/>
          <w:szCs w:val="20"/>
        </w:rPr>
        <w:drawing>
          <wp:inline distT="0" distB="0" distL="0" distR="0">
            <wp:extent cx="5288280" cy="2972435"/>
            <wp:effectExtent l="0" t="0" r="7620" b="0"/>
            <wp:docPr id="6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45.jpeg"/>
                    <pic:cNvPicPr>
                      <a:picLocks noChangeAspect="1"/>
                    </pic:cNvPicPr>
                  </pic:nvPicPr>
                  <pic:blipFill>
                    <a:blip r:embed="rId19" cstate="print"/>
                    <a:stretch>
                      <a:fillRect/>
                    </a:stretch>
                  </pic:blipFill>
                  <pic:spPr>
                    <a:xfrm>
                      <a:off x="0" y="0"/>
                      <a:ext cx="5288400" cy="2973036"/>
                    </a:xfrm>
                    <a:prstGeom prst="rect">
                      <a:avLst/>
                    </a:prstGeom>
                  </pic:spPr>
                </pic:pic>
              </a:graphicData>
            </a:graphic>
          </wp:inline>
        </w:drawing>
      </w:r>
    </w:p>
    <w:p w14:paraId="137721B0">
      <w:pPr>
        <w:pStyle w:val="24"/>
        <w:jc w:val="center"/>
        <w:rPr>
          <w:rFonts w:ascii="Times New Roman" w:hAnsi="Times New Roman" w:eastAsia="黑体" w:cs="Times New Roman"/>
        </w:rPr>
      </w:pPr>
      <w:r>
        <w:rPr>
          <w:rFonts w:ascii="Times New Roman" w:hAnsi="Times New Roman" w:eastAsia="黑体" w:cs="Times New Roman"/>
        </w:rPr>
        <w:t>图</w:t>
      </w:r>
      <w:r>
        <w:rPr>
          <w:rFonts w:ascii="Times New Roman" w:hAnsi="Times New Roman" w:eastAsia="黑体" w:cs="Times New Roman"/>
        </w:rPr>
        <w:fldChar w:fldCharType="begin"/>
      </w:r>
      <w:r>
        <w:rPr>
          <w:rFonts w:ascii="Times New Roman" w:hAnsi="Times New Roman" w:eastAsia="黑体" w:cs="Times New Roman"/>
        </w:rPr>
        <w:instrText xml:space="preserve"> STYLEREF 1 \s </w:instrText>
      </w:r>
      <w:r>
        <w:rPr>
          <w:rFonts w:ascii="Times New Roman" w:hAnsi="Times New Roman" w:eastAsia="黑体" w:cs="Times New Roman"/>
        </w:rPr>
        <w:fldChar w:fldCharType="separate"/>
      </w:r>
      <w:r>
        <w:rPr>
          <w:rFonts w:ascii="Times New Roman" w:hAnsi="Times New Roman" w:eastAsia="黑体" w:cs="Times New Roman"/>
        </w:rPr>
        <w:t>2</w:t>
      </w:r>
      <w:r>
        <w:rPr>
          <w:rFonts w:ascii="Times New Roman" w:hAnsi="Times New Roman" w:eastAsia="黑体" w:cs="Times New Roman"/>
        </w:rPr>
        <w:fldChar w:fldCharType="end"/>
      </w:r>
      <w:r>
        <w:rPr>
          <w:rFonts w:ascii="Times New Roman" w:hAnsi="Times New Roman" w:eastAsia="黑体" w:cs="Times New Roman"/>
        </w:rPr>
        <w:noBreakHyphen/>
      </w:r>
      <w:r>
        <w:rPr>
          <w:rFonts w:ascii="Times New Roman" w:hAnsi="Times New Roman" w:eastAsia="黑体" w:cs="Times New Roman"/>
        </w:rPr>
        <w:fldChar w:fldCharType="begin"/>
      </w:r>
      <w:r>
        <w:rPr>
          <w:rFonts w:ascii="Times New Roman" w:hAnsi="Times New Roman" w:eastAsia="黑体" w:cs="Times New Roman"/>
        </w:rPr>
        <w:instrText xml:space="preserve"> SEQ 图 \* ARABIC \s 1 </w:instrText>
      </w:r>
      <w:r>
        <w:rPr>
          <w:rFonts w:ascii="Times New Roman" w:hAnsi="Times New Roman" w:eastAsia="黑体" w:cs="Times New Roman"/>
        </w:rPr>
        <w:fldChar w:fldCharType="separate"/>
      </w:r>
      <w:r>
        <w:rPr>
          <w:rFonts w:ascii="Times New Roman" w:hAnsi="Times New Roman" w:eastAsia="黑体" w:cs="Times New Roman"/>
        </w:rPr>
        <w:t>6</w:t>
      </w:r>
      <w:r>
        <w:rPr>
          <w:rFonts w:ascii="Times New Roman" w:hAnsi="Times New Roman" w:eastAsia="黑体" w:cs="Times New Roman"/>
        </w:rPr>
        <w:fldChar w:fldCharType="end"/>
      </w:r>
      <w:r>
        <w:rPr>
          <w:rFonts w:ascii="Times New Roman" w:hAnsi="Times New Roman" w:eastAsia="黑体" w:cs="Times New Roman"/>
        </w:rPr>
        <w:t xml:space="preserve">  水生植物种植实景</w:t>
      </w:r>
      <w:r>
        <w:rPr>
          <w:rFonts w:hint="eastAsia" w:ascii="Times New Roman" w:hAnsi="Times New Roman" w:eastAsia="黑体" w:cs="Times New Roman"/>
        </w:rPr>
        <w:t>示意</w:t>
      </w:r>
      <w:r>
        <w:rPr>
          <w:rFonts w:ascii="Times New Roman" w:hAnsi="Times New Roman" w:eastAsia="黑体" w:cs="Times New Roman"/>
        </w:rPr>
        <w:t>图</w:t>
      </w:r>
    </w:p>
    <w:p w14:paraId="063C6020">
      <w:pPr>
        <w:pStyle w:val="85"/>
        <w:ind w:firstLine="480"/>
        <w:rPr>
          <w:kern w:val="0"/>
        </w:rPr>
      </w:pPr>
      <w:r>
        <w:rPr>
          <w:rFonts w:hint="eastAsia"/>
          <w:kern w:val="0"/>
        </w:rPr>
        <w:t>b、竹竿扦插法：当水深超过 50cm，底泥又比较好的情况下可采用此法。用一头带叉的竹竿或木杆作工具，长 2～3m，施工人员乘船作业。将小苗或植株枝条扎成一小束（每束宜 5～10 枝），用一端带叉的竹竿或木杆，叉上一端已扎好的枝束，轻轻插入水下泥土中，然后轻轻拔出。扦插时，尽量深些，减少因浮力和水流造成植株脱离底泥浮出水面。适合断体再生能力强，枝条比较柔软的水生植物。</w:t>
      </w:r>
    </w:p>
    <w:p w14:paraId="55406F49">
      <w:pPr>
        <w:pStyle w:val="85"/>
        <w:ind w:firstLine="480"/>
        <w:rPr>
          <w:kern w:val="0"/>
        </w:rPr>
      </w:pPr>
      <w:r>
        <w:rPr>
          <w:rFonts w:hint="eastAsia"/>
          <w:kern w:val="0"/>
        </w:rPr>
        <w:t>c、抛掷法，有直接抛掷和包裹抛掷两种。直接抛掷法：有些水草断枝 再生产能力强，在生长期可取其枝条，以枝端为好，长 20cm，直接抛入水中，3～5 天后，这些植物枝条自然会慢慢沉入水底，生根萌发新芽。此法 适用于静水体，不适宜于流动水体。也常作为繁殖的一种补充手段。</w:t>
      </w:r>
    </w:p>
    <w:p w14:paraId="2D8D12E8">
      <w:pPr>
        <w:pStyle w:val="85"/>
        <w:ind w:firstLine="480"/>
        <w:rPr>
          <w:kern w:val="0"/>
        </w:rPr>
      </w:pPr>
      <w:r>
        <w:rPr>
          <w:rFonts w:hint="eastAsia"/>
          <w:kern w:val="0"/>
        </w:rPr>
        <w:t>包裹抛掷法：用黄泥、无纺布等材料包裹种植土和植株基部（或近末 端包泥，露出端部），之后将其抛掷入水中，植株会快速沉入水底，植株起初借助包裹内的种植土生长。适用于底部浆砌或无软底泥发育的水域。也用于播种繁殖后的苦草、菹草小苗。</w:t>
      </w:r>
    </w:p>
    <w:p w14:paraId="43B0FBE0">
      <w:pPr>
        <w:pStyle w:val="85"/>
        <w:ind w:firstLine="480"/>
        <w:rPr>
          <w:kern w:val="0"/>
        </w:rPr>
      </w:pPr>
      <w:r>
        <w:rPr>
          <w:rFonts w:hint="eastAsia"/>
          <w:kern w:val="0"/>
        </w:rPr>
        <w:t>d、播种法：对一些有种子或芽苞的水草可用此法。苦草秋季结的种子，采收后储贮，可在 4 月以后气温适宜时播种（苦草在自然水域发芽率低，必须先人工育苗，再移植分栽）。</w:t>
      </w:r>
    </w:p>
    <w:p w14:paraId="77BB90C5">
      <w:pPr>
        <w:pStyle w:val="85"/>
        <w:ind w:firstLine="480"/>
        <w:rPr>
          <w:kern w:val="0"/>
        </w:rPr>
      </w:pPr>
      <w:r>
        <w:rPr>
          <w:rFonts w:hint="eastAsia"/>
          <w:kern w:val="0"/>
        </w:rPr>
        <w:t>黑藻、苦草秋季产生的芽苞，也可于 4 月播种。</w:t>
      </w:r>
    </w:p>
    <w:p w14:paraId="181B20A1">
      <w:pPr>
        <w:pStyle w:val="85"/>
        <w:ind w:firstLine="480"/>
        <w:rPr>
          <w:kern w:val="0"/>
        </w:rPr>
      </w:pPr>
      <w:r>
        <w:rPr>
          <w:rFonts w:hint="eastAsia"/>
          <w:kern w:val="0"/>
        </w:rPr>
        <w:t>沉水植物在运输和种植过程中，一定不能脱水，要保持在湿润或水湿的状态。根苗应当天种植，起苗开始暴露时间不宜超过 8 小时。当日未种完的植株要喷水或浸水中保存。种植后则水深必须超过植株，使茎叶自然伸展，通常初期在20～30cm，随着植物生根成活后，慢慢提升水位。</w:t>
      </w:r>
    </w:p>
    <w:p w14:paraId="4D759F33">
      <w:pPr>
        <w:pStyle w:val="5"/>
        <w:rPr>
          <w:kern w:val="0"/>
        </w:rPr>
      </w:pPr>
      <w:r>
        <w:rPr>
          <w:rFonts w:hint="eastAsia"/>
          <w:kern w:val="0"/>
        </w:rPr>
        <w:t>陆生植物种植</w:t>
      </w:r>
    </w:p>
    <w:p w14:paraId="0ADCE0B4">
      <w:pPr>
        <w:pStyle w:val="85"/>
        <w:ind w:firstLine="480"/>
        <w:rPr>
          <w:kern w:val="0"/>
        </w:rPr>
      </w:pPr>
      <w:r>
        <w:rPr>
          <w:rFonts w:hint="eastAsia"/>
          <w:kern w:val="0"/>
        </w:rPr>
        <w:t>陆域缓冲区生态修复重点构建乔木-灌木-草本植被带。</w:t>
      </w:r>
    </w:p>
    <w:p w14:paraId="7B9C1B88">
      <w:pPr>
        <w:pStyle w:val="85"/>
        <w:ind w:firstLine="480"/>
        <w:rPr>
          <w:kern w:val="0"/>
        </w:rPr>
      </w:pPr>
      <w:r>
        <w:rPr>
          <w:rFonts w:hint="eastAsia"/>
          <w:kern w:val="0"/>
        </w:rPr>
        <w:t>植物的选取应遵循自然规律 尽量选择本地优势物种，慎重引进外来植物品种，且宜选择对氮、磷等污染物去除能力较强的物种；同时应考虑常绿树种与落叶树种混交、深根系植物和浅根系植物搭配、乔灌草相结合等。植物搭配可采用乔木+灌木+草本、乔木+草本、灌木+草本配置方式。</w:t>
      </w:r>
    </w:p>
    <w:p w14:paraId="2ED93DB9">
      <w:pPr>
        <w:pStyle w:val="85"/>
        <w:ind w:firstLine="480"/>
        <w:rPr>
          <w:kern w:val="0"/>
        </w:rPr>
      </w:pPr>
      <w:r>
        <w:rPr>
          <w:rFonts w:hint="eastAsia"/>
          <w:kern w:val="0"/>
        </w:rPr>
        <w:t>乔灌草植被区域一般分为邻水区、中间过渡区和近陆区。邻水区位于河流水陆交错区，以乔木林带为主，可保护堤岸、去除污染物并为野生动物提供栖息地，宽度一般不低于 5m； 中间过渡区以乔灌木树种为主，可减少河岸侵蚀、截留泥沙、吸收滞纳营养物质、增加野生动物栖息地，宽度一般不低于 15m；近陆区位于外侧远离河岸的区域，主要以草类植物为主，可穿插配置灌木，用于阻滞地表径流中的颗粒物，吸收氮、磷，降解农药等污染物，宽度一般不低于 6m。</w:t>
      </w:r>
    </w:p>
    <w:p w14:paraId="6DA1B598">
      <w:pPr>
        <w:pStyle w:val="4"/>
        <w:rPr>
          <w:kern w:val="0"/>
        </w:rPr>
      </w:pPr>
      <w:r>
        <w:rPr>
          <w:rFonts w:hint="eastAsia"/>
          <w:kern w:val="0"/>
        </w:rPr>
        <w:t>工程</w:t>
      </w:r>
      <w:r>
        <w:rPr>
          <w:kern w:val="0"/>
        </w:rPr>
        <w:t>土石</w:t>
      </w:r>
      <w:r>
        <w:rPr>
          <w:rFonts w:hint="eastAsia"/>
          <w:kern w:val="0"/>
        </w:rPr>
        <w:t>平衡</w:t>
      </w:r>
    </w:p>
    <w:p w14:paraId="22DBBA9D">
      <w:pPr>
        <w:pStyle w:val="85"/>
        <w:ind w:firstLine="480"/>
        <w:rPr>
          <w:kern w:val="0"/>
        </w:rPr>
        <w:sectPr>
          <w:pgSz w:w="11906" w:h="16838"/>
          <w:pgMar w:top="2007" w:right="1797" w:bottom="1724" w:left="1797" w:header="1417" w:footer="1162" w:gutter="0"/>
          <w:pgNumType w:fmt="numberInDash"/>
          <w:cols w:space="425" w:num="1"/>
          <w:docGrid w:type="lines" w:linePitch="312" w:charSpace="0"/>
        </w:sectPr>
      </w:pPr>
      <w:r>
        <w:rPr>
          <w:rFonts w:hint="eastAsia"/>
          <w:kern w:val="0"/>
        </w:rPr>
        <w:t>本工程构建恢复生态缓冲带，基本不动用土方；坡脚防护、水平防护购买成品格宾石笼，本工程土方主要来自基底修复及微地形梳理。根据前文2</w:t>
      </w:r>
      <w:r>
        <w:rPr>
          <w:kern w:val="0"/>
        </w:rPr>
        <w:t>.2.2</w:t>
      </w:r>
      <w:r>
        <w:rPr>
          <w:rFonts w:hint="eastAsia"/>
          <w:kern w:val="0"/>
        </w:rPr>
        <w:t>主要工程内容，本工程土方开挖</w:t>
      </w:r>
      <w:r>
        <w:rPr>
          <w:kern w:val="0"/>
        </w:rPr>
        <w:t>251807</w:t>
      </w:r>
      <w:r>
        <w:rPr>
          <w:rFonts w:hint="eastAsia"/>
          <w:kern w:val="0"/>
        </w:rPr>
        <w:t>m</w:t>
      </w:r>
      <w:r>
        <w:rPr>
          <w:kern w:val="0"/>
          <w:vertAlign w:val="superscript"/>
        </w:rPr>
        <w:t>3</w:t>
      </w:r>
      <w:r>
        <w:rPr>
          <w:rFonts w:hint="eastAsia"/>
          <w:kern w:val="0"/>
        </w:rPr>
        <w:t>，土方回填</w:t>
      </w:r>
      <w:r>
        <w:rPr>
          <w:kern w:val="0"/>
        </w:rPr>
        <w:t>251769</w:t>
      </w:r>
      <w:r>
        <w:rPr>
          <w:rFonts w:hint="eastAsia"/>
          <w:kern w:val="0"/>
        </w:rPr>
        <w:t xml:space="preserve"> m</w:t>
      </w:r>
      <w:r>
        <w:rPr>
          <w:kern w:val="0"/>
          <w:vertAlign w:val="superscript"/>
        </w:rPr>
        <w:t>3</w:t>
      </w:r>
      <w:r>
        <w:rPr>
          <w:rFonts w:hint="eastAsia"/>
          <w:kern w:val="0"/>
        </w:rPr>
        <w:t>，基本实现土石方平衡，多余3</w:t>
      </w:r>
      <w:r>
        <w:rPr>
          <w:kern w:val="0"/>
        </w:rPr>
        <w:t>8</w:t>
      </w:r>
      <w:r>
        <w:rPr>
          <w:rFonts w:hint="eastAsia"/>
          <w:kern w:val="0"/>
        </w:rPr>
        <w:t xml:space="preserve"> m</w:t>
      </w:r>
      <w:r>
        <w:rPr>
          <w:kern w:val="0"/>
          <w:vertAlign w:val="superscript"/>
        </w:rPr>
        <w:t>3</w:t>
      </w:r>
      <w:r>
        <w:rPr>
          <w:rFonts w:hint="eastAsia"/>
          <w:kern w:val="0"/>
        </w:rPr>
        <w:t>均匀摊铺于边坡。</w:t>
      </w:r>
    </w:p>
    <w:p w14:paraId="30096658">
      <w:pPr>
        <w:pStyle w:val="85"/>
        <w:ind w:firstLine="448"/>
        <w:jc w:val="center"/>
        <w:rPr>
          <w:kern w:val="0"/>
          <w:sz w:val="21"/>
          <w:szCs w:val="21"/>
        </w:rPr>
      </w:pPr>
      <w:bookmarkStart w:id="86" w:name="OLE_LINK18"/>
      <w:r>
        <w:rPr>
          <w:rFonts w:hint="eastAsia" w:eastAsia="黑体"/>
          <w:bCs/>
          <w:spacing w:val="-8"/>
          <w:kern w:val="0"/>
        </w:rPr>
        <w:t>表</w:t>
      </w:r>
      <w:r>
        <w:rPr>
          <w:rFonts w:eastAsia="黑体"/>
          <w:bCs/>
          <w:spacing w:val="-8"/>
          <w:kern w:val="0"/>
        </w:rPr>
        <w:fldChar w:fldCharType="begin"/>
      </w:r>
      <w:r>
        <w:rPr>
          <w:rFonts w:eastAsia="黑体"/>
          <w:bCs/>
          <w:spacing w:val="-8"/>
          <w:kern w:val="0"/>
        </w:rPr>
        <w:instrText xml:space="preserve"> </w:instrText>
      </w:r>
      <w:r>
        <w:rPr>
          <w:rFonts w:hint="eastAsia" w:eastAsia="黑体"/>
          <w:bCs/>
          <w:spacing w:val="-8"/>
          <w:kern w:val="0"/>
        </w:rPr>
        <w:instrText xml:space="preserve">STYLEREF 1 \s</w:instrText>
      </w:r>
      <w:r>
        <w:rPr>
          <w:rFonts w:eastAsia="黑体"/>
          <w:bCs/>
          <w:spacing w:val="-8"/>
          <w:kern w:val="0"/>
        </w:rPr>
        <w:instrText xml:space="preserve"> </w:instrText>
      </w:r>
      <w:r>
        <w:rPr>
          <w:rFonts w:eastAsia="黑体"/>
          <w:bCs/>
          <w:spacing w:val="-8"/>
          <w:kern w:val="0"/>
        </w:rPr>
        <w:fldChar w:fldCharType="separate"/>
      </w:r>
      <w:r>
        <w:rPr>
          <w:rFonts w:eastAsia="黑体"/>
          <w:bCs/>
          <w:spacing w:val="-8"/>
          <w:kern w:val="0"/>
        </w:rPr>
        <w:t>2</w:t>
      </w:r>
      <w:r>
        <w:rPr>
          <w:rFonts w:eastAsia="黑体"/>
          <w:bCs/>
          <w:spacing w:val="-8"/>
          <w:kern w:val="0"/>
        </w:rPr>
        <w:fldChar w:fldCharType="end"/>
      </w:r>
      <w:r>
        <w:rPr>
          <w:rFonts w:eastAsia="黑体"/>
          <w:bCs/>
          <w:spacing w:val="-8"/>
          <w:kern w:val="0"/>
        </w:rPr>
        <w:noBreakHyphen/>
      </w:r>
      <w:r>
        <w:rPr>
          <w:rFonts w:eastAsia="黑体"/>
          <w:bCs/>
          <w:spacing w:val="-8"/>
          <w:kern w:val="0"/>
        </w:rPr>
        <w:fldChar w:fldCharType="begin"/>
      </w:r>
      <w:r>
        <w:rPr>
          <w:rFonts w:eastAsia="黑体"/>
          <w:bCs/>
          <w:spacing w:val="-8"/>
          <w:kern w:val="0"/>
        </w:rPr>
        <w:instrText xml:space="preserve"> </w:instrText>
      </w:r>
      <w:r>
        <w:rPr>
          <w:rFonts w:hint="eastAsia" w:eastAsia="黑体"/>
          <w:bCs/>
          <w:spacing w:val="-8"/>
          <w:kern w:val="0"/>
        </w:rPr>
        <w:instrText xml:space="preserve">SEQ 表 \* ARABIC \s 1</w:instrText>
      </w:r>
      <w:r>
        <w:rPr>
          <w:rFonts w:eastAsia="黑体"/>
          <w:bCs/>
          <w:spacing w:val="-8"/>
          <w:kern w:val="0"/>
        </w:rPr>
        <w:instrText xml:space="preserve"> </w:instrText>
      </w:r>
      <w:r>
        <w:rPr>
          <w:rFonts w:eastAsia="黑体"/>
          <w:bCs/>
          <w:spacing w:val="-8"/>
          <w:kern w:val="0"/>
        </w:rPr>
        <w:fldChar w:fldCharType="separate"/>
      </w:r>
      <w:r>
        <w:rPr>
          <w:rFonts w:eastAsia="黑体"/>
          <w:bCs/>
          <w:spacing w:val="-8"/>
          <w:kern w:val="0"/>
        </w:rPr>
        <w:t>6</w:t>
      </w:r>
      <w:r>
        <w:rPr>
          <w:rFonts w:eastAsia="黑体"/>
          <w:bCs/>
          <w:spacing w:val="-8"/>
          <w:kern w:val="0"/>
        </w:rPr>
        <w:fldChar w:fldCharType="end"/>
      </w:r>
      <w:r>
        <w:rPr>
          <w:rFonts w:eastAsia="黑体"/>
          <w:bCs/>
          <w:spacing w:val="-8"/>
          <w:kern w:val="0"/>
        </w:rPr>
        <w:t xml:space="preserve">  </w:t>
      </w:r>
      <w:r>
        <w:rPr>
          <w:rFonts w:hint="eastAsia" w:eastAsia="黑体"/>
          <w:bCs/>
          <w:spacing w:val="-8"/>
          <w:kern w:val="0"/>
        </w:rPr>
        <w:t xml:space="preserve">土石方平衡表    </w:t>
      </w:r>
      <w:r>
        <w:rPr>
          <w:rFonts w:hint="eastAsia" w:eastAsia="黑体"/>
          <w:bCs/>
          <w:spacing w:val="-8"/>
          <w:kern w:val="0"/>
          <w:sz w:val="21"/>
          <w:szCs w:val="21"/>
        </w:rPr>
        <w:t>单位： m</w:t>
      </w:r>
      <w:r>
        <w:rPr>
          <w:rFonts w:hint="eastAsia" w:eastAsia="黑体"/>
          <w:bCs/>
          <w:spacing w:val="-8"/>
          <w:kern w:val="0"/>
          <w:sz w:val="21"/>
          <w:szCs w:val="21"/>
          <w:vertAlign w:val="superscript"/>
        </w:rPr>
        <w:t>3</w:t>
      </w:r>
    </w:p>
    <w:bookmarkEnd w:id="86"/>
    <w:tbl>
      <w:tblPr>
        <w:tblStyle w:val="63"/>
        <w:tblW w:w="5000" w:type="pct"/>
        <w:tblInd w:w="0" w:type="dxa"/>
        <w:tblLayout w:type="fixed"/>
        <w:tblCellMar>
          <w:top w:w="0" w:type="dxa"/>
          <w:left w:w="108" w:type="dxa"/>
          <w:bottom w:w="0" w:type="dxa"/>
          <w:right w:w="108" w:type="dxa"/>
        </w:tblCellMar>
      </w:tblPr>
      <w:tblGrid>
        <w:gridCol w:w="1233"/>
        <w:gridCol w:w="800"/>
        <w:gridCol w:w="875"/>
        <w:gridCol w:w="873"/>
        <w:gridCol w:w="1018"/>
        <w:gridCol w:w="3729"/>
      </w:tblGrid>
      <w:tr w14:paraId="13417D8B">
        <w:tblPrEx>
          <w:tblCellMar>
            <w:top w:w="0" w:type="dxa"/>
            <w:left w:w="108" w:type="dxa"/>
            <w:bottom w:w="0" w:type="dxa"/>
            <w:right w:w="108" w:type="dxa"/>
          </w:tblCellMar>
        </w:tblPrEx>
        <w:trPr>
          <w:trHeight w:val="525" w:hRule="atLeast"/>
        </w:trPr>
        <w:tc>
          <w:tcPr>
            <w:tcW w:w="72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26513C3">
            <w:pPr>
              <w:widowControl/>
              <w:jc w:val="center"/>
              <w:rPr>
                <w:rFonts w:ascii="宋体" w:hAnsi="宋体" w:cs="宋体"/>
                <w:color w:val="000000"/>
                <w:kern w:val="0"/>
                <w:szCs w:val="21"/>
              </w:rPr>
            </w:pPr>
            <w:r>
              <w:rPr>
                <w:rFonts w:hint="eastAsia" w:ascii="宋体" w:hAnsi="宋体" w:cs="宋体"/>
                <w:color w:val="000000"/>
                <w:kern w:val="0"/>
                <w:szCs w:val="21"/>
              </w:rPr>
              <w:t>项目</w:t>
            </w:r>
          </w:p>
        </w:tc>
        <w:tc>
          <w:tcPr>
            <w:tcW w:w="469" w:type="pct"/>
            <w:tcBorders>
              <w:top w:val="single" w:color="auto" w:sz="4" w:space="0"/>
              <w:left w:val="nil"/>
              <w:bottom w:val="single" w:color="auto" w:sz="4" w:space="0"/>
              <w:right w:val="single" w:color="auto" w:sz="4" w:space="0"/>
            </w:tcBorders>
            <w:shd w:val="clear" w:color="auto" w:fill="auto"/>
            <w:noWrap/>
            <w:vAlign w:val="center"/>
          </w:tcPr>
          <w:p w14:paraId="1AB3F21D">
            <w:pPr>
              <w:widowControl/>
              <w:jc w:val="center"/>
              <w:rPr>
                <w:rFonts w:ascii="宋体" w:hAnsi="宋体" w:cs="宋体"/>
                <w:color w:val="000000"/>
                <w:kern w:val="0"/>
                <w:szCs w:val="21"/>
              </w:rPr>
            </w:pPr>
            <w:r>
              <w:rPr>
                <w:rFonts w:hint="eastAsia" w:ascii="宋体" w:hAnsi="宋体" w:cs="宋体"/>
                <w:color w:val="000000"/>
                <w:kern w:val="0"/>
                <w:szCs w:val="21"/>
              </w:rPr>
              <w:t>工程内容</w:t>
            </w:r>
          </w:p>
        </w:tc>
        <w:tc>
          <w:tcPr>
            <w:tcW w:w="513" w:type="pct"/>
            <w:tcBorders>
              <w:top w:val="single" w:color="auto" w:sz="4" w:space="0"/>
              <w:left w:val="nil"/>
              <w:bottom w:val="single" w:color="auto" w:sz="4" w:space="0"/>
              <w:right w:val="single" w:color="auto" w:sz="4" w:space="0"/>
            </w:tcBorders>
            <w:shd w:val="clear" w:color="auto" w:fill="auto"/>
            <w:vAlign w:val="center"/>
          </w:tcPr>
          <w:p w14:paraId="045C06F3">
            <w:pPr>
              <w:widowControl/>
              <w:jc w:val="center"/>
              <w:rPr>
                <w:rFonts w:ascii="宋体" w:hAnsi="宋体" w:cs="宋体"/>
                <w:color w:val="000000"/>
                <w:kern w:val="0"/>
                <w:szCs w:val="21"/>
              </w:rPr>
            </w:pPr>
            <w:r>
              <w:rPr>
                <w:rFonts w:hint="eastAsia" w:ascii="宋体" w:hAnsi="宋体" w:cs="宋体"/>
                <w:color w:val="000000"/>
                <w:kern w:val="0"/>
                <w:szCs w:val="21"/>
              </w:rPr>
              <w:t>挖方</w:t>
            </w:r>
          </w:p>
        </w:tc>
        <w:tc>
          <w:tcPr>
            <w:tcW w:w="512" w:type="pct"/>
            <w:tcBorders>
              <w:top w:val="single" w:color="auto" w:sz="4" w:space="0"/>
              <w:left w:val="nil"/>
              <w:bottom w:val="single" w:color="auto" w:sz="4" w:space="0"/>
              <w:right w:val="single" w:color="auto" w:sz="4" w:space="0"/>
            </w:tcBorders>
            <w:shd w:val="clear" w:color="auto" w:fill="auto"/>
            <w:vAlign w:val="center"/>
          </w:tcPr>
          <w:p w14:paraId="59834588">
            <w:pPr>
              <w:widowControl/>
              <w:jc w:val="center"/>
              <w:rPr>
                <w:rFonts w:ascii="宋体" w:hAnsi="宋体" w:cs="宋体"/>
                <w:color w:val="000000"/>
                <w:kern w:val="0"/>
                <w:szCs w:val="21"/>
              </w:rPr>
            </w:pPr>
            <w:r>
              <w:rPr>
                <w:rFonts w:hint="eastAsia" w:ascii="宋体" w:hAnsi="宋体" w:cs="宋体"/>
                <w:color w:val="000000"/>
                <w:kern w:val="0"/>
                <w:szCs w:val="21"/>
              </w:rPr>
              <w:t>自身利用方</w:t>
            </w:r>
          </w:p>
        </w:tc>
        <w:tc>
          <w:tcPr>
            <w:tcW w:w="597" w:type="pct"/>
            <w:tcBorders>
              <w:top w:val="single" w:color="auto" w:sz="4" w:space="0"/>
              <w:left w:val="nil"/>
              <w:bottom w:val="single" w:color="auto" w:sz="4" w:space="0"/>
              <w:right w:val="single" w:color="auto" w:sz="4" w:space="0"/>
            </w:tcBorders>
            <w:shd w:val="clear" w:color="auto" w:fill="auto"/>
            <w:vAlign w:val="center"/>
          </w:tcPr>
          <w:p w14:paraId="1C0F6786">
            <w:pPr>
              <w:widowControl/>
              <w:jc w:val="center"/>
              <w:rPr>
                <w:rFonts w:ascii="宋体" w:hAnsi="宋体" w:cs="宋体"/>
                <w:color w:val="000000"/>
                <w:kern w:val="0"/>
                <w:szCs w:val="21"/>
              </w:rPr>
            </w:pPr>
            <w:r>
              <w:rPr>
                <w:rFonts w:hint="eastAsia" w:ascii="宋体" w:hAnsi="宋体" w:cs="宋体"/>
                <w:color w:val="000000"/>
                <w:kern w:val="0"/>
                <w:szCs w:val="21"/>
              </w:rPr>
              <w:t>多余土方</w:t>
            </w:r>
            <w:r>
              <w:rPr>
                <w:color w:val="000000"/>
                <w:kern w:val="0"/>
                <w:szCs w:val="21"/>
              </w:rPr>
              <w:t>/</w:t>
            </w:r>
            <w:r>
              <w:rPr>
                <w:rFonts w:hint="eastAsia" w:ascii="宋体" w:hAnsi="宋体" w:cs="宋体"/>
                <w:color w:val="000000"/>
                <w:kern w:val="0"/>
                <w:szCs w:val="21"/>
              </w:rPr>
              <w:t>借方</w:t>
            </w:r>
          </w:p>
        </w:tc>
        <w:tc>
          <w:tcPr>
            <w:tcW w:w="2186" w:type="pct"/>
            <w:tcBorders>
              <w:top w:val="single" w:color="auto" w:sz="4" w:space="0"/>
              <w:left w:val="nil"/>
              <w:bottom w:val="single" w:color="auto" w:sz="4" w:space="0"/>
              <w:right w:val="single" w:color="auto" w:sz="4" w:space="0"/>
            </w:tcBorders>
            <w:shd w:val="clear" w:color="auto" w:fill="auto"/>
            <w:vAlign w:val="center"/>
          </w:tcPr>
          <w:p w14:paraId="16032F7D">
            <w:pPr>
              <w:widowControl/>
              <w:jc w:val="center"/>
              <w:rPr>
                <w:rFonts w:ascii="宋体" w:hAnsi="宋体" w:cs="宋体"/>
                <w:color w:val="000000"/>
                <w:kern w:val="0"/>
                <w:szCs w:val="21"/>
              </w:rPr>
            </w:pPr>
            <w:r>
              <w:rPr>
                <w:rFonts w:hint="eastAsia" w:ascii="宋体" w:hAnsi="宋体" w:cs="宋体"/>
                <w:color w:val="000000"/>
                <w:kern w:val="0"/>
                <w:szCs w:val="21"/>
              </w:rPr>
              <w:t>利用途径</w:t>
            </w:r>
          </w:p>
        </w:tc>
      </w:tr>
      <w:tr w14:paraId="7057B47C">
        <w:tblPrEx>
          <w:tblCellMar>
            <w:top w:w="0" w:type="dxa"/>
            <w:left w:w="108" w:type="dxa"/>
            <w:bottom w:w="0" w:type="dxa"/>
            <w:right w:w="108" w:type="dxa"/>
          </w:tblCellMar>
        </w:tblPrEx>
        <w:trPr>
          <w:trHeight w:val="285" w:hRule="atLeast"/>
        </w:trPr>
        <w:tc>
          <w:tcPr>
            <w:tcW w:w="723" w:type="pct"/>
            <w:tcBorders>
              <w:top w:val="nil"/>
              <w:left w:val="single" w:color="auto" w:sz="4" w:space="0"/>
              <w:bottom w:val="single" w:color="auto" w:sz="4" w:space="0"/>
              <w:right w:val="single" w:color="auto" w:sz="4" w:space="0"/>
            </w:tcBorders>
            <w:shd w:val="clear" w:color="auto" w:fill="auto"/>
            <w:noWrap/>
            <w:vAlign w:val="center"/>
          </w:tcPr>
          <w:p w14:paraId="5279FAA3">
            <w:pPr>
              <w:widowControl/>
              <w:jc w:val="center"/>
              <w:rPr>
                <w:rFonts w:ascii="宋体" w:hAnsi="宋体" w:cs="宋体"/>
                <w:color w:val="000000"/>
                <w:kern w:val="0"/>
                <w:szCs w:val="21"/>
              </w:rPr>
            </w:pPr>
            <w:r>
              <w:rPr>
                <w:rFonts w:hint="eastAsia" w:ascii="宋体" w:hAnsi="宋体" w:cs="宋体"/>
                <w:color w:val="000000"/>
                <w:kern w:val="0"/>
                <w:szCs w:val="21"/>
              </w:rPr>
              <w:t>小辽东段</w:t>
            </w:r>
          </w:p>
        </w:tc>
        <w:tc>
          <w:tcPr>
            <w:tcW w:w="469" w:type="pct"/>
            <w:vMerge w:val="restart"/>
            <w:tcBorders>
              <w:top w:val="nil"/>
              <w:left w:val="nil"/>
              <w:right w:val="single" w:color="auto" w:sz="4" w:space="0"/>
            </w:tcBorders>
            <w:shd w:val="clear" w:color="auto" w:fill="auto"/>
            <w:noWrap/>
            <w:vAlign w:val="center"/>
          </w:tcPr>
          <w:p w14:paraId="2C912173">
            <w:pPr>
              <w:widowControl/>
              <w:jc w:val="center"/>
              <w:rPr>
                <w:rFonts w:ascii="宋体" w:hAnsi="宋体" w:cs="宋体"/>
                <w:color w:val="000000"/>
                <w:kern w:val="0"/>
                <w:szCs w:val="21"/>
              </w:rPr>
            </w:pPr>
            <w:r>
              <w:rPr>
                <w:rFonts w:hint="eastAsia" w:ascii="宋体" w:hAnsi="宋体" w:cs="宋体"/>
                <w:color w:val="000000"/>
                <w:kern w:val="0"/>
                <w:szCs w:val="21"/>
              </w:rPr>
              <w:t>基底修复及微地形梳理</w:t>
            </w:r>
          </w:p>
        </w:tc>
        <w:tc>
          <w:tcPr>
            <w:tcW w:w="513" w:type="pct"/>
            <w:tcBorders>
              <w:top w:val="nil"/>
              <w:left w:val="nil"/>
              <w:bottom w:val="single" w:color="auto" w:sz="4" w:space="0"/>
              <w:right w:val="single" w:color="auto" w:sz="4" w:space="0"/>
            </w:tcBorders>
            <w:shd w:val="clear" w:color="auto" w:fill="auto"/>
            <w:noWrap/>
            <w:vAlign w:val="center"/>
          </w:tcPr>
          <w:p w14:paraId="56BCF146">
            <w:pPr>
              <w:widowControl/>
              <w:jc w:val="center"/>
              <w:rPr>
                <w:rFonts w:eastAsia="等线"/>
                <w:color w:val="000000"/>
                <w:kern w:val="0"/>
                <w:szCs w:val="21"/>
              </w:rPr>
            </w:pPr>
            <w:r>
              <w:rPr>
                <w:rFonts w:eastAsia="等线"/>
                <w:color w:val="000000"/>
                <w:kern w:val="0"/>
                <w:szCs w:val="21"/>
              </w:rPr>
              <w:t>63296</w:t>
            </w:r>
          </w:p>
        </w:tc>
        <w:tc>
          <w:tcPr>
            <w:tcW w:w="512" w:type="pct"/>
            <w:tcBorders>
              <w:top w:val="nil"/>
              <w:left w:val="nil"/>
              <w:bottom w:val="single" w:color="auto" w:sz="4" w:space="0"/>
              <w:right w:val="single" w:color="auto" w:sz="4" w:space="0"/>
            </w:tcBorders>
            <w:shd w:val="clear" w:color="auto" w:fill="auto"/>
            <w:noWrap/>
            <w:vAlign w:val="center"/>
          </w:tcPr>
          <w:p w14:paraId="2980E29F">
            <w:pPr>
              <w:widowControl/>
              <w:jc w:val="center"/>
              <w:rPr>
                <w:rFonts w:eastAsia="等线"/>
                <w:color w:val="000000"/>
                <w:kern w:val="0"/>
                <w:szCs w:val="21"/>
              </w:rPr>
            </w:pPr>
            <w:r>
              <w:rPr>
                <w:rFonts w:eastAsia="等线"/>
                <w:color w:val="000000"/>
                <w:kern w:val="0"/>
                <w:szCs w:val="21"/>
              </w:rPr>
              <w:t>77406</w:t>
            </w:r>
          </w:p>
        </w:tc>
        <w:tc>
          <w:tcPr>
            <w:tcW w:w="597" w:type="pct"/>
            <w:tcBorders>
              <w:top w:val="nil"/>
              <w:left w:val="nil"/>
              <w:bottom w:val="single" w:color="auto" w:sz="4" w:space="0"/>
              <w:right w:val="single" w:color="auto" w:sz="4" w:space="0"/>
            </w:tcBorders>
            <w:shd w:val="clear" w:color="auto" w:fill="auto"/>
            <w:vAlign w:val="center"/>
          </w:tcPr>
          <w:p w14:paraId="5082BF95">
            <w:pPr>
              <w:widowControl/>
              <w:jc w:val="center"/>
              <w:rPr>
                <w:rFonts w:eastAsia="等线"/>
                <w:color w:val="000000"/>
                <w:kern w:val="0"/>
                <w:szCs w:val="21"/>
              </w:rPr>
            </w:pPr>
            <w:r>
              <w:rPr>
                <w:rFonts w:eastAsia="等线"/>
                <w:color w:val="000000"/>
                <w:kern w:val="0"/>
                <w:szCs w:val="21"/>
              </w:rPr>
              <w:t>-14110</w:t>
            </w:r>
          </w:p>
        </w:tc>
        <w:tc>
          <w:tcPr>
            <w:tcW w:w="2186" w:type="pct"/>
            <w:tcBorders>
              <w:top w:val="nil"/>
              <w:left w:val="nil"/>
              <w:bottom w:val="single" w:color="auto" w:sz="4" w:space="0"/>
              <w:right w:val="single" w:color="auto" w:sz="4" w:space="0"/>
            </w:tcBorders>
            <w:shd w:val="clear" w:color="auto" w:fill="auto"/>
            <w:noWrap/>
            <w:vAlign w:val="center"/>
          </w:tcPr>
          <w:p w14:paraId="42FC9E75">
            <w:pPr>
              <w:widowControl/>
              <w:jc w:val="center"/>
              <w:rPr>
                <w:rFonts w:ascii="宋体" w:hAnsi="宋体" w:cs="宋体"/>
                <w:color w:val="000000"/>
                <w:kern w:val="0"/>
                <w:szCs w:val="21"/>
              </w:rPr>
            </w:pPr>
            <w:r>
              <w:rPr>
                <w:rFonts w:hint="eastAsia" w:ascii="宋体" w:hAnsi="宋体" w:cs="宋体"/>
                <w:color w:val="000000"/>
                <w:kern w:val="0"/>
                <w:szCs w:val="21"/>
              </w:rPr>
              <w:t>自身利用，借方来自前沟门段和岗子河入河口段工程</w:t>
            </w:r>
          </w:p>
        </w:tc>
      </w:tr>
      <w:tr w14:paraId="07C3DE48">
        <w:tblPrEx>
          <w:tblCellMar>
            <w:top w:w="0" w:type="dxa"/>
            <w:left w:w="108" w:type="dxa"/>
            <w:bottom w:w="0" w:type="dxa"/>
            <w:right w:w="108" w:type="dxa"/>
          </w:tblCellMar>
        </w:tblPrEx>
        <w:trPr>
          <w:trHeight w:val="285" w:hRule="atLeast"/>
        </w:trPr>
        <w:tc>
          <w:tcPr>
            <w:tcW w:w="723" w:type="pct"/>
            <w:tcBorders>
              <w:top w:val="nil"/>
              <w:left w:val="single" w:color="auto" w:sz="4" w:space="0"/>
              <w:bottom w:val="single" w:color="auto" w:sz="4" w:space="0"/>
              <w:right w:val="single" w:color="auto" w:sz="4" w:space="0"/>
            </w:tcBorders>
            <w:shd w:val="clear" w:color="auto" w:fill="auto"/>
            <w:noWrap/>
            <w:vAlign w:val="center"/>
          </w:tcPr>
          <w:p w14:paraId="6FB3EBE9">
            <w:pPr>
              <w:widowControl/>
              <w:jc w:val="center"/>
              <w:rPr>
                <w:rFonts w:ascii="宋体" w:hAnsi="宋体" w:cs="宋体"/>
                <w:color w:val="000000"/>
                <w:kern w:val="0"/>
                <w:szCs w:val="21"/>
              </w:rPr>
            </w:pPr>
            <w:r>
              <w:rPr>
                <w:rFonts w:hint="eastAsia" w:ascii="宋体" w:hAnsi="宋体" w:cs="宋体"/>
                <w:color w:val="000000"/>
                <w:kern w:val="0"/>
                <w:szCs w:val="21"/>
              </w:rPr>
              <w:t>前沟门段</w:t>
            </w:r>
          </w:p>
        </w:tc>
        <w:tc>
          <w:tcPr>
            <w:tcW w:w="469" w:type="pct"/>
            <w:vMerge w:val="continue"/>
            <w:tcBorders>
              <w:left w:val="nil"/>
              <w:right w:val="single" w:color="auto" w:sz="4" w:space="0"/>
            </w:tcBorders>
            <w:shd w:val="clear" w:color="auto" w:fill="auto"/>
            <w:noWrap/>
            <w:vAlign w:val="center"/>
          </w:tcPr>
          <w:p w14:paraId="646E3504">
            <w:pPr>
              <w:widowControl/>
              <w:jc w:val="center"/>
              <w:rPr>
                <w:rFonts w:ascii="宋体" w:hAnsi="宋体" w:cs="宋体"/>
                <w:color w:val="000000"/>
                <w:kern w:val="0"/>
                <w:szCs w:val="21"/>
              </w:rPr>
            </w:pPr>
          </w:p>
        </w:tc>
        <w:tc>
          <w:tcPr>
            <w:tcW w:w="513" w:type="pct"/>
            <w:tcBorders>
              <w:top w:val="nil"/>
              <w:left w:val="nil"/>
              <w:bottom w:val="single" w:color="auto" w:sz="4" w:space="0"/>
              <w:right w:val="single" w:color="auto" w:sz="4" w:space="0"/>
            </w:tcBorders>
            <w:shd w:val="clear" w:color="auto" w:fill="auto"/>
            <w:noWrap/>
            <w:vAlign w:val="center"/>
          </w:tcPr>
          <w:p w14:paraId="72F4BF87">
            <w:pPr>
              <w:widowControl/>
              <w:jc w:val="center"/>
              <w:rPr>
                <w:rFonts w:eastAsia="等线"/>
                <w:color w:val="000000"/>
                <w:kern w:val="0"/>
                <w:szCs w:val="21"/>
              </w:rPr>
            </w:pPr>
            <w:r>
              <w:rPr>
                <w:rFonts w:eastAsia="等线"/>
                <w:color w:val="000000"/>
                <w:kern w:val="0"/>
                <w:szCs w:val="21"/>
              </w:rPr>
              <w:t>38884</w:t>
            </w:r>
          </w:p>
        </w:tc>
        <w:tc>
          <w:tcPr>
            <w:tcW w:w="512" w:type="pct"/>
            <w:tcBorders>
              <w:top w:val="nil"/>
              <w:left w:val="nil"/>
              <w:bottom w:val="single" w:color="auto" w:sz="4" w:space="0"/>
              <w:right w:val="single" w:color="auto" w:sz="4" w:space="0"/>
            </w:tcBorders>
            <w:shd w:val="clear" w:color="auto" w:fill="auto"/>
            <w:noWrap/>
            <w:vAlign w:val="center"/>
          </w:tcPr>
          <w:p w14:paraId="32649F85">
            <w:pPr>
              <w:widowControl/>
              <w:jc w:val="center"/>
              <w:rPr>
                <w:rFonts w:eastAsia="等线"/>
                <w:color w:val="000000"/>
                <w:kern w:val="0"/>
                <w:szCs w:val="21"/>
              </w:rPr>
            </w:pPr>
            <w:r>
              <w:rPr>
                <w:rFonts w:eastAsia="等线"/>
                <w:color w:val="000000"/>
                <w:kern w:val="0"/>
                <w:szCs w:val="21"/>
              </w:rPr>
              <w:t>28824</w:t>
            </w:r>
          </w:p>
        </w:tc>
        <w:tc>
          <w:tcPr>
            <w:tcW w:w="597" w:type="pct"/>
            <w:tcBorders>
              <w:top w:val="nil"/>
              <w:left w:val="nil"/>
              <w:bottom w:val="single" w:color="auto" w:sz="4" w:space="0"/>
              <w:right w:val="single" w:color="auto" w:sz="4" w:space="0"/>
            </w:tcBorders>
            <w:shd w:val="clear" w:color="auto" w:fill="auto"/>
            <w:vAlign w:val="center"/>
          </w:tcPr>
          <w:p w14:paraId="5948865C">
            <w:pPr>
              <w:widowControl/>
              <w:jc w:val="center"/>
              <w:rPr>
                <w:rFonts w:eastAsia="等线"/>
                <w:color w:val="000000"/>
                <w:kern w:val="0"/>
                <w:szCs w:val="21"/>
              </w:rPr>
            </w:pPr>
            <w:r>
              <w:rPr>
                <w:rFonts w:eastAsia="等线"/>
                <w:color w:val="000000"/>
                <w:kern w:val="0"/>
                <w:szCs w:val="21"/>
              </w:rPr>
              <w:t>10060</w:t>
            </w:r>
          </w:p>
        </w:tc>
        <w:tc>
          <w:tcPr>
            <w:tcW w:w="2186" w:type="pct"/>
            <w:tcBorders>
              <w:top w:val="nil"/>
              <w:left w:val="nil"/>
              <w:bottom w:val="single" w:color="auto" w:sz="4" w:space="0"/>
              <w:right w:val="single" w:color="auto" w:sz="4" w:space="0"/>
            </w:tcBorders>
            <w:shd w:val="clear" w:color="auto" w:fill="auto"/>
            <w:noWrap/>
            <w:vAlign w:val="center"/>
          </w:tcPr>
          <w:p w14:paraId="4E57577B">
            <w:pPr>
              <w:widowControl/>
              <w:jc w:val="center"/>
              <w:rPr>
                <w:rFonts w:ascii="宋体" w:hAnsi="宋体" w:cs="宋体"/>
                <w:color w:val="000000"/>
                <w:kern w:val="0"/>
                <w:szCs w:val="21"/>
              </w:rPr>
            </w:pPr>
            <w:r>
              <w:rPr>
                <w:rFonts w:hint="eastAsia" w:ascii="宋体" w:hAnsi="宋体" w:cs="宋体"/>
                <w:color w:val="000000"/>
                <w:kern w:val="0"/>
                <w:szCs w:val="21"/>
              </w:rPr>
              <w:t>自身利用，多余土方，运往小辽东段</w:t>
            </w:r>
          </w:p>
        </w:tc>
      </w:tr>
      <w:tr w14:paraId="0A71799B">
        <w:tblPrEx>
          <w:tblCellMar>
            <w:top w:w="0" w:type="dxa"/>
            <w:left w:w="108" w:type="dxa"/>
            <w:bottom w:w="0" w:type="dxa"/>
            <w:right w:w="108" w:type="dxa"/>
          </w:tblCellMar>
        </w:tblPrEx>
        <w:trPr>
          <w:trHeight w:val="285" w:hRule="atLeast"/>
        </w:trPr>
        <w:tc>
          <w:tcPr>
            <w:tcW w:w="723" w:type="pct"/>
            <w:tcBorders>
              <w:top w:val="nil"/>
              <w:left w:val="single" w:color="auto" w:sz="4" w:space="0"/>
              <w:bottom w:val="single" w:color="auto" w:sz="4" w:space="0"/>
              <w:right w:val="single" w:color="auto" w:sz="4" w:space="0"/>
            </w:tcBorders>
            <w:shd w:val="clear" w:color="auto" w:fill="auto"/>
            <w:noWrap/>
            <w:vAlign w:val="center"/>
          </w:tcPr>
          <w:p w14:paraId="00332669">
            <w:pPr>
              <w:widowControl/>
              <w:jc w:val="center"/>
              <w:rPr>
                <w:rFonts w:ascii="宋体" w:hAnsi="宋体" w:cs="宋体"/>
                <w:color w:val="000000"/>
                <w:kern w:val="0"/>
                <w:szCs w:val="21"/>
              </w:rPr>
            </w:pPr>
            <w:r>
              <w:rPr>
                <w:rFonts w:hint="eastAsia" w:ascii="宋体" w:hAnsi="宋体" w:cs="宋体"/>
                <w:color w:val="000000"/>
                <w:kern w:val="0"/>
                <w:szCs w:val="21"/>
              </w:rPr>
              <w:t>大河北段</w:t>
            </w:r>
          </w:p>
        </w:tc>
        <w:tc>
          <w:tcPr>
            <w:tcW w:w="469" w:type="pct"/>
            <w:vMerge w:val="continue"/>
            <w:tcBorders>
              <w:left w:val="nil"/>
              <w:right w:val="single" w:color="auto" w:sz="4" w:space="0"/>
            </w:tcBorders>
            <w:shd w:val="clear" w:color="auto" w:fill="auto"/>
            <w:noWrap/>
            <w:vAlign w:val="center"/>
          </w:tcPr>
          <w:p w14:paraId="45552ABD">
            <w:pPr>
              <w:widowControl/>
              <w:jc w:val="center"/>
              <w:rPr>
                <w:rFonts w:ascii="宋体" w:hAnsi="宋体" w:cs="宋体"/>
                <w:color w:val="000000"/>
                <w:kern w:val="0"/>
                <w:szCs w:val="21"/>
              </w:rPr>
            </w:pPr>
          </w:p>
        </w:tc>
        <w:tc>
          <w:tcPr>
            <w:tcW w:w="513" w:type="pct"/>
            <w:tcBorders>
              <w:top w:val="nil"/>
              <w:left w:val="nil"/>
              <w:bottom w:val="single" w:color="auto" w:sz="4" w:space="0"/>
              <w:right w:val="single" w:color="auto" w:sz="4" w:space="0"/>
            </w:tcBorders>
            <w:shd w:val="clear" w:color="auto" w:fill="auto"/>
            <w:noWrap/>
            <w:vAlign w:val="center"/>
          </w:tcPr>
          <w:p w14:paraId="6F556F06">
            <w:pPr>
              <w:widowControl/>
              <w:jc w:val="center"/>
              <w:rPr>
                <w:rFonts w:eastAsia="等线"/>
                <w:color w:val="000000"/>
                <w:kern w:val="0"/>
                <w:szCs w:val="21"/>
              </w:rPr>
            </w:pPr>
            <w:r>
              <w:rPr>
                <w:rFonts w:eastAsia="等线"/>
                <w:color w:val="000000"/>
                <w:kern w:val="0"/>
                <w:szCs w:val="21"/>
              </w:rPr>
              <w:t>109329</w:t>
            </w:r>
          </w:p>
        </w:tc>
        <w:tc>
          <w:tcPr>
            <w:tcW w:w="512" w:type="pct"/>
            <w:tcBorders>
              <w:top w:val="nil"/>
              <w:left w:val="nil"/>
              <w:bottom w:val="single" w:color="auto" w:sz="4" w:space="0"/>
              <w:right w:val="single" w:color="auto" w:sz="4" w:space="0"/>
            </w:tcBorders>
            <w:shd w:val="clear" w:color="auto" w:fill="auto"/>
            <w:noWrap/>
            <w:vAlign w:val="center"/>
          </w:tcPr>
          <w:p w14:paraId="3B9123A7">
            <w:pPr>
              <w:widowControl/>
              <w:jc w:val="center"/>
              <w:rPr>
                <w:rFonts w:eastAsia="等线"/>
                <w:color w:val="000000"/>
                <w:kern w:val="0"/>
                <w:szCs w:val="21"/>
              </w:rPr>
            </w:pPr>
            <w:r>
              <w:rPr>
                <w:rFonts w:eastAsia="等线"/>
                <w:color w:val="000000"/>
                <w:kern w:val="0"/>
                <w:szCs w:val="21"/>
              </w:rPr>
              <w:t>118456</w:t>
            </w:r>
          </w:p>
        </w:tc>
        <w:tc>
          <w:tcPr>
            <w:tcW w:w="597" w:type="pct"/>
            <w:tcBorders>
              <w:top w:val="nil"/>
              <w:left w:val="nil"/>
              <w:bottom w:val="single" w:color="auto" w:sz="4" w:space="0"/>
              <w:right w:val="single" w:color="auto" w:sz="4" w:space="0"/>
            </w:tcBorders>
            <w:shd w:val="clear" w:color="auto" w:fill="auto"/>
            <w:vAlign w:val="center"/>
          </w:tcPr>
          <w:p w14:paraId="4A119BDA">
            <w:pPr>
              <w:widowControl/>
              <w:jc w:val="center"/>
              <w:rPr>
                <w:rFonts w:eastAsia="等线"/>
                <w:color w:val="000000"/>
                <w:kern w:val="0"/>
                <w:szCs w:val="21"/>
              </w:rPr>
            </w:pPr>
            <w:r>
              <w:rPr>
                <w:rFonts w:eastAsia="等线"/>
                <w:color w:val="000000"/>
                <w:kern w:val="0"/>
                <w:szCs w:val="21"/>
              </w:rPr>
              <w:t>-9127</w:t>
            </w:r>
          </w:p>
        </w:tc>
        <w:tc>
          <w:tcPr>
            <w:tcW w:w="2186" w:type="pct"/>
            <w:tcBorders>
              <w:top w:val="nil"/>
              <w:left w:val="nil"/>
              <w:bottom w:val="single" w:color="auto" w:sz="4" w:space="0"/>
              <w:right w:val="single" w:color="auto" w:sz="4" w:space="0"/>
            </w:tcBorders>
            <w:shd w:val="clear" w:color="auto" w:fill="auto"/>
            <w:noWrap/>
            <w:vAlign w:val="center"/>
          </w:tcPr>
          <w:p w14:paraId="2094E066">
            <w:pPr>
              <w:widowControl/>
              <w:jc w:val="center"/>
              <w:rPr>
                <w:rFonts w:ascii="宋体" w:hAnsi="宋体" w:cs="宋体"/>
                <w:color w:val="000000"/>
                <w:kern w:val="0"/>
                <w:szCs w:val="21"/>
              </w:rPr>
            </w:pPr>
            <w:r>
              <w:rPr>
                <w:rFonts w:hint="eastAsia" w:ascii="宋体" w:hAnsi="宋体" w:cs="宋体"/>
                <w:color w:val="000000"/>
                <w:kern w:val="0"/>
                <w:szCs w:val="21"/>
              </w:rPr>
              <w:t>自身利用，借方来自岗子河入河口段工程</w:t>
            </w:r>
          </w:p>
        </w:tc>
      </w:tr>
      <w:tr w14:paraId="008CD2CE">
        <w:tblPrEx>
          <w:tblCellMar>
            <w:top w:w="0" w:type="dxa"/>
            <w:left w:w="108" w:type="dxa"/>
            <w:bottom w:w="0" w:type="dxa"/>
            <w:right w:w="108" w:type="dxa"/>
          </w:tblCellMar>
        </w:tblPrEx>
        <w:trPr>
          <w:trHeight w:val="510" w:hRule="atLeast"/>
        </w:trPr>
        <w:tc>
          <w:tcPr>
            <w:tcW w:w="723" w:type="pct"/>
            <w:tcBorders>
              <w:top w:val="nil"/>
              <w:left w:val="single" w:color="auto" w:sz="4" w:space="0"/>
              <w:bottom w:val="single" w:color="auto" w:sz="4" w:space="0"/>
              <w:right w:val="single" w:color="auto" w:sz="4" w:space="0"/>
            </w:tcBorders>
            <w:shd w:val="clear" w:color="auto" w:fill="auto"/>
            <w:vAlign w:val="center"/>
          </w:tcPr>
          <w:p w14:paraId="3E52ECE6">
            <w:pPr>
              <w:widowControl/>
              <w:jc w:val="center"/>
              <w:rPr>
                <w:rFonts w:ascii="宋体" w:hAnsi="宋体" w:cs="宋体"/>
                <w:color w:val="000000"/>
                <w:kern w:val="0"/>
                <w:szCs w:val="21"/>
              </w:rPr>
            </w:pPr>
            <w:r>
              <w:rPr>
                <w:rFonts w:hint="eastAsia" w:ascii="宋体" w:hAnsi="宋体" w:cs="宋体"/>
                <w:color w:val="000000"/>
                <w:kern w:val="0"/>
                <w:szCs w:val="21"/>
              </w:rPr>
              <w:t>岗子河入河口段</w:t>
            </w:r>
          </w:p>
        </w:tc>
        <w:tc>
          <w:tcPr>
            <w:tcW w:w="469" w:type="pct"/>
            <w:vMerge w:val="continue"/>
            <w:tcBorders>
              <w:left w:val="nil"/>
              <w:bottom w:val="single" w:color="auto" w:sz="4" w:space="0"/>
              <w:right w:val="single" w:color="auto" w:sz="4" w:space="0"/>
            </w:tcBorders>
            <w:shd w:val="clear" w:color="auto" w:fill="auto"/>
            <w:noWrap/>
            <w:vAlign w:val="center"/>
          </w:tcPr>
          <w:p w14:paraId="0E57193C">
            <w:pPr>
              <w:widowControl/>
              <w:jc w:val="center"/>
              <w:rPr>
                <w:rFonts w:ascii="宋体" w:hAnsi="宋体" w:cs="宋体"/>
                <w:color w:val="000000"/>
                <w:kern w:val="0"/>
                <w:szCs w:val="21"/>
              </w:rPr>
            </w:pPr>
          </w:p>
        </w:tc>
        <w:tc>
          <w:tcPr>
            <w:tcW w:w="513" w:type="pct"/>
            <w:tcBorders>
              <w:top w:val="nil"/>
              <w:left w:val="nil"/>
              <w:bottom w:val="single" w:color="auto" w:sz="4" w:space="0"/>
              <w:right w:val="single" w:color="auto" w:sz="4" w:space="0"/>
            </w:tcBorders>
            <w:shd w:val="clear" w:color="auto" w:fill="auto"/>
            <w:noWrap/>
            <w:vAlign w:val="center"/>
          </w:tcPr>
          <w:p w14:paraId="3E6FD8EE">
            <w:pPr>
              <w:widowControl/>
              <w:jc w:val="center"/>
              <w:rPr>
                <w:rFonts w:eastAsia="等线"/>
                <w:color w:val="000000"/>
                <w:kern w:val="0"/>
                <w:szCs w:val="21"/>
              </w:rPr>
            </w:pPr>
            <w:r>
              <w:rPr>
                <w:rFonts w:eastAsia="等线"/>
                <w:color w:val="000000"/>
                <w:kern w:val="0"/>
                <w:szCs w:val="21"/>
              </w:rPr>
              <w:t>40298</w:t>
            </w:r>
          </w:p>
        </w:tc>
        <w:tc>
          <w:tcPr>
            <w:tcW w:w="512" w:type="pct"/>
            <w:tcBorders>
              <w:top w:val="nil"/>
              <w:left w:val="nil"/>
              <w:bottom w:val="single" w:color="auto" w:sz="4" w:space="0"/>
              <w:right w:val="single" w:color="auto" w:sz="4" w:space="0"/>
            </w:tcBorders>
            <w:shd w:val="clear" w:color="auto" w:fill="auto"/>
            <w:noWrap/>
            <w:vAlign w:val="center"/>
          </w:tcPr>
          <w:p w14:paraId="63E1FCE6">
            <w:pPr>
              <w:widowControl/>
              <w:jc w:val="center"/>
              <w:rPr>
                <w:rFonts w:eastAsia="等线"/>
                <w:color w:val="000000"/>
                <w:kern w:val="0"/>
                <w:szCs w:val="21"/>
              </w:rPr>
            </w:pPr>
            <w:r>
              <w:rPr>
                <w:rFonts w:eastAsia="等线"/>
                <w:color w:val="000000"/>
                <w:kern w:val="0"/>
                <w:szCs w:val="21"/>
              </w:rPr>
              <w:t>27083</w:t>
            </w:r>
          </w:p>
        </w:tc>
        <w:tc>
          <w:tcPr>
            <w:tcW w:w="597" w:type="pct"/>
            <w:tcBorders>
              <w:top w:val="nil"/>
              <w:left w:val="nil"/>
              <w:bottom w:val="single" w:color="auto" w:sz="4" w:space="0"/>
              <w:right w:val="single" w:color="auto" w:sz="4" w:space="0"/>
            </w:tcBorders>
            <w:shd w:val="clear" w:color="auto" w:fill="auto"/>
            <w:vAlign w:val="center"/>
          </w:tcPr>
          <w:p w14:paraId="6FAFE69B">
            <w:pPr>
              <w:widowControl/>
              <w:jc w:val="center"/>
              <w:rPr>
                <w:rFonts w:eastAsia="等线"/>
                <w:color w:val="000000"/>
                <w:kern w:val="0"/>
                <w:szCs w:val="21"/>
              </w:rPr>
            </w:pPr>
            <w:r>
              <w:rPr>
                <w:rFonts w:eastAsia="等线"/>
                <w:color w:val="000000"/>
                <w:kern w:val="0"/>
                <w:szCs w:val="21"/>
              </w:rPr>
              <w:t>13215</w:t>
            </w:r>
          </w:p>
        </w:tc>
        <w:tc>
          <w:tcPr>
            <w:tcW w:w="2186" w:type="pct"/>
            <w:tcBorders>
              <w:top w:val="nil"/>
              <w:left w:val="nil"/>
              <w:bottom w:val="single" w:color="auto" w:sz="4" w:space="0"/>
              <w:right w:val="single" w:color="auto" w:sz="4" w:space="0"/>
            </w:tcBorders>
            <w:shd w:val="clear" w:color="auto" w:fill="auto"/>
            <w:noWrap/>
            <w:vAlign w:val="center"/>
          </w:tcPr>
          <w:p w14:paraId="4A2ECD75">
            <w:pPr>
              <w:widowControl/>
              <w:jc w:val="center"/>
              <w:rPr>
                <w:rFonts w:eastAsia="等线"/>
                <w:color w:val="000000"/>
                <w:kern w:val="0"/>
                <w:szCs w:val="21"/>
              </w:rPr>
            </w:pPr>
            <w:r>
              <w:rPr>
                <w:rFonts w:hint="eastAsia" w:ascii="宋体" w:hAnsi="宋体" w:cs="宋体"/>
                <w:color w:val="000000"/>
                <w:kern w:val="0"/>
                <w:szCs w:val="21"/>
              </w:rPr>
              <w:t>自身利用，多余土方，运往大河北段和小辽东段</w:t>
            </w:r>
          </w:p>
        </w:tc>
      </w:tr>
      <w:tr w14:paraId="69E25141">
        <w:tblPrEx>
          <w:tblCellMar>
            <w:top w:w="0" w:type="dxa"/>
            <w:left w:w="108" w:type="dxa"/>
            <w:bottom w:w="0" w:type="dxa"/>
            <w:right w:w="108" w:type="dxa"/>
          </w:tblCellMar>
        </w:tblPrEx>
        <w:trPr>
          <w:trHeight w:val="285" w:hRule="atLeast"/>
        </w:trPr>
        <w:tc>
          <w:tcPr>
            <w:tcW w:w="1192"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357FDF62">
            <w:pPr>
              <w:widowControl/>
              <w:jc w:val="center"/>
              <w:rPr>
                <w:rFonts w:ascii="宋体" w:hAnsi="宋体" w:cs="宋体"/>
                <w:color w:val="000000"/>
                <w:kern w:val="0"/>
                <w:szCs w:val="21"/>
              </w:rPr>
            </w:pPr>
            <w:r>
              <w:rPr>
                <w:rFonts w:hint="eastAsia" w:ascii="宋体" w:hAnsi="宋体" w:cs="宋体"/>
                <w:color w:val="000000"/>
                <w:kern w:val="0"/>
                <w:szCs w:val="21"/>
              </w:rPr>
              <w:t>总计</w:t>
            </w:r>
          </w:p>
        </w:tc>
        <w:tc>
          <w:tcPr>
            <w:tcW w:w="513" w:type="pct"/>
            <w:tcBorders>
              <w:top w:val="nil"/>
              <w:left w:val="nil"/>
              <w:bottom w:val="single" w:color="auto" w:sz="4" w:space="0"/>
              <w:right w:val="single" w:color="auto" w:sz="4" w:space="0"/>
            </w:tcBorders>
            <w:shd w:val="clear" w:color="auto" w:fill="auto"/>
            <w:noWrap/>
            <w:vAlign w:val="center"/>
          </w:tcPr>
          <w:p w14:paraId="05A99570">
            <w:pPr>
              <w:widowControl/>
              <w:jc w:val="center"/>
              <w:rPr>
                <w:rFonts w:eastAsia="等线"/>
                <w:color w:val="000000"/>
                <w:kern w:val="0"/>
                <w:szCs w:val="21"/>
              </w:rPr>
            </w:pPr>
            <w:r>
              <w:rPr>
                <w:rFonts w:eastAsia="等线"/>
                <w:color w:val="000000"/>
                <w:kern w:val="0"/>
                <w:szCs w:val="21"/>
              </w:rPr>
              <w:t>251807</w:t>
            </w:r>
          </w:p>
        </w:tc>
        <w:tc>
          <w:tcPr>
            <w:tcW w:w="512" w:type="pct"/>
            <w:tcBorders>
              <w:top w:val="nil"/>
              <w:left w:val="nil"/>
              <w:bottom w:val="single" w:color="auto" w:sz="4" w:space="0"/>
              <w:right w:val="single" w:color="auto" w:sz="4" w:space="0"/>
            </w:tcBorders>
            <w:shd w:val="clear" w:color="auto" w:fill="auto"/>
            <w:noWrap/>
            <w:vAlign w:val="center"/>
          </w:tcPr>
          <w:p w14:paraId="55D698AB">
            <w:pPr>
              <w:widowControl/>
              <w:jc w:val="center"/>
              <w:rPr>
                <w:rFonts w:eastAsia="等线"/>
                <w:color w:val="000000"/>
                <w:kern w:val="0"/>
                <w:szCs w:val="21"/>
              </w:rPr>
            </w:pPr>
            <w:r>
              <w:rPr>
                <w:rFonts w:eastAsia="等线"/>
                <w:color w:val="000000"/>
                <w:kern w:val="0"/>
                <w:szCs w:val="21"/>
              </w:rPr>
              <w:t>251769</w:t>
            </w:r>
          </w:p>
        </w:tc>
        <w:tc>
          <w:tcPr>
            <w:tcW w:w="597" w:type="pct"/>
            <w:tcBorders>
              <w:top w:val="nil"/>
              <w:left w:val="nil"/>
              <w:bottom w:val="single" w:color="auto" w:sz="4" w:space="0"/>
              <w:right w:val="single" w:color="auto" w:sz="4" w:space="0"/>
            </w:tcBorders>
            <w:shd w:val="clear" w:color="auto" w:fill="auto"/>
            <w:noWrap/>
            <w:vAlign w:val="center"/>
          </w:tcPr>
          <w:p w14:paraId="24ABADB1">
            <w:pPr>
              <w:widowControl/>
              <w:jc w:val="center"/>
              <w:rPr>
                <w:rFonts w:eastAsia="等线"/>
                <w:color w:val="000000"/>
                <w:kern w:val="0"/>
                <w:szCs w:val="21"/>
              </w:rPr>
            </w:pPr>
            <w:r>
              <w:rPr>
                <w:rFonts w:eastAsia="等线"/>
                <w:color w:val="000000"/>
                <w:kern w:val="0"/>
                <w:szCs w:val="21"/>
              </w:rPr>
              <w:t>38</w:t>
            </w:r>
          </w:p>
        </w:tc>
        <w:tc>
          <w:tcPr>
            <w:tcW w:w="2186" w:type="pct"/>
            <w:tcBorders>
              <w:top w:val="nil"/>
              <w:left w:val="nil"/>
              <w:bottom w:val="single" w:color="auto" w:sz="4" w:space="0"/>
              <w:right w:val="single" w:color="auto" w:sz="4" w:space="0"/>
            </w:tcBorders>
            <w:shd w:val="clear" w:color="auto" w:fill="auto"/>
            <w:noWrap/>
            <w:vAlign w:val="center"/>
          </w:tcPr>
          <w:p w14:paraId="69332369">
            <w:pPr>
              <w:widowControl/>
              <w:jc w:val="center"/>
              <w:rPr>
                <w:rFonts w:ascii="宋体" w:hAnsi="宋体" w:cs="宋体"/>
                <w:color w:val="000000"/>
                <w:kern w:val="0"/>
                <w:szCs w:val="21"/>
              </w:rPr>
            </w:pPr>
            <w:r>
              <w:rPr>
                <w:rFonts w:hint="eastAsia" w:ascii="宋体" w:hAnsi="宋体" w:cs="宋体"/>
                <w:color w:val="000000"/>
                <w:kern w:val="0"/>
                <w:szCs w:val="21"/>
              </w:rPr>
              <w:t>工程总体基本实现土石方平衡，多余</w:t>
            </w:r>
            <w:r>
              <w:rPr>
                <w:color w:val="000000"/>
                <w:kern w:val="0"/>
                <w:szCs w:val="21"/>
              </w:rPr>
              <w:t>38 m</w:t>
            </w:r>
            <w:r>
              <w:rPr>
                <w:color w:val="000000"/>
                <w:kern w:val="0"/>
                <w:szCs w:val="21"/>
                <w:vertAlign w:val="superscript"/>
              </w:rPr>
              <w:t>3</w:t>
            </w:r>
            <w:r>
              <w:rPr>
                <w:rFonts w:hint="eastAsia" w:ascii="宋体" w:hAnsi="宋体" w:cs="宋体"/>
                <w:color w:val="000000"/>
                <w:kern w:val="0"/>
                <w:szCs w:val="21"/>
              </w:rPr>
              <w:t>均匀摊铺于边坡</w:t>
            </w:r>
          </w:p>
        </w:tc>
      </w:tr>
    </w:tbl>
    <w:p w14:paraId="431D72EA">
      <w:pPr>
        <w:pStyle w:val="4"/>
        <w:rPr>
          <w:kern w:val="0"/>
        </w:rPr>
      </w:pPr>
      <w:r>
        <w:rPr>
          <w:rFonts w:hint="eastAsia"/>
          <w:kern w:val="0"/>
        </w:rPr>
        <w:t>工程</w:t>
      </w:r>
      <w:r>
        <w:rPr>
          <w:kern w:val="0"/>
        </w:rPr>
        <w:t>占地</w:t>
      </w:r>
    </w:p>
    <w:p w14:paraId="6C2AE29E">
      <w:pPr>
        <w:pStyle w:val="85"/>
        <w:ind w:firstLine="480"/>
        <w:rPr>
          <w:kern w:val="0"/>
        </w:rPr>
      </w:pPr>
      <w:r>
        <w:rPr>
          <w:rFonts w:hint="eastAsia"/>
          <w:kern w:val="0"/>
        </w:rPr>
        <w:t>本工程</w:t>
      </w:r>
      <w:r>
        <w:rPr>
          <w:kern w:val="0"/>
        </w:rPr>
        <w:t>实施后，</w:t>
      </w:r>
      <w:r>
        <w:rPr>
          <w:rFonts w:hint="eastAsia"/>
          <w:kern w:val="0"/>
        </w:rPr>
        <w:t>不改变土地用途，不新增建设用地。</w:t>
      </w:r>
    </w:p>
    <w:p w14:paraId="1968E082">
      <w:pPr>
        <w:pStyle w:val="85"/>
        <w:ind w:firstLine="480"/>
        <w:rPr>
          <w:kern w:val="0"/>
        </w:rPr>
      </w:pPr>
      <w:r>
        <w:rPr>
          <w:rFonts w:hint="eastAsia"/>
          <w:kern w:val="0"/>
        </w:rPr>
        <w:t>项目中所需的格宾石笼等建筑材料可从附近购置；所需的苗木可从附近</w:t>
      </w:r>
      <w:r>
        <w:rPr>
          <w:kern w:val="0"/>
        </w:rPr>
        <w:t>和周边区域园</w:t>
      </w:r>
      <w:r>
        <w:rPr>
          <w:rFonts w:hint="eastAsia"/>
          <w:kern w:val="0"/>
        </w:rPr>
        <w:t>林公司采购；能够满足本工程的需求，</w:t>
      </w:r>
      <w:r>
        <w:rPr>
          <w:kern w:val="0"/>
        </w:rPr>
        <w:t>施工人员及机械均来自</w:t>
      </w:r>
      <w:r>
        <w:rPr>
          <w:rFonts w:hint="eastAsia"/>
          <w:kern w:val="0"/>
        </w:rPr>
        <w:t>项目</w:t>
      </w:r>
      <w:r>
        <w:rPr>
          <w:kern w:val="0"/>
        </w:rPr>
        <w:t>附近，除施工区域外，本工程不</w:t>
      </w:r>
      <w:r>
        <w:rPr>
          <w:rFonts w:hint="eastAsia"/>
          <w:kern w:val="0"/>
        </w:rPr>
        <w:t>再</w:t>
      </w:r>
      <w:r>
        <w:rPr>
          <w:kern w:val="0"/>
        </w:rPr>
        <w:t>单独</w:t>
      </w:r>
      <w:r>
        <w:rPr>
          <w:rFonts w:hint="eastAsia"/>
          <w:kern w:val="0"/>
        </w:rPr>
        <w:t>设置</w:t>
      </w:r>
      <w:r>
        <w:rPr>
          <w:kern w:val="0"/>
        </w:rPr>
        <w:t>施工营地</w:t>
      </w:r>
      <w:r>
        <w:rPr>
          <w:rFonts w:hint="eastAsia"/>
          <w:kern w:val="0"/>
        </w:rPr>
        <w:t>，也不设置料场。本工程开挖土方均来自工程区域基底修复及微地形梳理。本工程不设取土场。本工程开挖土方绝大部分就近用于工程区域基底修复及微地形梳理，少量土方（仅3</w:t>
      </w:r>
      <w:r>
        <w:rPr>
          <w:kern w:val="0"/>
        </w:rPr>
        <w:t>8</w:t>
      </w:r>
      <w:r>
        <w:rPr>
          <w:rFonts w:hint="eastAsia"/>
          <w:kern w:val="0"/>
        </w:rPr>
        <w:t>m</w:t>
      </w:r>
      <w:r>
        <w:rPr>
          <w:kern w:val="0"/>
          <w:vertAlign w:val="superscript"/>
        </w:rPr>
        <w:t>3</w:t>
      </w:r>
      <w:r>
        <w:rPr>
          <w:rFonts w:hint="eastAsia"/>
          <w:kern w:val="0"/>
        </w:rPr>
        <w:t>）均匀摊铺于边坡。挖方工程和填方工程同时进行。本工程不设弃土场也不设土方临时堆场。各施工区域均有现有道路连通，本工程无新增临时道路。</w:t>
      </w:r>
    </w:p>
    <w:p w14:paraId="4444C9C6">
      <w:pPr>
        <w:pStyle w:val="85"/>
        <w:ind w:firstLine="480"/>
        <w:rPr>
          <w:kern w:val="0"/>
        </w:rPr>
      </w:pPr>
      <w:r>
        <w:rPr>
          <w:rFonts w:hint="eastAsia"/>
          <w:kern w:val="0"/>
        </w:rPr>
        <w:t>工程设</w:t>
      </w:r>
      <w:r>
        <w:rPr>
          <w:kern w:val="0"/>
        </w:rPr>
        <w:t>2</w:t>
      </w:r>
      <w:r>
        <w:rPr>
          <w:rFonts w:hint="eastAsia"/>
          <w:kern w:val="0"/>
        </w:rPr>
        <w:t>座流动式厕所</w:t>
      </w:r>
      <w:r>
        <w:rPr>
          <w:kern w:val="0"/>
        </w:rPr>
        <w:t>，</w:t>
      </w:r>
      <w:r>
        <w:rPr>
          <w:rFonts w:hint="eastAsia"/>
          <w:kern w:val="0"/>
        </w:rPr>
        <w:t>不新增占地</w:t>
      </w:r>
      <w:r>
        <w:rPr>
          <w:kern w:val="0"/>
        </w:rPr>
        <w:t>。</w:t>
      </w:r>
    </w:p>
    <w:p w14:paraId="0308877E">
      <w:pPr>
        <w:pStyle w:val="4"/>
        <w:rPr>
          <w:kern w:val="0"/>
        </w:rPr>
      </w:pPr>
      <w:r>
        <w:rPr>
          <w:rFonts w:hint="eastAsia"/>
          <w:kern w:val="0"/>
        </w:rPr>
        <w:t>施工</w:t>
      </w:r>
      <w:r>
        <w:rPr>
          <w:kern w:val="0"/>
        </w:rPr>
        <w:t>人数及施工进度安排</w:t>
      </w:r>
    </w:p>
    <w:p w14:paraId="79429F1F">
      <w:pPr>
        <w:pStyle w:val="85"/>
        <w:ind w:firstLine="480"/>
        <w:rPr>
          <w:kern w:val="0"/>
        </w:rPr>
      </w:pPr>
      <w:r>
        <w:rPr>
          <w:rFonts w:hint="eastAsia"/>
          <w:kern w:val="0"/>
        </w:rPr>
        <w:t>工程高峰期施工人员约</w:t>
      </w:r>
      <w:r>
        <w:rPr>
          <w:kern w:val="0"/>
        </w:rPr>
        <w:t>30</w:t>
      </w:r>
      <w:r>
        <w:rPr>
          <w:rFonts w:hint="eastAsia"/>
          <w:kern w:val="0"/>
        </w:rPr>
        <w:t>人。</w:t>
      </w:r>
    </w:p>
    <w:p w14:paraId="29AA5E31">
      <w:pPr>
        <w:pStyle w:val="85"/>
        <w:ind w:firstLine="480"/>
        <w:jc w:val="center"/>
        <w:rPr>
          <w:rFonts w:eastAsia="黑体"/>
          <w:bCs/>
          <w:spacing w:val="-8"/>
          <w:kern w:val="0"/>
        </w:rPr>
      </w:pPr>
      <w:r>
        <w:rPr>
          <w:rFonts w:hint="eastAsia"/>
          <w:kern w:val="0"/>
        </w:rPr>
        <w:t>计划20</w:t>
      </w:r>
      <w:r>
        <w:rPr>
          <w:kern w:val="0"/>
        </w:rPr>
        <w:t>25</w:t>
      </w:r>
      <w:r>
        <w:rPr>
          <w:rFonts w:hint="eastAsia"/>
          <w:kern w:val="0"/>
        </w:rPr>
        <w:t>年</w:t>
      </w:r>
      <w:r>
        <w:rPr>
          <w:kern w:val="0"/>
        </w:rPr>
        <w:t>6</w:t>
      </w:r>
      <w:r>
        <w:rPr>
          <w:rFonts w:hint="eastAsia"/>
          <w:kern w:val="0"/>
        </w:rPr>
        <w:t>月开始施工建设，截至20</w:t>
      </w:r>
      <w:r>
        <w:rPr>
          <w:kern w:val="0"/>
        </w:rPr>
        <w:t>26</w:t>
      </w:r>
      <w:r>
        <w:rPr>
          <w:rFonts w:hint="eastAsia"/>
          <w:kern w:val="0"/>
        </w:rPr>
        <w:t>年</w:t>
      </w:r>
      <w:r>
        <w:rPr>
          <w:kern w:val="0"/>
        </w:rPr>
        <w:t>11</w:t>
      </w:r>
      <w:r>
        <w:rPr>
          <w:rFonts w:hint="eastAsia"/>
          <w:kern w:val="0"/>
        </w:rPr>
        <w:t>月</w:t>
      </w:r>
      <w:r>
        <w:rPr>
          <w:kern w:val="0"/>
        </w:rPr>
        <w:t>建设完成</w:t>
      </w:r>
      <w:r>
        <w:rPr>
          <w:rFonts w:hint="eastAsia"/>
          <w:kern w:val="0"/>
        </w:rPr>
        <w:t>。</w:t>
      </w:r>
    </w:p>
    <w:p w14:paraId="6DC3E1C5">
      <w:pPr>
        <w:pStyle w:val="3"/>
        <w:rPr>
          <w:kern w:val="0"/>
        </w:rPr>
      </w:pPr>
      <w:bookmarkStart w:id="87" w:name="_Toc198733157"/>
      <w:r>
        <w:rPr>
          <w:rFonts w:hint="eastAsia"/>
          <w:kern w:val="0"/>
        </w:rPr>
        <w:t>工程环境影响</w:t>
      </w:r>
      <w:r>
        <w:rPr>
          <w:kern w:val="0"/>
        </w:rPr>
        <w:t>因素分析</w:t>
      </w:r>
      <w:bookmarkEnd w:id="87"/>
    </w:p>
    <w:p w14:paraId="6281DBF0">
      <w:pPr>
        <w:pStyle w:val="85"/>
        <w:ind w:firstLine="480"/>
        <w:rPr>
          <w:kern w:val="0"/>
        </w:rPr>
      </w:pPr>
      <w:r>
        <w:rPr>
          <w:rFonts w:hint="eastAsia"/>
          <w:kern w:val="0"/>
        </w:rPr>
        <w:t>本工程为生态保护修复工程项目，运营期基本不产生和排放污染物。工程对环境</w:t>
      </w:r>
      <w:r>
        <w:rPr>
          <w:kern w:val="0"/>
        </w:rPr>
        <w:t>产生的影响主要体现在施工期。</w:t>
      </w:r>
    </w:p>
    <w:p w14:paraId="390720DF">
      <w:pPr>
        <w:pStyle w:val="4"/>
        <w:rPr>
          <w:kern w:val="0"/>
        </w:rPr>
      </w:pPr>
      <w:r>
        <w:rPr>
          <w:rFonts w:hint="eastAsia"/>
          <w:kern w:val="0"/>
        </w:rPr>
        <w:t>施工期</w:t>
      </w:r>
      <w:r>
        <w:rPr>
          <w:kern w:val="0"/>
        </w:rPr>
        <w:t>环境影响因素分析</w:t>
      </w:r>
    </w:p>
    <w:p w14:paraId="3C10DF67">
      <w:pPr>
        <w:pStyle w:val="5"/>
        <w:rPr>
          <w:kern w:val="0"/>
        </w:rPr>
      </w:pPr>
      <w:r>
        <w:rPr>
          <w:rFonts w:hint="eastAsia"/>
          <w:kern w:val="0"/>
        </w:rPr>
        <w:t>水环境</w:t>
      </w:r>
      <w:r>
        <w:rPr>
          <w:kern w:val="0"/>
        </w:rPr>
        <w:t>影响因素</w:t>
      </w:r>
    </w:p>
    <w:p w14:paraId="40193F4E">
      <w:pPr>
        <w:pStyle w:val="85"/>
        <w:ind w:firstLine="480"/>
        <w:rPr>
          <w:kern w:val="0"/>
        </w:rPr>
      </w:pPr>
      <w:r>
        <w:rPr>
          <w:rFonts w:hint="eastAsia"/>
          <w:kern w:val="0"/>
        </w:rPr>
        <w:t>（1）施工扰动引起的悬浮物污染源</w:t>
      </w:r>
    </w:p>
    <w:p w14:paraId="2523DC84">
      <w:pPr>
        <w:pStyle w:val="85"/>
        <w:ind w:firstLine="480"/>
        <w:rPr>
          <w:kern w:val="0"/>
        </w:rPr>
      </w:pPr>
      <w:r>
        <w:rPr>
          <w:rFonts w:hint="eastAsia"/>
          <w:kern w:val="0"/>
        </w:rPr>
        <w:t>河道基底修复及微地形梳理工程</w:t>
      </w:r>
      <w:r>
        <w:rPr>
          <w:kern w:val="0"/>
        </w:rPr>
        <w:t>施工时，</w:t>
      </w:r>
      <w:r>
        <w:rPr>
          <w:rFonts w:hint="eastAsia"/>
          <w:kern w:val="0"/>
        </w:rPr>
        <w:t>首先建设围堰，围堰型式采用土石方围堰和袋装黏土组合，河道水深约 0-1.0m，考虑壅水高度及安全加高，围堰高度1.50m</w:t>
      </w:r>
      <w:r>
        <w:rPr>
          <w:kern w:val="0"/>
        </w:rPr>
        <w:t>，</w:t>
      </w:r>
      <w:r>
        <w:rPr>
          <w:rFonts w:hint="eastAsia"/>
          <w:kern w:val="0"/>
        </w:rPr>
        <w:t>围堰</w:t>
      </w:r>
      <w:r>
        <w:rPr>
          <w:kern w:val="0"/>
        </w:rPr>
        <w:t>建设</w:t>
      </w:r>
      <w:r>
        <w:rPr>
          <w:rFonts w:hint="eastAsia"/>
          <w:kern w:val="0"/>
        </w:rPr>
        <w:t>过程中，会引起泥沙悬浮，使施工区域水体内悬浮物含量升高，对河道水质造成一定影响。</w:t>
      </w:r>
    </w:p>
    <w:p w14:paraId="6BCF6807">
      <w:pPr>
        <w:pStyle w:val="85"/>
        <w:ind w:firstLine="480"/>
        <w:rPr>
          <w:kern w:val="0"/>
        </w:rPr>
      </w:pPr>
      <w:r>
        <w:rPr>
          <w:rFonts w:hint="eastAsia"/>
          <w:kern w:val="0"/>
        </w:rPr>
        <w:t>（2）施工</w:t>
      </w:r>
      <w:r>
        <w:rPr>
          <w:kern w:val="0"/>
        </w:rPr>
        <w:t>人员生活污水</w:t>
      </w:r>
    </w:p>
    <w:p w14:paraId="0ED6B79A">
      <w:pPr>
        <w:pStyle w:val="85"/>
        <w:ind w:firstLine="480"/>
        <w:rPr>
          <w:kern w:val="0"/>
        </w:rPr>
      </w:pPr>
      <w:r>
        <w:rPr>
          <w:rFonts w:hint="eastAsia"/>
          <w:kern w:val="0"/>
        </w:rPr>
        <w:t>施工生活污水主要来源于施工期进场的施工人员的生活污水，主要污染物是COD、氨氮、SS。</w:t>
      </w:r>
    </w:p>
    <w:p w14:paraId="01A4FE05">
      <w:pPr>
        <w:pStyle w:val="5"/>
        <w:rPr>
          <w:kern w:val="0"/>
        </w:rPr>
      </w:pPr>
      <w:r>
        <w:rPr>
          <w:rFonts w:hint="eastAsia"/>
          <w:kern w:val="0"/>
        </w:rPr>
        <w:t>水文</w:t>
      </w:r>
      <w:r>
        <w:rPr>
          <w:kern w:val="0"/>
        </w:rPr>
        <w:t>影响因素</w:t>
      </w:r>
    </w:p>
    <w:p w14:paraId="31B1A896">
      <w:pPr>
        <w:pStyle w:val="85"/>
        <w:ind w:firstLine="480"/>
        <w:rPr>
          <w:kern w:val="0"/>
        </w:rPr>
      </w:pPr>
      <w:bookmarkStart w:id="88" w:name="_Hlk196053535"/>
      <w:r>
        <w:rPr>
          <w:rFonts w:hint="eastAsia"/>
          <w:kern w:val="0"/>
        </w:rPr>
        <w:t>河道基底修复及微地形梳理工程</w:t>
      </w:r>
      <w:bookmarkEnd w:id="88"/>
      <w:r>
        <w:rPr>
          <w:rFonts w:hint="eastAsia"/>
          <w:kern w:val="0"/>
        </w:rPr>
        <w:t>施工时，首先建设围堰，围堰型式采用土石方围堰和袋装黏土组合，河道水深约 0-1.0m，考虑壅水高度及安全加高，围堰高度1.50m</w:t>
      </w:r>
      <w:r>
        <w:rPr>
          <w:kern w:val="0"/>
        </w:rPr>
        <w:t>，</w:t>
      </w:r>
      <w:r>
        <w:rPr>
          <w:rFonts w:hint="eastAsia"/>
          <w:kern w:val="0"/>
        </w:rPr>
        <w:t>首先将</w:t>
      </w:r>
      <w:r>
        <w:rPr>
          <w:kern w:val="0"/>
        </w:rPr>
        <w:t>施工区域</w:t>
      </w:r>
      <w:r>
        <w:rPr>
          <w:rFonts w:hint="eastAsia"/>
          <w:kern w:val="0"/>
        </w:rPr>
        <w:t>的水</w:t>
      </w:r>
      <w:r>
        <w:rPr>
          <w:kern w:val="0"/>
        </w:rPr>
        <w:t>排至</w:t>
      </w:r>
      <w:r>
        <w:rPr>
          <w:rFonts w:hint="eastAsia"/>
          <w:kern w:val="0"/>
        </w:rPr>
        <w:t>相邻河道</w:t>
      </w:r>
      <w:r>
        <w:rPr>
          <w:kern w:val="0"/>
        </w:rPr>
        <w:t>，</w:t>
      </w:r>
      <w:r>
        <w:rPr>
          <w:rFonts w:hint="eastAsia"/>
          <w:kern w:val="0"/>
        </w:rPr>
        <w:t>短暂</w:t>
      </w:r>
      <w:r>
        <w:rPr>
          <w:kern w:val="0"/>
        </w:rPr>
        <w:t>改变</w:t>
      </w:r>
      <w:r>
        <w:rPr>
          <w:rFonts w:hint="eastAsia"/>
          <w:kern w:val="0"/>
        </w:rPr>
        <w:t>施工区域</w:t>
      </w:r>
      <w:r>
        <w:rPr>
          <w:kern w:val="0"/>
        </w:rPr>
        <w:t>的水位、水量</w:t>
      </w:r>
      <w:r>
        <w:rPr>
          <w:rFonts w:hint="eastAsia"/>
          <w:kern w:val="0"/>
        </w:rPr>
        <w:t>、流速</w:t>
      </w:r>
      <w:r>
        <w:rPr>
          <w:kern w:val="0"/>
        </w:rPr>
        <w:t>。</w:t>
      </w:r>
    </w:p>
    <w:p w14:paraId="2A27ACFE">
      <w:pPr>
        <w:pStyle w:val="5"/>
        <w:rPr>
          <w:kern w:val="0"/>
        </w:rPr>
      </w:pPr>
      <w:r>
        <w:rPr>
          <w:rFonts w:hint="eastAsia"/>
          <w:kern w:val="0"/>
        </w:rPr>
        <w:t>大气</w:t>
      </w:r>
      <w:r>
        <w:rPr>
          <w:kern w:val="0"/>
        </w:rPr>
        <w:t>环境影响因素</w:t>
      </w:r>
    </w:p>
    <w:p w14:paraId="4F2468E2">
      <w:pPr>
        <w:pStyle w:val="85"/>
        <w:ind w:firstLine="480"/>
        <w:rPr>
          <w:kern w:val="0"/>
        </w:rPr>
      </w:pPr>
      <w:r>
        <w:rPr>
          <w:rFonts w:hint="eastAsia"/>
          <w:kern w:val="0"/>
        </w:rPr>
        <w:t>施工期大气污染主要来自施工土方</w:t>
      </w:r>
      <w:r>
        <w:rPr>
          <w:kern w:val="0"/>
        </w:rPr>
        <w:t>开挖</w:t>
      </w:r>
      <w:r>
        <w:rPr>
          <w:rFonts w:hint="eastAsia"/>
          <w:kern w:val="0"/>
        </w:rPr>
        <w:t>粉尘和施工机动车辆和施工机械排放的燃油尾气、运输扬尘等。</w:t>
      </w:r>
    </w:p>
    <w:p w14:paraId="42D8936C">
      <w:pPr>
        <w:pStyle w:val="5"/>
        <w:rPr>
          <w:kern w:val="0"/>
        </w:rPr>
      </w:pPr>
      <w:r>
        <w:rPr>
          <w:rFonts w:hint="eastAsia"/>
          <w:kern w:val="0"/>
        </w:rPr>
        <w:t>声环境</w:t>
      </w:r>
      <w:r>
        <w:rPr>
          <w:kern w:val="0"/>
        </w:rPr>
        <w:t>影响因素</w:t>
      </w:r>
    </w:p>
    <w:p w14:paraId="099C709A">
      <w:pPr>
        <w:pStyle w:val="85"/>
        <w:ind w:firstLine="480"/>
        <w:rPr>
          <w:kern w:val="0"/>
        </w:rPr>
      </w:pPr>
      <w:r>
        <w:rPr>
          <w:rFonts w:hint="eastAsia"/>
          <w:kern w:val="0"/>
        </w:rPr>
        <w:t>本工程施工期噪声主要来自施工机械，如推土机、挖掘机、装载机、各种运输车辆等噪声影响。</w:t>
      </w:r>
    </w:p>
    <w:p w14:paraId="519879AB">
      <w:pPr>
        <w:pStyle w:val="5"/>
        <w:rPr>
          <w:kern w:val="0"/>
        </w:rPr>
      </w:pPr>
      <w:r>
        <w:rPr>
          <w:rFonts w:hint="eastAsia"/>
          <w:kern w:val="0"/>
        </w:rPr>
        <w:t>固体</w:t>
      </w:r>
      <w:r>
        <w:rPr>
          <w:kern w:val="0"/>
        </w:rPr>
        <w:t>废物影响因素</w:t>
      </w:r>
    </w:p>
    <w:p w14:paraId="61807806">
      <w:pPr>
        <w:pStyle w:val="85"/>
        <w:ind w:firstLine="480"/>
        <w:rPr>
          <w:kern w:val="0"/>
        </w:rPr>
      </w:pPr>
      <w:r>
        <w:rPr>
          <w:rFonts w:hint="eastAsia"/>
          <w:kern w:val="0"/>
        </w:rPr>
        <w:t>施工期不设</w:t>
      </w:r>
      <w:r>
        <w:rPr>
          <w:kern w:val="0"/>
        </w:rPr>
        <w:t>集中</w:t>
      </w:r>
      <w:r>
        <w:rPr>
          <w:rFonts w:hint="eastAsia"/>
          <w:kern w:val="0"/>
        </w:rPr>
        <w:t>车辆</w:t>
      </w:r>
      <w:r>
        <w:rPr>
          <w:kern w:val="0"/>
        </w:rPr>
        <w:t>维护维修场所，</w:t>
      </w:r>
      <w:r>
        <w:rPr>
          <w:rFonts w:hint="eastAsia"/>
          <w:kern w:val="0"/>
        </w:rPr>
        <w:t>车辆机械维护维修依托</w:t>
      </w:r>
      <w:r>
        <w:rPr>
          <w:kern w:val="0"/>
        </w:rPr>
        <w:t>社会商业</w:t>
      </w:r>
      <w:r>
        <w:rPr>
          <w:rFonts w:hint="eastAsia"/>
          <w:kern w:val="0"/>
        </w:rPr>
        <w:t>车辆维修</w:t>
      </w:r>
      <w:r>
        <w:rPr>
          <w:kern w:val="0"/>
        </w:rPr>
        <w:t>保养网点</w:t>
      </w:r>
      <w:r>
        <w:rPr>
          <w:rFonts w:hint="eastAsia"/>
          <w:kern w:val="0"/>
        </w:rPr>
        <w:t>。施工期产生的固体废弃物主要为施工人员的生活垃圾。</w:t>
      </w:r>
    </w:p>
    <w:p w14:paraId="09778E01">
      <w:pPr>
        <w:pStyle w:val="5"/>
        <w:rPr>
          <w:kern w:val="0"/>
        </w:rPr>
      </w:pPr>
      <w:r>
        <w:rPr>
          <w:rFonts w:hint="eastAsia"/>
          <w:kern w:val="0"/>
        </w:rPr>
        <w:t>生态影响因素</w:t>
      </w:r>
    </w:p>
    <w:p w14:paraId="4382ED7A">
      <w:pPr>
        <w:pStyle w:val="85"/>
        <w:ind w:firstLine="480"/>
        <w:rPr>
          <w:kern w:val="0"/>
        </w:rPr>
      </w:pPr>
      <w:r>
        <w:rPr>
          <w:rFonts w:hint="eastAsia"/>
          <w:kern w:val="0"/>
        </w:rPr>
        <w:t>施工期对评价区植物的影响主要有</w:t>
      </w:r>
      <w:bookmarkStart w:id="89" w:name="_Hlk196054977"/>
      <w:r>
        <w:rPr>
          <w:rFonts w:hint="eastAsia"/>
          <w:kern w:val="0"/>
        </w:rPr>
        <w:t>河道基底修复及微地形梳理</w:t>
      </w:r>
      <w:bookmarkEnd w:id="89"/>
      <w:r>
        <w:rPr>
          <w:rFonts w:hint="eastAsia"/>
          <w:kern w:val="0"/>
        </w:rPr>
        <w:t>工程施工占地对区域生物量影响。施工期对野生动物影响主要为施工期间人为活动干扰和污染因素对区域野生动植物栖息生境的干扰。施工期围堰施工破坏了河道底栖生物栖息环境，涉水施工造成水体浑浊，对水生生物带来的不良影响施工期活动会对工程区内生态系统及土地利用带来一定改变，上述影响主要集中在施工期，且呈点状、线性分布。</w:t>
      </w:r>
    </w:p>
    <w:p w14:paraId="0175DA58">
      <w:pPr>
        <w:pStyle w:val="4"/>
        <w:rPr>
          <w:kern w:val="0"/>
        </w:rPr>
      </w:pPr>
      <w:r>
        <w:rPr>
          <w:rFonts w:hint="eastAsia"/>
          <w:kern w:val="0"/>
        </w:rPr>
        <w:t>运营期</w:t>
      </w:r>
      <w:r>
        <w:rPr>
          <w:kern w:val="0"/>
        </w:rPr>
        <w:t>环境影响因素分析</w:t>
      </w:r>
    </w:p>
    <w:p w14:paraId="49D1181E">
      <w:pPr>
        <w:pStyle w:val="5"/>
        <w:rPr>
          <w:kern w:val="0"/>
        </w:rPr>
      </w:pPr>
      <w:r>
        <w:rPr>
          <w:rFonts w:hint="eastAsia"/>
          <w:kern w:val="0"/>
        </w:rPr>
        <w:t>水文</w:t>
      </w:r>
      <w:r>
        <w:rPr>
          <w:kern w:val="0"/>
        </w:rPr>
        <w:t>影响</w:t>
      </w:r>
      <w:r>
        <w:rPr>
          <w:rFonts w:hint="eastAsia"/>
          <w:kern w:val="0"/>
        </w:rPr>
        <w:t>因素</w:t>
      </w:r>
    </w:p>
    <w:p w14:paraId="75971455">
      <w:pPr>
        <w:pStyle w:val="85"/>
        <w:ind w:firstLine="480"/>
        <w:rPr>
          <w:kern w:val="0"/>
        </w:rPr>
      </w:pPr>
      <w:r>
        <w:rPr>
          <w:rFonts w:hint="eastAsia"/>
          <w:kern w:val="0"/>
        </w:rPr>
        <w:t>本</w:t>
      </w:r>
      <w:r>
        <w:rPr>
          <w:kern w:val="0"/>
        </w:rPr>
        <w:t>工程</w:t>
      </w:r>
      <w:r>
        <w:rPr>
          <w:rFonts w:hint="eastAsia"/>
          <w:kern w:val="0"/>
        </w:rPr>
        <w:t>不建设拦蓄水设施，不涉及兴利库容与取水，仅局部深浅和局部流速发生轻微变化，故对河流径流影响很小。根据《滦平县潮河干流河道水质改善与生态修复工程防洪评价报告》及其批复，本项目的布置未降低河道现状行洪能力，基本未改变河流整体流势，对水流有一定约束作用，同时防止了修建护岸一侧岸坡坍塌，提高岸坡防冲刷能力，对河道行洪及防冲起到积极作用。</w:t>
      </w:r>
    </w:p>
    <w:p w14:paraId="1EEF2478">
      <w:pPr>
        <w:pStyle w:val="5"/>
        <w:rPr>
          <w:kern w:val="0"/>
        </w:rPr>
      </w:pPr>
      <w:r>
        <w:rPr>
          <w:rFonts w:hint="eastAsia"/>
          <w:kern w:val="0"/>
        </w:rPr>
        <w:t>生态影响因素</w:t>
      </w:r>
    </w:p>
    <w:p w14:paraId="0C86F358">
      <w:pPr>
        <w:pStyle w:val="85"/>
        <w:ind w:firstLine="480"/>
        <w:rPr>
          <w:kern w:val="0"/>
        </w:rPr>
      </w:pPr>
      <w:bookmarkStart w:id="90" w:name="OLE_LINK22"/>
      <w:r>
        <w:rPr>
          <w:rFonts w:hint="eastAsia"/>
          <w:kern w:val="0"/>
        </w:rPr>
        <w:t>工程为生态修复项目，工程建设完成后，采取工程措施和植物措施相结合，能够保持工程区原有的生态功能，恢复植被及湿地生态环境，无不良影响；工程建设完成后，河道内的水生生态系统通过生态补水和自然恢复，能够逐渐恢复并得以改善，随着河道行洪条件的改善，良好的水利条件，有利于河流水体水质的改善，有利于提高区域湿地生态系统生态服务功能，对周围临近地区的植物和植被演替有利，周边地区的植物种类可能会增加，进而提高区域生物多样性水平。对潮河水生生态系统生态影响为正面、积极的。</w:t>
      </w:r>
    </w:p>
    <w:bookmarkEnd w:id="90"/>
    <w:p w14:paraId="6D5000C3">
      <w:pPr>
        <w:pStyle w:val="5"/>
        <w:rPr>
          <w:kern w:val="0"/>
        </w:rPr>
      </w:pPr>
      <w:r>
        <w:rPr>
          <w:rFonts w:hint="eastAsia"/>
          <w:kern w:val="0"/>
        </w:rPr>
        <w:t>其它</w:t>
      </w:r>
      <w:r>
        <w:rPr>
          <w:kern w:val="0"/>
        </w:rPr>
        <w:t>影响因素</w:t>
      </w:r>
    </w:p>
    <w:p w14:paraId="327AF3CD">
      <w:pPr>
        <w:pStyle w:val="85"/>
        <w:ind w:firstLine="480"/>
        <w:rPr>
          <w:kern w:val="0"/>
        </w:rPr>
      </w:pPr>
      <w:r>
        <w:rPr>
          <w:rFonts w:hint="eastAsia"/>
          <w:kern w:val="0"/>
        </w:rPr>
        <w:t>本工程运营期不产生和排放其它污染物，</w:t>
      </w:r>
      <w:r>
        <w:rPr>
          <w:kern w:val="0"/>
        </w:rPr>
        <w:t>不会对</w:t>
      </w:r>
      <w:r>
        <w:rPr>
          <w:rFonts w:hint="eastAsia"/>
          <w:kern w:val="0"/>
        </w:rPr>
        <w:t>大气环境、声环境、地表水</w:t>
      </w:r>
      <w:r>
        <w:rPr>
          <w:kern w:val="0"/>
        </w:rPr>
        <w:t>环境、</w:t>
      </w:r>
      <w:r>
        <w:rPr>
          <w:rFonts w:hint="eastAsia"/>
          <w:kern w:val="0"/>
        </w:rPr>
        <w:t>地下水</w:t>
      </w:r>
      <w:r>
        <w:rPr>
          <w:kern w:val="0"/>
        </w:rPr>
        <w:t>环境产生影响，也不产生固体废物。</w:t>
      </w:r>
    </w:p>
    <w:p w14:paraId="3D12E9D9">
      <w:pPr>
        <w:pStyle w:val="3"/>
        <w:rPr>
          <w:kern w:val="0"/>
        </w:rPr>
      </w:pPr>
      <w:bookmarkStart w:id="91" w:name="_Toc198733158"/>
      <w:r>
        <w:rPr>
          <w:rFonts w:hint="eastAsia"/>
          <w:kern w:val="0"/>
        </w:rPr>
        <w:t>工程污染源</w:t>
      </w:r>
      <w:r>
        <w:rPr>
          <w:kern w:val="0"/>
        </w:rPr>
        <w:t>分析</w:t>
      </w:r>
      <w:r>
        <w:rPr>
          <w:rFonts w:hint="eastAsia"/>
          <w:kern w:val="0"/>
        </w:rPr>
        <w:t>及</w:t>
      </w:r>
      <w:r>
        <w:rPr>
          <w:kern w:val="0"/>
        </w:rPr>
        <w:t>拟采取的环保措施</w:t>
      </w:r>
      <w:bookmarkEnd w:id="91"/>
    </w:p>
    <w:p w14:paraId="7A3B0055">
      <w:pPr>
        <w:pStyle w:val="4"/>
        <w:rPr>
          <w:kern w:val="0"/>
        </w:rPr>
      </w:pPr>
      <w:r>
        <w:rPr>
          <w:rFonts w:hint="eastAsia"/>
          <w:kern w:val="0"/>
        </w:rPr>
        <w:t>施工期</w:t>
      </w:r>
      <w:r>
        <w:rPr>
          <w:kern w:val="0"/>
        </w:rPr>
        <w:t>污染源</w:t>
      </w:r>
      <w:r>
        <w:rPr>
          <w:rFonts w:hint="eastAsia"/>
          <w:kern w:val="0"/>
        </w:rPr>
        <w:t>及</w:t>
      </w:r>
      <w:r>
        <w:rPr>
          <w:kern w:val="0"/>
        </w:rPr>
        <w:t>环保措施</w:t>
      </w:r>
    </w:p>
    <w:p w14:paraId="08FAED82">
      <w:pPr>
        <w:pStyle w:val="5"/>
        <w:rPr>
          <w:kern w:val="0"/>
        </w:rPr>
      </w:pPr>
      <w:r>
        <w:rPr>
          <w:rFonts w:hint="eastAsia"/>
          <w:kern w:val="0"/>
        </w:rPr>
        <w:t>水环境污染源</w:t>
      </w:r>
    </w:p>
    <w:p w14:paraId="5BF9A84A">
      <w:pPr>
        <w:pStyle w:val="85"/>
        <w:ind w:firstLine="480"/>
        <w:rPr>
          <w:kern w:val="0"/>
        </w:rPr>
      </w:pPr>
      <w:r>
        <w:rPr>
          <w:rFonts w:hint="eastAsia"/>
          <w:kern w:val="0"/>
        </w:rPr>
        <w:t>（1）施工扰动引起的悬浮物污染源</w:t>
      </w:r>
    </w:p>
    <w:p w14:paraId="242E7CF3">
      <w:pPr>
        <w:pStyle w:val="85"/>
        <w:ind w:firstLine="480"/>
        <w:rPr>
          <w:kern w:val="0"/>
        </w:rPr>
      </w:pPr>
      <w:r>
        <w:rPr>
          <w:rFonts w:hint="eastAsia"/>
          <w:kern w:val="0"/>
        </w:rPr>
        <w:t>施工扰动引起的悬浮物污染源主要来自围堰</w:t>
      </w:r>
      <w:r>
        <w:rPr>
          <w:kern w:val="0"/>
        </w:rPr>
        <w:t>建设</w:t>
      </w:r>
      <w:r>
        <w:rPr>
          <w:rFonts w:hint="eastAsia"/>
          <w:kern w:val="0"/>
        </w:rPr>
        <w:t>过程中引起的泥沙悬浮，使施工区域水体内悬浮物含量升高，对河道水质造成一定影响，但影响是短期的，围堰建设</w:t>
      </w:r>
      <w:r>
        <w:rPr>
          <w:kern w:val="0"/>
        </w:rPr>
        <w:t>完成，</w:t>
      </w:r>
      <w:r>
        <w:rPr>
          <w:rFonts w:hint="eastAsia"/>
          <w:kern w:val="0"/>
        </w:rPr>
        <w:t>停止一段时间后即可恢复。</w:t>
      </w:r>
    </w:p>
    <w:p w14:paraId="4488B105">
      <w:pPr>
        <w:pStyle w:val="85"/>
        <w:ind w:firstLine="480"/>
        <w:rPr>
          <w:kern w:val="0"/>
        </w:rPr>
      </w:pPr>
      <w:r>
        <w:rPr>
          <w:rFonts w:hint="eastAsia"/>
          <w:kern w:val="0"/>
        </w:rPr>
        <w:t>（2）生活</w:t>
      </w:r>
      <w:r>
        <w:rPr>
          <w:kern w:val="0"/>
        </w:rPr>
        <w:t>污水</w:t>
      </w:r>
    </w:p>
    <w:p w14:paraId="4AFBD546">
      <w:pPr>
        <w:pStyle w:val="85"/>
        <w:ind w:firstLine="480"/>
        <w:rPr>
          <w:kern w:val="0"/>
        </w:rPr>
      </w:pPr>
      <w:r>
        <w:rPr>
          <w:kern w:val="0"/>
        </w:rPr>
        <w:t>本工程工人数为30人，根据一般水利工程施工经验，施工人员生活</w:t>
      </w:r>
      <w:r>
        <w:rPr>
          <w:rFonts w:hint="eastAsia"/>
          <w:kern w:val="0"/>
        </w:rPr>
        <w:t>用水量</w:t>
      </w:r>
      <w:r>
        <w:rPr>
          <w:kern w:val="0"/>
        </w:rPr>
        <w:t>取60L/人日，污水产生量按0.8系数折算，施工人员生活污水中各污染物浓度按COD约350mg/L、氨氮约25mg/L、SS约150mg/L计，则</w:t>
      </w:r>
      <w:r>
        <w:rPr>
          <w:rFonts w:hint="eastAsia"/>
          <w:kern w:val="0"/>
        </w:rPr>
        <w:t>生活污水</w:t>
      </w:r>
      <w:r>
        <w:rPr>
          <w:kern w:val="0"/>
        </w:rPr>
        <w:t>的产生量约1.44 m</w:t>
      </w:r>
      <w:r>
        <w:rPr>
          <w:kern w:val="0"/>
          <w:vertAlign w:val="superscript"/>
        </w:rPr>
        <w:t>3</w:t>
      </w:r>
      <w:r>
        <w:rPr>
          <w:kern w:val="0"/>
        </w:rPr>
        <w:t>/d，工程每天约产生COD0.504kg、NH</w:t>
      </w:r>
      <w:r>
        <w:rPr>
          <w:kern w:val="0"/>
          <w:vertAlign w:val="subscript"/>
        </w:rPr>
        <w:t>3</w:t>
      </w:r>
      <w:r>
        <w:rPr>
          <w:kern w:val="0"/>
        </w:rPr>
        <w:t>-N 0.036kg、SS 0.216kg。</w:t>
      </w:r>
      <w:r>
        <w:rPr>
          <w:rFonts w:hint="eastAsia"/>
          <w:kern w:val="0"/>
        </w:rPr>
        <w:t>本工程在施工</w:t>
      </w:r>
      <w:r>
        <w:rPr>
          <w:kern w:val="0"/>
        </w:rPr>
        <w:t>区</w:t>
      </w:r>
      <w:r>
        <w:rPr>
          <w:rFonts w:hint="eastAsia"/>
          <w:kern w:val="0"/>
        </w:rPr>
        <w:t>设</w:t>
      </w:r>
      <w:r>
        <w:rPr>
          <w:kern w:val="0"/>
        </w:rPr>
        <w:t>2</w:t>
      </w:r>
      <w:r>
        <w:rPr>
          <w:rFonts w:hint="eastAsia"/>
          <w:kern w:val="0"/>
        </w:rPr>
        <w:t>座流动式厕所，粪便经流动式厕所收集后用作农肥，生活污水不外排。根据以上计算，本项目</w:t>
      </w:r>
      <w:r>
        <w:rPr>
          <w:kern w:val="0"/>
        </w:rPr>
        <w:t xml:space="preserve">SS </w:t>
      </w:r>
      <w:r>
        <w:rPr>
          <w:rFonts w:hint="eastAsia"/>
          <w:kern w:val="0"/>
        </w:rPr>
        <w:t>排放量为</w:t>
      </w:r>
      <w:r>
        <w:rPr>
          <w:kern w:val="0"/>
        </w:rPr>
        <w:t>0</w:t>
      </w:r>
      <w:r>
        <w:rPr>
          <w:rFonts w:hint="eastAsia"/>
          <w:kern w:val="0"/>
        </w:rPr>
        <w:t>，</w:t>
      </w:r>
      <w:r>
        <w:rPr>
          <w:kern w:val="0"/>
        </w:rPr>
        <w:t xml:space="preserve">COD </w:t>
      </w:r>
      <w:r>
        <w:rPr>
          <w:rFonts w:hint="eastAsia"/>
          <w:kern w:val="0"/>
        </w:rPr>
        <w:t>排放量为</w:t>
      </w:r>
      <w:r>
        <w:rPr>
          <w:kern w:val="0"/>
        </w:rPr>
        <w:t>0</w:t>
      </w:r>
      <w:r>
        <w:rPr>
          <w:rFonts w:hint="eastAsia"/>
          <w:kern w:val="0"/>
        </w:rPr>
        <w:t>，氨氮排放量为</w:t>
      </w:r>
      <w:r>
        <w:rPr>
          <w:kern w:val="0"/>
        </w:rPr>
        <w:t>0</w:t>
      </w:r>
      <w:r>
        <w:rPr>
          <w:rFonts w:hint="eastAsia"/>
          <w:kern w:val="0"/>
        </w:rPr>
        <w:t>。</w:t>
      </w:r>
    </w:p>
    <w:p w14:paraId="351787EC">
      <w:pPr>
        <w:pStyle w:val="5"/>
        <w:rPr>
          <w:kern w:val="0"/>
        </w:rPr>
      </w:pPr>
      <w:r>
        <w:rPr>
          <w:rFonts w:hint="eastAsia"/>
          <w:kern w:val="0"/>
        </w:rPr>
        <w:t>水文</w:t>
      </w:r>
      <w:r>
        <w:rPr>
          <w:kern w:val="0"/>
        </w:rPr>
        <w:t>影响</w:t>
      </w:r>
    </w:p>
    <w:p w14:paraId="62C6292C">
      <w:pPr>
        <w:pStyle w:val="85"/>
        <w:ind w:firstLine="480"/>
        <w:rPr>
          <w:kern w:val="0"/>
        </w:rPr>
      </w:pPr>
      <w:r>
        <w:rPr>
          <w:rFonts w:hint="eastAsia"/>
          <w:kern w:val="0"/>
        </w:rPr>
        <w:t>河道基底修复及微地形梳理工程施工时，首先建设围堰，围堰型式采用土石方围堰和袋装黏土组合，河道水深约 0-1.0m，考虑壅水高度及安全加高，围堰高度1.50m，首先将施工区域的水排至相邻河道，短暂改变施工区域的水位、水量、流速</w:t>
      </w:r>
      <w:r>
        <w:rPr>
          <w:kern w:val="0"/>
        </w:rPr>
        <w:t>。</w:t>
      </w:r>
    </w:p>
    <w:p w14:paraId="00719A94">
      <w:pPr>
        <w:pStyle w:val="85"/>
        <w:ind w:firstLine="480"/>
        <w:rPr>
          <w:kern w:val="0"/>
        </w:rPr>
      </w:pPr>
      <w:r>
        <w:rPr>
          <w:kern w:val="0"/>
        </w:rPr>
        <w:t>施工期结束后，</w:t>
      </w:r>
      <w:r>
        <w:rPr>
          <w:rFonts w:hint="eastAsia"/>
          <w:kern w:val="0"/>
        </w:rPr>
        <w:t>拆除围堰</w:t>
      </w:r>
      <w:r>
        <w:rPr>
          <w:kern w:val="0"/>
        </w:rPr>
        <w:t>，施工区域</w:t>
      </w:r>
      <w:r>
        <w:rPr>
          <w:rFonts w:hint="eastAsia"/>
          <w:kern w:val="0"/>
        </w:rPr>
        <w:t>重新</w:t>
      </w:r>
      <w:r>
        <w:rPr>
          <w:kern w:val="0"/>
        </w:rPr>
        <w:t>引入水源</w:t>
      </w:r>
      <w:r>
        <w:rPr>
          <w:rFonts w:hint="eastAsia"/>
          <w:kern w:val="0"/>
        </w:rPr>
        <w:t>；施工区域</w:t>
      </w:r>
      <w:r>
        <w:rPr>
          <w:kern w:val="0"/>
        </w:rPr>
        <w:t>水文</w:t>
      </w:r>
      <w:r>
        <w:rPr>
          <w:rFonts w:hint="eastAsia"/>
          <w:kern w:val="0"/>
        </w:rPr>
        <w:t>情势</w:t>
      </w:r>
      <w:r>
        <w:rPr>
          <w:kern w:val="0"/>
        </w:rPr>
        <w:t>不会</w:t>
      </w:r>
      <w:r>
        <w:rPr>
          <w:rFonts w:hint="eastAsia"/>
          <w:kern w:val="0"/>
        </w:rPr>
        <w:t>发生较大</w:t>
      </w:r>
      <w:r>
        <w:rPr>
          <w:kern w:val="0"/>
        </w:rPr>
        <w:t>变化</w:t>
      </w:r>
      <w:r>
        <w:rPr>
          <w:rFonts w:hint="eastAsia"/>
          <w:kern w:val="0"/>
        </w:rPr>
        <w:t>。本工程不建设拦蓄水设施，不涉及兴利库容与取水，故对河流径流几乎不产生影响。根据《滦平县潮河干流河道水质改善与生态修复工程防洪评价报告》及其批复，本项目的布置未降低河道现状行洪能力，基本未改变河流整体流势，对水流有一定约束作用，同时防止了修建护岸一侧岸坡坍塌，提高岸坡防冲刷能力， 对河道行洪及防冲起到积极作用。</w:t>
      </w:r>
    </w:p>
    <w:p w14:paraId="0D2A2BBD">
      <w:pPr>
        <w:pStyle w:val="5"/>
        <w:rPr>
          <w:kern w:val="0"/>
        </w:rPr>
      </w:pPr>
      <w:r>
        <w:rPr>
          <w:rFonts w:hint="eastAsia"/>
          <w:kern w:val="0"/>
        </w:rPr>
        <w:t>大气污染源</w:t>
      </w:r>
    </w:p>
    <w:p w14:paraId="170ECFD5">
      <w:pPr>
        <w:pStyle w:val="85"/>
        <w:ind w:firstLine="480"/>
        <w:rPr>
          <w:kern w:val="0"/>
        </w:rPr>
      </w:pPr>
      <w:r>
        <w:rPr>
          <w:rFonts w:hint="eastAsia"/>
          <w:kern w:val="0"/>
        </w:rPr>
        <w:t>（1）土方开挖粉尘</w:t>
      </w:r>
    </w:p>
    <w:p w14:paraId="15A66096">
      <w:pPr>
        <w:pStyle w:val="85"/>
        <w:ind w:firstLine="480"/>
        <w:rPr>
          <w:kern w:val="0"/>
        </w:rPr>
      </w:pPr>
      <w:r>
        <w:rPr>
          <w:kern w:val="0"/>
        </w:rPr>
        <w:t>本工程需开挖土方，同时进行</w:t>
      </w:r>
      <w:r>
        <w:rPr>
          <w:rFonts w:hint="eastAsia"/>
          <w:kern w:val="0"/>
        </w:rPr>
        <w:t>地形</w:t>
      </w:r>
      <w:r>
        <w:rPr>
          <w:kern w:val="0"/>
        </w:rPr>
        <w:t>整理。在开挖和</w:t>
      </w:r>
      <w:r>
        <w:rPr>
          <w:rFonts w:hint="eastAsia"/>
          <w:kern w:val="0"/>
        </w:rPr>
        <w:t>平整土地</w:t>
      </w:r>
      <w:r>
        <w:rPr>
          <w:kern w:val="0"/>
        </w:rPr>
        <w:t>的过程中会产生粉尘。根据施工工程的调查资料，工程施工期间施工现场近地面粉尘浓度可达 1.5～30mg/m</w:t>
      </w:r>
      <w:r>
        <w:rPr>
          <w:kern w:val="0"/>
          <w:vertAlign w:val="superscript"/>
        </w:rPr>
        <w:t>3</w:t>
      </w:r>
      <w:r>
        <w:rPr>
          <w:kern w:val="0"/>
        </w:rPr>
        <w:t>。</w:t>
      </w:r>
      <w:r>
        <w:rPr>
          <w:rFonts w:hint="eastAsia"/>
          <w:kern w:val="0"/>
        </w:rPr>
        <w:t>防治措施</w:t>
      </w:r>
      <w:r>
        <w:rPr>
          <w:kern w:val="0"/>
        </w:rPr>
        <w:t>：</w:t>
      </w:r>
      <w:r>
        <w:rPr>
          <w:rFonts w:hint="eastAsia"/>
          <w:kern w:val="0"/>
        </w:rPr>
        <w:t>合理安排施工计划、规范施工，挖填、土地平整及植被恢复及时实施；设置施工围挡、增加洒水频次；运输车辆遮盖或密闭等；避免大风天气施工。</w:t>
      </w:r>
    </w:p>
    <w:p w14:paraId="5F35803B">
      <w:pPr>
        <w:pStyle w:val="85"/>
        <w:ind w:firstLine="480"/>
        <w:rPr>
          <w:kern w:val="0"/>
        </w:rPr>
      </w:pPr>
      <w:r>
        <w:rPr>
          <w:rFonts w:hint="eastAsia"/>
          <w:kern w:val="0"/>
        </w:rPr>
        <w:t>（2）运输</w:t>
      </w:r>
      <w:r>
        <w:rPr>
          <w:kern w:val="0"/>
        </w:rPr>
        <w:t>扬尘</w:t>
      </w:r>
    </w:p>
    <w:p w14:paraId="375E2054">
      <w:pPr>
        <w:pStyle w:val="85"/>
        <w:ind w:firstLine="480"/>
        <w:rPr>
          <w:kern w:val="0"/>
        </w:rPr>
      </w:pPr>
      <w:r>
        <w:rPr>
          <w:rFonts w:hint="eastAsia"/>
          <w:kern w:val="0"/>
        </w:rPr>
        <w:t>本项目施工期运输扬尘主要为河道基底修复及微地形梳理</w:t>
      </w:r>
      <w:r>
        <w:rPr>
          <w:kern w:val="0"/>
        </w:rPr>
        <w:t>工程土方</w:t>
      </w:r>
      <w:r>
        <w:rPr>
          <w:rFonts w:hint="eastAsia"/>
          <w:kern w:val="0"/>
        </w:rPr>
        <w:t>运输扬尘。各施工区域对运输线路进行洒水抑尘；运输车辆用苫布遮盖等措施减少运输扬尘。</w:t>
      </w:r>
    </w:p>
    <w:p w14:paraId="3E15B918">
      <w:pPr>
        <w:pStyle w:val="85"/>
        <w:tabs>
          <w:tab w:val="left" w:pos="6075"/>
        </w:tabs>
        <w:ind w:firstLine="480"/>
        <w:rPr>
          <w:kern w:val="0"/>
        </w:rPr>
      </w:pPr>
      <w:r>
        <w:rPr>
          <w:kern w:val="0"/>
        </w:rPr>
        <w:t>根据有关资料，一般情况车辆行驶产生的扬尘在同样路面清洁程度下，车速越快，扬尘量越大；而在同样车速下，路面越脏扬尘量越大。本工程场内临时施工道路为</w:t>
      </w:r>
      <w:r>
        <w:rPr>
          <w:rFonts w:hint="eastAsia"/>
          <w:kern w:val="0"/>
        </w:rPr>
        <w:t>裸露地面，</w:t>
      </w:r>
      <w:r>
        <w:rPr>
          <w:kern w:val="0"/>
        </w:rPr>
        <w:t>易产生扬尘。道路扬程量与地面粉尘厚度有关，可用以下公式计算：</w:t>
      </w:r>
    </w:p>
    <w:p w14:paraId="207B3C01">
      <w:pPr>
        <w:pStyle w:val="85"/>
        <w:tabs>
          <w:tab w:val="left" w:pos="6075"/>
        </w:tabs>
        <w:spacing w:line="240" w:lineRule="auto"/>
        <w:ind w:firstLine="480"/>
        <w:rPr>
          <w:kern w:val="0"/>
        </w:rPr>
      </w:pPr>
      <m:oMathPara>
        <m:oMath>
          <m:r>
            <m:rPr>
              <m:sty m:val="p"/>
            </m:rPr>
            <w:rPr>
              <w:rFonts w:ascii="Cambria Math" w:hAnsi="Cambria Math"/>
              <w:kern w:val="0"/>
            </w:rPr>
            <m:t>Q=0.123（</m:t>
          </m:r>
          <m:f>
            <m:fPr>
              <m:ctrlPr>
                <w:rPr>
                  <w:rFonts w:ascii="Cambria Math" w:hAnsi="Cambria Math"/>
                  <w:kern w:val="0"/>
                </w:rPr>
              </m:ctrlPr>
            </m:fPr>
            <m:num>
              <m:r>
                <m:rPr/>
                <w:rPr>
                  <w:rFonts w:ascii="Cambria Math" w:hAnsi="Cambria Math"/>
                  <w:kern w:val="0"/>
                </w:rPr>
                <m:t>V</m:t>
              </m:r>
              <m:ctrlPr>
                <w:rPr>
                  <w:rFonts w:ascii="Cambria Math" w:hAnsi="Cambria Math"/>
                  <w:kern w:val="0"/>
                </w:rPr>
              </m:ctrlPr>
            </m:num>
            <m:den>
              <m:r>
                <m:rPr/>
                <w:rPr>
                  <w:rFonts w:ascii="Cambria Math" w:hAnsi="Cambria Math"/>
                  <w:kern w:val="0"/>
                </w:rPr>
                <m:t>5</m:t>
              </m:r>
              <m:ctrlPr>
                <w:rPr>
                  <w:rFonts w:ascii="Cambria Math" w:hAnsi="Cambria Math"/>
                  <w:kern w:val="0"/>
                </w:rPr>
              </m:ctrlPr>
            </m:den>
          </m:f>
          <m:r>
            <m:rPr>
              <m:sty m:val="p"/>
            </m:rPr>
            <w:rPr>
              <w:rFonts w:ascii="Cambria Math" w:hAnsi="Cambria Math"/>
              <w:kern w:val="0"/>
            </w:rPr>
            <m:t>）</m:t>
          </m:r>
          <m:sSup>
            <m:sSupPr>
              <m:ctrlPr>
                <w:rPr>
                  <w:rFonts w:ascii="Cambria Math" w:hAnsi="Cambria Math"/>
                  <w:kern w:val="0"/>
                </w:rPr>
              </m:ctrlPr>
            </m:sSupPr>
            <m:e>
              <m:r>
                <m:rPr>
                  <m:sty m:val="p"/>
                </m:rPr>
                <w:rPr>
                  <w:rFonts w:ascii="Cambria Math" w:hAnsi="Cambria Math"/>
                  <w:kern w:val="0"/>
                </w:rPr>
                <m:t>（</m:t>
              </m:r>
              <m:f>
                <m:fPr>
                  <m:ctrlPr>
                    <w:rPr>
                      <w:rFonts w:ascii="Cambria Math" w:hAnsi="Cambria Math"/>
                      <w:kern w:val="0"/>
                    </w:rPr>
                  </m:ctrlPr>
                </m:fPr>
                <m:num>
                  <m:r>
                    <m:rPr/>
                    <w:rPr>
                      <w:rFonts w:ascii="Cambria Math" w:hAnsi="Cambria Math"/>
                      <w:kern w:val="0"/>
                    </w:rPr>
                    <m:t>W</m:t>
                  </m:r>
                  <m:ctrlPr>
                    <w:rPr>
                      <w:rFonts w:ascii="Cambria Math" w:hAnsi="Cambria Math"/>
                      <w:kern w:val="0"/>
                    </w:rPr>
                  </m:ctrlPr>
                </m:num>
                <m:den>
                  <m:r>
                    <m:rPr/>
                    <w:rPr>
                      <w:rFonts w:ascii="Cambria Math" w:hAnsi="Cambria Math"/>
                      <w:kern w:val="0"/>
                    </w:rPr>
                    <m:t>6.8</m:t>
                  </m:r>
                  <m:ctrlPr>
                    <w:rPr>
                      <w:rFonts w:ascii="Cambria Math" w:hAnsi="Cambria Math"/>
                      <w:kern w:val="0"/>
                    </w:rPr>
                  </m:ctrlPr>
                </m:den>
              </m:f>
              <m:r>
                <m:rPr>
                  <m:sty m:val="p"/>
                </m:rPr>
                <w:rPr>
                  <w:rFonts w:ascii="Cambria Math" w:hAnsi="Cambria Math"/>
                  <w:kern w:val="0"/>
                </w:rPr>
                <m:t>）</m:t>
              </m:r>
              <m:ctrlPr>
                <w:rPr>
                  <w:rFonts w:ascii="Cambria Math" w:hAnsi="Cambria Math"/>
                  <w:kern w:val="0"/>
                </w:rPr>
              </m:ctrlPr>
            </m:e>
            <m:sup>
              <m:r>
                <m:rPr/>
                <w:rPr>
                  <w:rFonts w:ascii="Cambria Math" w:hAnsi="Cambria Math"/>
                  <w:kern w:val="0"/>
                </w:rPr>
                <m:t>0.85</m:t>
              </m:r>
              <m:ctrlPr>
                <w:rPr>
                  <w:rFonts w:ascii="Cambria Math" w:hAnsi="Cambria Math"/>
                  <w:kern w:val="0"/>
                </w:rPr>
              </m:ctrlPr>
            </m:sup>
          </m:sSup>
          <m:sSup>
            <m:sSupPr>
              <m:ctrlPr>
                <w:rPr>
                  <w:rFonts w:ascii="Cambria Math" w:hAnsi="Cambria Math"/>
                  <w:kern w:val="0"/>
                </w:rPr>
              </m:ctrlPr>
            </m:sSupPr>
            <m:e>
              <m:r>
                <m:rPr>
                  <m:sty m:val="p"/>
                </m:rPr>
                <w:rPr>
                  <w:rFonts w:ascii="Cambria Math" w:hAnsi="Cambria Math"/>
                  <w:kern w:val="0"/>
                </w:rPr>
                <m:t>（</m:t>
              </m:r>
              <m:f>
                <m:fPr>
                  <m:ctrlPr>
                    <w:rPr>
                      <w:rFonts w:ascii="Cambria Math" w:hAnsi="Cambria Math"/>
                      <w:kern w:val="0"/>
                    </w:rPr>
                  </m:ctrlPr>
                </m:fPr>
                <m:num>
                  <m:r>
                    <m:rPr/>
                    <w:rPr>
                      <w:rFonts w:ascii="Cambria Math" w:hAnsi="Cambria Math"/>
                      <w:kern w:val="0"/>
                    </w:rPr>
                    <m:t>P</m:t>
                  </m:r>
                  <m:ctrlPr>
                    <w:rPr>
                      <w:rFonts w:ascii="Cambria Math" w:hAnsi="Cambria Math"/>
                      <w:kern w:val="0"/>
                    </w:rPr>
                  </m:ctrlPr>
                </m:num>
                <m:den>
                  <m:r>
                    <m:rPr/>
                    <w:rPr>
                      <w:rFonts w:ascii="Cambria Math" w:hAnsi="Cambria Math"/>
                      <w:kern w:val="0"/>
                    </w:rPr>
                    <m:t>0.05</m:t>
                  </m:r>
                  <m:ctrlPr>
                    <w:rPr>
                      <w:rFonts w:ascii="Cambria Math" w:hAnsi="Cambria Math"/>
                      <w:kern w:val="0"/>
                    </w:rPr>
                  </m:ctrlPr>
                </m:den>
              </m:f>
              <m:r>
                <m:rPr>
                  <m:sty m:val="p"/>
                </m:rPr>
                <w:rPr>
                  <w:rFonts w:ascii="Cambria Math" w:hAnsi="Cambria Math"/>
                  <w:kern w:val="0"/>
                </w:rPr>
                <m:t>）</m:t>
              </m:r>
              <m:ctrlPr>
                <w:rPr>
                  <w:rFonts w:ascii="Cambria Math" w:hAnsi="Cambria Math"/>
                  <w:kern w:val="0"/>
                </w:rPr>
              </m:ctrlPr>
            </m:e>
            <m:sup>
              <m:r>
                <m:rPr/>
                <w:rPr>
                  <w:rFonts w:ascii="Cambria Math" w:hAnsi="Cambria Math"/>
                  <w:kern w:val="0"/>
                </w:rPr>
                <m:t>0.72</m:t>
              </m:r>
              <m:ctrlPr>
                <w:rPr>
                  <w:rFonts w:ascii="Cambria Math" w:hAnsi="Cambria Math"/>
                  <w:kern w:val="0"/>
                </w:rPr>
              </m:ctrlPr>
            </m:sup>
          </m:sSup>
        </m:oMath>
      </m:oMathPara>
    </w:p>
    <w:p w14:paraId="53CE1588">
      <w:pPr>
        <w:pStyle w:val="85"/>
        <w:ind w:firstLine="480"/>
        <w:rPr>
          <w:kern w:val="0"/>
        </w:rPr>
      </w:pPr>
      <w:r>
        <w:rPr>
          <w:kern w:val="0"/>
        </w:rPr>
        <w:t>式中：</w:t>
      </w:r>
    </w:p>
    <w:p w14:paraId="58B8327D">
      <w:pPr>
        <w:pStyle w:val="85"/>
        <w:ind w:firstLine="480"/>
        <w:rPr>
          <w:kern w:val="0"/>
        </w:rPr>
      </w:pPr>
      <w:r>
        <w:rPr>
          <w:kern w:val="0"/>
        </w:rPr>
        <w:t>Q－汽车扬尘量(kg/km•辆)；</w:t>
      </w:r>
    </w:p>
    <w:p w14:paraId="6A26DB5B">
      <w:pPr>
        <w:pStyle w:val="85"/>
        <w:ind w:firstLine="480"/>
        <w:rPr>
          <w:kern w:val="0"/>
        </w:rPr>
      </w:pPr>
      <w:r>
        <w:rPr>
          <w:kern w:val="0"/>
        </w:rPr>
        <w:t>V－汽车速度(km/h)；</w:t>
      </w:r>
    </w:p>
    <w:p w14:paraId="22853E76">
      <w:pPr>
        <w:pStyle w:val="85"/>
        <w:ind w:firstLine="480"/>
        <w:rPr>
          <w:kern w:val="0"/>
        </w:rPr>
      </w:pPr>
      <w:r>
        <w:rPr>
          <w:kern w:val="0"/>
        </w:rPr>
        <w:t>W－汽车载重量(t/辆)</w:t>
      </w:r>
    </w:p>
    <w:p w14:paraId="1D0AD585">
      <w:pPr>
        <w:pStyle w:val="85"/>
        <w:ind w:firstLine="480"/>
        <w:rPr>
          <w:kern w:val="0"/>
        </w:rPr>
      </w:pPr>
      <w:r>
        <w:rPr>
          <w:kern w:val="0"/>
        </w:rPr>
        <w:t>P－道路表面积尘量(kg/m</w:t>
      </w:r>
      <w:r>
        <w:rPr>
          <w:kern w:val="0"/>
          <w:vertAlign w:val="superscript"/>
        </w:rPr>
        <w:t>2</w:t>
      </w:r>
      <w:r>
        <w:rPr>
          <w:kern w:val="0"/>
        </w:rPr>
        <w:t>)。</w:t>
      </w:r>
    </w:p>
    <w:p w14:paraId="25DC9B9F">
      <w:pPr>
        <w:pStyle w:val="85"/>
        <w:ind w:firstLine="480"/>
        <w:rPr>
          <w:kern w:val="0"/>
        </w:rPr>
      </w:pPr>
      <w:r>
        <w:rPr>
          <w:kern w:val="0"/>
        </w:rPr>
        <w:t>经计算，运输</w:t>
      </w:r>
      <w:r>
        <w:rPr>
          <w:rFonts w:hint="eastAsia"/>
          <w:kern w:val="0"/>
        </w:rPr>
        <w:t>土方</w:t>
      </w:r>
      <w:r>
        <w:rPr>
          <w:kern w:val="0"/>
        </w:rPr>
        <w:t>车辆的道路扬尘量约为4.47</w:t>
      </w:r>
      <w:r>
        <w:rPr>
          <w:rFonts w:hint="eastAsia"/>
          <w:kern w:val="0"/>
        </w:rPr>
        <w:t>kg/km•辆</w:t>
      </w:r>
      <w:r>
        <w:rPr>
          <w:kern w:val="0"/>
        </w:rPr>
        <w:t>。</w:t>
      </w:r>
    </w:p>
    <w:p w14:paraId="286C40B4">
      <w:pPr>
        <w:pStyle w:val="85"/>
        <w:ind w:firstLine="480"/>
        <w:rPr>
          <w:kern w:val="0"/>
        </w:rPr>
      </w:pPr>
      <w:r>
        <w:rPr>
          <w:rFonts w:hint="eastAsia"/>
          <w:kern w:val="0"/>
        </w:rPr>
        <w:t>（3）机械</w:t>
      </w:r>
      <w:r>
        <w:rPr>
          <w:kern w:val="0"/>
        </w:rPr>
        <w:t>燃油废气</w:t>
      </w:r>
    </w:p>
    <w:p w14:paraId="49DE52F3">
      <w:pPr>
        <w:pStyle w:val="85"/>
        <w:ind w:firstLine="480"/>
        <w:rPr>
          <w:kern w:val="0"/>
        </w:rPr>
      </w:pPr>
      <w:r>
        <w:rPr>
          <w:kern w:val="0"/>
        </w:rPr>
        <w:t>燃油废气的主要成份是CO和NO</w:t>
      </w:r>
      <w:r>
        <w:rPr>
          <w:kern w:val="0"/>
          <w:vertAlign w:val="subscript"/>
        </w:rPr>
        <w:t>x</w:t>
      </w:r>
      <w:r>
        <w:rPr>
          <w:kern w:val="0"/>
        </w:rPr>
        <w:t>。主要来自于挖掘机、装载机、</w:t>
      </w:r>
      <w:r>
        <w:rPr>
          <w:rFonts w:hint="eastAsia"/>
          <w:kern w:val="0"/>
        </w:rPr>
        <w:t>推土机</w:t>
      </w:r>
      <w:r>
        <w:rPr>
          <w:kern w:val="0"/>
        </w:rPr>
        <w:t>、汽车等运输车辆和以燃油为动力的施工机械在运行时排放的尾气。由于大部分施工区</w:t>
      </w:r>
      <w:r>
        <w:rPr>
          <w:rFonts w:hint="eastAsia"/>
          <w:kern w:val="0"/>
        </w:rPr>
        <w:t>地形</w:t>
      </w:r>
      <w:r>
        <w:rPr>
          <w:kern w:val="0"/>
        </w:rPr>
        <w:t>开阔，大气扩散条件较好，施工废气对当地环境空气质量影响较小。根据与同类工程进行类比分析，工程施工机械排放尾气对周围大气环境影响很小。施工机械燃油产生的污染物不</w:t>
      </w:r>
      <w:r>
        <w:rPr>
          <w:rFonts w:hint="eastAsia"/>
          <w:kern w:val="0"/>
        </w:rPr>
        <w:t>会</w:t>
      </w:r>
      <w:r>
        <w:rPr>
          <w:kern w:val="0"/>
        </w:rPr>
        <w:t>对大气环境质量及功能造成明显影响</w:t>
      </w:r>
      <w:r>
        <w:rPr>
          <w:rFonts w:hint="eastAsia"/>
          <w:kern w:val="0"/>
        </w:rPr>
        <w:t>。</w:t>
      </w:r>
    </w:p>
    <w:p w14:paraId="507E454F">
      <w:pPr>
        <w:pStyle w:val="5"/>
        <w:rPr>
          <w:kern w:val="0"/>
        </w:rPr>
      </w:pPr>
      <w:r>
        <w:rPr>
          <w:rFonts w:hint="eastAsia"/>
          <w:kern w:val="0"/>
        </w:rPr>
        <w:t>噪声</w:t>
      </w:r>
      <w:r>
        <w:rPr>
          <w:kern w:val="0"/>
        </w:rPr>
        <w:t>污染源</w:t>
      </w:r>
    </w:p>
    <w:p w14:paraId="1735CD61">
      <w:pPr>
        <w:pStyle w:val="85"/>
        <w:ind w:firstLine="480"/>
        <w:rPr>
          <w:kern w:val="0"/>
        </w:rPr>
      </w:pPr>
      <w:r>
        <w:rPr>
          <w:rFonts w:hint="eastAsia"/>
          <w:kern w:val="0"/>
        </w:rPr>
        <w:t>本项目的施工噪声主要是工程建设中施工机械噪声和土方运输车辆的交通噪声，为间歇性噪声。根据同类工程施工区的实测资料类比分析，本工程施工机械中高噪声设备声级值一般为8</w:t>
      </w:r>
      <w:r>
        <w:rPr>
          <w:kern w:val="0"/>
        </w:rPr>
        <w:t>0</w:t>
      </w:r>
      <w:r>
        <w:rPr>
          <w:rFonts w:hint="eastAsia"/>
          <w:kern w:val="0"/>
        </w:rPr>
        <w:t>~</w:t>
      </w:r>
      <w:r>
        <w:rPr>
          <w:kern w:val="0"/>
        </w:rPr>
        <w:t>90</w:t>
      </w:r>
      <w:r>
        <w:rPr>
          <w:rFonts w:hint="eastAsia"/>
          <w:kern w:val="0"/>
        </w:rPr>
        <w:t>dB(A)。预计施工期各类常用施工机械及运输噪声源强见下表。</w:t>
      </w:r>
    </w:p>
    <w:p w14:paraId="08C69676">
      <w:pPr>
        <w:pStyle w:val="85"/>
        <w:ind w:firstLine="448"/>
        <w:jc w:val="center"/>
        <w:rPr>
          <w:kern w:val="0"/>
        </w:rPr>
      </w:pPr>
      <w:r>
        <w:rPr>
          <w:rFonts w:hint="eastAsia" w:eastAsia="黑体"/>
          <w:bCs/>
          <w:spacing w:val="-8"/>
          <w:kern w:val="0"/>
        </w:rPr>
        <w:t>表</w:t>
      </w:r>
      <w:r>
        <w:rPr>
          <w:rFonts w:eastAsia="黑体"/>
          <w:bCs/>
          <w:spacing w:val="-8"/>
          <w:kern w:val="0"/>
        </w:rPr>
        <w:fldChar w:fldCharType="begin"/>
      </w:r>
      <w:r>
        <w:rPr>
          <w:rFonts w:eastAsia="黑体"/>
          <w:bCs/>
          <w:spacing w:val="-8"/>
          <w:kern w:val="0"/>
        </w:rPr>
        <w:instrText xml:space="preserve"> </w:instrText>
      </w:r>
      <w:r>
        <w:rPr>
          <w:rFonts w:hint="eastAsia" w:eastAsia="黑体"/>
          <w:bCs/>
          <w:spacing w:val="-8"/>
          <w:kern w:val="0"/>
        </w:rPr>
        <w:instrText xml:space="preserve">STYLEREF 1 \s</w:instrText>
      </w:r>
      <w:r>
        <w:rPr>
          <w:rFonts w:eastAsia="黑体"/>
          <w:bCs/>
          <w:spacing w:val="-8"/>
          <w:kern w:val="0"/>
        </w:rPr>
        <w:instrText xml:space="preserve"> </w:instrText>
      </w:r>
      <w:r>
        <w:rPr>
          <w:rFonts w:eastAsia="黑体"/>
          <w:bCs/>
          <w:spacing w:val="-8"/>
          <w:kern w:val="0"/>
        </w:rPr>
        <w:fldChar w:fldCharType="separate"/>
      </w:r>
      <w:r>
        <w:rPr>
          <w:rFonts w:eastAsia="黑体"/>
          <w:bCs/>
          <w:spacing w:val="-8"/>
          <w:kern w:val="0"/>
        </w:rPr>
        <w:t>2</w:t>
      </w:r>
      <w:r>
        <w:rPr>
          <w:rFonts w:eastAsia="黑体"/>
          <w:bCs/>
          <w:spacing w:val="-8"/>
          <w:kern w:val="0"/>
        </w:rPr>
        <w:fldChar w:fldCharType="end"/>
      </w:r>
      <w:r>
        <w:rPr>
          <w:rFonts w:eastAsia="黑体"/>
          <w:bCs/>
          <w:spacing w:val="-8"/>
          <w:kern w:val="0"/>
        </w:rPr>
        <w:noBreakHyphen/>
      </w:r>
      <w:r>
        <w:rPr>
          <w:rFonts w:eastAsia="黑体"/>
          <w:bCs/>
          <w:spacing w:val="-8"/>
          <w:kern w:val="0"/>
        </w:rPr>
        <w:fldChar w:fldCharType="begin"/>
      </w:r>
      <w:r>
        <w:rPr>
          <w:rFonts w:eastAsia="黑体"/>
          <w:bCs/>
          <w:spacing w:val="-8"/>
          <w:kern w:val="0"/>
        </w:rPr>
        <w:instrText xml:space="preserve"> </w:instrText>
      </w:r>
      <w:r>
        <w:rPr>
          <w:rFonts w:hint="eastAsia" w:eastAsia="黑体"/>
          <w:bCs/>
          <w:spacing w:val="-8"/>
          <w:kern w:val="0"/>
        </w:rPr>
        <w:instrText xml:space="preserve">SEQ 表 \* ARABIC \s 1</w:instrText>
      </w:r>
      <w:r>
        <w:rPr>
          <w:rFonts w:eastAsia="黑体"/>
          <w:bCs/>
          <w:spacing w:val="-8"/>
          <w:kern w:val="0"/>
        </w:rPr>
        <w:instrText xml:space="preserve"> </w:instrText>
      </w:r>
      <w:r>
        <w:rPr>
          <w:rFonts w:eastAsia="黑体"/>
          <w:bCs/>
          <w:spacing w:val="-8"/>
          <w:kern w:val="0"/>
        </w:rPr>
        <w:fldChar w:fldCharType="separate"/>
      </w:r>
      <w:r>
        <w:rPr>
          <w:rFonts w:eastAsia="黑体"/>
          <w:bCs/>
          <w:spacing w:val="-8"/>
          <w:kern w:val="0"/>
        </w:rPr>
        <w:t>7</w:t>
      </w:r>
      <w:r>
        <w:rPr>
          <w:rFonts w:eastAsia="黑体"/>
          <w:bCs/>
          <w:spacing w:val="-8"/>
          <w:kern w:val="0"/>
        </w:rPr>
        <w:fldChar w:fldCharType="end"/>
      </w:r>
      <w:r>
        <w:rPr>
          <w:rFonts w:eastAsia="黑体"/>
          <w:bCs/>
          <w:spacing w:val="-8"/>
          <w:kern w:val="0"/>
        </w:rPr>
        <w:t xml:space="preserve">  </w:t>
      </w:r>
      <w:r>
        <w:rPr>
          <w:rFonts w:hint="eastAsia" w:eastAsia="黑体"/>
          <w:bCs/>
          <w:spacing w:val="-8"/>
          <w:kern w:val="0"/>
        </w:rPr>
        <w:t>各类施工机械设备、交通设备噪声级值一览表</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2217"/>
        <w:gridCol w:w="2465"/>
        <w:gridCol w:w="2660"/>
      </w:tblGrid>
      <w:tr w14:paraId="3A5EF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tcPr>
          <w:p w14:paraId="12D89C27">
            <w:pPr>
              <w:pStyle w:val="85"/>
              <w:spacing w:line="240" w:lineRule="auto"/>
              <w:ind w:firstLine="0" w:firstLineChars="0"/>
              <w:rPr>
                <w:kern w:val="0"/>
                <w:sz w:val="21"/>
                <w:szCs w:val="21"/>
              </w:rPr>
            </w:pPr>
            <w:r>
              <w:rPr>
                <w:rFonts w:hint="eastAsia"/>
                <w:kern w:val="0"/>
                <w:sz w:val="21"/>
                <w:szCs w:val="21"/>
              </w:rPr>
              <w:t>序号</w:t>
            </w:r>
          </w:p>
        </w:tc>
        <w:tc>
          <w:tcPr>
            <w:tcW w:w="2217" w:type="dxa"/>
          </w:tcPr>
          <w:p w14:paraId="1AEB32ED">
            <w:pPr>
              <w:pStyle w:val="85"/>
              <w:spacing w:line="240" w:lineRule="auto"/>
              <w:ind w:firstLine="0" w:firstLineChars="0"/>
              <w:jc w:val="center"/>
              <w:rPr>
                <w:kern w:val="0"/>
                <w:sz w:val="21"/>
                <w:szCs w:val="21"/>
              </w:rPr>
            </w:pPr>
            <w:r>
              <w:rPr>
                <w:rFonts w:hint="eastAsia"/>
                <w:kern w:val="0"/>
                <w:sz w:val="21"/>
                <w:szCs w:val="21"/>
              </w:rPr>
              <w:t>机械</w:t>
            </w:r>
            <w:r>
              <w:rPr>
                <w:kern w:val="0"/>
                <w:sz w:val="21"/>
                <w:szCs w:val="21"/>
              </w:rPr>
              <w:t>名称</w:t>
            </w:r>
          </w:p>
        </w:tc>
        <w:tc>
          <w:tcPr>
            <w:tcW w:w="2465" w:type="dxa"/>
          </w:tcPr>
          <w:p w14:paraId="6199C930">
            <w:pPr>
              <w:pStyle w:val="85"/>
              <w:spacing w:line="240" w:lineRule="auto"/>
              <w:ind w:firstLine="0" w:firstLineChars="0"/>
              <w:jc w:val="center"/>
              <w:rPr>
                <w:kern w:val="0"/>
                <w:sz w:val="21"/>
                <w:szCs w:val="21"/>
              </w:rPr>
            </w:pPr>
            <w:r>
              <w:rPr>
                <w:rFonts w:hint="eastAsia"/>
                <w:kern w:val="0"/>
                <w:sz w:val="21"/>
                <w:szCs w:val="21"/>
              </w:rPr>
              <w:t>测点与机械距离</w:t>
            </w:r>
          </w:p>
        </w:tc>
        <w:tc>
          <w:tcPr>
            <w:tcW w:w="2660" w:type="dxa"/>
          </w:tcPr>
          <w:p w14:paraId="4C0D6EC3">
            <w:pPr>
              <w:pStyle w:val="85"/>
              <w:spacing w:line="240" w:lineRule="auto"/>
              <w:ind w:firstLine="0" w:firstLineChars="0"/>
              <w:jc w:val="center"/>
              <w:rPr>
                <w:kern w:val="0"/>
                <w:sz w:val="21"/>
                <w:szCs w:val="21"/>
              </w:rPr>
            </w:pPr>
            <w:r>
              <w:rPr>
                <w:rFonts w:hint="eastAsia"/>
                <w:kern w:val="0"/>
                <w:sz w:val="21"/>
                <w:szCs w:val="21"/>
              </w:rPr>
              <w:t>源强</w:t>
            </w:r>
            <w:r>
              <w:rPr>
                <w:kern w:val="0"/>
                <w:sz w:val="21"/>
                <w:szCs w:val="21"/>
              </w:rPr>
              <w:t>dB(A)</w:t>
            </w:r>
          </w:p>
        </w:tc>
      </w:tr>
      <w:tr w14:paraId="049F3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tcPr>
          <w:p w14:paraId="69757D0C">
            <w:pPr>
              <w:pStyle w:val="85"/>
              <w:spacing w:line="240" w:lineRule="auto"/>
              <w:ind w:firstLine="0" w:firstLineChars="0"/>
              <w:jc w:val="center"/>
              <w:rPr>
                <w:kern w:val="0"/>
                <w:sz w:val="21"/>
                <w:szCs w:val="21"/>
              </w:rPr>
            </w:pPr>
            <w:r>
              <w:rPr>
                <w:rFonts w:hint="eastAsia"/>
                <w:kern w:val="0"/>
                <w:sz w:val="21"/>
                <w:szCs w:val="21"/>
              </w:rPr>
              <w:t>1</w:t>
            </w:r>
          </w:p>
        </w:tc>
        <w:tc>
          <w:tcPr>
            <w:tcW w:w="2217" w:type="dxa"/>
          </w:tcPr>
          <w:p w14:paraId="5B4B1F28">
            <w:pPr>
              <w:pStyle w:val="85"/>
              <w:spacing w:line="240" w:lineRule="auto"/>
              <w:ind w:firstLine="0" w:firstLineChars="0"/>
              <w:jc w:val="center"/>
              <w:rPr>
                <w:kern w:val="0"/>
                <w:sz w:val="21"/>
                <w:szCs w:val="21"/>
              </w:rPr>
            </w:pPr>
            <w:r>
              <w:rPr>
                <w:kern w:val="0"/>
                <w:sz w:val="21"/>
                <w:szCs w:val="21"/>
              </w:rPr>
              <w:t>挖掘机</w:t>
            </w:r>
          </w:p>
        </w:tc>
        <w:tc>
          <w:tcPr>
            <w:tcW w:w="2465" w:type="dxa"/>
          </w:tcPr>
          <w:p w14:paraId="0E23A9FC">
            <w:pPr>
              <w:pStyle w:val="85"/>
              <w:spacing w:line="240" w:lineRule="auto"/>
              <w:ind w:firstLine="0" w:firstLineChars="0"/>
              <w:jc w:val="center"/>
              <w:rPr>
                <w:kern w:val="0"/>
                <w:sz w:val="21"/>
                <w:szCs w:val="21"/>
              </w:rPr>
            </w:pPr>
            <w:r>
              <w:rPr>
                <w:rFonts w:hint="eastAsia"/>
                <w:kern w:val="0"/>
                <w:sz w:val="21"/>
                <w:szCs w:val="21"/>
              </w:rPr>
              <w:t>5</w:t>
            </w:r>
            <w:r>
              <w:rPr>
                <w:kern w:val="0"/>
                <w:sz w:val="21"/>
                <w:szCs w:val="21"/>
              </w:rPr>
              <w:t>m</w:t>
            </w:r>
          </w:p>
        </w:tc>
        <w:tc>
          <w:tcPr>
            <w:tcW w:w="2660" w:type="dxa"/>
          </w:tcPr>
          <w:p w14:paraId="6BF72DA7">
            <w:pPr>
              <w:pStyle w:val="85"/>
              <w:spacing w:line="240" w:lineRule="auto"/>
              <w:ind w:firstLine="0" w:firstLineChars="0"/>
              <w:jc w:val="center"/>
              <w:rPr>
                <w:kern w:val="0"/>
                <w:sz w:val="21"/>
                <w:szCs w:val="21"/>
              </w:rPr>
            </w:pPr>
            <w:r>
              <w:rPr>
                <w:kern w:val="0"/>
                <w:sz w:val="21"/>
                <w:szCs w:val="21"/>
              </w:rPr>
              <w:t>84</w:t>
            </w:r>
          </w:p>
        </w:tc>
      </w:tr>
      <w:tr w14:paraId="0AE23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tcPr>
          <w:p w14:paraId="6C0C1AEF">
            <w:pPr>
              <w:pStyle w:val="85"/>
              <w:spacing w:line="240" w:lineRule="auto"/>
              <w:ind w:firstLine="0" w:firstLineChars="0"/>
              <w:jc w:val="center"/>
              <w:rPr>
                <w:kern w:val="0"/>
                <w:sz w:val="21"/>
                <w:szCs w:val="21"/>
              </w:rPr>
            </w:pPr>
            <w:r>
              <w:rPr>
                <w:rFonts w:hint="eastAsia"/>
                <w:kern w:val="0"/>
                <w:sz w:val="21"/>
                <w:szCs w:val="21"/>
              </w:rPr>
              <w:t>2</w:t>
            </w:r>
          </w:p>
        </w:tc>
        <w:tc>
          <w:tcPr>
            <w:tcW w:w="2217" w:type="dxa"/>
          </w:tcPr>
          <w:p w14:paraId="27722DAC">
            <w:pPr>
              <w:pStyle w:val="85"/>
              <w:spacing w:line="240" w:lineRule="auto"/>
              <w:ind w:firstLine="0" w:firstLineChars="0"/>
              <w:jc w:val="center"/>
              <w:rPr>
                <w:kern w:val="0"/>
                <w:sz w:val="21"/>
                <w:szCs w:val="21"/>
              </w:rPr>
            </w:pPr>
            <w:r>
              <w:rPr>
                <w:kern w:val="0"/>
                <w:sz w:val="21"/>
                <w:szCs w:val="21"/>
              </w:rPr>
              <w:t>装载机</w:t>
            </w:r>
          </w:p>
        </w:tc>
        <w:tc>
          <w:tcPr>
            <w:tcW w:w="2465" w:type="dxa"/>
          </w:tcPr>
          <w:p w14:paraId="011089FE">
            <w:pPr>
              <w:pStyle w:val="85"/>
              <w:spacing w:line="240" w:lineRule="auto"/>
              <w:ind w:firstLine="0" w:firstLineChars="0"/>
              <w:jc w:val="center"/>
              <w:rPr>
                <w:kern w:val="0"/>
                <w:sz w:val="21"/>
                <w:szCs w:val="21"/>
              </w:rPr>
            </w:pPr>
            <w:r>
              <w:rPr>
                <w:rFonts w:hint="eastAsia"/>
                <w:kern w:val="0"/>
                <w:sz w:val="21"/>
                <w:szCs w:val="21"/>
              </w:rPr>
              <w:t>5</w:t>
            </w:r>
            <w:r>
              <w:rPr>
                <w:kern w:val="0"/>
                <w:sz w:val="21"/>
                <w:szCs w:val="21"/>
              </w:rPr>
              <w:t>m</w:t>
            </w:r>
          </w:p>
        </w:tc>
        <w:tc>
          <w:tcPr>
            <w:tcW w:w="2660" w:type="dxa"/>
          </w:tcPr>
          <w:p w14:paraId="624EFA39">
            <w:pPr>
              <w:pStyle w:val="85"/>
              <w:spacing w:line="240" w:lineRule="auto"/>
              <w:ind w:firstLine="0" w:firstLineChars="0"/>
              <w:jc w:val="center"/>
              <w:rPr>
                <w:kern w:val="0"/>
                <w:sz w:val="21"/>
                <w:szCs w:val="21"/>
              </w:rPr>
            </w:pPr>
            <w:r>
              <w:rPr>
                <w:kern w:val="0"/>
                <w:sz w:val="21"/>
                <w:szCs w:val="21"/>
              </w:rPr>
              <w:t>90</w:t>
            </w:r>
          </w:p>
        </w:tc>
      </w:tr>
      <w:tr w14:paraId="4DC6D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tcPr>
          <w:p w14:paraId="23228CBB">
            <w:pPr>
              <w:pStyle w:val="85"/>
              <w:spacing w:line="240" w:lineRule="auto"/>
              <w:ind w:firstLine="0" w:firstLineChars="0"/>
              <w:jc w:val="center"/>
              <w:rPr>
                <w:kern w:val="0"/>
                <w:sz w:val="21"/>
                <w:szCs w:val="21"/>
              </w:rPr>
            </w:pPr>
            <w:r>
              <w:rPr>
                <w:rFonts w:hint="eastAsia"/>
                <w:kern w:val="0"/>
                <w:sz w:val="21"/>
                <w:szCs w:val="21"/>
              </w:rPr>
              <w:t>3</w:t>
            </w:r>
          </w:p>
        </w:tc>
        <w:tc>
          <w:tcPr>
            <w:tcW w:w="2217" w:type="dxa"/>
          </w:tcPr>
          <w:p w14:paraId="7F7DB4A7">
            <w:pPr>
              <w:pStyle w:val="85"/>
              <w:spacing w:line="240" w:lineRule="auto"/>
              <w:ind w:firstLine="0" w:firstLineChars="0"/>
              <w:jc w:val="center"/>
              <w:rPr>
                <w:kern w:val="0"/>
                <w:sz w:val="21"/>
                <w:szCs w:val="21"/>
              </w:rPr>
            </w:pPr>
            <w:r>
              <w:rPr>
                <w:kern w:val="0"/>
                <w:sz w:val="21"/>
                <w:szCs w:val="21"/>
              </w:rPr>
              <w:t>推土机</w:t>
            </w:r>
          </w:p>
        </w:tc>
        <w:tc>
          <w:tcPr>
            <w:tcW w:w="2465" w:type="dxa"/>
          </w:tcPr>
          <w:p w14:paraId="44D2E046">
            <w:pPr>
              <w:pStyle w:val="85"/>
              <w:spacing w:line="240" w:lineRule="auto"/>
              <w:ind w:firstLine="0" w:firstLineChars="0"/>
              <w:jc w:val="center"/>
              <w:rPr>
                <w:kern w:val="0"/>
                <w:sz w:val="21"/>
                <w:szCs w:val="21"/>
              </w:rPr>
            </w:pPr>
            <w:r>
              <w:rPr>
                <w:rFonts w:hint="eastAsia"/>
                <w:kern w:val="0"/>
                <w:sz w:val="21"/>
                <w:szCs w:val="21"/>
              </w:rPr>
              <w:t>5</w:t>
            </w:r>
            <w:r>
              <w:rPr>
                <w:kern w:val="0"/>
                <w:sz w:val="21"/>
                <w:szCs w:val="21"/>
              </w:rPr>
              <w:t>m</w:t>
            </w:r>
          </w:p>
        </w:tc>
        <w:tc>
          <w:tcPr>
            <w:tcW w:w="2660" w:type="dxa"/>
          </w:tcPr>
          <w:p w14:paraId="148858E4">
            <w:pPr>
              <w:pStyle w:val="85"/>
              <w:spacing w:line="240" w:lineRule="auto"/>
              <w:ind w:firstLine="0" w:firstLineChars="0"/>
              <w:jc w:val="center"/>
              <w:rPr>
                <w:kern w:val="0"/>
                <w:sz w:val="21"/>
                <w:szCs w:val="21"/>
              </w:rPr>
            </w:pPr>
            <w:r>
              <w:rPr>
                <w:kern w:val="0"/>
                <w:sz w:val="21"/>
                <w:szCs w:val="21"/>
              </w:rPr>
              <w:t>86</w:t>
            </w:r>
          </w:p>
        </w:tc>
      </w:tr>
      <w:tr w14:paraId="05FFB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tcPr>
          <w:p w14:paraId="25D8F32B">
            <w:pPr>
              <w:pStyle w:val="85"/>
              <w:spacing w:line="240" w:lineRule="auto"/>
              <w:ind w:firstLine="0" w:firstLineChars="0"/>
              <w:jc w:val="center"/>
              <w:rPr>
                <w:kern w:val="0"/>
                <w:sz w:val="21"/>
                <w:szCs w:val="21"/>
              </w:rPr>
            </w:pPr>
            <w:r>
              <w:rPr>
                <w:rFonts w:hint="eastAsia"/>
                <w:kern w:val="0"/>
                <w:sz w:val="21"/>
                <w:szCs w:val="21"/>
              </w:rPr>
              <w:t>4</w:t>
            </w:r>
          </w:p>
        </w:tc>
        <w:tc>
          <w:tcPr>
            <w:tcW w:w="2217" w:type="dxa"/>
          </w:tcPr>
          <w:p w14:paraId="0EF58114">
            <w:pPr>
              <w:pStyle w:val="85"/>
              <w:spacing w:line="240" w:lineRule="auto"/>
              <w:ind w:firstLine="0" w:firstLineChars="0"/>
              <w:jc w:val="center"/>
              <w:rPr>
                <w:kern w:val="0"/>
                <w:sz w:val="21"/>
                <w:szCs w:val="21"/>
              </w:rPr>
            </w:pPr>
            <w:r>
              <w:rPr>
                <w:kern w:val="0"/>
                <w:sz w:val="21"/>
                <w:szCs w:val="21"/>
              </w:rPr>
              <w:t>自卸汽车</w:t>
            </w:r>
          </w:p>
        </w:tc>
        <w:tc>
          <w:tcPr>
            <w:tcW w:w="2465" w:type="dxa"/>
          </w:tcPr>
          <w:p w14:paraId="3FFAFFEE">
            <w:pPr>
              <w:pStyle w:val="85"/>
              <w:spacing w:line="240" w:lineRule="auto"/>
              <w:ind w:firstLine="0" w:firstLineChars="0"/>
              <w:jc w:val="center"/>
              <w:rPr>
                <w:kern w:val="0"/>
                <w:sz w:val="21"/>
                <w:szCs w:val="21"/>
              </w:rPr>
            </w:pPr>
            <w:r>
              <w:rPr>
                <w:rFonts w:hint="eastAsia"/>
                <w:kern w:val="0"/>
                <w:sz w:val="21"/>
                <w:szCs w:val="21"/>
              </w:rPr>
              <w:t>5</w:t>
            </w:r>
            <w:r>
              <w:rPr>
                <w:kern w:val="0"/>
                <w:sz w:val="21"/>
                <w:szCs w:val="21"/>
              </w:rPr>
              <w:t>m</w:t>
            </w:r>
          </w:p>
        </w:tc>
        <w:tc>
          <w:tcPr>
            <w:tcW w:w="2660" w:type="dxa"/>
          </w:tcPr>
          <w:p w14:paraId="7B65A88A">
            <w:pPr>
              <w:pStyle w:val="85"/>
              <w:spacing w:line="240" w:lineRule="auto"/>
              <w:ind w:firstLine="0" w:firstLineChars="0"/>
              <w:jc w:val="center"/>
              <w:rPr>
                <w:kern w:val="0"/>
                <w:sz w:val="21"/>
                <w:szCs w:val="21"/>
              </w:rPr>
            </w:pPr>
            <w:r>
              <w:rPr>
                <w:kern w:val="0"/>
                <w:sz w:val="21"/>
                <w:szCs w:val="21"/>
              </w:rPr>
              <w:t>80</w:t>
            </w:r>
          </w:p>
        </w:tc>
      </w:tr>
      <w:tr w14:paraId="5F7AE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tcPr>
          <w:p w14:paraId="56AEC66B">
            <w:pPr>
              <w:pStyle w:val="85"/>
              <w:spacing w:line="240" w:lineRule="auto"/>
              <w:ind w:firstLine="0" w:firstLineChars="0"/>
              <w:jc w:val="center"/>
              <w:rPr>
                <w:kern w:val="0"/>
                <w:sz w:val="21"/>
                <w:szCs w:val="21"/>
              </w:rPr>
            </w:pPr>
            <w:r>
              <w:rPr>
                <w:kern w:val="0"/>
                <w:sz w:val="21"/>
                <w:szCs w:val="21"/>
              </w:rPr>
              <w:t>5</w:t>
            </w:r>
          </w:p>
        </w:tc>
        <w:tc>
          <w:tcPr>
            <w:tcW w:w="2217" w:type="dxa"/>
          </w:tcPr>
          <w:p w14:paraId="09FED5CF">
            <w:pPr>
              <w:pStyle w:val="85"/>
              <w:spacing w:line="240" w:lineRule="auto"/>
              <w:ind w:firstLine="0" w:firstLineChars="0"/>
              <w:jc w:val="center"/>
              <w:rPr>
                <w:kern w:val="0"/>
                <w:sz w:val="21"/>
                <w:szCs w:val="21"/>
              </w:rPr>
            </w:pPr>
            <w:r>
              <w:rPr>
                <w:rFonts w:hint="eastAsia"/>
                <w:kern w:val="0"/>
                <w:sz w:val="21"/>
                <w:szCs w:val="21"/>
              </w:rPr>
              <w:t>平板</w:t>
            </w:r>
            <w:r>
              <w:rPr>
                <w:kern w:val="0"/>
                <w:sz w:val="21"/>
                <w:szCs w:val="21"/>
              </w:rPr>
              <w:t>振动器</w:t>
            </w:r>
          </w:p>
        </w:tc>
        <w:tc>
          <w:tcPr>
            <w:tcW w:w="2465" w:type="dxa"/>
          </w:tcPr>
          <w:p w14:paraId="3377525B">
            <w:pPr>
              <w:pStyle w:val="85"/>
              <w:spacing w:line="240" w:lineRule="auto"/>
              <w:ind w:firstLine="0" w:firstLineChars="0"/>
              <w:jc w:val="center"/>
              <w:rPr>
                <w:kern w:val="0"/>
                <w:sz w:val="21"/>
                <w:szCs w:val="21"/>
              </w:rPr>
            </w:pPr>
            <w:r>
              <w:rPr>
                <w:rFonts w:hint="eastAsia"/>
                <w:kern w:val="0"/>
                <w:sz w:val="21"/>
                <w:szCs w:val="21"/>
              </w:rPr>
              <w:t>5</w:t>
            </w:r>
            <w:r>
              <w:rPr>
                <w:kern w:val="0"/>
                <w:sz w:val="21"/>
                <w:szCs w:val="21"/>
              </w:rPr>
              <w:t>m</w:t>
            </w:r>
          </w:p>
        </w:tc>
        <w:tc>
          <w:tcPr>
            <w:tcW w:w="2660" w:type="dxa"/>
          </w:tcPr>
          <w:p w14:paraId="105D1F00">
            <w:pPr>
              <w:pStyle w:val="85"/>
              <w:spacing w:line="240" w:lineRule="auto"/>
              <w:ind w:firstLine="0" w:firstLineChars="0"/>
              <w:jc w:val="center"/>
              <w:rPr>
                <w:kern w:val="0"/>
                <w:sz w:val="21"/>
                <w:szCs w:val="21"/>
              </w:rPr>
            </w:pPr>
            <w:r>
              <w:rPr>
                <w:rFonts w:hint="eastAsia"/>
                <w:kern w:val="0"/>
                <w:sz w:val="21"/>
                <w:szCs w:val="21"/>
              </w:rPr>
              <w:t>86</w:t>
            </w:r>
          </w:p>
        </w:tc>
      </w:tr>
      <w:tr w14:paraId="39DF1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tcPr>
          <w:p w14:paraId="4D69DBAD">
            <w:pPr>
              <w:pStyle w:val="85"/>
              <w:spacing w:line="240" w:lineRule="auto"/>
              <w:ind w:firstLine="0" w:firstLineChars="0"/>
              <w:jc w:val="center"/>
              <w:rPr>
                <w:kern w:val="0"/>
                <w:sz w:val="21"/>
                <w:szCs w:val="21"/>
              </w:rPr>
            </w:pPr>
            <w:r>
              <w:rPr>
                <w:kern w:val="0"/>
                <w:sz w:val="21"/>
                <w:szCs w:val="21"/>
              </w:rPr>
              <w:t>6</w:t>
            </w:r>
          </w:p>
        </w:tc>
        <w:tc>
          <w:tcPr>
            <w:tcW w:w="2217" w:type="dxa"/>
          </w:tcPr>
          <w:p w14:paraId="711D63B2">
            <w:pPr>
              <w:pStyle w:val="85"/>
              <w:spacing w:line="240" w:lineRule="auto"/>
              <w:ind w:firstLine="0" w:firstLineChars="0"/>
              <w:jc w:val="center"/>
              <w:rPr>
                <w:kern w:val="0"/>
                <w:sz w:val="21"/>
                <w:szCs w:val="21"/>
              </w:rPr>
            </w:pPr>
            <w:r>
              <w:rPr>
                <w:rFonts w:hint="eastAsia"/>
                <w:kern w:val="0"/>
                <w:sz w:val="21"/>
                <w:szCs w:val="21"/>
              </w:rPr>
              <w:t>洒水车</w:t>
            </w:r>
          </w:p>
        </w:tc>
        <w:tc>
          <w:tcPr>
            <w:tcW w:w="2465" w:type="dxa"/>
          </w:tcPr>
          <w:p w14:paraId="0ED4A9B9">
            <w:pPr>
              <w:pStyle w:val="85"/>
              <w:spacing w:line="240" w:lineRule="auto"/>
              <w:ind w:firstLine="0" w:firstLineChars="0"/>
              <w:jc w:val="center"/>
              <w:rPr>
                <w:kern w:val="0"/>
                <w:sz w:val="21"/>
                <w:szCs w:val="21"/>
              </w:rPr>
            </w:pPr>
            <w:r>
              <w:rPr>
                <w:rFonts w:hint="eastAsia"/>
                <w:kern w:val="0"/>
                <w:sz w:val="21"/>
                <w:szCs w:val="21"/>
              </w:rPr>
              <w:t>5</w:t>
            </w:r>
            <w:r>
              <w:rPr>
                <w:kern w:val="0"/>
                <w:sz w:val="21"/>
                <w:szCs w:val="21"/>
              </w:rPr>
              <w:t>m</w:t>
            </w:r>
          </w:p>
        </w:tc>
        <w:tc>
          <w:tcPr>
            <w:tcW w:w="2660" w:type="dxa"/>
          </w:tcPr>
          <w:p w14:paraId="0F869A6E">
            <w:pPr>
              <w:pStyle w:val="85"/>
              <w:spacing w:line="240" w:lineRule="auto"/>
              <w:ind w:firstLine="0" w:firstLineChars="0"/>
              <w:jc w:val="center"/>
              <w:rPr>
                <w:kern w:val="0"/>
                <w:sz w:val="21"/>
                <w:szCs w:val="21"/>
              </w:rPr>
            </w:pPr>
            <w:r>
              <w:rPr>
                <w:kern w:val="0"/>
                <w:sz w:val="21"/>
                <w:szCs w:val="21"/>
              </w:rPr>
              <w:t>80</w:t>
            </w:r>
          </w:p>
        </w:tc>
      </w:tr>
      <w:tr w14:paraId="6D56D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tcPr>
          <w:p w14:paraId="2C1D9775">
            <w:pPr>
              <w:pStyle w:val="85"/>
              <w:spacing w:line="240" w:lineRule="auto"/>
              <w:ind w:firstLine="0" w:firstLineChars="0"/>
              <w:jc w:val="center"/>
              <w:rPr>
                <w:kern w:val="0"/>
                <w:sz w:val="21"/>
                <w:szCs w:val="21"/>
              </w:rPr>
            </w:pPr>
            <w:r>
              <w:rPr>
                <w:kern w:val="0"/>
                <w:sz w:val="21"/>
                <w:szCs w:val="21"/>
              </w:rPr>
              <w:t>7</w:t>
            </w:r>
          </w:p>
        </w:tc>
        <w:tc>
          <w:tcPr>
            <w:tcW w:w="2217" w:type="dxa"/>
          </w:tcPr>
          <w:p w14:paraId="06483568">
            <w:pPr>
              <w:pStyle w:val="85"/>
              <w:spacing w:line="240" w:lineRule="auto"/>
              <w:ind w:firstLine="0" w:firstLineChars="0"/>
              <w:jc w:val="center"/>
              <w:rPr>
                <w:kern w:val="0"/>
                <w:sz w:val="21"/>
                <w:szCs w:val="21"/>
              </w:rPr>
            </w:pPr>
            <w:r>
              <w:rPr>
                <w:rFonts w:hint="eastAsia"/>
                <w:kern w:val="0"/>
                <w:sz w:val="21"/>
                <w:szCs w:val="21"/>
              </w:rPr>
              <w:t>插入式</w:t>
            </w:r>
            <w:r>
              <w:rPr>
                <w:kern w:val="0"/>
                <w:sz w:val="21"/>
                <w:szCs w:val="21"/>
              </w:rPr>
              <w:t>振动器</w:t>
            </w:r>
          </w:p>
        </w:tc>
        <w:tc>
          <w:tcPr>
            <w:tcW w:w="2465" w:type="dxa"/>
          </w:tcPr>
          <w:p w14:paraId="379E8119">
            <w:pPr>
              <w:pStyle w:val="85"/>
              <w:spacing w:line="240" w:lineRule="auto"/>
              <w:ind w:firstLine="0" w:firstLineChars="0"/>
              <w:jc w:val="center"/>
              <w:rPr>
                <w:kern w:val="0"/>
                <w:sz w:val="21"/>
                <w:szCs w:val="21"/>
              </w:rPr>
            </w:pPr>
            <w:r>
              <w:rPr>
                <w:rFonts w:hint="eastAsia"/>
                <w:kern w:val="0"/>
                <w:sz w:val="21"/>
                <w:szCs w:val="21"/>
              </w:rPr>
              <w:t>5</w:t>
            </w:r>
            <w:r>
              <w:rPr>
                <w:kern w:val="0"/>
                <w:sz w:val="21"/>
                <w:szCs w:val="21"/>
              </w:rPr>
              <w:t>m</w:t>
            </w:r>
          </w:p>
        </w:tc>
        <w:tc>
          <w:tcPr>
            <w:tcW w:w="2660" w:type="dxa"/>
          </w:tcPr>
          <w:p w14:paraId="1B35785A">
            <w:pPr>
              <w:pStyle w:val="85"/>
              <w:spacing w:line="240" w:lineRule="auto"/>
              <w:ind w:firstLine="0" w:firstLineChars="0"/>
              <w:jc w:val="center"/>
              <w:rPr>
                <w:kern w:val="0"/>
                <w:sz w:val="21"/>
                <w:szCs w:val="21"/>
              </w:rPr>
            </w:pPr>
            <w:r>
              <w:rPr>
                <w:rFonts w:hint="eastAsia"/>
                <w:kern w:val="0"/>
                <w:sz w:val="21"/>
                <w:szCs w:val="21"/>
              </w:rPr>
              <w:t>86</w:t>
            </w:r>
          </w:p>
        </w:tc>
      </w:tr>
      <w:tr w14:paraId="7A17C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tcPr>
          <w:p w14:paraId="7AB5A1AA">
            <w:pPr>
              <w:pStyle w:val="85"/>
              <w:spacing w:line="240" w:lineRule="auto"/>
              <w:ind w:firstLine="0" w:firstLineChars="0"/>
              <w:jc w:val="center"/>
              <w:rPr>
                <w:kern w:val="0"/>
                <w:sz w:val="21"/>
                <w:szCs w:val="21"/>
              </w:rPr>
            </w:pPr>
            <w:r>
              <w:rPr>
                <w:kern w:val="0"/>
                <w:sz w:val="21"/>
                <w:szCs w:val="21"/>
              </w:rPr>
              <w:t>8</w:t>
            </w:r>
          </w:p>
        </w:tc>
        <w:tc>
          <w:tcPr>
            <w:tcW w:w="2217" w:type="dxa"/>
          </w:tcPr>
          <w:p w14:paraId="2507DDF0">
            <w:pPr>
              <w:pStyle w:val="85"/>
              <w:spacing w:line="240" w:lineRule="auto"/>
              <w:ind w:firstLine="0" w:firstLineChars="0"/>
              <w:jc w:val="center"/>
              <w:rPr>
                <w:kern w:val="0"/>
                <w:sz w:val="21"/>
                <w:szCs w:val="21"/>
              </w:rPr>
            </w:pPr>
            <w:r>
              <w:rPr>
                <w:rFonts w:hint="eastAsia"/>
                <w:kern w:val="0"/>
                <w:sz w:val="21"/>
                <w:szCs w:val="21"/>
              </w:rPr>
              <w:t>振动</w:t>
            </w:r>
            <w:r>
              <w:rPr>
                <w:kern w:val="0"/>
                <w:sz w:val="21"/>
                <w:szCs w:val="21"/>
              </w:rPr>
              <w:t>梁</w:t>
            </w:r>
          </w:p>
        </w:tc>
        <w:tc>
          <w:tcPr>
            <w:tcW w:w="2465" w:type="dxa"/>
          </w:tcPr>
          <w:p w14:paraId="55162050">
            <w:pPr>
              <w:pStyle w:val="85"/>
              <w:spacing w:line="240" w:lineRule="auto"/>
              <w:ind w:firstLine="0" w:firstLineChars="0"/>
              <w:jc w:val="center"/>
              <w:rPr>
                <w:kern w:val="0"/>
                <w:sz w:val="21"/>
                <w:szCs w:val="21"/>
              </w:rPr>
            </w:pPr>
            <w:r>
              <w:rPr>
                <w:rFonts w:hint="eastAsia"/>
                <w:kern w:val="0"/>
                <w:sz w:val="21"/>
                <w:szCs w:val="21"/>
              </w:rPr>
              <w:t>5</w:t>
            </w:r>
            <w:r>
              <w:rPr>
                <w:kern w:val="0"/>
                <w:sz w:val="21"/>
                <w:szCs w:val="21"/>
              </w:rPr>
              <w:t>m</w:t>
            </w:r>
          </w:p>
        </w:tc>
        <w:tc>
          <w:tcPr>
            <w:tcW w:w="2660" w:type="dxa"/>
          </w:tcPr>
          <w:p w14:paraId="39D9F84F">
            <w:pPr>
              <w:pStyle w:val="85"/>
              <w:spacing w:line="240" w:lineRule="auto"/>
              <w:ind w:firstLine="0" w:firstLineChars="0"/>
              <w:jc w:val="center"/>
              <w:rPr>
                <w:kern w:val="0"/>
                <w:sz w:val="21"/>
                <w:szCs w:val="21"/>
              </w:rPr>
            </w:pPr>
            <w:r>
              <w:rPr>
                <w:rFonts w:hint="eastAsia"/>
                <w:kern w:val="0"/>
                <w:sz w:val="21"/>
                <w:szCs w:val="21"/>
              </w:rPr>
              <w:t>86</w:t>
            </w:r>
          </w:p>
        </w:tc>
      </w:tr>
    </w:tbl>
    <w:p w14:paraId="71211B9A">
      <w:pPr>
        <w:pStyle w:val="5"/>
        <w:rPr>
          <w:kern w:val="0"/>
        </w:rPr>
      </w:pPr>
      <w:r>
        <w:rPr>
          <w:kern w:val="0"/>
        </w:rPr>
        <w:t>固体废物</w:t>
      </w:r>
    </w:p>
    <w:p w14:paraId="7A9D324A">
      <w:pPr>
        <w:pStyle w:val="85"/>
        <w:ind w:firstLine="480"/>
        <w:rPr>
          <w:kern w:val="0"/>
        </w:rPr>
      </w:pPr>
      <w:r>
        <w:rPr>
          <w:kern w:val="0"/>
        </w:rPr>
        <w:t>工程开挖土方、淤泥全部就近利用。工程固体废物主要为</w:t>
      </w:r>
      <w:r>
        <w:rPr>
          <w:rFonts w:hint="eastAsia"/>
          <w:kern w:val="0"/>
        </w:rPr>
        <w:t>施工人员的生活垃圾</w:t>
      </w:r>
      <w:r>
        <w:rPr>
          <w:kern w:val="0"/>
        </w:rPr>
        <w:t>。</w:t>
      </w:r>
    </w:p>
    <w:p w14:paraId="4FB25735">
      <w:pPr>
        <w:pStyle w:val="85"/>
        <w:ind w:firstLine="480"/>
        <w:rPr>
          <w:kern w:val="0"/>
        </w:rPr>
      </w:pPr>
      <w:r>
        <w:rPr>
          <w:kern w:val="0"/>
        </w:rPr>
        <w:t>根据工程规模和施工进度安排，高峰期的施工人数为30</w:t>
      </w:r>
      <w:r>
        <w:rPr>
          <w:rFonts w:hint="eastAsia"/>
          <w:kern w:val="0"/>
        </w:rPr>
        <w:t>人</w:t>
      </w:r>
      <w:r>
        <w:rPr>
          <w:kern w:val="0"/>
        </w:rPr>
        <w:t>，按人均0.5kg/d 的生活垃圾量估算，施工高峰期的生活垃圾量为15kg/d。工程施工期间产生的生活垃圾严禁乱抛乱丢，随地倾倒，生活垃圾统一收集后由地方环卫部门定期清运进行无害化处理，对环境的影响较小</w:t>
      </w:r>
      <w:r>
        <w:rPr>
          <w:rFonts w:hint="eastAsia"/>
          <w:kern w:val="0"/>
        </w:rPr>
        <w:t>。</w:t>
      </w:r>
      <w:bookmarkStart w:id="92" w:name="_Hlk176886933"/>
    </w:p>
    <w:bookmarkEnd w:id="92"/>
    <w:p w14:paraId="72933B06">
      <w:pPr>
        <w:pStyle w:val="4"/>
        <w:rPr>
          <w:kern w:val="0"/>
        </w:rPr>
      </w:pPr>
      <w:r>
        <w:rPr>
          <w:rFonts w:hint="eastAsia"/>
          <w:kern w:val="0"/>
        </w:rPr>
        <w:t>运营期</w:t>
      </w:r>
      <w:r>
        <w:rPr>
          <w:kern w:val="0"/>
        </w:rPr>
        <w:t>污染源</w:t>
      </w:r>
      <w:r>
        <w:rPr>
          <w:rFonts w:hint="eastAsia"/>
          <w:kern w:val="0"/>
        </w:rPr>
        <w:t>及</w:t>
      </w:r>
      <w:r>
        <w:rPr>
          <w:kern w:val="0"/>
        </w:rPr>
        <w:t>环保措施</w:t>
      </w:r>
    </w:p>
    <w:p w14:paraId="154C52FD">
      <w:pPr>
        <w:pStyle w:val="5"/>
        <w:rPr>
          <w:kern w:val="0"/>
        </w:rPr>
      </w:pPr>
      <w:r>
        <w:rPr>
          <w:rFonts w:hint="eastAsia"/>
          <w:kern w:val="0"/>
        </w:rPr>
        <w:t>水文</w:t>
      </w:r>
      <w:r>
        <w:rPr>
          <w:kern w:val="0"/>
        </w:rPr>
        <w:t>影响</w:t>
      </w:r>
    </w:p>
    <w:p w14:paraId="23AE6EEF">
      <w:pPr>
        <w:pStyle w:val="85"/>
        <w:ind w:firstLine="480"/>
        <w:rPr>
          <w:kern w:val="0"/>
        </w:rPr>
      </w:pPr>
      <w:r>
        <w:rPr>
          <w:rFonts w:hint="eastAsia"/>
          <w:kern w:val="0"/>
        </w:rPr>
        <w:t>本工程不建设拦蓄水设施，不涉及兴利库容与取水，故对河流径流几乎不产生影响。根据《滦平县潮河干流河道水质改善与生态修复工程防洪评价报告》及其批复，本项目的布置未降低河道现状行洪能力，基本未改变河流整体流势，对水流有一定约束作用，同时防止了修建护岸一侧岸坡坍塌，提高岸坡防冲刷能力， 对河道行洪及防冲起到积极作用。</w:t>
      </w:r>
    </w:p>
    <w:p w14:paraId="4F667E10">
      <w:pPr>
        <w:pStyle w:val="5"/>
      </w:pPr>
      <w:r>
        <w:rPr>
          <w:rFonts w:hint="eastAsia"/>
        </w:rPr>
        <w:t>生态影响</w:t>
      </w:r>
    </w:p>
    <w:p w14:paraId="347F01EF">
      <w:pPr>
        <w:pStyle w:val="85"/>
        <w:ind w:firstLine="480"/>
      </w:pPr>
      <w:r>
        <w:rPr>
          <w:rFonts w:hint="eastAsia"/>
        </w:rPr>
        <w:t>工程为生态修复项目，工程建设完成后，采取工程措施和植物措施相结合，能够保持工程区原有的生态功能，恢复植被及生态环境，无不良影响；通过河道基底修复及微地形梳理，改善了潮河水质，有利于提高河流廊道生态服务功能，对廊道植物和植被演替有利，周边地区的植物种类可能会增加，进而提高区域生物多样性水平。</w:t>
      </w:r>
    </w:p>
    <w:p w14:paraId="59BB5AEA">
      <w:pPr>
        <w:pStyle w:val="5"/>
        <w:rPr>
          <w:kern w:val="0"/>
        </w:rPr>
      </w:pPr>
      <w:r>
        <w:rPr>
          <w:rFonts w:hint="eastAsia"/>
          <w:kern w:val="0"/>
        </w:rPr>
        <w:t>其它污染源</w:t>
      </w:r>
    </w:p>
    <w:p w14:paraId="54DDDCC1">
      <w:pPr>
        <w:pStyle w:val="85"/>
        <w:ind w:firstLine="480"/>
        <w:rPr>
          <w:kern w:val="0"/>
        </w:rPr>
      </w:pPr>
      <w:r>
        <w:rPr>
          <w:rFonts w:hint="eastAsia"/>
          <w:kern w:val="0"/>
        </w:rPr>
        <w:t>本工程运营期不产生和排放其它污染物，不会对大气环境、声环境、地表水环境、地下水环境产生影响，也不产生固体废物。</w:t>
      </w:r>
    </w:p>
    <w:p w14:paraId="55109F92">
      <w:pPr>
        <w:pStyle w:val="85"/>
        <w:ind w:firstLine="480"/>
        <w:rPr>
          <w:kern w:val="0"/>
        </w:rPr>
      </w:pPr>
      <w:r>
        <w:rPr>
          <w:rFonts w:hint="eastAsia"/>
          <w:kern w:val="0"/>
        </w:rPr>
        <w:t>本工程</w:t>
      </w:r>
      <w:r>
        <w:rPr>
          <w:kern w:val="0"/>
        </w:rPr>
        <w:t>通过河道生态修复的措施，恢复河道内水生态环境的自净能力，通过水生植物的种植，将河水中的污染物质去除掉，根据《河道人工湿地设计规范》（DB13/T5217—2020）参考自然土壤湿地水质净化能力分析，挺水植物净化能力为：总氮的年去除总量为1000-2000kg/hm</w:t>
      </w:r>
      <w:r>
        <w:rPr>
          <w:kern w:val="0"/>
          <w:vertAlign w:val="superscript"/>
        </w:rPr>
        <w:t>2</w:t>
      </w:r>
      <w:r>
        <w:rPr>
          <w:kern w:val="0"/>
        </w:rPr>
        <w:t>；总磷的年去除总量为30-150kg/hm</w:t>
      </w:r>
      <w:r>
        <w:rPr>
          <w:kern w:val="0"/>
          <w:vertAlign w:val="superscript"/>
        </w:rPr>
        <w:t>2</w:t>
      </w:r>
      <w:r>
        <w:rPr>
          <w:kern w:val="0"/>
        </w:rPr>
        <w:t>； 沉水植物净化能力为：总氮的年去除总量为 200-500kg/hm</w:t>
      </w:r>
      <w:r>
        <w:rPr>
          <w:kern w:val="0"/>
          <w:vertAlign w:val="superscript"/>
        </w:rPr>
        <w:t>2</w:t>
      </w:r>
      <w:r>
        <w:rPr>
          <w:kern w:val="0"/>
        </w:rPr>
        <w:t>；总磷的年去除总量为 20-80kg/hm</w:t>
      </w:r>
      <w:r>
        <w:rPr>
          <w:kern w:val="0"/>
          <w:vertAlign w:val="superscript"/>
        </w:rPr>
        <w:t>2</w:t>
      </w:r>
      <w:r>
        <w:rPr>
          <w:kern w:val="0"/>
        </w:rPr>
        <w:t>。</w:t>
      </w:r>
      <w:r>
        <w:rPr>
          <w:rFonts w:hint="eastAsia"/>
          <w:kern w:val="0"/>
        </w:rPr>
        <w:t>项目可提高水质净化能力，保障潮河水质滦平段稳定达到Ⅱ类标准。</w:t>
      </w:r>
    </w:p>
    <w:p w14:paraId="4EDAD248">
      <w:pPr>
        <w:pStyle w:val="85"/>
        <w:ind w:firstLine="480"/>
        <w:rPr>
          <w:kern w:val="0"/>
        </w:rPr>
      </w:pPr>
    </w:p>
    <w:p w14:paraId="1927A912">
      <w:pPr>
        <w:pStyle w:val="85"/>
        <w:ind w:firstLine="480"/>
        <w:rPr>
          <w:kern w:val="0"/>
        </w:rPr>
      </w:pPr>
    </w:p>
    <w:p w14:paraId="2F2B8722">
      <w:pPr>
        <w:pStyle w:val="85"/>
        <w:ind w:firstLine="480"/>
        <w:rPr>
          <w:kern w:val="0"/>
        </w:rPr>
        <w:sectPr>
          <w:pgSz w:w="11906" w:h="16838"/>
          <w:pgMar w:top="2007" w:right="1797" w:bottom="1724" w:left="1797" w:header="1417" w:footer="1162" w:gutter="0"/>
          <w:pgNumType w:fmt="numberInDash"/>
          <w:cols w:space="425" w:num="1"/>
          <w:docGrid w:type="lines" w:linePitch="312" w:charSpace="0"/>
        </w:sectPr>
      </w:pPr>
    </w:p>
    <w:p w14:paraId="5E486B42">
      <w:pPr>
        <w:pStyle w:val="2"/>
        <w:rPr>
          <w:kern w:val="0"/>
        </w:rPr>
      </w:pPr>
      <w:bookmarkStart w:id="93" w:name="_Toc198733159"/>
      <w:r>
        <w:rPr>
          <w:rFonts w:hint="eastAsia"/>
          <w:kern w:val="0"/>
        </w:rPr>
        <w:t>区域</w:t>
      </w:r>
      <w:r>
        <w:rPr>
          <w:kern w:val="0"/>
        </w:rPr>
        <w:t>环境概况</w:t>
      </w:r>
      <w:bookmarkEnd w:id="93"/>
    </w:p>
    <w:p w14:paraId="1B47AA61">
      <w:pPr>
        <w:pStyle w:val="3"/>
        <w:rPr>
          <w:kern w:val="0"/>
        </w:rPr>
      </w:pPr>
      <w:bookmarkStart w:id="94" w:name="_Toc198733160"/>
      <w:r>
        <w:rPr>
          <w:rFonts w:hint="eastAsia"/>
          <w:kern w:val="0"/>
        </w:rPr>
        <w:t>自然</w:t>
      </w:r>
      <w:r>
        <w:rPr>
          <w:kern w:val="0"/>
        </w:rPr>
        <w:t>环境概况</w:t>
      </w:r>
      <w:bookmarkEnd w:id="94"/>
    </w:p>
    <w:p w14:paraId="27601831">
      <w:pPr>
        <w:pStyle w:val="4"/>
        <w:rPr>
          <w:kern w:val="0"/>
        </w:rPr>
      </w:pPr>
      <w:r>
        <w:rPr>
          <w:rFonts w:hint="eastAsia"/>
          <w:kern w:val="0"/>
        </w:rPr>
        <w:t>地理</w:t>
      </w:r>
      <w:r>
        <w:rPr>
          <w:kern w:val="0"/>
        </w:rPr>
        <w:t>位置</w:t>
      </w:r>
    </w:p>
    <w:p w14:paraId="2B97FDF4">
      <w:pPr>
        <w:pStyle w:val="85"/>
        <w:ind w:firstLine="480"/>
        <w:rPr>
          <w:kern w:val="0"/>
        </w:rPr>
      </w:pPr>
      <w:r>
        <w:rPr>
          <w:kern w:val="0"/>
        </w:rPr>
        <w:t>承德市位于河北省东北部，距离首都北京230km，辖八县三区，是我国著名的历史文化名城之一，自改革开放以来承德市社会经济和旅游环境都发生了巨大变化，其区域主导地位和中心作用日趋显著，现已成为以轻工业和旅游业为龙头的中等城市。</w:t>
      </w:r>
    </w:p>
    <w:p w14:paraId="32A6ACC3">
      <w:pPr>
        <w:pStyle w:val="85"/>
        <w:ind w:firstLine="480"/>
        <w:rPr>
          <w:kern w:val="0"/>
        </w:rPr>
      </w:pPr>
      <w:r>
        <w:rPr>
          <w:kern w:val="0"/>
        </w:rPr>
        <w:t>滦平县位于承德市西南部，北纬40°39′~41°16′，东经116°40′~117°52′。北邻丰宁满族自治县，西接北京密云区，东连承德市，地处京冀交界，地理位置十分重要。</w:t>
      </w:r>
    </w:p>
    <w:p w14:paraId="6C17CF87">
      <w:pPr>
        <w:pStyle w:val="85"/>
        <w:ind w:firstLine="480"/>
        <w:rPr>
          <w:kern w:val="0"/>
        </w:rPr>
      </w:pPr>
      <w:r>
        <w:rPr>
          <w:rFonts w:hint="eastAsia"/>
          <w:kern w:val="0"/>
        </w:rPr>
        <w:t>本工程实施</w:t>
      </w:r>
      <w:r>
        <w:rPr>
          <w:kern w:val="0"/>
        </w:rPr>
        <w:t>范围位于</w:t>
      </w:r>
      <w:r>
        <w:rPr>
          <w:rFonts w:hint="eastAsia"/>
          <w:kern w:val="0"/>
        </w:rPr>
        <w:t>滦平县</w:t>
      </w:r>
      <w:bookmarkStart w:id="95" w:name="OLE_LINK23"/>
      <w:r>
        <w:rPr>
          <w:rFonts w:hint="eastAsia"/>
          <w:kern w:val="0"/>
        </w:rPr>
        <w:t>潮河干流（丰宁入境至S224省道潮河桥）</w:t>
      </w:r>
      <w:bookmarkEnd w:id="95"/>
      <w:r>
        <w:rPr>
          <w:rFonts w:hint="eastAsia"/>
          <w:kern w:val="0"/>
        </w:rPr>
        <w:t>。</w:t>
      </w:r>
      <w:r>
        <w:rPr>
          <w:kern w:val="0"/>
        </w:rPr>
        <w:t>工程</w:t>
      </w:r>
      <w:r>
        <w:rPr>
          <w:rFonts w:hint="eastAsia"/>
          <w:kern w:val="0"/>
        </w:rPr>
        <w:t>布置与</w:t>
      </w:r>
      <w:r>
        <w:rPr>
          <w:kern w:val="0"/>
        </w:rPr>
        <w:t>保护区位置关系见附图</w:t>
      </w:r>
      <w:r>
        <w:rPr>
          <w:rFonts w:hint="eastAsia"/>
          <w:kern w:val="0"/>
        </w:rPr>
        <w:t>。</w:t>
      </w:r>
    </w:p>
    <w:p w14:paraId="191394CA">
      <w:pPr>
        <w:pStyle w:val="4"/>
        <w:rPr>
          <w:kern w:val="0"/>
        </w:rPr>
      </w:pPr>
      <w:r>
        <w:rPr>
          <w:rFonts w:hint="eastAsia"/>
          <w:kern w:val="0"/>
        </w:rPr>
        <w:t>地形</w:t>
      </w:r>
      <w:r>
        <w:rPr>
          <w:kern w:val="0"/>
        </w:rPr>
        <w:t>地貌</w:t>
      </w:r>
    </w:p>
    <w:p w14:paraId="796125F6">
      <w:pPr>
        <w:pStyle w:val="85"/>
        <w:ind w:firstLine="480"/>
        <w:rPr>
          <w:kern w:val="0"/>
        </w:rPr>
      </w:pPr>
      <w:r>
        <w:rPr>
          <w:kern w:val="0"/>
        </w:rPr>
        <w:t>滦平县地处燕山山脉北麓，属于“八山一水一分田”的浅山区，全县平均海拔400米，地形东南低西北高，最高峰为白草洼的人头山，海拔1750.4米；最低点为巴克什营长城外潮河岸，海拔210 米。属燕山丘陵地貌。</w:t>
      </w:r>
    </w:p>
    <w:p w14:paraId="59D13A87">
      <w:pPr>
        <w:pStyle w:val="85"/>
        <w:ind w:firstLine="480"/>
        <w:rPr>
          <w:kern w:val="0"/>
        </w:rPr>
      </w:pPr>
      <w:r>
        <w:rPr>
          <w:kern w:val="0"/>
        </w:rPr>
        <w:t>潮河流域北接内蒙古高原，南</w:t>
      </w:r>
      <w:r>
        <w:rPr>
          <w:rFonts w:hint="eastAsia"/>
          <w:kern w:val="0"/>
        </w:rPr>
        <w:t>临</w:t>
      </w:r>
      <w:r>
        <w:rPr>
          <w:kern w:val="0"/>
        </w:rPr>
        <w:t>华北平原，燕山山脉横贯流域南部，由于地壳运动和长期风雨侵蚀等外力作用，使流域地表形成了山峦起伏、岭谷相间的地貌景观，山地面积占总面积的 80%。山体主要由花岗岩、片麻岩砂砾岩和石灰岩组成，岩体风化较为严重，表层土壤瘠薄。潮河流域内土壤类型以棕壤和褐土为主，占总面积的 80%以上，土壤厚度悬殊，大部分地区土石混杂</w:t>
      </w:r>
      <w:r>
        <w:rPr>
          <w:rFonts w:hint="eastAsia"/>
          <w:kern w:val="0"/>
        </w:rPr>
        <w:t>。</w:t>
      </w:r>
    </w:p>
    <w:p w14:paraId="34C33E7D">
      <w:pPr>
        <w:pStyle w:val="4"/>
        <w:rPr>
          <w:kern w:val="0"/>
        </w:rPr>
      </w:pPr>
      <w:r>
        <w:rPr>
          <w:rFonts w:hint="eastAsia"/>
          <w:kern w:val="0"/>
        </w:rPr>
        <w:t>气候</w:t>
      </w:r>
      <w:r>
        <w:rPr>
          <w:kern w:val="0"/>
        </w:rPr>
        <w:t>特征</w:t>
      </w:r>
    </w:p>
    <w:p w14:paraId="38CFF100">
      <w:pPr>
        <w:pStyle w:val="85"/>
        <w:ind w:firstLine="480"/>
        <w:rPr>
          <w:kern w:val="0"/>
        </w:rPr>
      </w:pPr>
      <w:r>
        <w:rPr>
          <w:kern w:val="0"/>
        </w:rPr>
        <w:t>滦平县属中温带向暖温带过渡、半干旱间半湿润大陆性季风型燕山山地气候，四季分明、冬长夏短；春季气温回升快，干旱少雨；夏季温和，雨热同季，多雷阵雨；秋季天高气爽，昼夜温差大，气温下降迅速；冬季寒冷少雪。年均气温7.7℃，最冷月为1月，平均气温-10℃，极端最低气温-28.2℃（2010年1月5日），最热为7月，平均气温23.0℃，极端最高气温38.0℃（2000年7月12日）；2013全年无霜期151天，降水量351.1毫米，70%-80%的降水量集中在6、7、8月份。全年多西南风，平均风速2.2米/秒。</w:t>
      </w:r>
    </w:p>
    <w:p w14:paraId="6760AFEF">
      <w:pPr>
        <w:pStyle w:val="85"/>
        <w:ind w:firstLine="480"/>
        <w:rPr>
          <w:kern w:val="0"/>
        </w:rPr>
      </w:pPr>
      <w:r>
        <w:rPr>
          <w:kern w:val="0"/>
        </w:rPr>
        <w:t>多年平均气温8.5℃，7月最热，平均气温23.1℃，1月最冷，平均气温-10.9℃，极端最高气温37.5℃，出现在1972年7月16日，极端最低气温-29.9℃，出现于1962年2月13日。无霜期150天左右，多年平均降水量555mm，年水面蒸发量1679.0mm（φ20cm），年平均风速2.2m/s，年平均日照时数2808h，最大冻土深150cm。</w:t>
      </w:r>
    </w:p>
    <w:p w14:paraId="5FB219D4">
      <w:pPr>
        <w:pStyle w:val="4"/>
        <w:rPr>
          <w:kern w:val="0"/>
        </w:rPr>
      </w:pPr>
      <w:r>
        <w:rPr>
          <w:rFonts w:hint="eastAsia"/>
          <w:kern w:val="0"/>
        </w:rPr>
        <w:t>水文地质</w:t>
      </w:r>
    </w:p>
    <w:p w14:paraId="5F2F5ABA">
      <w:pPr>
        <w:pStyle w:val="85"/>
        <w:ind w:firstLine="480"/>
        <w:rPr>
          <w:kern w:val="0"/>
        </w:rPr>
      </w:pPr>
      <w:r>
        <w:rPr>
          <w:rFonts w:hint="eastAsia"/>
          <w:kern w:val="0"/>
        </w:rPr>
        <w:t>根据区内地下水类型可划分为第四系松散岩类孔隙水和基岩裂隙水。</w:t>
      </w:r>
    </w:p>
    <w:p w14:paraId="36B87A2C">
      <w:pPr>
        <w:pStyle w:val="85"/>
        <w:ind w:firstLine="480"/>
        <w:rPr>
          <w:kern w:val="0"/>
        </w:rPr>
      </w:pPr>
      <w:r>
        <w:rPr>
          <w:kern w:val="0"/>
        </w:rPr>
        <w:t>1、第四系松散岩类孔隙水</w:t>
      </w:r>
    </w:p>
    <w:p w14:paraId="5E33B356">
      <w:pPr>
        <w:pStyle w:val="85"/>
        <w:ind w:firstLine="480"/>
        <w:rPr>
          <w:kern w:val="0"/>
        </w:rPr>
      </w:pPr>
      <w:r>
        <w:rPr>
          <w:kern w:val="0"/>
        </w:rPr>
        <w:t>区域第四系孔隙潜水主要分布于河谷的中、上游、山间洼地以及宽河谷的</w:t>
      </w:r>
      <w:r>
        <w:rPr>
          <w:rFonts w:hint="eastAsia"/>
          <w:kern w:val="0"/>
        </w:rPr>
        <w:t>Ⅱ</w:t>
      </w:r>
      <w:r>
        <w:rPr>
          <w:kern w:val="0"/>
        </w:rPr>
        <w:t>、</w:t>
      </w:r>
      <w:r>
        <w:rPr>
          <w:rFonts w:hint="eastAsia"/>
          <w:kern w:val="0"/>
        </w:rPr>
        <w:t>Ⅲ</w:t>
      </w:r>
      <w:r>
        <w:rPr>
          <w:kern w:val="0"/>
        </w:rPr>
        <w:t>级阶地等处。含水层岩性以亚砂土、砂、砾石为主，厚度一般小于10m。结合区域水文地质资料，该类含水层地下水单井涌水量多介于100~1000m³/d之间，属水量中等区。</w:t>
      </w:r>
    </w:p>
    <w:p w14:paraId="0073E3C8">
      <w:pPr>
        <w:pStyle w:val="85"/>
        <w:ind w:firstLine="480"/>
        <w:rPr>
          <w:kern w:val="0"/>
        </w:rPr>
      </w:pPr>
      <w:r>
        <w:rPr>
          <w:rFonts w:hint="eastAsia"/>
          <w:kern w:val="0"/>
        </w:rPr>
        <w:t>2、</w:t>
      </w:r>
      <w:r>
        <w:rPr>
          <w:kern w:val="0"/>
        </w:rPr>
        <w:t>碎屑岩类裂隙孔隙水</w:t>
      </w:r>
    </w:p>
    <w:p w14:paraId="78F61498">
      <w:pPr>
        <w:pStyle w:val="85"/>
        <w:ind w:firstLine="480"/>
        <w:rPr>
          <w:kern w:val="0"/>
        </w:rPr>
      </w:pPr>
      <w:r>
        <w:rPr>
          <w:kern w:val="0"/>
        </w:rPr>
        <w:t>区域内见西瓜园组砂岩段（J3—K1xst）、安山岩层(αb)、砾岩透镜体(cgl)、后城组三段（Jh3）、后城组二段（Jh2），含水层岩性为厚层粉砂岩、砂岩及砾岩。其水力性质以潜水为主，局部承压。分布面积较小，在构造裂隙发育部位，易富集孔隙裂隙水。结合区域水文地质资料，该类含水层地下水单井涌水量100~1000m³/d之间，为水量中等区。</w:t>
      </w:r>
    </w:p>
    <w:p w14:paraId="1380FA1E">
      <w:pPr>
        <w:pStyle w:val="85"/>
        <w:ind w:firstLine="480"/>
        <w:rPr>
          <w:kern w:val="0"/>
        </w:rPr>
      </w:pPr>
      <w:r>
        <w:rPr>
          <w:rFonts w:hint="eastAsia"/>
          <w:kern w:val="0"/>
        </w:rPr>
        <w:t>3、基岩裂隙水</w:t>
      </w:r>
    </w:p>
    <w:p w14:paraId="56080952">
      <w:pPr>
        <w:pStyle w:val="85"/>
        <w:ind w:firstLine="480"/>
        <w:rPr>
          <w:kern w:val="0"/>
        </w:rPr>
      </w:pPr>
      <w:r>
        <w:rPr>
          <w:kern w:val="0"/>
        </w:rPr>
        <w:t>区域内见侏罗系上统潜石英粗面岩（λτj3）、张家口组（Jz），含水层岩性为石英粗面质角砾凝灰岩、石英粗面质角砾熔结凝灰岩、砂岩等。具块状构造，其富水性受岩性、地形地貌及构造条件的综合控制，尤以构造控水最为明显，结合区域水文地质资料，该类含水层地下水单井涌水量100~1000m³/d之间，该区域含水岩组属水量中等区。</w:t>
      </w:r>
    </w:p>
    <w:p w14:paraId="4AA85DB1">
      <w:pPr>
        <w:pStyle w:val="4"/>
        <w:rPr>
          <w:kern w:val="0"/>
        </w:rPr>
      </w:pPr>
      <w:r>
        <w:rPr>
          <w:rFonts w:hint="eastAsia"/>
          <w:kern w:val="0"/>
        </w:rPr>
        <w:t>地表水</w:t>
      </w:r>
    </w:p>
    <w:p w14:paraId="4C155FE6">
      <w:pPr>
        <w:pStyle w:val="85"/>
        <w:ind w:firstLine="480"/>
        <w:rPr>
          <w:kern w:val="0"/>
        </w:rPr>
      </w:pPr>
      <w:r>
        <w:rPr>
          <w:kern w:val="0"/>
        </w:rPr>
        <w:t>滦平县境内有滦河、伊逊河、兴洲河、潮河四条较大河流，河网密度为0.137公里/平方公里；滦河、伊逊河、兴洲河属于滦河水系，境内流域面积1587平方公里；潮河属于海河水系，境内流域面积1423平方公里，是京津两市的重要水源地。在4大河流上，100平方公里以上的支流有7条，10平方公里以上，100平方公里以下支沟65条，季节性小河上千条。滦河是滦平县第一大河，河北省第二大河，全国第十三大河。</w:t>
      </w:r>
    </w:p>
    <w:p w14:paraId="6B0CE0AE">
      <w:pPr>
        <w:pStyle w:val="85"/>
        <w:ind w:firstLine="480"/>
        <w:rPr>
          <w:kern w:val="0"/>
        </w:rPr>
      </w:pPr>
      <w:r>
        <w:rPr>
          <w:kern w:val="0"/>
        </w:rPr>
        <w:t>潮河是潮白河重要支流，古称鲍秋水。发源于河北省丰宁满族自治县槽碾沟南山下。经河北省滦平县于密云县古北口入境后，流经下会、辛庄，于大漕村西注入密云水库。水库以下潮河纳支流红门川河后，于县城西南河槽村东与白河汇合后称潮白河。潮河穿滦平县境，滦平段长度63km，入境处以上流域面积3351km2，出境处以上流域面积4701km2。滦平县境内流域面积1350km2。</w:t>
      </w:r>
    </w:p>
    <w:p w14:paraId="32A2932C">
      <w:pPr>
        <w:pStyle w:val="85"/>
        <w:ind w:firstLine="480"/>
        <w:rPr>
          <w:kern w:val="0"/>
        </w:rPr>
      </w:pPr>
      <w:r>
        <w:rPr>
          <w:kern w:val="0"/>
        </w:rPr>
        <w:t>潮河的主要支流有清水河、安达木河、红门川河，都是入境河流。由于受气候、地形等自然条件的影响，年内和年际间降水量分配不均，各河来水量也就有显著差异，冬、春两季气候寒冷、干燥、多风少雨，河流水量极少；而7月和8月汛期之内，雨量集中，各河上游又多处在暴雨中心区，河流水量增</w:t>
      </w:r>
      <w:r>
        <w:rPr>
          <w:rFonts w:hint="eastAsia"/>
          <w:kern w:val="0"/>
        </w:rPr>
        <w:t>加。</w:t>
      </w:r>
    </w:p>
    <w:bookmarkEnd w:id="3"/>
    <w:bookmarkEnd w:id="4"/>
    <w:bookmarkEnd w:id="5"/>
    <w:bookmarkEnd w:id="6"/>
    <w:bookmarkEnd w:id="7"/>
    <w:bookmarkEnd w:id="8"/>
    <w:bookmarkEnd w:id="9"/>
    <w:bookmarkEnd w:id="10"/>
    <w:bookmarkEnd w:id="11"/>
    <w:p w14:paraId="45AA67E7">
      <w:pPr>
        <w:pStyle w:val="3"/>
        <w:rPr>
          <w:kern w:val="0"/>
        </w:rPr>
      </w:pPr>
      <w:bookmarkStart w:id="96" w:name="_Toc198733161"/>
      <w:r>
        <w:rPr>
          <w:rFonts w:hint="eastAsia"/>
          <w:kern w:val="0"/>
        </w:rPr>
        <w:t>环境质量现状监测与评价</w:t>
      </w:r>
      <w:bookmarkEnd w:id="96"/>
    </w:p>
    <w:p w14:paraId="2E5E2C1A">
      <w:pPr>
        <w:pStyle w:val="85"/>
        <w:ind w:firstLine="480"/>
        <w:rPr>
          <w:kern w:val="0"/>
        </w:rPr>
      </w:pPr>
      <w:r>
        <w:rPr>
          <w:kern w:val="0"/>
        </w:rPr>
        <w:t>本次评价选取</w:t>
      </w:r>
      <w:r>
        <w:rPr>
          <w:rFonts w:hint="eastAsia"/>
          <w:kern w:val="0"/>
        </w:rPr>
        <w:t>2023年承德市生态环境状况公报公布</w:t>
      </w:r>
      <w:r>
        <w:rPr>
          <w:kern w:val="0"/>
        </w:rPr>
        <w:t>的数据。</w:t>
      </w:r>
      <w:r>
        <w:rPr>
          <w:rFonts w:hint="eastAsia"/>
          <w:kern w:val="0"/>
        </w:rPr>
        <w:t>地表水</w:t>
      </w:r>
      <w:r>
        <w:rPr>
          <w:kern w:val="0"/>
        </w:rPr>
        <w:t>环境现状</w:t>
      </w:r>
      <w:r>
        <w:rPr>
          <w:rFonts w:hint="eastAsia"/>
          <w:kern w:val="0"/>
        </w:rPr>
        <w:t>评价</w:t>
      </w:r>
      <w:r>
        <w:rPr>
          <w:kern w:val="0"/>
        </w:rPr>
        <w:t>引用</w:t>
      </w:r>
      <w:r>
        <w:rPr>
          <w:rFonts w:hint="eastAsia"/>
          <w:kern w:val="0"/>
        </w:rPr>
        <w:t>2024年1-12月份地表水跨县界断面水质生态补偿监测数据。地下水</w:t>
      </w:r>
      <w:r>
        <w:rPr>
          <w:kern w:val="0"/>
        </w:rPr>
        <w:t>水质监测</w:t>
      </w:r>
      <w:r>
        <w:rPr>
          <w:rFonts w:hint="eastAsia"/>
          <w:kern w:val="0"/>
        </w:rPr>
        <w:t>，</w:t>
      </w:r>
      <w:r>
        <w:rPr>
          <w:kern w:val="0"/>
        </w:rPr>
        <w:t>由</w:t>
      </w:r>
      <w:r>
        <w:rPr>
          <w:rFonts w:hint="eastAsia"/>
          <w:kern w:val="0"/>
        </w:rPr>
        <w:t>河北俊采环境检测技术有限公司</w:t>
      </w:r>
      <w:r>
        <w:rPr>
          <w:kern w:val="0"/>
        </w:rPr>
        <w:t>负责；声环境质量监测由</w:t>
      </w:r>
      <w:r>
        <w:rPr>
          <w:rFonts w:hint="eastAsia"/>
          <w:kern w:val="0"/>
        </w:rPr>
        <w:t>河北俊采环境检测技术有限公司</w:t>
      </w:r>
      <w:r>
        <w:rPr>
          <w:kern w:val="0"/>
        </w:rPr>
        <w:t>负责，监测时间为2025年4月14日</w:t>
      </w:r>
      <w:r>
        <w:rPr>
          <w:rFonts w:hint="eastAsia"/>
          <w:kern w:val="0"/>
        </w:rPr>
        <w:t>。</w:t>
      </w:r>
      <w:r>
        <w:rPr>
          <w:kern w:val="0"/>
        </w:rPr>
        <w:t>土壤</w:t>
      </w:r>
      <w:r>
        <w:rPr>
          <w:rFonts w:hint="eastAsia"/>
          <w:kern w:val="0"/>
        </w:rPr>
        <w:t>监测</w:t>
      </w:r>
      <w:r>
        <w:rPr>
          <w:kern w:val="0"/>
        </w:rPr>
        <w:t>由</w:t>
      </w:r>
      <w:r>
        <w:rPr>
          <w:rFonts w:hint="eastAsia"/>
          <w:kern w:val="0"/>
        </w:rPr>
        <w:t>北俊采环境检测技术有限公司</w:t>
      </w:r>
      <w:r>
        <w:rPr>
          <w:kern w:val="0"/>
        </w:rPr>
        <w:t>负责</w:t>
      </w:r>
      <w:r>
        <w:rPr>
          <w:rFonts w:hint="eastAsia"/>
          <w:kern w:val="0"/>
        </w:rPr>
        <w:t>，</w:t>
      </w:r>
      <w:r>
        <w:rPr>
          <w:kern w:val="0"/>
        </w:rPr>
        <w:t>采样时间为</w:t>
      </w:r>
      <w:r>
        <w:rPr>
          <w:rFonts w:hint="eastAsia"/>
          <w:kern w:val="0"/>
        </w:rPr>
        <w:t>202</w:t>
      </w:r>
      <w:r>
        <w:rPr>
          <w:kern w:val="0"/>
        </w:rPr>
        <w:t>5</w:t>
      </w:r>
      <w:r>
        <w:rPr>
          <w:rFonts w:hint="eastAsia"/>
          <w:kern w:val="0"/>
        </w:rPr>
        <w:t>年</w:t>
      </w:r>
      <w:r>
        <w:rPr>
          <w:kern w:val="0"/>
        </w:rPr>
        <w:t>4</w:t>
      </w:r>
      <w:r>
        <w:rPr>
          <w:rFonts w:hint="eastAsia"/>
          <w:kern w:val="0"/>
        </w:rPr>
        <w:t>月</w:t>
      </w:r>
      <w:r>
        <w:rPr>
          <w:kern w:val="0"/>
        </w:rPr>
        <w:t>14</w:t>
      </w:r>
      <w:r>
        <w:rPr>
          <w:rFonts w:hint="eastAsia"/>
          <w:kern w:val="0"/>
        </w:rPr>
        <w:t>日</w:t>
      </w:r>
      <w:r>
        <w:rPr>
          <w:kern w:val="0"/>
        </w:rPr>
        <w:t>。</w:t>
      </w:r>
      <w:r>
        <w:rPr>
          <w:rFonts w:hint="eastAsia"/>
          <w:kern w:val="0"/>
        </w:rPr>
        <w:t>底泥监测由河北工院云环境检测技术有限公司监测。</w:t>
      </w:r>
    </w:p>
    <w:p w14:paraId="43EC9651">
      <w:pPr>
        <w:pStyle w:val="4"/>
        <w:spacing w:line="400" w:lineRule="exact"/>
        <w:rPr>
          <w:kern w:val="0"/>
        </w:rPr>
      </w:pPr>
      <w:r>
        <w:rPr>
          <w:rFonts w:hint="eastAsia"/>
          <w:kern w:val="0"/>
        </w:rPr>
        <w:t>区域</w:t>
      </w:r>
      <w:r>
        <w:rPr>
          <w:kern w:val="0"/>
        </w:rPr>
        <w:t>大气环境质量达标判定</w:t>
      </w:r>
    </w:p>
    <w:p w14:paraId="53FF7028">
      <w:pPr>
        <w:pStyle w:val="85"/>
        <w:ind w:firstLine="480"/>
        <w:rPr>
          <w:kern w:val="0"/>
        </w:rPr>
      </w:pPr>
      <w:r>
        <w:rPr>
          <w:rFonts w:hint="eastAsia"/>
          <w:kern w:val="0"/>
        </w:rPr>
        <w:t>根据《2023 年承德市生态环境状况公报》（2024年5月，承德市生态环境局）和《关于2023 年12 月份全市空气质量预警监测结果的通报》（承气领办〔2024〕12 号）中滦平县环境空气中的PM</w:t>
      </w:r>
      <w:r>
        <w:rPr>
          <w:rFonts w:hint="eastAsia"/>
          <w:kern w:val="0"/>
          <w:vertAlign w:val="subscript"/>
        </w:rPr>
        <w:t>10</w:t>
      </w:r>
      <w:r>
        <w:rPr>
          <w:rFonts w:hint="eastAsia"/>
          <w:kern w:val="0"/>
        </w:rPr>
        <w:t>、PM</w:t>
      </w:r>
      <w:r>
        <w:rPr>
          <w:rFonts w:hint="eastAsia"/>
          <w:kern w:val="0"/>
          <w:vertAlign w:val="subscript"/>
        </w:rPr>
        <w:t>2.5</w:t>
      </w:r>
      <w:r>
        <w:rPr>
          <w:rFonts w:hint="eastAsia"/>
          <w:kern w:val="0"/>
        </w:rPr>
        <w:t>、SO</w:t>
      </w:r>
      <w:r>
        <w:rPr>
          <w:rFonts w:hint="eastAsia"/>
          <w:kern w:val="0"/>
          <w:vertAlign w:val="subscript"/>
        </w:rPr>
        <w:t>2</w:t>
      </w:r>
      <w:r>
        <w:rPr>
          <w:rFonts w:hint="eastAsia"/>
          <w:kern w:val="0"/>
        </w:rPr>
        <w:t>、NO</w:t>
      </w:r>
      <w:r>
        <w:rPr>
          <w:rFonts w:hint="eastAsia"/>
          <w:kern w:val="0"/>
          <w:vertAlign w:val="subscript"/>
        </w:rPr>
        <w:t>2</w:t>
      </w:r>
      <w:r>
        <w:rPr>
          <w:rFonts w:hint="eastAsia"/>
          <w:kern w:val="0"/>
        </w:rPr>
        <w:t>、CO、O</w:t>
      </w:r>
      <w:r>
        <w:rPr>
          <w:rFonts w:hint="eastAsia"/>
          <w:kern w:val="0"/>
          <w:vertAlign w:val="subscript"/>
        </w:rPr>
        <w:t>3</w:t>
      </w:r>
      <w:r>
        <w:rPr>
          <w:rFonts w:hint="eastAsia"/>
          <w:kern w:val="0"/>
        </w:rPr>
        <w:t>现状监测统计资料作为基本污染物环境空气质量现状数据，监测结果及区域空气质量现状评价见下表。</w:t>
      </w:r>
    </w:p>
    <w:p w14:paraId="79473D48">
      <w:pPr>
        <w:spacing w:line="520" w:lineRule="exact"/>
        <w:jc w:val="center"/>
        <w:rPr>
          <w:rFonts w:eastAsia="黑体"/>
          <w:bCs/>
          <w:kern w:val="0"/>
          <w:szCs w:val="21"/>
          <w:vertAlign w:val="superscript"/>
          <w:lang w:val="zh-CN"/>
        </w:rPr>
      </w:pPr>
      <w:r>
        <w:rPr>
          <w:rFonts w:hint="eastAsia" w:eastAsia="黑体"/>
          <w:bCs/>
          <w:spacing w:val="-8"/>
          <w:kern w:val="0"/>
          <w:sz w:val="24"/>
        </w:rPr>
        <w:t>表</w:t>
      </w:r>
      <w:r>
        <w:rPr>
          <w:rFonts w:eastAsia="黑体"/>
          <w:bCs/>
          <w:spacing w:val="-8"/>
          <w:kern w:val="0"/>
          <w:sz w:val="24"/>
        </w:rPr>
        <w:fldChar w:fldCharType="begin"/>
      </w:r>
      <w:r>
        <w:rPr>
          <w:rFonts w:eastAsia="黑体"/>
          <w:bCs/>
          <w:spacing w:val="-8"/>
          <w:kern w:val="0"/>
          <w:sz w:val="24"/>
        </w:rPr>
        <w:instrText xml:space="preserve"> </w:instrText>
      </w:r>
      <w:r>
        <w:rPr>
          <w:rFonts w:hint="eastAsia" w:eastAsia="黑体"/>
          <w:bCs/>
          <w:spacing w:val="-8"/>
          <w:kern w:val="0"/>
          <w:sz w:val="24"/>
        </w:rPr>
        <w:instrText xml:space="preserve">STYLEREF 1 \s</w:instrText>
      </w:r>
      <w:r>
        <w:rPr>
          <w:rFonts w:eastAsia="黑体"/>
          <w:bCs/>
          <w:spacing w:val="-8"/>
          <w:kern w:val="0"/>
          <w:sz w:val="24"/>
        </w:rPr>
        <w:instrText xml:space="preserve"> </w:instrText>
      </w:r>
      <w:r>
        <w:rPr>
          <w:rFonts w:eastAsia="黑体"/>
          <w:bCs/>
          <w:spacing w:val="-8"/>
          <w:kern w:val="0"/>
          <w:sz w:val="24"/>
        </w:rPr>
        <w:fldChar w:fldCharType="separate"/>
      </w:r>
      <w:r>
        <w:rPr>
          <w:rFonts w:eastAsia="黑体"/>
          <w:bCs/>
          <w:spacing w:val="-8"/>
          <w:kern w:val="0"/>
          <w:sz w:val="24"/>
        </w:rPr>
        <w:t>3</w:t>
      </w:r>
      <w:r>
        <w:rPr>
          <w:rFonts w:eastAsia="黑体"/>
          <w:bCs/>
          <w:spacing w:val="-8"/>
          <w:kern w:val="0"/>
          <w:sz w:val="24"/>
        </w:rPr>
        <w:fldChar w:fldCharType="end"/>
      </w:r>
      <w:r>
        <w:rPr>
          <w:rFonts w:eastAsia="黑体"/>
          <w:bCs/>
          <w:spacing w:val="-8"/>
          <w:kern w:val="0"/>
          <w:sz w:val="24"/>
        </w:rPr>
        <w:noBreakHyphen/>
      </w:r>
      <w:r>
        <w:rPr>
          <w:rFonts w:eastAsia="黑体"/>
          <w:bCs/>
          <w:spacing w:val="-8"/>
          <w:kern w:val="0"/>
          <w:sz w:val="24"/>
        </w:rPr>
        <w:fldChar w:fldCharType="begin"/>
      </w:r>
      <w:r>
        <w:rPr>
          <w:rFonts w:eastAsia="黑体"/>
          <w:bCs/>
          <w:spacing w:val="-8"/>
          <w:kern w:val="0"/>
          <w:sz w:val="24"/>
        </w:rPr>
        <w:instrText xml:space="preserve"> </w:instrText>
      </w:r>
      <w:r>
        <w:rPr>
          <w:rFonts w:hint="eastAsia" w:eastAsia="黑体"/>
          <w:bCs/>
          <w:spacing w:val="-8"/>
          <w:kern w:val="0"/>
          <w:sz w:val="24"/>
        </w:rPr>
        <w:instrText xml:space="preserve">SEQ 表 \* ARABIC \s 1</w:instrText>
      </w:r>
      <w:r>
        <w:rPr>
          <w:rFonts w:eastAsia="黑体"/>
          <w:bCs/>
          <w:spacing w:val="-8"/>
          <w:kern w:val="0"/>
          <w:sz w:val="24"/>
        </w:rPr>
        <w:instrText xml:space="preserve"> </w:instrText>
      </w:r>
      <w:r>
        <w:rPr>
          <w:rFonts w:eastAsia="黑体"/>
          <w:bCs/>
          <w:spacing w:val="-8"/>
          <w:kern w:val="0"/>
          <w:sz w:val="24"/>
        </w:rPr>
        <w:fldChar w:fldCharType="separate"/>
      </w:r>
      <w:r>
        <w:rPr>
          <w:rFonts w:eastAsia="黑体"/>
          <w:bCs/>
          <w:spacing w:val="-8"/>
          <w:kern w:val="0"/>
          <w:sz w:val="24"/>
        </w:rPr>
        <w:t>1</w:t>
      </w:r>
      <w:r>
        <w:rPr>
          <w:rFonts w:eastAsia="黑体"/>
          <w:bCs/>
          <w:spacing w:val="-8"/>
          <w:kern w:val="0"/>
          <w:sz w:val="24"/>
        </w:rPr>
        <w:fldChar w:fldCharType="end"/>
      </w:r>
      <w:r>
        <w:rPr>
          <w:rFonts w:eastAsia="黑体"/>
          <w:bCs/>
          <w:spacing w:val="-8"/>
          <w:kern w:val="0"/>
          <w:sz w:val="24"/>
        </w:rPr>
        <w:t xml:space="preserve">  </w:t>
      </w:r>
      <w:r>
        <w:rPr>
          <w:rFonts w:hint="eastAsia" w:eastAsia="黑体"/>
          <w:bCs/>
          <w:kern w:val="0"/>
          <w:sz w:val="24"/>
          <w:szCs w:val="32"/>
          <w:lang w:val="zh-CN"/>
        </w:rPr>
        <w:t>20</w:t>
      </w:r>
      <w:r>
        <w:rPr>
          <w:rFonts w:hint="eastAsia" w:eastAsia="黑体"/>
          <w:bCs/>
          <w:kern w:val="0"/>
          <w:sz w:val="24"/>
          <w:szCs w:val="32"/>
        </w:rPr>
        <w:t>2</w:t>
      </w:r>
      <w:r>
        <w:rPr>
          <w:rFonts w:eastAsia="黑体"/>
          <w:bCs/>
          <w:kern w:val="0"/>
          <w:sz w:val="24"/>
          <w:szCs w:val="32"/>
        </w:rPr>
        <w:t>3</w:t>
      </w:r>
      <w:r>
        <w:rPr>
          <w:rFonts w:hint="eastAsia" w:eastAsia="黑体"/>
          <w:bCs/>
          <w:kern w:val="0"/>
          <w:sz w:val="24"/>
          <w:szCs w:val="32"/>
          <w:lang w:val="zh-CN"/>
        </w:rPr>
        <w:t>年</w:t>
      </w:r>
      <w:r>
        <w:rPr>
          <w:rFonts w:hint="eastAsia" w:eastAsia="黑体"/>
          <w:bCs/>
          <w:kern w:val="0"/>
          <w:sz w:val="24"/>
          <w:szCs w:val="32"/>
        </w:rPr>
        <w:t>承德市生态</w:t>
      </w:r>
      <w:r>
        <w:rPr>
          <w:rFonts w:eastAsia="黑体"/>
          <w:bCs/>
          <w:kern w:val="0"/>
          <w:sz w:val="24"/>
          <w:szCs w:val="32"/>
        </w:rPr>
        <w:t>环境状况公报</w:t>
      </w:r>
      <w:r>
        <w:rPr>
          <w:rFonts w:hint="eastAsia" w:eastAsia="黑体"/>
          <w:bCs/>
          <w:kern w:val="0"/>
          <w:sz w:val="24"/>
          <w:szCs w:val="32"/>
        </w:rPr>
        <w:t>滦平县数据</w:t>
      </w:r>
      <w:r>
        <w:rPr>
          <w:rFonts w:hint="eastAsia" w:eastAsia="黑体"/>
          <w:bCs/>
          <w:kern w:val="0"/>
          <w:szCs w:val="21"/>
          <w:lang w:val="zh-CN"/>
        </w:rPr>
        <w:t xml:space="preserve"> 单位：</w:t>
      </w:r>
      <w:r>
        <w:rPr>
          <w:rFonts w:eastAsia="黑体"/>
          <w:bCs/>
          <w:kern w:val="0"/>
          <w:szCs w:val="21"/>
          <w:lang w:val="zh-CN"/>
        </w:rPr>
        <w:t>μg/m</w:t>
      </w:r>
      <w:r>
        <w:rPr>
          <w:rFonts w:eastAsia="黑体"/>
          <w:bCs/>
          <w:kern w:val="0"/>
          <w:szCs w:val="21"/>
          <w:vertAlign w:val="superscript"/>
          <w:lang w:val="zh-CN"/>
        </w:rPr>
        <w:t>3</w:t>
      </w:r>
    </w:p>
    <w:tbl>
      <w:tblPr>
        <w:tblStyle w:val="6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05"/>
        <w:gridCol w:w="3126"/>
        <w:gridCol w:w="1055"/>
        <w:gridCol w:w="1147"/>
        <w:gridCol w:w="1147"/>
        <w:gridCol w:w="1142"/>
      </w:tblGrid>
      <w:tr w14:paraId="7894C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4" w:type="pct"/>
            <w:vAlign w:val="center"/>
          </w:tcPr>
          <w:p w14:paraId="3D06FE73">
            <w:pPr>
              <w:spacing w:line="240" w:lineRule="exact"/>
              <w:jc w:val="center"/>
              <w:rPr>
                <w:kern w:val="0"/>
                <w:szCs w:val="21"/>
              </w:rPr>
            </w:pPr>
            <w:r>
              <w:rPr>
                <w:rFonts w:hint="eastAsia"/>
                <w:kern w:val="0"/>
                <w:szCs w:val="21"/>
              </w:rPr>
              <w:t>污染物</w:t>
            </w:r>
          </w:p>
        </w:tc>
        <w:tc>
          <w:tcPr>
            <w:tcW w:w="1878" w:type="pct"/>
            <w:vAlign w:val="center"/>
          </w:tcPr>
          <w:p w14:paraId="505C4F07">
            <w:pPr>
              <w:spacing w:line="240" w:lineRule="exact"/>
              <w:jc w:val="center"/>
              <w:rPr>
                <w:kern w:val="0"/>
                <w:szCs w:val="21"/>
              </w:rPr>
            </w:pPr>
            <w:r>
              <w:rPr>
                <w:rFonts w:hint="eastAsia"/>
                <w:kern w:val="0"/>
                <w:szCs w:val="21"/>
              </w:rPr>
              <w:t>年评价指标</w:t>
            </w:r>
          </w:p>
        </w:tc>
        <w:tc>
          <w:tcPr>
            <w:tcW w:w="634" w:type="pct"/>
            <w:vAlign w:val="center"/>
          </w:tcPr>
          <w:p w14:paraId="0050A3CD">
            <w:pPr>
              <w:spacing w:line="240" w:lineRule="exact"/>
              <w:jc w:val="center"/>
              <w:rPr>
                <w:kern w:val="0"/>
                <w:szCs w:val="21"/>
              </w:rPr>
            </w:pPr>
            <w:r>
              <w:rPr>
                <w:rFonts w:hint="eastAsia"/>
                <w:kern w:val="0"/>
                <w:szCs w:val="21"/>
              </w:rPr>
              <w:t>现状浓度</w:t>
            </w:r>
            <w:r>
              <w:rPr>
                <w:kern w:val="0"/>
                <w:szCs w:val="21"/>
              </w:rPr>
              <w:t>/</w:t>
            </w:r>
            <w:r>
              <w:rPr>
                <w:rFonts w:hint="eastAsia"/>
                <w:kern w:val="0"/>
                <w:szCs w:val="21"/>
              </w:rPr>
              <w:t>（</w:t>
            </w:r>
            <w:r>
              <w:rPr>
                <w:kern w:val="0"/>
                <w:szCs w:val="21"/>
              </w:rPr>
              <w:t>µg/m</w:t>
            </w:r>
            <w:r>
              <w:rPr>
                <w:kern w:val="0"/>
                <w:szCs w:val="21"/>
                <w:vertAlign w:val="superscript"/>
              </w:rPr>
              <w:t>3</w:t>
            </w:r>
            <w:r>
              <w:rPr>
                <w:rFonts w:hint="eastAsia"/>
                <w:kern w:val="0"/>
                <w:szCs w:val="21"/>
              </w:rPr>
              <w:t>）</w:t>
            </w:r>
          </w:p>
        </w:tc>
        <w:tc>
          <w:tcPr>
            <w:tcW w:w="689" w:type="pct"/>
            <w:vAlign w:val="center"/>
          </w:tcPr>
          <w:p w14:paraId="30A8A44C">
            <w:pPr>
              <w:spacing w:line="240" w:lineRule="exact"/>
              <w:jc w:val="center"/>
              <w:rPr>
                <w:kern w:val="0"/>
                <w:szCs w:val="21"/>
              </w:rPr>
            </w:pPr>
            <w:r>
              <w:rPr>
                <w:rFonts w:hint="eastAsia"/>
                <w:kern w:val="0"/>
                <w:szCs w:val="21"/>
              </w:rPr>
              <w:t>二级标准值</w:t>
            </w:r>
            <w:r>
              <w:rPr>
                <w:kern w:val="0"/>
                <w:szCs w:val="21"/>
              </w:rPr>
              <w:t>/</w:t>
            </w:r>
            <w:r>
              <w:rPr>
                <w:rFonts w:hint="eastAsia"/>
                <w:kern w:val="0"/>
                <w:szCs w:val="21"/>
              </w:rPr>
              <w:t>（</w:t>
            </w:r>
            <w:r>
              <w:rPr>
                <w:kern w:val="0"/>
                <w:szCs w:val="21"/>
              </w:rPr>
              <w:t>µg/m</w:t>
            </w:r>
            <w:r>
              <w:rPr>
                <w:kern w:val="0"/>
                <w:szCs w:val="21"/>
                <w:vertAlign w:val="superscript"/>
              </w:rPr>
              <w:t>3</w:t>
            </w:r>
            <w:r>
              <w:rPr>
                <w:rFonts w:hint="eastAsia"/>
                <w:kern w:val="0"/>
                <w:szCs w:val="21"/>
              </w:rPr>
              <w:t>）</w:t>
            </w:r>
          </w:p>
        </w:tc>
        <w:tc>
          <w:tcPr>
            <w:tcW w:w="689" w:type="pct"/>
            <w:vAlign w:val="center"/>
          </w:tcPr>
          <w:p w14:paraId="50B3D39F">
            <w:pPr>
              <w:spacing w:line="240" w:lineRule="exact"/>
              <w:jc w:val="center"/>
              <w:rPr>
                <w:kern w:val="0"/>
                <w:szCs w:val="21"/>
              </w:rPr>
            </w:pPr>
            <w:r>
              <w:rPr>
                <w:rFonts w:hint="eastAsia"/>
                <w:kern w:val="0"/>
                <w:szCs w:val="21"/>
              </w:rPr>
              <w:t>占标率</w:t>
            </w:r>
            <w:r>
              <w:rPr>
                <w:kern w:val="0"/>
                <w:szCs w:val="21"/>
              </w:rPr>
              <w:t>/%</w:t>
            </w:r>
          </w:p>
        </w:tc>
        <w:tc>
          <w:tcPr>
            <w:tcW w:w="686" w:type="pct"/>
            <w:vAlign w:val="center"/>
          </w:tcPr>
          <w:p w14:paraId="1DCA6516">
            <w:pPr>
              <w:spacing w:line="240" w:lineRule="exact"/>
              <w:jc w:val="center"/>
              <w:rPr>
                <w:kern w:val="0"/>
                <w:szCs w:val="21"/>
              </w:rPr>
            </w:pPr>
            <w:r>
              <w:rPr>
                <w:rFonts w:hint="eastAsia"/>
                <w:kern w:val="0"/>
                <w:szCs w:val="21"/>
              </w:rPr>
              <w:t>达标情况</w:t>
            </w:r>
          </w:p>
        </w:tc>
      </w:tr>
      <w:tr w14:paraId="30127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4" w:type="pct"/>
            <w:vAlign w:val="center"/>
          </w:tcPr>
          <w:p w14:paraId="7F8FABBB">
            <w:pPr>
              <w:spacing w:line="240" w:lineRule="exact"/>
              <w:jc w:val="center"/>
              <w:rPr>
                <w:kern w:val="0"/>
                <w:szCs w:val="21"/>
              </w:rPr>
            </w:pPr>
            <w:r>
              <w:rPr>
                <w:kern w:val="0"/>
                <w:szCs w:val="21"/>
              </w:rPr>
              <w:t>SO</w:t>
            </w:r>
            <w:r>
              <w:rPr>
                <w:kern w:val="0"/>
                <w:szCs w:val="21"/>
                <w:vertAlign w:val="subscript"/>
              </w:rPr>
              <w:t>2</w:t>
            </w:r>
          </w:p>
        </w:tc>
        <w:tc>
          <w:tcPr>
            <w:tcW w:w="1878" w:type="pct"/>
            <w:vAlign w:val="center"/>
          </w:tcPr>
          <w:p w14:paraId="45BC1F4B">
            <w:pPr>
              <w:spacing w:line="240" w:lineRule="exact"/>
              <w:jc w:val="center"/>
              <w:rPr>
                <w:kern w:val="0"/>
                <w:szCs w:val="21"/>
              </w:rPr>
            </w:pPr>
            <w:r>
              <w:rPr>
                <w:rFonts w:hint="eastAsia"/>
                <w:kern w:val="0"/>
                <w:szCs w:val="21"/>
              </w:rPr>
              <w:t>年平均质量浓度</w:t>
            </w:r>
          </w:p>
        </w:tc>
        <w:tc>
          <w:tcPr>
            <w:tcW w:w="634" w:type="pct"/>
            <w:vAlign w:val="center"/>
          </w:tcPr>
          <w:p w14:paraId="5D094B8C">
            <w:pPr>
              <w:widowControl/>
              <w:spacing w:line="240" w:lineRule="exact"/>
              <w:jc w:val="center"/>
              <w:rPr>
                <w:kern w:val="0"/>
                <w:szCs w:val="21"/>
              </w:rPr>
            </w:pPr>
            <w:r>
              <w:rPr>
                <w:kern w:val="0"/>
                <w:szCs w:val="21"/>
              </w:rPr>
              <w:t>9</w:t>
            </w:r>
          </w:p>
        </w:tc>
        <w:tc>
          <w:tcPr>
            <w:tcW w:w="689" w:type="pct"/>
            <w:vAlign w:val="center"/>
          </w:tcPr>
          <w:p w14:paraId="48A428C1">
            <w:pPr>
              <w:widowControl/>
              <w:spacing w:line="240" w:lineRule="exact"/>
              <w:jc w:val="center"/>
              <w:rPr>
                <w:kern w:val="0"/>
                <w:szCs w:val="21"/>
              </w:rPr>
            </w:pPr>
            <w:r>
              <w:rPr>
                <w:kern w:val="0"/>
                <w:szCs w:val="21"/>
              </w:rPr>
              <w:t>60</w:t>
            </w:r>
          </w:p>
        </w:tc>
        <w:tc>
          <w:tcPr>
            <w:tcW w:w="689" w:type="pct"/>
            <w:shd w:val="clear" w:color="auto" w:fill="auto"/>
            <w:vAlign w:val="center"/>
          </w:tcPr>
          <w:p w14:paraId="5CBC475B">
            <w:pPr>
              <w:widowControl/>
              <w:spacing w:line="240" w:lineRule="exact"/>
              <w:jc w:val="center"/>
              <w:rPr>
                <w:kern w:val="0"/>
                <w:szCs w:val="21"/>
              </w:rPr>
            </w:pPr>
            <w:r>
              <w:rPr>
                <w:kern w:val="0"/>
                <w:szCs w:val="21"/>
              </w:rPr>
              <w:t xml:space="preserve">15 </w:t>
            </w:r>
          </w:p>
        </w:tc>
        <w:tc>
          <w:tcPr>
            <w:tcW w:w="686" w:type="pct"/>
            <w:vAlign w:val="center"/>
          </w:tcPr>
          <w:p w14:paraId="3E0A66B2">
            <w:pPr>
              <w:spacing w:line="240" w:lineRule="exact"/>
              <w:jc w:val="center"/>
              <w:rPr>
                <w:kern w:val="0"/>
                <w:szCs w:val="21"/>
              </w:rPr>
            </w:pPr>
            <w:r>
              <w:rPr>
                <w:rFonts w:hint="eastAsia"/>
                <w:kern w:val="0"/>
                <w:szCs w:val="21"/>
              </w:rPr>
              <w:t>达标</w:t>
            </w:r>
          </w:p>
        </w:tc>
      </w:tr>
      <w:tr w14:paraId="04C38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4" w:type="pct"/>
            <w:vAlign w:val="center"/>
          </w:tcPr>
          <w:p w14:paraId="5F17475F">
            <w:pPr>
              <w:spacing w:line="240" w:lineRule="exact"/>
              <w:jc w:val="center"/>
              <w:rPr>
                <w:kern w:val="0"/>
                <w:szCs w:val="21"/>
              </w:rPr>
            </w:pPr>
            <w:r>
              <w:rPr>
                <w:kern w:val="0"/>
                <w:szCs w:val="21"/>
              </w:rPr>
              <w:t>NO</w:t>
            </w:r>
            <w:r>
              <w:rPr>
                <w:kern w:val="0"/>
                <w:szCs w:val="21"/>
                <w:vertAlign w:val="subscript"/>
              </w:rPr>
              <w:t>2</w:t>
            </w:r>
          </w:p>
        </w:tc>
        <w:tc>
          <w:tcPr>
            <w:tcW w:w="1878" w:type="pct"/>
            <w:vAlign w:val="center"/>
          </w:tcPr>
          <w:p w14:paraId="1B19FFB3">
            <w:pPr>
              <w:spacing w:line="240" w:lineRule="exact"/>
              <w:jc w:val="center"/>
              <w:rPr>
                <w:kern w:val="0"/>
                <w:szCs w:val="21"/>
              </w:rPr>
            </w:pPr>
            <w:r>
              <w:rPr>
                <w:rFonts w:hint="eastAsia"/>
                <w:kern w:val="0"/>
                <w:szCs w:val="21"/>
              </w:rPr>
              <w:t>年平均质量浓度</w:t>
            </w:r>
          </w:p>
        </w:tc>
        <w:tc>
          <w:tcPr>
            <w:tcW w:w="634" w:type="pct"/>
            <w:vAlign w:val="center"/>
          </w:tcPr>
          <w:p w14:paraId="4F7336FD">
            <w:pPr>
              <w:widowControl/>
              <w:spacing w:line="240" w:lineRule="exact"/>
              <w:jc w:val="center"/>
              <w:rPr>
                <w:kern w:val="0"/>
                <w:szCs w:val="21"/>
              </w:rPr>
            </w:pPr>
            <w:r>
              <w:rPr>
                <w:kern w:val="0"/>
                <w:szCs w:val="21"/>
              </w:rPr>
              <w:t>22</w:t>
            </w:r>
          </w:p>
        </w:tc>
        <w:tc>
          <w:tcPr>
            <w:tcW w:w="689" w:type="pct"/>
            <w:vAlign w:val="center"/>
          </w:tcPr>
          <w:p w14:paraId="12117442">
            <w:pPr>
              <w:widowControl/>
              <w:spacing w:line="240" w:lineRule="exact"/>
              <w:jc w:val="center"/>
              <w:rPr>
                <w:kern w:val="0"/>
                <w:szCs w:val="21"/>
              </w:rPr>
            </w:pPr>
            <w:r>
              <w:rPr>
                <w:kern w:val="0"/>
                <w:szCs w:val="21"/>
              </w:rPr>
              <w:t>40</w:t>
            </w:r>
          </w:p>
        </w:tc>
        <w:tc>
          <w:tcPr>
            <w:tcW w:w="689" w:type="pct"/>
            <w:shd w:val="clear" w:color="auto" w:fill="auto"/>
            <w:vAlign w:val="center"/>
          </w:tcPr>
          <w:p w14:paraId="42A5D47A">
            <w:pPr>
              <w:widowControl/>
              <w:spacing w:line="240" w:lineRule="exact"/>
              <w:jc w:val="center"/>
              <w:rPr>
                <w:kern w:val="0"/>
                <w:szCs w:val="21"/>
              </w:rPr>
            </w:pPr>
            <w:r>
              <w:rPr>
                <w:kern w:val="0"/>
                <w:szCs w:val="21"/>
              </w:rPr>
              <w:t>55</w:t>
            </w:r>
          </w:p>
        </w:tc>
        <w:tc>
          <w:tcPr>
            <w:tcW w:w="686" w:type="pct"/>
            <w:vAlign w:val="center"/>
          </w:tcPr>
          <w:p w14:paraId="6ED5379D">
            <w:pPr>
              <w:spacing w:line="240" w:lineRule="exact"/>
              <w:jc w:val="center"/>
              <w:rPr>
                <w:kern w:val="0"/>
                <w:szCs w:val="21"/>
              </w:rPr>
            </w:pPr>
            <w:r>
              <w:rPr>
                <w:rFonts w:hint="eastAsia"/>
                <w:kern w:val="0"/>
                <w:szCs w:val="21"/>
              </w:rPr>
              <w:t>达标</w:t>
            </w:r>
          </w:p>
        </w:tc>
      </w:tr>
      <w:tr w14:paraId="01933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4" w:type="pct"/>
            <w:vAlign w:val="center"/>
          </w:tcPr>
          <w:p w14:paraId="2C7A1677">
            <w:pPr>
              <w:spacing w:line="240" w:lineRule="exact"/>
              <w:jc w:val="center"/>
              <w:rPr>
                <w:kern w:val="0"/>
                <w:szCs w:val="21"/>
              </w:rPr>
            </w:pPr>
            <w:r>
              <w:rPr>
                <w:kern w:val="0"/>
                <w:szCs w:val="21"/>
              </w:rPr>
              <w:t>PM</w:t>
            </w:r>
            <w:r>
              <w:rPr>
                <w:kern w:val="0"/>
                <w:szCs w:val="21"/>
                <w:vertAlign w:val="subscript"/>
              </w:rPr>
              <w:t>10</w:t>
            </w:r>
          </w:p>
        </w:tc>
        <w:tc>
          <w:tcPr>
            <w:tcW w:w="1878" w:type="pct"/>
            <w:vAlign w:val="center"/>
          </w:tcPr>
          <w:p w14:paraId="62BCA4C0">
            <w:pPr>
              <w:spacing w:line="240" w:lineRule="exact"/>
              <w:jc w:val="center"/>
              <w:rPr>
                <w:kern w:val="0"/>
                <w:szCs w:val="21"/>
              </w:rPr>
            </w:pPr>
            <w:r>
              <w:rPr>
                <w:rFonts w:hint="eastAsia"/>
                <w:kern w:val="0"/>
                <w:szCs w:val="21"/>
              </w:rPr>
              <w:t>年平均质量浓度</w:t>
            </w:r>
          </w:p>
        </w:tc>
        <w:tc>
          <w:tcPr>
            <w:tcW w:w="634" w:type="pct"/>
            <w:vAlign w:val="center"/>
          </w:tcPr>
          <w:p w14:paraId="7A094B90">
            <w:pPr>
              <w:widowControl/>
              <w:spacing w:line="240" w:lineRule="exact"/>
              <w:jc w:val="center"/>
              <w:rPr>
                <w:kern w:val="0"/>
                <w:szCs w:val="21"/>
              </w:rPr>
            </w:pPr>
            <w:r>
              <w:rPr>
                <w:kern w:val="0"/>
                <w:szCs w:val="21"/>
              </w:rPr>
              <w:t>48</w:t>
            </w:r>
          </w:p>
        </w:tc>
        <w:tc>
          <w:tcPr>
            <w:tcW w:w="689" w:type="pct"/>
            <w:vAlign w:val="center"/>
          </w:tcPr>
          <w:p w14:paraId="51A4D024">
            <w:pPr>
              <w:widowControl/>
              <w:spacing w:line="240" w:lineRule="exact"/>
              <w:jc w:val="center"/>
              <w:rPr>
                <w:kern w:val="0"/>
                <w:szCs w:val="21"/>
              </w:rPr>
            </w:pPr>
            <w:r>
              <w:rPr>
                <w:kern w:val="0"/>
                <w:szCs w:val="21"/>
              </w:rPr>
              <w:t>70</w:t>
            </w:r>
          </w:p>
        </w:tc>
        <w:tc>
          <w:tcPr>
            <w:tcW w:w="689" w:type="pct"/>
            <w:shd w:val="clear" w:color="auto" w:fill="auto"/>
            <w:vAlign w:val="center"/>
          </w:tcPr>
          <w:p w14:paraId="3AD1E698">
            <w:pPr>
              <w:widowControl/>
              <w:spacing w:line="240" w:lineRule="exact"/>
              <w:jc w:val="center"/>
              <w:rPr>
                <w:kern w:val="0"/>
                <w:szCs w:val="21"/>
              </w:rPr>
            </w:pPr>
            <w:r>
              <w:rPr>
                <w:kern w:val="0"/>
                <w:szCs w:val="21"/>
              </w:rPr>
              <w:t>68.57</w:t>
            </w:r>
          </w:p>
        </w:tc>
        <w:tc>
          <w:tcPr>
            <w:tcW w:w="686" w:type="pct"/>
            <w:vAlign w:val="center"/>
          </w:tcPr>
          <w:p w14:paraId="2188362E">
            <w:pPr>
              <w:spacing w:line="240" w:lineRule="exact"/>
              <w:jc w:val="center"/>
              <w:rPr>
                <w:b/>
                <w:kern w:val="0"/>
                <w:szCs w:val="21"/>
              </w:rPr>
            </w:pPr>
            <w:r>
              <w:rPr>
                <w:rFonts w:hint="eastAsia"/>
                <w:kern w:val="0"/>
                <w:szCs w:val="21"/>
              </w:rPr>
              <w:t>达标</w:t>
            </w:r>
          </w:p>
        </w:tc>
      </w:tr>
      <w:tr w14:paraId="12CEA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4" w:type="pct"/>
            <w:vAlign w:val="center"/>
          </w:tcPr>
          <w:p w14:paraId="4956A63D">
            <w:pPr>
              <w:spacing w:line="240" w:lineRule="exact"/>
              <w:jc w:val="center"/>
              <w:rPr>
                <w:kern w:val="0"/>
                <w:szCs w:val="21"/>
              </w:rPr>
            </w:pPr>
            <w:r>
              <w:rPr>
                <w:kern w:val="0"/>
                <w:szCs w:val="21"/>
              </w:rPr>
              <w:t>PM</w:t>
            </w:r>
            <w:r>
              <w:rPr>
                <w:kern w:val="0"/>
                <w:szCs w:val="21"/>
                <w:vertAlign w:val="subscript"/>
              </w:rPr>
              <w:t>2.5</w:t>
            </w:r>
          </w:p>
        </w:tc>
        <w:tc>
          <w:tcPr>
            <w:tcW w:w="1878" w:type="pct"/>
            <w:vAlign w:val="center"/>
          </w:tcPr>
          <w:p w14:paraId="1C34493B">
            <w:pPr>
              <w:widowControl/>
              <w:spacing w:line="240" w:lineRule="exact"/>
              <w:jc w:val="center"/>
              <w:rPr>
                <w:kern w:val="0"/>
                <w:szCs w:val="21"/>
              </w:rPr>
            </w:pPr>
            <w:r>
              <w:rPr>
                <w:rFonts w:hint="eastAsia"/>
                <w:kern w:val="0"/>
                <w:szCs w:val="21"/>
              </w:rPr>
              <w:t>年平均质量浓度</w:t>
            </w:r>
          </w:p>
        </w:tc>
        <w:tc>
          <w:tcPr>
            <w:tcW w:w="634" w:type="pct"/>
            <w:vAlign w:val="center"/>
          </w:tcPr>
          <w:p w14:paraId="1CEA1276">
            <w:pPr>
              <w:widowControl/>
              <w:spacing w:line="240" w:lineRule="exact"/>
              <w:jc w:val="center"/>
              <w:rPr>
                <w:kern w:val="0"/>
                <w:szCs w:val="21"/>
              </w:rPr>
            </w:pPr>
            <w:r>
              <w:rPr>
                <w:kern w:val="0"/>
                <w:szCs w:val="21"/>
              </w:rPr>
              <w:t>24</w:t>
            </w:r>
          </w:p>
        </w:tc>
        <w:tc>
          <w:tcPr>
            <w:tcW w:w="689" w:type="pct"/>
            <w:vAlign w:val="center"/>
          </w:tcPr>
          <w:p w14:paraId="5AD2EAEB">
            <w:pPr>
              <w:widowControl/>
              <w:spacing w:line="240" w:lineRule="exact"/>
              <w:jc w:val="center"/>
              <w:rPr>
                <w:kern w:val="0"/>
                <w:szCs w:val="21"/>
              </w:rPr>
            </w:pPr>
            <w:r>
              <w:rPr>
                <w:kern w:val="0"/>
                <w:szCs w:val="21"/>
              </w:rPr>
              <w:t>35</w:t>
            </w:r>
          </w:p>
        </w:tc>
        <w:tc>
          <w:tcPr>
            <w:tcW w:w="689" w:type="pct"/>
            <w:shd w:val="clear" w:color="auto" w:fill="auto"/>
            <w:vAlign w:val="center"/>
          </w:tcPr>
          <w:p w14:paraId="688B2018">
            <w:pPr>
              <w:widowControl/>
              <w:spacing w:line="240" w:lineRule="exact"/>
              <w:jc w:val="center"/>
              <w:rPr>
                <w:kern w:val="0"/>
                <w:szCs w:val="21"/>
              </w:rPr>
            </w:pPr>
            <w:r>
              <w:rPr>
                <w:kern w:val="0"/>
                <w:szCs w:val="21"/>
              </w:rPr>
              <w:t>68.57</w:t>
            </w:r>
          </w:p>
        </w:tc>
        <w:tc>
          <w:tcPr>
            <w:tcW w:w="686" w:type="pct"/>
            <w:vAlign w:val="center"/>
          </w:tcPr>
          <w:p w14:paraId="3C5B3A0C">
            <w:pPr>
              <w:spacing w:line="240" w:lineRule="exact"/>
              <w:jc w:val="center"/>
              <w:rPr>
                <w:b/>
                <w:kern w:val="0"/>
                <w:szCs w:val="21"/>
              </w:rPr>
            </w:pPr>
            <w:r>
              <w:rPr>
                <w:rFonts w:hint="eastAsia"/>
                <w:kern w:val="0"/>
                <w:szCs w:val="21"/>
              </w:rPr>
              <w:t>达标</w:t>
            </w:r>
          </w:p>
        </w:tc>
      </w:tr>
      <w:tr w14:paraId="3D849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4" w:type="pct"/>
            <w:vAlign w:val="center"/>
          </w:tcPr>
          <w:p w14:paraId="26BBE9C8">
            <w:pPr>
              <w:spacing w:line="240" w:lineRule="exact"/>
              <w:jc w:val="center"/>
              <w:rPr>
                <w:kern w:val="0"/>
                <w:szCs w:val="21"/>
              </w:rPr>
            </w:pPr>
            <w:r>
              <w:rPr>
                <w:kern w:val="0"/>
                <w:szCs w:val="21"/>
              </w:rPr>
              <w:t>CO</w:t>
            </w:r>
          </w:p>
        </w:tc>
        <w:tc>
          <w:tcPr>
            <w:tcW w:w="1878" w:type="pct"/>
            <w:vAlign w:val="center"/>
          </w:tcPr>
          <w:p w14:paraId="1204648B">
            <w:pPr>
              <w:widowControl/>
              <w:spacing w:line="240" w:lineRule="exact"/>
              <w:jc w:val="center"/>
              <w:rPr>
                <w:kern w:val="0"/>
                <w:szCs w:val="21"/>
              </w:rPr>
            </w:pPr>
            <w:r>
              <w:rPr>
                <w:rFonts w:hint="eastAsia"/>
                <w:kern w:val="0"/>
                <w:szCs w:val="21"/>
              </w:rPr>
              <w:t>24h 平均第 95 百分位数</w:t>
            </w:r>
          </w:p>
        </w:tc>
        <w:tc>
          <w:tcPr>
            <w:tcW w:w="634" w:type="pct"/>
            <w:vAlign w:val="center"/>
          </w:tcPr>
          <w:p w14:paraId="4D91D587">
            <w:pPr>
              <w:widowControl/>
              <w:spacing w:line="240" w:lineRule="exact"/>
              <w:jc w:val="center"/>
              <w:rPr>
                <w:kern w:val="0"/>
                <w:szCs w:val="21"/>
              </w:rPr>
            </w:pPr>
            <w:r>
              <w:rPr>
                <w:kern w:val="0"/>
                <w:szCs w:val="21"/>
              </w:rPr>
              <w:t>1200</w:t>
            </w:r>
          </w:p>
        </w:tc>
        <w:tc>
          <w:tcPr>
            <w:tcW w:w="689" w:type="pct"/>
            <w:vAlign w:val="center"/>
          </w:tcPr>
          <w:p w14:paraId="6EB97C40">
            <w:pPr>
              <w:widowControl/>
              <w:spacing w:line="240" w:lineRule="exact"/>
              <w:jc w:val="center"/>
              <w:rPr>
                <w:kern w:val="0"/>
                <w:szCs w:val="21"/>
              </w:rPr>
            </w:pPr>
            <w:r>
              <w:rPr>
                <w:kern w:val="0"/>
                <w:szCs w:val="21"/>
              </w:rPr>
              <w:t>4000</w:t>
            </w:r>
          </w:p>
        </w:tc>
        <w:tc>
          <w:tcPr>
            <w:tcW w:w="689" w:type="pct"/>
            <w:shd w:val="clear" w:color="auto" w:fill="auto"/>
            <w:vAlign w:val="center"/>
          </w:tcPr>
          <w:p w14:paraId="5CE085C7">
            <w:pPr>
              <w:widowControl/>
              <w:spacing w:line="240" w:lineRule="exact"/>
              <w:jc w:val="center"/>
              <w:rPr>
                <w:kern w:val="0"/>
                <w:szCs w:val="21"/>
              </w:rPr>
            </w:pPr>
            <w:r>
              <w:rPr>
                <w:kern w:val="0"/>
                <w:szCs w:val="21"/>
              </w:rPr>
              <w:t>30</w:t>
            </w:r>
          </w:p>
        </w:tc>
        <w:tc>
          <w:tcPr>
            <w:tcW w:w="686" w:type="pct"/>
            <w:vAlign w:val="center"/>
          </w:tcPr>
          <w:p w14:paraId="2C791E1A">
            <w:pPr>
              <w:spacing w:line="240" w:lineRule="exact"/>
              <w:jc w:val="center"/>
              <w:rPr>
                <w:kern w:val="0"/>
                <w:szCs w:val="21"/>
              </w:rPr>
            </w:pPr>
            <w:r>
              <w:rPr>
                <w:rFonts w:hint="eastAsia"/>
                <w:kern w:val="0"/>
                <w:szCs w:val="21"/>
              </w:rPr>
              <w:t>达标</w:t>
            </w:r>
          </w:p>
        </w:tc>
      </w:tr>
      <w:tr w14:paraId="7A33B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4" w:type="pct"/>
            <w:vAlign w:val="center"/>
          </w:tcPr>
          <w:p w14:paraId="23196677">
            <w:pPr>
              <w:spacing w:line="240" w:lineRule="exact"/>
              <w:jc w:val="center"/>
              <w:rPr>
                <w:kern w:val="0"/>
                <w:szCs w:val="21"/>
              </w:rPr>
            </w:pPr>
            <w:r>
              <w:rPr>
                <w:kern w:val="0"/>
                <w:szCs w:val="21"/>
              </w:rPr>
              <w:t>O</w:t>
            </w:r>
            <w:r>
              <w:rPr>
                <w:kern w:val="0"/>
                <w:szCs w:val="21"/>
                <w:vertAlign w:val="subscript"/>
              </w:rPr>
              <w:t>3</w:t>
            </w:r>
          </w:p>
        </w:tc>
        <w:tc>
          <w:tcPr>
            <w:tcW w:w="1878" w:type="pct"/>
            <w:vAlign w:val="center"/>
          </w:tcPr>
          <w:p w14:paraId="207C967C">
            <w:pPr>
              <w:widowControl/>
              <w:spacing w:line="240" w:lineRule="exact"/>
              <w:jc w:val="center"/>
              <w:rPr>
                <w:kern w:val="0"/>
                <w:szCs w:val="21"/>
              </w:rPr>
            </w:pPr>
            <w:r>
              <w:rPr>
                <w:rFonts w:hint="eastAsia"/>
                <w:kern w:val="0"/>
                <w:szCs w:val="21"/>
              </w:rPr>
              <w:t>日最大8小时平均第90百分位数</w:t>
            </w:r>
          </w:p>
        </w:tc>
        <w:tc>
          <w:tcPr>
            <w:tcW w:w="634" w:type="pct"/>
            <w:vAlign w:val="center"/>
          </w:tcPr>
          <w:p w14:paraId="66A5CFD0">
            <w:pPr>
              <w:widowControl/>
              <w:spacing w:line="240" w:lineRule="exact"/>
              <w:jc w:val="center"/>
              <w:rPr>
                <w:kern w:val="0"/>
                <w:szCs w:val="21"/>
              </w:rPr>
            </w:pPr>
            <w:r>
              <w:rPr>
                <w:kern w:val="0"/>
                <w:szCs w:val="21"/>
              </w:rPr>
              <w:t>178</w:t>
            </w:r>
          </w:p>
        </w:tc>
        <w:tc>
          <w:tcPr>
            <w:tcW w:w="689" w:type="pct"/>
            <w:vAlign w:val="center"/>
          </w:tcPr>
          <w:p w14:paraId="02224452">
            <w:pPr>
              <w:widowControl/>
              <w:spacing w:line="240" w:lineRule="exact"/>
              <w:jc w:val="center"/>
              <w:rPr>
                <w:kern w:val="0"/>
                <w:szCs w:val="21"/>
              </w:rPr>
            </w:pPr>
            <w:r>
              <w:rPr>
                <w:kern w:val="0"/>
                <w:szCs w:val="21"/>
              </w:rPr>
              <w:t>160</w:t>
            </w:r>
          </w:p>
        </w:tc>
        <w:tc>
          <w:tcPr>
            <w:tcW w:w="689" w:type="pct"/>
            <w:shd w:val="clear" w:color="auto" w:fill="auto"/>
            <w:vAlign w:val="center"/>
          </w:tcPr>
          <w:p w14:paraId="77A3A486">
            <w:pPr>
              <w:widowControl/>
              <w:spacing w:line="240" w:lineRule="exact"/>
              <w:jc w:val="center"/>
              <w:rPr>
                <w:kern w:val="0"/>
                <w:szCs w:val="21"/>
              </w:rPr>
            </w:pPr>
            <w:r>
              <w:rPr>
                <w:kern w:val="0"/>
                <w:szCs w:val="21"/>
              </w:rPr>
              <w:t>111.25</w:t>
            </w:r>
          </w:p>
        </w:tc>
        <w:tc>
          <w:tcPr>
            <w:tcW w:w="686" w:type="pct"/>
            <w:vAlign w:val="center"/>
          </w:tcPr>
          <w:p w14:paraId="5BEBA55D">
            <w:pPr>
              <w:spacing w:line="240" w:lineRule="exact"/>
              <w:jc w:val="center"/>
              <w:rPr>
                <w:b/>
                <w:kern w:val="0"/>
                <w:szCs w:val="21"/>
              </w:rPr>
            </w:pPr>
            <w:r>
              <w:rPr>
                <w:rFonts w:hint="eastAsia"/>
                <w:b/>
                <w:kern w:val="0"/>
                <w:szCs w:val="21"/>
              </w:rPr>
              <w:t>超标</w:t>
            </w:r>
          </w:p>
        </w:tc>
      </w:tr>
    </w:tbl>
    <w:p w14:paraId="1CD9B14E">
      <w:pPr>
        <w:pStyle w:val="85"/>
        <w:ind w:firstLine="480"/>
        <w:rPr>
          <w:kern w:val="0"/>
        </w:rPr>
      </w:pPr>
      <w:r>
        <w:rPr>
          <w:rFonts w:hint="eastAsia"/>
          <w:kern w:val="0"/>
        </w:rPr>
        <w:t>由上表可知，</w:t>
      </w:r>
      <w:bookmarkStart w:id="97" w:name="_Hlk196809024"/>
      <w:r>
        <w:rPr>
          <w:rFonts w:hint="eastAsia"/>
          <w:kern w:val="0"/>
        </w:rPr>
        <w:t>滦平县六项基本污染物中除 O</w:t>
      </w:r>
      <w:r>
        <w:rPr>
          <w:rFonts w:hint="eastAsia"/>
          <w:kern w:val="0"/>
          <w:vertAlign w:val="subscript"/>
        </w:rPr>
        <w:t>3</w:t>
      </w:r>
      <w:r>
        <w:rPr>
          <w:rFonts w:hint="eastAsia"/>
          <w:kern w:val="0"/>
        </w:rPr>
        <w:t>外其余污染物均满足《环境空气质量标准》（GB3095-2012）中二级标准，项目所在区域为环境空气质量不达标区。</w:t>
      </w:r>
    </w:p>
    <w:bookmarkEnd w:id="97"/>
    <w:p w14:paraId="51D042A1">
      <w:pPr>
        <w:pStyle w:val="4"/>
        <w:rPr>
          <w:kern w:val="0"/>
        </w:rPr>
      </w:pPr>
      <w:r>
        <w:rPr>
          <w:rFonts w:hint="eastAsia"/>
          <w:kern w:val="0"/>
        </w:rPr>
        <w:t>地表水环境</w:t>
      </w:r>
      <w:r>
        <w:rPr>
          <w:kern w:val="0"/>
        </w:rPr>
        <w:t>现状监测与评价</w:t>
      </w:r>
    </w:p>
    <w:p w14:paraId="789E0491">
      <w:pPr>
        <w:pStyle w:val="85"/>
        <w:ind w:firstLine="480"/>
        <w:rPr>
          <w:kern w:val="0"/>
        </w:rPr>
      </w:pPr>
      <w:r>
        <w:rPr>
          <w:rFonts w:hint="eastAsia"/>
          <w:kern w:val="0"/>
        </w:rPr>
        <w:t>地表水常规监测数据来自</w:t>
      </w:r>
      <w:bookmarkStart w:id="98" w:name="_Hlk196808281"/>
      <w:r>
        <w:rPr>
          <w:kern w:val="0"/>
        </w:rPr>
        <w:t>2024</w:t>
      </w:r>
      <w:r>
        <w:rPr>
          <w:rFonts w:hint="eastAsia"/>
          <w:kern w:val="0"/>
        </w:rPr>
        <w:t>年</w:t>
      </w:r>
      <w:bookmarkStart w:id="99" w:name="_Hlk196058014"/>
      <w:r>
        <w:rPr>
          <w:rFonts w:hint="eastAsia"/>
          <w:kern w:val="0"/>
        </w:rPr>
        <w:t>1</w:t>
      </w:r>
      <w:r>
        <w:rPr>
          <w:kern w:val="0"/>
        </w:rPr>
        <w:t>-12</w:t>
      </w:r>
      <w:r>
        <w:rPr>
          <w:rFonts w:hint="eastAsia"/>
          <w:kern w:val="0"/>
        </w:rPr>
        <w:t>月份地表水跨县界断面水质生态补偿监测数据</w:t>
      </w:r>
      <w:bookmarkEnd w:id="98"/>
      <w:bookmarkEnd w:id="99"/>
      <w:r>
        <w:rPr>
          <w:rFonts w:hint="eastAsia"/>
          <w:kern w:val="0"/>
        </w:rPr>
        <w:t>。</w:t>
      </w:r>
    </w:p>
    <w:p w14:paraId="6066BB47">
      <w:pPr>
        <w:pStyle w:val="85"/>
        <w:ind w:firstLine="480"/>
        <w:rPr>
          <w:kern w:val="0"/>
        </w:rPr>
      </w:pPr>
      <w:r>
        <w:rPr>
          <w:rFonts w:hint="eastAsia"/>
          <w:kern w:val="0"/>
        </w:rPr>
        <w:t>（</w:t>
      </w:r>
      <w:r>
        <w:rPr>
          <w:kern w:val="0"/>
        </w:rPr>
        <w:t>1）监测</w:t>
      </w:r>
      <w:r>
        <w:rPr>
          <w:rFonts w:hint="eastAsia"/>
          <w:kern w:val="0"/>
        </w:rPr>
        <w:t>断面</w:t>
      </w:r>
    </w:p>
    <w:p w14:paraId="2EAD5C78">
      <w:pPr>
        <w:pStyle w:val="85"/>
        <w:ind w:firstLine="480"/>
        <w:rPr>
          <w:kern w:val="0"/>
        </w:rPr>
      </w:pPr>
      <w:r>
        <w:rPr>
          <w:rFonts w:hint="eastAsia"/>
          <w:kern w:val="0"/>
        </w:rPr>
        <w:t>天桥断面、古北口断面</w:t>
      </w:r>
      <w:r>
        <w:rPr>
          <w:kern w:val="0"/>
        </w:rPr>
        <w:t>。</w:t>
      </w:r>
    </w:p>
    <w:p w14:paraId="68170119">
      <w:pPr>
        <w:pStyle w:val="85"/>
        <w:ind w:firstLine="480"/>
        <w:rPr>
          <w:kern w:val="0"/>
        </w:rPr>
      </w:pPr>
      <w:r>
        <w:rPr>
          <w:rFonts w:hint="eastAsia"/>
          <w:kern w:val="0"/>
        </w:rPr>
        <w:t>（2）</w:t>
      </w:r>
      <w:r>
        <w:rPr>
          <w:kern w:val="0"/>
        </w:rPr>
        <w:t>监测项目</w:t>
      </w:r>
    </w:p>
    <w:p w14:paraId="307A5AFA">
      <w:pPr>
        <w:pStyle w:val="85"/>
        <w:ind w:firstLine="480"/>
        <w:rPr>
          <w:kern w:val="0"/>
        </w:rPr>
      </w:pPr>
      <w:r>
        <w:rPr>
          <w:kern w:val="0"/>
        </w:rPr>
        <w:t>COD、高锰酸氧指数、氨氮、总磷</w:t>
      </w:r>
      <w:r>
        <w:rPr>
          <w:rFonts w:hint="eastAsia"/>
          <w:kern w:val="0"/>
        </w:rPr>
        <w:t>、总氮</w:t>
      </w:r>
    </w:p>
    <w:p w14:paraId="1AB27A80">
      <w:pPr>
        <w:pStyle w:val="85"/>
        <w:ind w:firstLine="480"/>
        <w:rPr>
          <w:kern w:val="0"/>
        </w:rPr>
      </w:pPr>
      <w:r>
        <w:rPr>
          <w:rFonts w:hint="eastAsia"/>
          <w:kern w:val="0"/>
        </w:rPr>
        <w:t>（</w:t>
      </w:r>
      <w:r>
        <w:rPr>
          <w:kern w:val="0"/>
        </w:rPr>
        <w:t>3</w:t>
      </w:r>
      <w:r>
        <w:rPr>
          <w:rFonts w:hint="eastAsia"/>
          <w:kern w:val="0"/>
        </w:rPr>
        <w:t>）</w:t>
      </w:r>
      <w:r>
        <w:rPr>
          <w:kern w:val="0"/>
        </w:rPr>
        <w:t>评价方法：采用标准指数法，计算公式如下：</w:t>
      </w:r>
    </w:p>
    <w:p w14:paraId="4C12444F">
      <w:pPr>
        <w:pStyle w:val="85"/>
        <w:ind w:firstLine="480"/>
        <w:rPr>
          <w:kern w:val="0"/>
        </w:rPr>
      </w:pPr>
      <w:r>
        <w:rPr>
          <w:kern w:val="0"/>
        </w:rPr>
        <w:t>P</w:t>
      </w:r>
      <w:r>
        <w:rPr>
          <w:kern w:val="0"/>
          <w:vertAlign w:val="subscript"/>
        </w:rPr>
        <w:t>ij</w:t>
      </w:r>
      <w:r>
        <w:rPr>
          <w:kern w:val="0"/>
        </w:rPr>
        <w:t>＝C</w:t>
      </w:r>
      <w:r>
        <w:rPr>
          <w:kern w:val="0"/>
          <w:vertAlign w:val="subscript"/>
        </w:rPr>
        <w:t>ij</w:t>
      </w:r>
      <w:r>
        <w:rPr>
          <w:kern w:val="0"/>
        </w:rPr>
        <w:t>/C</w:t>
      </w:r>
      <w:r>
        <w:rPr>
          <w:kern w:val="0"/>
          <w:vertAlign w:val="subscript"/>
        </w:rPr>
        <w:t>is</w:t>
      </w:r>
    </w:p>
    <w:p w14:paraId="73D3734C">
      <w:pPr>
        <w:pStyle w:val="85"/>
        <w:ind w:firstLine="480"/>
        <w:rPr>
          <w:kern w:val="0"/>
        </w:rPr>
      </w:pPr>
      <w:r>
        <w:rPr>
          <w:kern w:val="0"/>
        </w:rPr>
        <w:t>式中：P</w:t>
      </w:r>
      <w:r>
        <w:rPr>
          <w:kern w:val="0"/>
          <w:vertAlign w:val="subscript"/>
        </w:rPr>
        <w:t>ij</w:t>
      </w:r>
      <w:r>
        <w:rPr>
          <w:kern w:val="0"/>
        </w:rPr>
        <w:t>—i污染物在j点的标准指数；</w:t>
      </w:r>
    </w:p>
    <w:p w14:paraId="11FB1A55">
      <w:pPr>
        <w:pStyle w:val="85"/>
        <w:ind w:firstLine="480"/>
        <w:rPr>
          <w:kern w:val="0"/>
        </w:rPr>
      </w:pPr>
      <w:r>
        <w:rPr>
          <w:kern w:val="0"/>
        </w:rPr>
        <w:t>C</w:t>
      </w:r>
      <w:r>
        <w:rPr>
          <w:kern w:val="0"/>
          <w:vertAlign w:val="subscript"/>
        </w:rPr>
        <w:t>ij</w:t>
      </w:r>
      <w:r>
        <w:rPr>
          <w:kern w:val="0"/>
        </w:rPr>
        <w:t>—i污染物在j点的实测浓度，mg/L；</w:t>
      </w:r>
    </w:p>
    <w:p w14:paraId="692DDBC2">
      <w:pPr>
        <w:pStyle w:val="85"/>
        <w:ind w:firstLine="480"/>
        <w:rPr>
          <w:kern w:val="0"/>
        </w:rPr>
      </w:pPr>
      <w:r>
        <w:rPr>
          <w:kern w:val="0"/>
        </w:rPr>
        <w:t>C</w:t>
      </w:r>
      <w:r>
        <w:rPr>
          <w:kern w:val="0"/>
          <w:vertAlign w:val="subscript"/>
        </w:rPr>
        <w:t>is</w:t>
      </w:r>
      <w:r>
        <w:rPr>
          <w:kern w:val="0"/>
        </w:rPr>
        <w:t>—i污染物评价标准值，mg/L。</w:t>
      </w:r>
    </w:p>
    <w:p w14:paraId="31BDAD50">
      <w:pPr>
        <w:pStyle w:val="85"/>
        <w:ind w:firstLine="480"/>
        <w:rPr>
          <w:kern w:val="0"/>
        </w:rPr>
      </w:pPr>
      <w:r>
        <w:rPr>
          <w:rFonts w:hint="eastAsia"/>
          <w:kern w:val="0"/>
        </w:rPr>
        <w:t>（</w:t>
      </w:r>
      <w:r>
        <w:rPr>
          <w:kern w:val="0"/>
        </w:rPr>
        <w:t>4</w:t>
      </w:r>
      <w:r>
        <w:rPr>
          <w:rFonts w:hint="eastAsia"/>
          <w:kern w:val="0"/>
        </w:rPr>
        <w:t>）评价</w:t>
      </w:r>
      <w:r>
        <w:rPr>
          <w:kern w:val="0"/>
        </w:rPr>
        <w:t>标准：</w:t>
      </w:r>
      <w:r>
        <w:rPr>
          <w:rFonts w:hint="eastAsia"/>
          <w:kern w:val="0"/>
        </w:rPr>
        <w:t>《地表水环境质量标准》（GB3838-2002）Ⅱ类，总氮参照</w:t>
      </w:r>
      <w:r>
        <w:rPr>
          <w:kern w:val="0"/>
        </w:rPr>
        <w:t>执行6.56mg/L</w:t>
      </w:r>
      <w:r>
        <w:rPr>
          <w:rFonts w:hint="eastAsia"/>
          <w:kern w:val="0"/>
        </w:rPr>
        <w:t>。</w:t>
      </w:r>
    </w:p>
    <w:p w14:paraId="54AEA1D0">
      <w:pPr>
        <w:pStyle w:val="85"/>
        <w:ind w:firstLine="480"/>
        <w:rPr>
          <w:kern w:val="0"/>
        </w:rPr>
      </w:pPr>
      <w:r>
        <w:rPr>
          <w:rFonts w:hint="eastAsia"/>
          <w:kern w:val="0"/>
        </w:rPr>
        <w:t>（</w:t>
      </w:r>
      <w:r>
        <w:rPr>
          <w:kern w:val="0"/>
        </w:rPr>
        <w:t>5</w:t>
      </w:r>
      <w:r>
        <w:rPr>
          <w:rFonts w:hint="eastAsia"/>
          <w:kern w:val="0"/>
        </w:rPr>
        <w:t>）监测</w:t>
      </w:r>
      <w:r>
        <w:rPr>
          <w:kern w:val="0"/>
        </w:rPr>
        <w:t>及评价结果</w:t>
      </w:r>
      <w:r>
        <w:rPr>
          <w:rFonts w:hint="eastAsia"/>
          <w:kern w:val="0"/>
        </w:rPr>
        <w:t>见</w:t>
      </w:r>
      <w:r>
        <w:rPr>
          <w:kern w:val="0"/>
        </w:rPr>
        <w:fldChar w:fldCharType="begin"/>
      </w:r>
      <w:r>
        <w:rPr>
          <w:kern w:val="0"/>
        </w:rPr>
        <w:instrText xml:space="preserve"> </w:instrText>
      </w:r>
      <w:r>
        <w:rPr>
          <w:rFonts w:hint="eastAsia"/>
          <w:kern w:val="0"/>
        </w:rPr>
        <w:instrText xml:space="preserve">REF _Ref129798999 \h</w:instrText>
      </w:r>
      <w:r>
        <w:rPr>
          <w:kern w:val="0"/>
        </w:rPr>
        <w:instrText xml:space="preserve">  \* MERGEFORMAT </w:instrText>
      </w:r>
      <w:r>
        <w:rPr>
          <w:kern w:val="0"/>
        </w:rPr>
        <w:fldChar w:fldCharType="separate"/>
      </w:r>
      <w:r>
        <w:rPr>
          <w:kern w:val="0"/>
        </w:rPr>
        <w:t>表3</w:t>
      </w:r>
      <w:r>
        <w:rPr>
          <w:kern w:val="0"/>
        </w:rPr>
        <w:noBreakHyphen/>
      </w:r>
      <w:r>
        <w:rPr>
          <w:kern w:val="0"/>
        </w:rPr>
        <w:t>2</w:t>
      </w:r>
      <w:r>
        <w:rPr>
          <w:kern w:val="0"/>
        </w:rPr>
        <w:fldChar w:fldCharType="end"/>
      </w:r>
      <w:r>
        <w:rPr>
          <w:rFonts w:hint="eastAsia"/>
          <w:kern w:val="0"/>
        </w:rPr>
        <w:t>、</w:t>
      </w:r>
      <w:r>
        <w:rPr>
          <w:kern w:val="0"/>
        </w:rPr>
        <w:fldChar w:fldCharType="begin"/>
      </w:r>
      <w:r>
        <w:rPr>
          <w:kern w:val="0"/>
        </w:rPr>
        <w:instrText xml:space="preserve"> REF _Ref129799001 \h  \* MERGEFORMAT </w:instrText>
      </w:r>
      <w:r>
        <w:rPr>
          <w:kern w:val="0"/>
        </w:rPr>
        <w:fldChar w:fldCharType="separate"/>
      </w:r>
      <w:r>
        <w:rPr>
          <w:kern w:val="0"/>
        </w:rPr>
        <w:t>表3</w:t>
      </w:r>
      <w:r>
        <w:rPr>
          <w:kern w:val="0"/>
        </w:rPr>
        <w:noBreakHyphen/>
      </w:r>
      <w:r>
        <w:rPr>
          <w:kern w:val="0"/>
        </w:rPr>
        <w:t>3</w:t>
      </w:r>
      <w:r>
        <w:rPr>
          <w:kern w:val="0"/>
        </w:rPr>
        <w:fldChar w:fldCharType="end"/>
      </w:r>
      <w:r>
        <w:rPr>
          <w:rFonts w:hint="eastAsia"/>
          <w:kern w:val="0"/>
        </w:rPr>
        <w:t>。</w:t>
      </w:r>
    </w:p>
    <w:p w14:paraId="01C38C53">
      <w:pPr>
        <w:pStyle w:val="17"/>
        <w:keepNext/>
        <w:spacing w:line="520" w:lineRule="exact"/>
        <w:jc w:val="center"/>
        <w:rPr>
          <w:rFonts w:ascii="Times New Roman" w:hAnsi="Times New Roman" w:cs="Times New Roman"/>
          <w:kern w:val="0"/>
          <w:sz w:val="24"/>
        </w:rPr>
      </w:pPr>
      <w:bookmarkStart w:id="100" w:name="_Ref129798999"/>
      <w:bookmarkStart w:id="101" w:name="OLE_LINK24"/>
      <w:bookmarkStart w:id="102" w:name="_Hlk196058541"/>
      <w:r>
        <w:rPr>
          <w:rFonts w:ascii="Times New Roman" w:hAnsi="Times New Roman" w:cs="Times New Roman"/>
          <w:kern w:val="0"/>
          <w:sz w:val="24"/>
          <w:szCs w:val="24"/>
        </w:rPr>
        <w:t>表</w:t>
      </w:r>
      <w:r>
        <w:rPr>
          <w:rFonts w:ascii="Times New Roman" w:hAnsi="Times New Roman" w:cs="Times New Roman"/>
          <w:kern w:val="0"/>
          <w:sz w:val="24"/>
          <w:szCs w:val="24"/>
        </w:rPr>
        <w:fldChar w:fldCharType="begin"/>
      </w:r>
      <w:r>
        <w:rPr>
          <w:rFonts w:ascii="Times New Roman" w:hAnsi="Times New Roman" w:cs="Times New Roman"/>
          <w:kern w:val="0"/>
          <w:sz w:val="24"/>
          <w:szCs w:val="24"/>
        </w:rPr>
        <w:instrText xml:space="preserve"> STYLEREF 1 \s </w:instrText>
      </w:r>
      <w:r>
        <w:rPr>
          <w:rFonts w:ascii="Times New Roman" w:hAnsi="Times New Roman" w:cs="Times New Roman"/>
          <w:kern w:val="0"/>
          <w:sz w:val="24"/>
          <w:szCs w:val="24"/>
        </w:rPr>
        <w:fldChar w:fldCharType="separate"/>
      </w:r>
      <w:r>
        <w:rPr>
          <w:rFonts w:ascii="Times New Roman" w:hAnsi="Times New Roman" w:cs="Times New Roman"/>
          <w:kern w:val="0"/>
          <w:sz w:val="24"/>
          <w:szCs w:val="24"/>
        </w:rPr>
        <w:t>3</w:t>
      </w:r>
      <w:r>
        <w:rPr>
          <w:rFonts w:ascii="Times New Roman" w:hAnsi="Times New Roman" w:cs="Times New Roman"/>
          <w:kern w:val="0"/>
          <w:sz w:val="24"/>
          <w:szCs w:val="24"/>
        </w:rPr>
        <w:fldChar w:fldCharType="end"/>
      </w:r>
      <w:r>
        <w:rPr>
          <w:rFonts w:ascii="Times New Roman" w:hAnsi="Times New Roman" w:cs="Times New Roman"/>
          <w:kern w:val="0"/>
          <w:sz w:val="24"/>
          <w:szCs w:val="24"/>
        </w:rPr>
        <w:noBreakHyphen/>
      </w:r>
      <w:r>
        <w:rPr>
          <w:rFonts w:ascii="Times New Roman" w:hAnsi="Times New Roman" w:cs="Times New Roman"/>
          <w:kern w:val="0"/>
          <w:sz w:val="24"/>
          <w:szCs w:val="24"/>
        </w:rPr>
        <w:fldChar w:fldCharType="begin"/>
      </w:r>
      <w:r>
        <w:rPr>
          <w:rFonts w:ascii="Times New Roman" w:hAnsi="Times New Roman" w:cs="Times New Roman"/>
          <w:kern w:val="0"/>
          <w:sz w:val="24"/>
          <w:szCs w:val="24"/>
        </w:rPr>
        <w:instrText xml:space="preserve"> SEQ 表 \* ARABIC \s 1 </w:instrText>
      </w:r>
      <w:r>
        <w:rPr>
          <w:rFonts w:ascii="Times New Roman" w:hAnsi="Times New Roman" w:cs="Times New Roman"/>
          <w:kern w:val="0"/>
          <w:sz w:val="24"/>
          <w:szCs w:val="24"/>
        </w:rPr>
        <w:fldChar w:fldCharType="separate"/>
      </w:r>
      <w:r>
        <w:rPr>
          <w:rFonts w:ascii="Times New Roman" w:hAnsi="Times New Roman" w:cs="Times New Roman"/>
          <w:kern w:val="0"/>
          <w:sz w:val="24"/>
          <w:szCs w:val="24"/>
        </w:rPr>
        <w:t>2</w:t>
      </w:r>
      <w:r>
        <w:rPr>
          <w:rFonts w:ascii="Times New Roman" w:hAnsi="Times New Roman" w:cs="Times New Roman"/>
          <w:kern w:val="0"/>
          <w:sz w:val="24"/>
          <w:szCs w:val="24"/>
        </w:rPr>
        <w:fldChar w:fldCharType="end"/>
      </w:r>
      <w:bookmarkEnd w:id="100"/>
      <w:r>
        <w:rPr>
          <w:rFonts w:ascii="Times New Roman" w:hAnsi="Times New Roman" w:cs="Times New Roman"/>
          <w:kern w:val="0"/>
          <w:sz w:val="24"/>
          <w:szCs w:val="24"/>
        </w:rPr>
        <w:t xml:space="preserve">  </w:t>
      </w:r>
      <w:bookmarkStart w:id="103" w:name="_Hlk196061493"/>
      <w:r>
        <w:rPr>
          <w:rFonts w:hint="eastAsia" w:ascii="Times New Roman" w:hAnsi="Times New Roman" w:cs="Times New Roman"/>
          <w:kern w:val="0"/>
          <w:sz w:val="24"/>
        </w:rPr>
        <w:t>202</w:t>
      </w:r>
      <w:r>
        <w:rPr>
          <w:rFonts w:ascii="Times New Roman" w:hAnsi="Times New Roman" w:cs="Times New Roman"/>
          <w:kern w:val="0"/>
          <w:sz w:val="24"/>
        </w:rPr>
        <w:t>4</w:t>
      </w:r>
      <w:r>
        <w:rPr>
          <w:rFonts w:hint="eastAsia" w:ascii="Times New Roman" w:hAnsi="Times New Roman" w:cs="Times New Roman"/>
          <w:kern w:val="0"/>
          <w:sz w:val="24"/>
        </w:rPr>
        <w:t>年1-12月份地表水跨县界断面水质生态补偿监测数据</w:t>
      </w:r>
      <w:bookmarkEnd w:id="103"/>
    </w:p>
    <w:tbl>
      <w:tblPr>
        <w:tblStyle w:val="63"/>
        <w:tblW w:w="5000" w:type="pct"/>
        <w:tblInd w:w="0" w:type="dxa"/>
        <w:tblLayout w:type="autofit"/>
        <w:tblCellMar>
          <w:top w:w="0" w:type="dxa"/>
          <w:left w:w="108" w:type="dxa"/>
          <w:bottom w:w="0" w:type="dxa"/>
          <w:right w:w="108" w:type="dxa"/>
        </w:tblCellMar>
      </w:tblPr>
      <w:tblGrid>
        <w:gridCol w:w="383"/>
        <w:gridCol w:w="916"/>
        <w:gridCol w:w="510"/>
        <w:gridCol w:w="510"/>
        <w:gridCol w:w="595"/>
        <w:gridCol w:w="511"/>
        <w:gridCol w:w="595"/>
        <w:gridCol w:w="595"/>
        <w:gridCol w:w="511"/>
        <w:gridCol w:w="595"/>
        <w:gridCol w:w="511"/>
        <w:gridCol w:w="595"/>
        <w:gridCol w:w="595"/>
        <w:gridCol w:w="595"/>
        <w:gridCol w:w="511"/>
      </w:tblGrid>
      <w:tr w14:paraId="27518C01">
        <w:tblPrEx>
          <w:tblCellMar>
            <w:top w:w="0" w:type="dxa"/>
            <w:left w:w="108" w:type="dxa"/>
            <w:bottom w:w="0" w:type="dxa"/>
            <w:right w:w="108" w:type="dxa"/>
          </w:tblCellMar>
        </w:tblPrEx>
        <w:trPr>
          <w:trHeight w:val="570" w:hRule="atLeast"/>
        </w:trPr>
        <w:tc>
          <w:tcPr>
            <w:tcW w:w="243" w:type="pct"/>
            <w:tcBorders>
              <w:top w:val="single" w:color="auto" w:sz="4" w:space="0"/>
              <w:left w:val="single" w:color="auto" w:sz="4" w:space="0"/>
              <w:bottom w:val="single" w:color="auto" w:sz="4" w:space="0"/>
              <w:right w:val="single" w:color="auto" w:sz="4" w:space="0"/>
            </w:tcBorders>
            <w:shd w:val="clear" w:color="auto" w:fill="auto"/>
            <w:vAlign w:val="center"/>
          </w:tcPr>
          <w:p w14:paraId="0CAD828D">
            <w:pPr>
              <w:spacing w:line="280" w:lineRule="exact"/>
              <w:jc w:val="center"/>
              <w:rPr>
                <w:rFonts w:eastAsiaTheme="minorEastAsia"/>
                <w:spacing w:val="-10"/>
                <w:kern w:val="0"/>
                <w:szCs w:val="21"/>
              </w:rPr>
            </w:pPr>
            <w:r>
              <w:rPr>
                <w:rFonts w:hint="eastAsia" w:eastAsiaTheme="minorEastAsia"/>
                <w:color w:val="000000"/>
              </w:rPr>
              <w:t>断面</w:t>
            </w:r>
            <w:r>
              <w:rPr>
                <w:rFonts w:eastAsiaTheme="minorEastAsia"/>
                <w:color w:val="000000"/>
              </w:rPr>
              <w:t>名称</w:t>
            </w:r>
          </w:p>
        </w:tc>
        <w:tc>
          <w:tcPr>
            <w:tcW w:w="557" w:type="pct"/>
            <w:tcBorders>
              <w:top w:val="single" w:color="auto" w:sz="4" w:space="0"/>
              <w:left w:val="nil"/>
              <w:bottom w:val="single" w:color="auto" w:sz="4" w:space="0"/>
              <w:right w:val="single" w:color="auto" w:sz="4" w:space="0"/>
            </w:tcBorders>
            <w:shd w:val="clear" w:color="auto" w:fill="auto"/>
            <w:vAlign w:val="center"/>
          </w:tcPr>
          <w:p w14:paraId="7776028F">
            <w:pPr>
              <w:spacing w:line="280" w:lineRule="exact"/>
              <w:jc w:val="center"/>
              <w:rPr>
                <w:rFonts w:eastAsiaTheme="minorEastAsia"/>
                <w:spacing w:val="-10"/>
                <w:kern w:val="0"/>
                <w:szCs w:val="21"/>
              </w:rPr>
            </w:pPr>
            <w:r>
              <w:rPr>
                <w:rFonts w:eastAsiaTheme="minorEastAsia"/>
                <w:color w:val="000000"/>
              </w:rPr>
              <w:t>监测因子（mg/L）</w:t>
            </w:r>
          </w:p>
        </w:tc>
        <w:tc>
          <w:tcPr>
            <w:tcW w:w="315" w:type="pct"/>
            <w:tcBorders>
              <w:top w:val="single" w:color="auto" w:sz="4" w:space="0"/>
              <w:left w:val="nil"/>
              <w:bottom w:val="single" w:color="auto" w:sz="4" w:space="0"/>
              <w:right w:val="single" w:color="auto" w:sz="4" w:space="0"/>
            </w:tcBorders>
            <w:shd w:val="clear" w:color="auto" w:fill="auto"/>
            <w:vAlign w:val="center"/>
          </w:tcPr>
          <w:p w14:paraId="054D0FA7">
            <w:pPr>
              <w:spacing w:line="280" w:lineRule="exact"/>
              <w:jc w:val="center"/>
              <w:rPr>
                <w:rFonts w:eastAsiaTheme="minorEastAsia"/>
                <w:spacing w:val="-10"/>
                <w:kern w:val="0"/>
                <w:szCs w:val="21"/>
              </w:rPr>
            </w:pPr>
            <w:r>
              <w:rPr>
                <w:rFonts w:eastAsiaTheme="minorEastAsia"/>
                <w:color w:val="000000"/>
              </w:rPr>
              <w:t>1 月</w:t>
            </w:r>
          </w:p>
        </w:tc>
        <w:tc>
          <w:tcPr>
            <w:tcW w:w="316" w:type="pct"/>
            <w:tcBorders>
              <w:top w:val="single" w:color="auto" w:sz="4" w:space="0"/>
              <w:left w:val="nil"/>
              <w:bottom w:val="single" w:color="auto" w:sz="4" w:space="0"/>
              <w:right w:val="single" w:color="auto" w:sz="4" w:space="0"/>
            </w:tcBorders>
            <w:shd w:val="clear" w:color="auto" w:fill="auto"/>
            <w:vAlign w:val="center"/>
          </w:tcPr>
          <w:p w14:paraId="785E3C20">
            <w:pPr>
              <w:spacing w:line="280" w:lineRule="exact"/>
              <w:jc w:val="center"/>
              <w:rPr>
                <w:rFonts w:eastAsiaTheme="minorEastAsia"/>
                <w:spacing w:val="-10"/>
                <w:kern w:val="0"/>
                <w:szCs w:val="21"/>
              </w:rPr>
            </w:pPr>
            <w:r>
              <w:rPr>
                <w:rFonts w:eastAsiaTheme="minorEastAsia"/>
                <w:color w:val="000000"/>
              </w:rPr>
              <w:t>2 月</w:t>
            </w:r>
          </w:p>
        </w:tc>
        <w:tc>
          <w:tcPr>
            <w:tcW w:w="315" w:type="pct"/>
            <w:tcBorders>
              <w:top w:val="single" w:color="auto" w:sz="4" w:space="0"/>
              <w:left w:val="nil"/>
              <w:bottom w:val="single" w:color="auto" w:sz="4" w:space="0"/>
              <w:right w:val="single" w:color="auto" w:sz="4" w:space="0"/>
            </w:tcBorders>
            <w:shd w:val="clear" w:color="auto" w:fill="auto"/>
            <w:vAlign w:val="center"/>
          </w:tcPr>
          <w:p w14:paraId="52359C3F">
            <w:pPr>
              <w:spacing w:line="280" w:lineRule="exact"/>
              <w:jc w:val="center"/>
              <w:rPr>
                <w:rFonts w:eastAsiaTheme="minorEastAsia"/>
                <w:spacing w:val="-10"/>
                <w:kern w:val="0"/>
                <w:szCs w:val="21"/>
              </w:rPr>
            </w:pPr>
            <w:r>
              <w:rPr>
                <w:rFonts w:eastAsiaTheme="minorEastAsia"/>
                <w:color w:val="000000"/>
              </w:rPr>
              <w:t>3 月</w:t>
            </w:r>
          </w:p>
        </w:tc>
        <w:tc>
          <w:tcPr>
            <w:tcW w:w="315" w:type="pct"/>
            <w:tcBorders>
              <w:top w:val="single" w:color="auto" w:sz="4" w:space="0"/>
              <w:left w:val="nil"/>
              <w:bottom w:val="single" w:color="auto" w:sz="4" w:space="0"/>
              <w:right w:val="single" w:color="auto" w:sz="4" w:space="0"/>
            </w:tcBorders>
            <w:shd w:val="clear" w:color="auto" w:fill="auto"/>
            <w:vAlign w:val="center"/>
          </w:tcPr>
          <w:p w14:paraId="6DB80A34">
            <w:pPr>
              <w:spacing w:line="280" w:lineRule="exact"/>
              <w:jc w:val="center"/>
              <w:rPr>
                <w:rFonts w:eastAsiaTheme="minorEastAsia"/>
                <w:spacing w:val="-10"/>
                <w:kern w:val="0"/>
                <w:szCs w:val="21"/>
              </w:rPr>
            </w:pPr>
            <w:r>
              <w:rPr>
                <w:rFonts w:eastAsiaTheme="minorEastAsia"/>
                <w:color w:val="000000"/>
              </w:rPr>
              <w:t>4 月</w:t>
            </w:r>
          </w:p>
        </w:tc>
        <w:tc>
          <w:tcPr>
            <w:tcW w:w="315" w:type="pct"/>
            <w:tcBorders>
              <w:top w:val="single" w:color="auto" w:sz="4" w:space="0"/>
              <w:left w:val="nil"/>
              <w:bottom w:val="single" w:color="auto" w:sz="4" w:space="0"/>
              <w:right w:val="single" w:color="auto" w:sz="4" w:space="0"/>
            </w:tcBorders>
            <w:shd w:val="clear" w:color="auto" w:fill="auto"/>
            <w:vAlign w:val="center"/>
          </w:tcPr>
          <w:p w14:paraId="486C6D9E">
            <w:pPr>
              <w:spacing w:line="280" w:lineRule="exact"/>
              <w:jc w:val="center"/>
              <w:rPr>
                <w:rFonts w:eastAsiaTheme="minorEastAsia"/>
                <w:spacing w:val="-10"/>
                <w:kern w:val="0"/>
                <w:szCs w:val="21"/>
              </w:rPr>
            </w:pPr>
            <w:r>
              <w:rPr>
                <w:rFonts w:eastAsiaTheme="minorEastAsia"/>
                <w:color w:val="000000"/>
              </w:rPr>
              <w:t>5 月</w:t>
            </w:r>
          </w:p>
        </w:tc>
        <w:tc>
          <w:tcPr>
            <w:tcW w:w="315" w:type="pct"/>
            <w:tcBorders>
              <w:top w:val="single" w:color="auto" w:sz="4" w:space="0"/>
              <w:left w:val="nil"/>
              <w:bottom w:val="single" w:color="auto" w:sz="4" w:space="0"/>
              <w:right w:val="single" w:color="auto" w:sz="4" w:space="0"/>
            </w:tcBorders>
            <w:shd w:val="clear" w:color="auto" w:fill="auto"/>
            <w:vAlign w:val="center"/>
          </w:tcPr>
          <w:p w14:paraId="02B622A4">
            <w:pPr>
              <w:spacing w:line="280" w:lineRule="exact"/>
              <w:jc w:val="center"/>
              <w:rPr>
                <w:rFonts w:eastAsiaTheme="minorEastAsia"/>
                <w:spacing w:val="-10"/>
                <w:kern w:val="0"/>
                <w:szCs w:val="21"/>
              </w:rPr>
            </w:pPr>
            <w:r>
              <w:rPr>
                <w:rFonts w:eastAsiaTheme="minorEastAsia"/>
                <w:color w:val="000000"/>
              </w:rPr>
              <w:t>6 月</w:t>
            </w:r>
          </w:p>
        </w:tc>
        <w:tc>
          <w:tcPr>
            <w:tcW w:w="315" w:type="pct"/>
            <w:tcBorders>
              <w:top w:val="single" w:color="auto" w:sz="4" w:space="0"/>
              <w:left w:val="nil"/>
              <w:bottom w:val="single" w:color="auto" w:sz="4" w:space="0"/>
              <w:right w:val="single" w:color="auto" w:sz="4" w:space="0"/>
            </w:tcBorders>
            <w:shd w:val="clear" w:color="auto" w:fill="auto"/>
            <w:vAlign w:val="center"/>
          </w:tcPr>
          <w:p w14:paraId="205B91B2">
            <w:pPr>
              <w:spacing w:line="280" w:lineRule="exact"/>
              <w:jc w:val="center"/>
              <w:rPr>
                <w:rFonts w:eastAsiaTheme="minorEastAsia"/>
                <w:spacing w:val="-10"/>
                <w:kern w:val="0"/>
                <w:szCs w:val="21"/>
              </w:rPr>
            </w:pPr>
            <w:r>
              <w:rPr>
                <w:rFonts w:eastAsiaTheme="minorEastAsia"/>
                <w:color w:val="000000"/>
              </w:rPr>
              <w:t>7 月</w:t>
            </w:r>
          </w:p>
        </w:tc>
        <w:tc>
          <w:tcPr>
            <w:tcW w:w="315" w:type="pct"/>
            <w:tcBorders>
              <w:top w:val="single" w:color="auto" w:sz="4" w:space="0"/>
              <w:left w:val="nil"/>
              <w:bottom w:val="single" w:color="auto" w:sz="4" w:space="0"/>
              <w:right w:val="single" w:color="auto" w:sz="4" w:space="0"/>
            </w:tcBorders>
            <w:shd w:val="clear" w:color="auto" w:fill="auto"/>
            <w:vAlign w:val="center"/>
          </w:tcPr>
          <w:p w14:paraId="73F12245">
            <w:pPr>
              <w:spacing w:line="280" w:lineRule="exact"/>
              <w:jc w:val="center"/>
              <w:rPr>
                <w:rFonts w:eastAsiaTheme="minorEastAsia"/>
                <w:spacing w:val="-10"/>
                <w:kern w:val="0"/>
                <w:szCs w:val="21"/>
              </w:rPr>
            </w:pPr>
            <w:r>
              <w:rPr>
                <w:rFonts w:eastAsiaTheme="minorEastAsia"/>
                <w:color w:val="000000"/>
              </w:rPr>
              <w:t>8 月</w:t>
            </w:r>
          </w:p>
        </w:tc>
        <w:tc>
          <w:tcPr>
            <w:tcW w:w="335" w:type="pct"/>
            <w:tcBorders>
              <w:top w:val="single" w:color="auto" w:sz="4" w:space="0"/>
              <w:left w:val="nil"/>
              <w:bottom w:val="single" w:color="auto" w:sz="4" w:space="0"/>
              <w:right w:val="single" w:color="auto" w:sz="4" w:space="0"/>
            </w:tcBorders>
            <w:shd w:val="clear" w:color="auto" w:fill="auto"/>
            <w:vAlign w:val="center"/>
          </w:tcPr>
          <w:p w14:paraId="04BCA249">
            <w:pPr>
              <w:widowControl/>
              <w:jc w:val="center"/>
              <w:rPr>
                <w:rFonts w:eastAsiaTheme="minorEastAsia"/>
                <w:kern w:val="0"/>
                <w:szCs w:val="21"/>
              </w:rPr>
            </w:pPr>
            <w:r>
              <w:rPr>
                <w:rFonts w:eastAsiaTheme="minorEastAsia"/>
                <w:color w:val="000000"/>
              </w:rPr>
              <w:t>9 月</w:t>
            </w:r>
          </w:p>
        </w:tc>
        <w:tc>
          <w:tcPr>
            <w:tcW w:w="335" w:type="pct"/>
            <w:tcBorders>
              <w:top w:val="single" w:color="auto" w:sz="4" w:space="0"/>
              <w:left w:val="nil"/>
              <w:bottom w:val="nil"/>
              <w:right w:val="single" w:color="auto" w:sz="4" w:space="0"/>
            </w:tcBorders>
            <w:shd w:val="clear" w:color="auto" w:fill="auto"/>
            <w:vAlign w:val="center"/>
          </w:tcPr>
          <w:p w14:paraId="53AA8FAD">
            <w:pPr>
              <w:widowControl/>
              <w:jc w:val="center"/>
              <w:rPr>
                <w:rFonts w:eastAsiaTheme="minorEastAsia"/>
                <w:kern w:val="0"/>
                <w:szCs w:val="21"/>
              </w:rPr>
            </w:pPr>
            <w:r>
              <w:rPr>
                <w:rFonts w:eastAsiaTheme="minorEastAsia"/>
                <w:color w:val="000000"/>
              </w:rPr>
              <w:t>10 月</w:t>
            </w:r>
          </w:p>
        </w:tc>
        <w:tc>
          <w:tcPr>
            <w:tcW w:w="335" w:type="pct"/>
            <w:tcBorders>
              <w:top w:val="single" w:color="auto" w:sz="4" w:space="0"/>
              <w:left w:val="nil"/>
              <w:bottom w:val="single" w:color="auto" w:sz="4" w:space="0"/>
              <w:right w:val="nil"/>
            </w:tcBorders>
            <w:shd w:val="clear" w:color="auto" w:fill="auto"/>
            <w:vAlign w:val="center"/>
          </w:tcPr>
          <w:p w14:paraId="5156D2C9">
            <w:pPr>
              <w:widowControl/>
              <w:jc w:val="center"/>
              <w:rPr>
                <w:rFonts w:eastAsiaTheme="minorEastAsia"/>
                <w:kern w:val="0"/>
                <w:szCs w:val="21"/>
              </w:rPr>
            </w:pPr>
            <w:r>
              <w:rPr>
                <w:rFonts w:eastAsiaTheme="minorEastAsia"/>
                <w:color w:val="000000"/>
              </w:rPr>
              <w:t>11 月</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0AE15B4A">
            <w:pPr>
              <w:widowControl/>
              <w:jc w:val="center"/>
              <w:rPr>
                <w:rFonts w:eastAsiaTheme="minorEastAsia"/>
                <w:kern w:val="0"/>
                <w:szCs w:val="21"/>
              </w:rPr>
            </w:pPr>
            <w:r>
              <w:rPr>
                <w:rFonts w:eastAsiaTheme="minorEastAsia"/>
                <w:color w:val="000000"/>
              </w:rPr>
              <w:t>12 月</w:t>
            </w:r>
          </w:p>
        </w:tc>
        <w:tc>
          <w:tcPr>
            <w:tcW w:w="336" w:type="pct"/>
            <w:tcBorders>
              <w:top w:val="single" w:color="auto" w:sz="4" w:space="0"/>
              <w:left w:val="nil"/>
              <w:bottom w:val="single" w:color="auto" w:sz="4" w:space="0"/>
              <w:right w:val="single" w:color="auto" w:sz="4" w:space="0"/>
            </w:tcBorders>
            <w:shd w:val="clear" w:color="auto" w:fill="auto"/>
            <w:vAlign w:val="center"/>
          </w:tcPr>
          <w:p w14:paraId="4ADD4FF7">
            <w:pPr>
              <w:widowControl/>
              <w:jc w:val="center"/>
              <w:rPr>
                <w:rFonts w:eastAsiaTheme="minorEastAsia"/>
                <w:kern w:val="0"/>
                <w:szCs w:val="21"/>
              </w:rPr>
            </w:pPr>
            <w:r>
              <w:rPr>
                <w:rFonts w:eastAsiaTheme="minorEastAsia"/>
                <w:color w:val="000000"/>
              </w:rPr>
              <w:t>标准值</w:t>
            </w:r>
          </w:p>
        </w:tc>
      </w:tr>
      <w:tr w14:paraId="5679BF63">
        <w:tblPrEx>
          <w:tblCellMar>
            <w:top w:w="0" w:type="dxa"/>
            <w:left w:w="108" w:type="dxa"/>
            <w:bottom w:w="0" w:type="dxa"/>
            <w:right w:w="108" w:type="dxa"/>
          </w:tblCellMar>
        </w:tblPrEx>
        <w:trPr>
          <w:trHeight w:val="480" w:hRule="atLeast"/>
        </w:trPr>
        <w:tc>
          <w:tcPr>
            <w:tcW w:w="243" w:type="pct"/>
            <w:vMerge w:val="restart"/>
            <w:tcBorders>
              <w:top w:val="nil"/>
              <w:left w:val="single" w:color="auto" w:sz="4" w:space="0"/>
              <w:bottom w:val="single" w:color="auto" w:sz="4" w:space="0"/>
              <w:right w:val="single" w:color="auto" w:sz="4" w:space="0"/>
            </w:tcBorders>
            <w:shd w:val="clear" w:color="auto" w:fill="auto"/>
            <w:vAlign w:val="center"/>
          </w:tcPr>
          <w:p w14:paraId="7E74C199">
            <w:pPr>
              <w:spacing w:line="280" w:lineRule="exact"/>
              <w:jc w:val="center"/>
              <w:rPr>
                <w:rFonts w:eastAsiaTheme="minorEastAsia"/>
                <w:spacing w:val="-10"/>
                <w:kern w:val="0"/>
                <w:szCs w:val="21"/>
              </w:rPr>
            </w:pPr>
            <w:r>
              <w:rPr>
                <w:rFonts w:eastAsiaTheme="minorEastAsia"/>
                <w:color w:val="000000"/>
              </w:rPr>
              <w:t>天桥</w:t>
            </w:r>
          </w:p>
        </w:tc>
        <w:tc>
          <w:tcPr>
            <w:tcW w:w="557" w:type="pct"/>
            <w:tcBorders>
              <w:top w:val="nil"/>
              <w:left w:val="nil"/>
              <w:bottom w:val="single" w:color="auto" w:sz="4" w:space="0"/>
              <w:right w:val="single" w:color="auto" w:sz="4" w:space="0"/>
            </w:tcBorders>
            <w:shd w:val="clear" w:color="auto" w:fill="auto"/>
            <w:vAlign w:val="center"/>
          </w:tcPr>
          <w:p w14:paraId="60341679">
            <w:pPr>
              <w:spacing w:line="280" w:lineRule="exact"/>
              <w:jc w:val="center"/>
              <w:rPr>
                <w:rFonts w:eastAsiaTheme="minorEastAsia"/>
                <w:spacing w:val="-10"/>
                <w:kern w:val="0"/>
                <w:szCs w:val="21"/>
              </w:rPr>
            </w:pPr>
            <w:r>
              <w:rPr>
                <w:rFonts w:eastAsiaTheme="minorEastAsia"/>
                <w:color w:val="000000"/>
              </w:rPr>
              <w:t>COD</w:t>
            </w:r>
          </w:p>
        </w:tc>
        <w:tc>
          <w:tcPr>
            <w:tcW w:w="315" w:type="pct"/>
            <w:tcBorders>
              <w:top w:val="nil"/>
              <w:left w:val="nil"/>
              <w:bottom w:val="single" w:color="auto" w:sz="4" w:space="0"/>
              <w:right w:val="single" w:color="auto" w:sz="4" w:space="0"/>
            </w:tcBorders>
            <w:shd w:val="clear" w:color="auto" w:fill="auto"/>
            <w:vAlign w:val="center"/>
          </w:tcPr>
          <w:p w14:paraId="494EFE97">
            <w:pPr>
              <w:spacing w:line="280" w:lineRule="exact"/>
              <w:jc w:val="center"/>
              <w:rPr>
                <w:rFonts w:eastAsiaTheme="minorEastAsia"/>
                <w:spacing w:val="-10"/>
                <w:kern w:val="0"/>
                <w:szCs w:val="21"/>
              </w:rPr>
            </w:pPr>
            <w:r>
              <w:rPr>
                <w:rFonts w:eastAsiaTheme="minorEastAsia"/>
                <w:color w:val="000000"/>
              </w:rPr>
              <w:t>9</w:t>
            </w:r>
          </w:p>
        </w:tc>
        <w:tc>
          <w:tcPr>
            <w:tcW w:w="316" w:type="pct"/>
            <w:tcBorders>
              <w:top w:val="nil"/>
              <w:left w:val="nil"/>
              <w:bottom w:val="single" w:color="auto" w:sz="4" w:space="0"/>
              <w:right w:val="single" w:color="auto" w:sz="4" w:space="0"/>
            </w:tcBorders>
            <w:shd w:val="clear" w:color="auto" w:fill="auto"/>
            <w:vAlign w:val="center"/>
          </w:tcPr>
          <w:p w14:paraId="7689D080">
            <w:pPr>
              <w:spacing w:line="280" w:lineRule="exact"/>
              <w:jc w:val="center"/>
              <w:rPr>
                <w:rFonts w:eastAsiaTheme="minorEastAsia"/>
                <w:spacing w:val="-10"/>
                <w:kern w:val="0"/>
                <w:szCs w:val="21"/>
              </w:rPr>
            </w:pPr>
            <w:r>
              <w:rPr>
                <w:rFonts w:eastAsiaTheme="minorEastAsia"/>
                <w:color w:val="000000"/>
              </w:rPr>
              <w:t>7</w:t>
            </w:r>
          </w:p>
        </w:tc>
        <w:tc>
          <w:tcPr>
            <w:tcW w:w="315" w:type="pct"/>
            <w:tcBorders>
              <w:top w:val="nil"/>
              <w:left w:val="nil"/>
              <w:bottom w:val="single" w:color="auto" w:sz="4" w:space="0"/>
              <w:right w:val="single" w:color="auto" w:sz="4" w:space="0"/>
            </w:tcBorders>
            <w:shd w:val="clear" w:color="auto" w:fill="auto"/>
            <w:vAlign w:val="center"/>
          </w:tcPr>
          <w:p w14:paraId="2010C30D">
            <w:pPr>
              <w:spacing w:line="280" w:lineRule="exact"/>
              <w:jc w:val="center"/>
              <w:rPr>
                <w:rFonts w:eastAsiaTheme="minorEastAsia"/>
                <w:spacing w:val="-10"/>
                <w:kern w:val="0"/>
                <w:szCs w:val="21"/>
              </w:rPr>
            </w:pPr>
            <w:r>
              <w:rPr>
                <w:rFonts w:eastAsiaTheme="minorEastAsia"/>
                <w:color w:val="000000"/>
              </w:rPr>
              <w:t>12</w:t>
            </w:r>
          </w:p>
        </w:tc>
        <w:tc>
          <w:tcPr>
            <w:tcW w:w="315" w:type="pct"/>
            <w:tcBorders>
              <w:top w:val="nil"/>
              <w:left w:val="nil"/>
              <w:bottom w:val="single" w:color="auto" w:sz="4" w:space="0"/>
              <w:right w:val="single" w:color="auto" w:sz="4" w:space="0"/>
            </w:tcBorders>
            <w:shd w:val="clear" w:color="auto" w:fill="auto"/>
            <w:vAlign w:val="center"/>
          </w:tcPr>
          <w:p w14:paraId="3E1789A3">
            <w:pPr>
              <w:spacing w:line="280" w:lineRule="exact"/>
              <w:jc w:val="center"/>
              <w:rPr>
                <w:rFonts w:eastAsiaTheme="minorEastAsia"/>
                <w:spacing w:val="-10"/>
                <w:kern w:val="0"/>
                <w:szCs w:val="21"/>
              </w:rPr>
            </w:pPr>
            <w:r>
              <w:rPr>
                <w:rFonts w:eastAsiaTheme="minorEastAsia"/>
                <w:color w:val="000000"/>
              </w:rPr>
              <w:t>7</w:t>
            </w:r>
          </w:p>
        </w:tc>
        <w:tc>
          <w:tcPr>
            <w:tcW w:w="315" w:type="pct"/>
            <w:tcBorders>
              <w:top w:val="nil"/>
              <w:left w:val="nil"/>
              <w:bottom w:val="single" w:color="auto" w:sz="4" w:space="0"/>
              <w:right w:val="single" w:color="auto" w:sz="4" w:space="0"/>
            </w:tcBorders>
            <w:shd w:val="clear" w:color="auto" w:fill="auto"/>
            <w:vAlign w:val="center"/>
          </w:tcPr>
          <w:p w14:paraId="280809BC">
            <w:pPr>
              <w:spacing w:line="280" w:lineRule="exact"/>
              <w:jc w:val="center"/>
              <w:rPr>
                <w:rFonts w:eastAsiaTheme="minorEastAsia"/>
                <w:spacing w:val="-10"/>
                <w:kern w:val="0"/>
                <w:szCs w:val="21"/>
              </w:rPr>
            </w:pPr>
            <w:r>
              <w:rPr>
                <w:rFonts w:eastAsiaTheme="minorEastAsia"/>
                <w:color w:val="000000"/>
              </w:rPr>
              <w:t>12</w:t>
            </w:r>
          </w:p>
        </w:tc>
        <w:tc>
          <w:tcPr>
            <w:tcW w:w="315" w:type="pct"/>
            <w:tcBorders>
              <w:top w:val="nil"/>
              <w:left w:val="nil"/>
              <w:bottom w:val="single" w:color="auto" w:sz="4" w:space="0"/>
              <w:right w:val="single" w:color="auto" w:sz="4" w:space="0"/>
            </w:tcBorders>
            <w:shd w:val="clear" w:color="auto" w:fill="auto"/>
            <w:vAlign w:val="center"/>
          </w:tcPr>
          <w:p w14:paraId="576A2AC4">
            <w:pPr>
              <w:spacing w:line="280" w:lineRule="exact"/>
              <w:jc w:val="center"/>
              <w:rPr>
                <w:rFonts w:eastAsiaTheme="minorEastAsia"/>
                <w:spacing w:val="-10"/>
                <w:kern w:val="0"/>
                <w:szCs w:val="21"/>
              </w:rPr>
            </w:pPr>
            <w:r>
              <w:rPr>
                <w:rFonts w:eastAsiaTheme="minorEastAsia"/>
                <w:color w:val="000000"/>
              </w:rPr>
              <w:t>8</w:t>
            </w:r>
          </w:p>
        </w:tc>
        <w:tc>
          <w:tcPr>
            <w:tcW w:w="315" w:type="pct"/>
            <w:tcBorders>
              <w:top w:val="nil"/>
              <w:left w:val="nil"/>
              <w:bottom w:val="single" w:color="auto" w:sz="4" w:space="0"/>
              <w:right w:val="single" w:color="auto" w:sz="4" w:space="0"/>
            </w:tcBorders>
            <w:shd w:val="clear" w:color="auto" w:fill="auto"/>
            <w:vAlign w:val="center"/>
          </w:tcPr>
          <w:p w14:paraId="1EF78742">
            <w:pPr>
              <w:spacing w:line="280" w:lineRule="exact"/>
              <w:jc w:val="center"/>
              <w:rPr>
                <w:rFonts w:eastAsiaTheme="minorEastAsia"/>
                <w:spacing w:val="-10"/>
                <w:kern w:val="0"/>
                <w:szCs w:val="21"/>
              </w:rPr>
            </w:pPr>
            <w:r>
              <w:rPr>
                <w:rFonts w:eastAsiaTheme="minorEastAsia"/>
                <w:color w:val="000000"/>
              </w:rPr>
              <w:t>14</w:t>
            </w:r>
          </w:p>
        </w:tc>
        <w:tc>
          <w:tcPr>
            <w:tcW w:w="315" w:type="pct"/>
            <w:tcBorders>
              <w:top w:val="nil"/>
              <w:left w:val="nil"/>
              <w:bottom w:val="single" w:color="auto" w:sz="4" w:space="0"/>
              <w:right w:val="single" w:color="auto" w:sz="4" w:space="0"/>
            </w:tcBorders>
            <w:shd w:val="clear" w:color="auto" w:fill="auto"/>
            <w:vAlign w:val="center"/>
          </w:tcPr>
          <w:p w14:paraId="190CB197">
            <w:pPr>
              <w:spacing w:line="280" w:lineRule="exact"/>
              <w:jc w:val="center"/>
              <w:rPr>
                <w:rFonts w:eastAsiaTheme="minorEastAsia"/>
                <w:spacing w:val="-10"/>
                <w:kern w:val="0"/>
                <w:szCs w:val="21"/>
              </w:rPr>
            </w:pPr>
            <w:r>
              <w:rPr>
                <w:rFonts w:eastAsiaTheme="minorEastAsia"/>
                <w:color w:val="000000"/>
              </w:rPr>
              <w:t>26</w:t>
            </w:r>
          </w:p>
        </w:tc>
        <w:tc>
          <w:tcPr>
            <w:tcW w:w="335" w:type="pct"/>
            <w:tcBorders>
              <w:top w:val="nil"/>
              <w:left w:val="nil"/>
              <w:bottom w:val="single" w:color="auto" w:sz="4" w:space="0"/>
              <w:right w:val="single" w:color="auto" w:sz="4" w:space="0"/>
            </w:tcBorders>
            <w:shd w:val="clear" w:color="auto" w:fill="auto"/>
            <w:vAlign w:val="center"/>
          </w:tcPr>
          <w:p w14:paraId="1705B3B1">
            <w:pPr>
              <w:widowControl/>
              <w:jc w:val="center"/>
              <w:rPr>
                <w:rFonts w:eastAsiaTheme="minorEastAsia"/>
                <w:kern w:val="0"/>
                <w:szCs w:val="21"/>
              </w:rPr>
            </w:pPr>
            <w:r>
              <w:rPr>
                <w:rFonts w:eastAsiaTheme="minorEastAsia"/>
                <w:color w:val="000000"/>
              </w:rPr>
              <w:t>12</w:t>
            </w:r>
          </w:p>
        </w:tc>
        <w:tc>
          <w:tcPr>
            <w:tcW w:w="335" w:type="pct"/>
            <w:tcBorders>
              <w:top w:val="single" w:color="auto" w:sz="4" w:space="0"/>
              <w:left w:val="nil"/>
              <w:bottom w:val="single" w:color="auto" w:sz="4" w:space="0"/>
              <w:right w:val="single" w:color="auto" w:sz="4" w:space="0"/>
            </w:tcBorders>
            <w:shd w:val="clear" w:color="auto" w:fill="auto"/>
            <w:vAlign w:val="center"/>
          </w:tcPr>
          <w:p w14:paraId="50CB4BDD">
            <w:pPr>
              <w:widowControl/>
              <w:jc w:val="center"/>
              <w:rPr>
                <w:rFonts w:eastAsiaTheme="minorEastAsia"/>
                <w:kern w:val="0"/>
                <w:szCs w:val="21"/>
              </w:rPr>
            </w:pPr>
            <w:r>
              <w:rPr>
                <w:rFonts w:eastAsiaTheme="minorEastAsia"/>
                <w:color w:val="000000"/>
              </w:rPr>
              <w:t>14</w:t>
            </w:r>
          </w:p>
        </w:tc>
        <w:tc>
          <w:tcPr>
            <w:tcW w:w="335" w:type="pct"/>
            <w:tcBorders>
              <w:top w:val="nil"/>
              <w:left w:val="nil"/>
              <w:bottom w:val="single" w:color="auto" w:sz="4" w:space="0"/>
              <w:right w:val="single" w:color="auto" w:sz="4" w:space="0"/>
            </w:tcBorders>
            <w:shd w:val="clear" w:color="auto" w:fill="auto"/>
            <w:vAlign w:val="center"/>
          </w:tcPr>
          <w:p w14:paraId="222A50D4">
            <w:pPr>
              <w:widowControl/>
              <w:jc w:val="center"/>
              <w:rPr>
                <w:rFonts w:eastAsiaTheme="minorEastAsia"/>
                <w:kern w:val="0"/>
                <w:szCs w:val="21"/>
              </w:rPr>
            </w:pPr>
            <w:r>
              <w:rPr>
                <w:rFonts w:eastAsiaTheme="minorEastAsia"/>
                <w:color w:val="000000"/>
              </w:rPr>
              <w:t>11</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B8BF0">
            <w:pPr>
              <w:widowControl/>
              <w:jc w:val="center"/>
              <w:rPr>
                <w:rFonts w:eastAsiaTheme="minorEastAsia"/>
                <w:kern w:val="0"/>
                <w:szCs w:val="21"/>
              </w:rPr>
            </w:pPr>
            <w:r>
              <w:rPr>
                <w:rFonts w:eastAsiaTheme="minorEastAsia"/>
                <w:color w:val="000000"/>
              </w:rPr>
              <w:t>14</w:t>
            </w:r>
          </w:p>
        </w:tc>
        <w:tc>
          <w:tcPr>
            <w:tcW w:w="336" w:type="pct"/>
            <w:tcBorders>
              <w:top w:val="nil"/>
              <w:left w:val="nil"/>
              <w:bottom w:val="single" w:color="auto" w:sz="4" w:space="0"/>
              <w:right w:val="single" w:color="auto" w:sz="4" w:space="0"/>
            </w:tcBorders>
            <w:shd w:val="clear" w:color="auto" w:fill="auto"/>
            <w:vAlign w:val="center"/>
          </w:tcPr>
          <w:p w14:paraId="56B0C4C6">
            <w:pPr>
              <w:widowControl/>
              <w:jc w:val="center"/>
              <w:rPr>
                <w:rFonts w:eastAsiaTheme="minorEastAsia"/>
                <w:kern w:val="0"/>
                <w:szCs w:val="21"/>
              </w:rPr>
            </w:pPr>
            <w:r>
              <w:rPr>
                <w:rFonts w:eastAsiaTheme="minorEastAsia"/>
                <w:color w:val="000000"/>
              </w:rPr>
              <w:t>15</w:t>
            </w:r>
          </w:p>
        </w:tc>
      </w:tr>
      <w:tr w14:paraId="782EFD6B">
        <w:tblPrEx>
          <w:tblCellMar>
            <w:top w:w="0" w:type="dxa"/>
            <w:left w:w="108" w:type="dxa"/>
            <w:bottom w:w="0" w:type="dxa"/>
            <w:right w:w="108" w:type="dxa"/>
          </w:tblCellMar>
        </w:tblPrEx>
        <w:trPr>
          <w:trHeight w:val="480" w:hRule="atLeast"/>
        </w:trPr>
        <w:tc>
          <w:tcPr>
            <w:tcW w:w="243" w:type="pct"/>
            <w:vMerge w:val="continue"/>
            <w:tcBorders>
              <w:top w:val="nil"/>
              <w:left w:val="single" w:color="auto" w:sz="4" w:space="0"/>
              <w:bottom w:val="single" w:color="auto" w:sz="4" w:space="0"/>
              <w:right w:val="single" w:color="auto" w:sz="4" w:space="0"/>
            </w:tcBorders>
            <w:vAlign w:val="center"/>
          </w:tcPr>
          <w:p w14:paraId="17B0228B">
            <w:pPr>
              <w:spacing w:line="280" w:lineRule="exact"/>
              <w:jc w:val="center"/>
              <w:rPr>
                <w:rFonts w:eastAsiaTheme="minorEastAsia"/>
                <w:spacing w:val="-10"/>
                <w:kern w:val="0"/>
                <w:szCs w:val="21"/>
              </w:rPr>
            </w:pPr>
          </w:p>
        </w:tc>
        <w:tc>
          <w:tcPr>
            <w:tcW w:w="557" w:type="pct"/>
            <w:tcBorders>
              <w:top w:val="nil"/>
              <w:left w:val="nil"/>
              <w:bottom w:val="single" w:color="auto" w:sz="4" w:space="0"/>
              <w:right w:val="single" w:color="auto" w:sz="4" w:space="0"/>
            </w:tcBorders>
            <w:shd w:val="clear" w:color="auto" w:fill="auto"/>
            <w:vAlign w:val="center"/>
          </w:tcPr>
          <w:p w14:paraId="5B29DF59">
            <w:pPr>
              <w:spacing w:line="280" w:lineRule="exact"/>
              <w:jc w:val="center"/>
              <w:rPr>
                <w:rFonts w:eastAsiaTheme="minorEastAsia"/>
                <w:spacing w:val="-10"/>
                <w:kern w:val="0"/>
                <w:szCs w:val="21"/>
              </w:rPr>
            </w:pPr>
            <w:r>
              <w:rPr>
                <w:rFonts w:eastAsiaTheme="minorEastAsia"/>
                <w:color w:val="000000"/>
              </w:rPr>
              <w:t>高锰酸盐指数</w:t>
            </w:r>
          </w:p>
        </w:tc>
        <w:tc>
          <w:tcPr>
            <w:tcW w:w="315" w:type="pct"/>
            <w:tcBorders>
              <w:top w:val="nil"/>
              <w:left w:val="nil"/>
              <w:bottom w:val="single" w:color="auto" w:sz="4" w:space="0"/>
              <w:right w:val="single" w:color="auto" w:sz="4" w:space="0"/>
            </w:tcBorders>
            <w:shd w:val="clear" w:color="auto" w:fill="auto"/>
            <w:vAlign w:val="center"/>
          </w:tcPr>
          <w:p w14:paraId="706A43A7">
            <w:pPr>
              <w:spacing w:line="280" w:lineRule="exact"/>
              <w:jc w:val="center"/>
              <w:rPr>
                <w:rFonts w:eastAsiaTheme="minorEastAsia"/>
                <w:spacing w:val="-10"/>
                <w:kern w:val="0"/>
                <w:szCs w:val="21"/>
              </w:rPr>
            </w:pPr>
            <w:r>
              <w:rPr>
                <w:rFonts w:eastAsiaTheme="minorEastAsia"/>
                <w:color w:val="000000"/>
              </w:rPr>
              <w:t>1.2</w:t>
            </w:r>
          </w:p>
        </w:tc>
        <w:tc>
          <w:tcPr>
            <w:tcW w:w="316" w:type="pct"/>
            <w:tcBorders>
              <w:top w:val="nil"/>
              <w:left w:val="nil"/>
              <w:bottom w:val="single" w:color="auto" w:sz="4" w:space="0"/>
              <w:right w:val="single" w:color="auto" w:sz="4" w:space="0"/>
            </w:tcBorders>
            <w:shd w:val="clear" w:color="auto" w:fill="auto"/>
            <w:vAlign w:val="center"/>
          </w:tcPr>
          <w:p w14:paraId="37B25435">
            <w:pPr>
              <w:spacing w:line="280" w:lineRule="exact"/>
              <w:jc w:val="center"/>
              <w:rPr>
                <w:rFonts w:eastAsiaTheme="minorEastAsia"/>
                <w:spacing w:val="-10"/>
                <w:kern w:val="0"/>
                <w:szCs w:val="21"/>
              </w:rPr>
            </w:pPr>
            <w:r>
              <w:rPr>
                <w:rFonts w:eastAsiaTheme="minorEastAsia"/>
                <w:color w:val="000000"/>
              </w:rPr>
              <w:t>1.6</w:t>
            </w:r>
          </w:p>
        </w:tc>
        <w:tc>
          <w:tcPr>
            <w:tcW w:w="315" w:type="pct"/>
            <w:tcBorders>
              <w:top w:val="nil"/>
              <w:left w:val="nil"/>
              <w:bottom w:val="single" w:color="auto" w:sz="4" w:space="0"/>
              <w:right w:val="single" w:color="auto" w:sz="4" w:space="0"/>
            </w:tcBorders>
            <w:shd w:val="clear" w:color="auto" w:fill="auto"/>
            <w:vAlign w:val="center"/>
          </w:tcPr>
          <w:p w14:paraId="4F553684">
            <w:pPr>
              <w:spacing w:line="280" w:lineRule="exact"/>
              <w:jc w:val="center"/>
              <w:rPr>
                <w:rFonts w:eastAsiaTheme="minorEastAsia"/>
                <w:spacing w:val="-10"/>
                <w:kern w:val="0"/>
                <w:szCs w:val="21"/>
              </w:rPr>
            </w:pPr>
            <w:r>
              <w:rPr>
                <w:rFonts w:eastAsiaTheme="minorEastAsia"/>
                <w:color w:val="000000"/>
              </w:rPr>
              <w:t>3.1</w:t>
            </w:r>
          </w:p>
        </w:tc>
        <w:tc>
          <w:tcPr>
            <w:tcW w:w="315" w:type="pct"/>
            <w:tcBorders>
              <w:top w:val="nil"/>
              <w:left w:val="nil"/>
              <w:bottom w:val="single" w:color="auto" w:sz="4" w:space="0"/>
              <w:right w:val="single" w:color="auto" w:sz="4" w:space="0"/>
            </w:tcBorders>
            <w:shd w:val="clear" w:color="auto" w:fill="auto"/>
            <w:vAlign w:val="center"/>
          </w:tcPr>
          <w:p w14:paraId="131947D0">
            <w:pPr>
              <w:spacing w:line="280" w:lineRule="exact"/>
              <w:jc w:val="center"/>
              <w:rPr>
                <w:rFonts w:eastAsiaTheme="minorEastAsia"/>
                <w:spacing w:val="-10"/>
                <w:kern w:val="0"/>
                <w:szCs w:val="21"/>
              </w:rPr>
            </w:pPr>
            <w:r>
              <w:rPr>
                <w:rFonts w:eastAsiaTheme="minorEastAsia"/>
                <w:color w:val="000000"/>
              </w:rPr>
              <w:t>2.5</w:t>
            </w:r>
          </w:p>
        </w:tc>
        <w:tc>
          <w:tcPr>
            <w:tcW w:w="315" w:type="pct"/>
            <w:tcBorders>
              <w:top w:val="nil"/>
              <w:left w:val="nil"/>
              <w:bottom w:val="single" w:color="auto" w:sz="4" w:space="0"/>
              <w:right w:val="single" w:color="auto" w:sz="4" w:space="0"/>
            </w:tcBorders>
            <w:shd w:val="clear" w:color="auto" w:fill="auto"/>
            <w:vAlign w:val="center"/>
          </w:tcPr>
          <w:p w14:paraId="4BE4B294">
            <w:pPr>
              <w:spacing w:line="280" w:lineRule="exact"/>
              <w:jc w:val="center"/>
              <w:rPr>
                <w:rFonts w:eastAsiaTheme="minorEastAsia"/>
                <w:spacing w:val="-10"/>
                <w:kern w:val="0"/>
                <w:szCs w:val="21"/>
              </w:rPr>
            </w:pPr>
            <w:r>
              <w:rPr>
                <w:rFonts w:eastAsiaTheme="minorEastAsia"/>
                <w:color w:val="000000"/>
              </w:rPr>
              <w:t>2.8</w:t>
            </w:r>
          </w:p>
        </w:tc>
        <w:tc>
          <w:tcPr>
            <w:tcW w:w="315" w:type="pct"/>
            <w:tcBorders>
              <w:top w:val="nil"/>
              <w:left w:val="nil"/>
              <w:bottom w:val="single" w:color="auto" w:sz="4" w:space="0"/>
              <w:right w:val="single" w:color="auto" w:sz="4" w:space="0"/>
            </w:tcBorders>
            <w:shd w:val="clear" w:color="auto" w:fill="auto"/>
            <w:vAlign w:val="center"/>
          </w:tcPr>
          <w:p w14:paraId="1FA3C490">
            <w:pPr>
              <w:spacing w:line="280" w:lineRule="exact"/>
              <w:jc w:val="center"/>
              <w:rPr>
                <w:rFonts w:eastAsiaTheme="minorEastAsia"/>
                <w:spacing w:val="-10"/>
                <w:kern w:val="0"/>
                <w:szCs w:val="21"/>
              </w:rPr>
            </w:pPr>
            <w:r>
              <w:rPr>
                <w:rFonts w:eastAsiaTheme="minorEastAsia"/>
                <w:color w:val="000000"/>
              </w:rPr>
              <w:t>2.4</w:t>
            </w:r>
          </w:p>
        </w:tc>
        <w:tc>
          <w:tcPr>
            <w:tcW w:w="315" w:type="pct"/>
            <w:tcBorders>
              <w:top w:val="nil"/>
              <w:left w:val="nil"/>
              <w:bottom w:val="single" w:color="auto" w:sz="4" w:space="0"/>
              <w:right w:val="single" w:color="auto" w:sz="4" w:space="0"/>
            </w:tcBorders>
            <w:shd w:val="clear" w:color="auto" w:fill="auto"/>
            <w:vAlign w:val="center"/>
          </w:tcPr>
          <w:p w14:paraId="68B89842">
            <w:pPr>
              <w:spacing w:line="280" w:lineRule="exact"/>
              <w:jc w:val="center"/>
              <w:rPr>
                <w:rFonts w:eastAsiaTheme="minorEastAsia"/>
                <w:spacing w:val="-10"/>
                <w:kern w:val="0"/>
                <w:szCs w:val="21"/>
              </w:rPr>
            </w:pPr>
            <w:r>
              <w:rPr>
                <w:rFonts w:eastAsiaTheme="minorEastAsia"/>
                <w:color w:val="000000"/>
              </w:rPr>
              <w:t>3.4</w:t>
            </w:r>
          </w:p>
        </w:tc>
        <w:tc>
          <w:tcPr>
            <w:tcW w:w="315" w:type="pct"/>
            <w:tcBorders>
              <w:top w:val="nil"/>
              <w:left w:val="nil"/>
              <w:bottom w:val="single" w:color="auto" w:sz="4" w:space="0"/>
              <w:right w:val="single" w:color="auto" w:sz="4" w:space="0"/>
            </w:tcBorders>
            <w:shd w:val="clear" w:color="auto" w:fill="auto"/>
            <w:vAlign w:val="center"/>
          </w:tcPr>
          <w:p w14:paraId="0CB614EA">
            <w:pPr>
              <w:spacing w:line="280" w:lineRule="exact"/>
              <w:jc w:val="center"/>
              <w:rPr>
                <w:rFonts w:eastAsiaTheme="minorEastAsia"/>
                <w:spacing w:val="-10"/>
                <w:kern w:val="0"/>
                <w:szCs w:val="21"/>
              </w:rPr>
            </w:pPr>
            <w:r>
              <w:rPr>
                <w:rFonts w:eastAsiaTheme="minorEastAsia"/>
                <w:color w:val="000000"/>
              </w:rPr>
              <w:t>7.4</w:t>
            </w:r>
          </w:p>
        </w:tc>
        <w:tc>
          <w:tcPr>
            <w:tcW w:w="335" w:type="pct"/>
            <w:tcBorders>
              <w:top w:val="nil"/>
              <w:left w:val="nil"/>
              <w:bottom w:val="single" w:color="auto" w:sz="4" w:space="0"/>
              <w:right w:val="single" w:color="auto" w:sz="4" w:space="0"/>
            </w:tcBorders>
            <w:shd w:val="clear" w:color="auto" w:fill="auto"/>
            <w:vAlign w:val="center"/>
          </w:tcPr>
          <w:p w14:paraId="404D0EED">
            <w:pPr>
              <w:widowControl/>
              <w:jc w:val="center"/>
              <w:rPr>
                <w:rFonts w:eastAsiaTheme="minorEastAsia"/>
                <w:kern w:val="0"/>
                <w:szCs w:val="21"/>
              </w:rPr>
            </w:pPr>
            <w:r>
              <w:rPr>
                <w:rFonts w:eastAsiaTheme="minorEastAsia"/>
                <w:color w:val="000000"/>
              </w:rPr>
              <w:t>3.0</w:t>
            </w:r>
          </w:p>
        </w:tc>
        <w:tc>
          <w:tcPr>
            <w:tcW w:w="335" w:type="pct"/>
            <w:tcBorders>
              <w:top w:val="nil"/>
              <w:left w:val="nil"/>
              <w:bottom w:val="single" w:color="auto" w:sz="4" w:space="0"/>
              <w:right w:val="single" w:color="auto" w:sz="4" w:space="0"/>
            </w:tcBorders>
            <w:shd w:val="clear" w:color="auto" w:fill="auto"/>
            <w:vAlign w:val="center"/>
          </w:tcPr>
          <w:p w14:paraId="67428398">
            <w:pPr>
              <w:widowControl/>
              <w:jc w:val="center"/>
              <w:rPr>
                <w:rFonts w:eastAsiaTheme="minorEastAsia"/>
                <w:kern w:val="0"/>
                <w:szCs w:val="21"/>
              </w:rPr>
            </w:pPr>
            <w:r>
              <w:rPr>
                <w:rFonts w:eastAsiaTheme="minorEastAsia"/>
                <w:color w:val="000000"/>
              </w:rPr>
              <w:t>5.0</w:t>
            </w:r>
          </w:p>
        </w:tc>
        <w:tc>
          <w:tcPr>
            <w:tcW w:w="335" w:type="pct"/>
            <w:tcBorders>
              <w:top w:val="nil"/>
              <w:left w:val="nil"/>
              <w:bottom w:val="single" w:color="auto" w:sz="4" w:space="0"/>
              <w:right w:val="single" w:color="auto" w:sz="4" w:space="0"/>
            </w:tcBorders>
            <w:shd w:val="clear" w:color="auto" w:fill="auto"/>
            <w:vAlign w:val="center"/>
          </w:tcPr>
          <w:p w14:paraId="7DBF54D4">
            <w:pPr>
              <w:widowControl/>
              <w:jc w:val="center"/>
              <w:rPr>
                <w:rFonts w:eastAsiaTheme="minorEastAsia"/>
                <w:kern w:val="0"/>
                <w:szCs w:val="21"/>
              </w:rPr>
            </w:pPr>
            <w:r>
              <w:rPr>
                <w:rFonts w:eastAsiaTheme="minorEastAsia"/>
                <w:color w:val="000000"/>
              </w:rPr>
              <w:t>2.9</w:t>
            </w:r>
          </w:p>
        </w:tc>
        <w:tc>
          <w:tcPr>
            <w:tcW w:w="335" w:type="pct"/>
            <w:tcBorders>
              <w:top w:val="single" w:color="auto" w:sz="4" w:space="0"/>
              <w:left w:val="nil"/>
              <w:bottom w:val="single" w:color="auto" w:sz="4" w:space="0"/>
              <w:right w:val="single" w:color="auto" w:sz="4" w:space="0"/>
            </w:tcBorders>
            <w:shd w:val="clear" w:color="auto" w:fill="auto"/>
            <w:vAlign w:val="center"/>
          </w:tcPr>
          <w:p w14:paraId="30263776">
            <w:pPr>
              <w:widowControl/>
              <w:jc w:val="center"/>
              <w:rPr>
                <w:rFonts w:eastAsiaTheme="minorEastAsia"/>
                <w:kern w:val="0"/>
                <w:szCs w:val="21"/>
              </w:rPr>
            </w:pPr>
            <w:r>
              <w:rPr>
                <w:rFonts w:eastAsiaTheme="minorEastAsia"/>
                <w:color w:val="000000"/>
              </w:rPr>
              <w:t>4.0</w:t>
            </w:r>
          </w:p>
        </w:tc>
        <w:tc>
          <w:tcPr>
            <w:tcW w:w="336" w:type="pct"/>
            <w:tcBorders>
              <w:top w:val="nil"/>
              <w:left w:val="nil"/>
              <w:bottom w:val="single" w:color="auto" w:sz="4" w:space="0"/>
              <w:right w:val="single" w:color="auto" w:sz="4" w:space="0"/>
            </w:tcBorders>
            <w:shd w:val="clear" w:color="auto" w:fill="auto"/>
            <w:vAlign w:val="center"/>
          </w:tcPr>
          <w:p w14:paraId="09901980">
            <w:pPr>
              <w:widowControl/>
              <w:jc w:val="center"/>
              <w:rPr>
                <w:rFonts w:eastAsiaTheme="minorEastAsia"/>
                <w:kern w:val="0"/>
                <w:szCs w:val="21"/>
              </w:rPr>
            </w:pPr>
            <w:r>
              <w:rPr>
                <w:rFonts w:eastAsiaTheme="minorEastAsia"/>
                <w:color w:val="000000"/>
              </w:rPr>
              <w:t>4</w:t>
            </w:r>
          </w:p>
        </w:tc>
      </w:tr>
      <w:tr w14:paraId="7BF889BF">
        <w:tblPrEx>
          <w:tblCellMar>
            <w:top w:w="0" w:type="dxa"/>
            <w:left w:w="108" w:type="dxa"/>
            <w:bottom w:w="0" w:type="dxa"/>
            <w:right w:w="108" w:type="dxa"/>
          </w:tblCellMar>
        </w:tblPrEx>
        <w:trPr>
          <w:trHeight w:val="480" w:hRule="atLeast"/>
        </w:trPr>
        <w:tc>
          <w:tcPr>
            <w:tcW w:w="243" w:type="pct"/>
            <w:vMerge w:val="continue"/>
            <w:tcBorders>
              <w:top w:val="nil"/>
              <w:left w:val="single" w:color="auto" w:sz="4" w:space="0"/>
              <w:bottom w:val="single" w:color="auto" w:sz="4" w:space="0"/>
              <w:right w:val="single" w:color="auto" w:sz="4" w:space="0"/>
            </w:tcBorders>
            <w:vAlign w:val="center"/>
          </w:tcPr>
          <w:p w14:paraId="3DBCDB5F">
            <w:pPr>
              <w:spacing w:line="280" w:lineRule="exact"/>
              <w:jc w:val="center"/>
              <w:rPr>
                <w:rFonts w:eastAsiaTheme="minorEastAsia"/>
                <w:spacing w:val="-10"/>
                <w:kern w:val="0"/>
                <w:szCs w:val="21"/>
              </w:rPr>
            </w:pPr>
          </w:p>
        </w:tc>
        <w:tc>
          <w:tcPr>
            <w:tcW w:w="557" w:type="pct"/>
            <w:tcBorders>
              <w:top w:val="nil"/>
              <w:left w:val="nil"/>
              <w:bottom w:val="single" w:color="auto" w:sz="4" w:space="0"/>
              <w:right w:val="single" w:color="auto" w:sz="4" w:space="0"/>
            </w:tcBorders>
            <w:shd w:val="clear" w:color="auto" w:fill="auto"/>
            <w:vAlign w:val="center"/>
          </w:tcPr>
          <w:p w14:paraId="11389BC3">
            <w:pPr>
              <w:spacing w:line="280" w:lineRule="exact"/>
              <w:jc w:val="center"/>
              <w:rPr>
                <w:rFonts w:eastAsiaTheme="minorEastAsia"/>
                <w:spacing w:val="-10"/>
                <w:kern w:val="0"/>
                <w:szCs w:val="21"/>
              </w:rPr>
            </w:pPr>
            <w:r>
              <w:rPr>
                <w:rFonts w:eastAsiaTheme="minorEastAsia"/>
                <w:color w:val="000000"/>
              </w:rPr>
              <w:t>氨氮</w:t>
            </w:r>
          </w:p>
        </w:tc>
        <w:tc>
          <w:tcPr>
            <w:tcW w:w="315" w:type="pct"/>
            <w:tcBorders>
              <w:top w:val="nil"/>
              <w:left w:val="nil"/>
              <w:bottom w:val="single" w:color="auto" w:sz="4" w:space="0"/>
              <w:right w:val="single" w:color="auto" w:sz="4" w:space="0"/>
            </w:tcBorders>
            <w:shd w:val="clear" w:color="auto" w:fill="auto"/>
            <w:vAlign w:val="center"/>
          </w:tcPr>
          <w:p w14:paraId="43BC4FEC">
            <w:pPr>
              <w:spacing w:line="280" w:lineRule="exact"/>
              <w:jc w:val="center"/>
              <w:rPr>
                <w:rFonts w:eastAsiaTheme="minorEastAsia"/>
                <w:spacing w:val="-10"/>
                <w:kern w:val="0"/>
                <w:szCs w:val="21"/>
              </w:rPr>
            </w:pPr>
            <w:r>
              <w:rPr>
                <w:rFonts w:eastAsiaTheme="minorEastAsia"/>
                <w:color w:val="000000"/>
              </w:rPr>
              <w:t>0.03</w:t>
            </w:r>
          </w:p>
        </w:tc>
        <w:tc>
          <w:tcPr>
            <w:tcW w:w="316" w:type="pct"/>
            <w:tcBorders>
              <w:top w:val="nil"/>
              <w:left w:val="nil"/>
              <w:bottom w:val="single" w:color="auto" w:sz="4" w:space="0"/>
              <w:right w:val="single" w:color="auto" w:sz="4" w:space="0"/>
            </w:tcBorders>
            <w:shd w:val="clear" w:color="auto" w:fill="auto"/>
            <w:vAlign w:val="center"/>
          </w:tcPr>
          <w:p w14:paraId="2A52E089">
            <w:pPr>
              <w:spacing w:line="280" w:lineRule="exact"/>
              <w:jc w:val="center"/>
              <w:rPr>
                <w:rFonts w:eastAsiaTheme="minorEastAsia"/>
                <w:spacing w:val="-10"/>
                <w:kern w:val="0"/>
                <w:szCs w:val="21"/>
              </w:rPr>
            </w:pPr>
            <w:r>
              <w:rPr>
                <w:rFonts w:eastAsiaTheme="minorEastAsia"/>
                <w:color w:val="000000"/>
              </w:rPr>
              <w:t>0.04</w:t>
            </w:r>
          </w:p>
        </w:tc>
        <w:tc>
          <w:tcPr>
            <w:tcW w:w="315" w:type="pct"/>
            <w:tcBorders>
              <w:top w:val="nil"/>
              <w:left w:val="nil"/>
              <w:bottom w:val="single" w:color="auto" w:sz="4" w:space="0"/>
              <w:right w:val="single" w:color="auto" w:sz="4" w:space="0"/>
            </w:tcBorders>
            <w:shd w:val="clear" w:color="auto" w:fill="auto"/>
            <w:vAlign w:val="center"/>
          </w:tcPr>
          <w:p w14:paraId="487CAC67">
            <w:pPr>
              <w:spacing w:line="280" w:lineRule="exact"/>
              <w:jc w:val="center"/>
              <w:rPr>
                <w:rFonts w:eastAsiaTheme="minorEastAsia"/>
                <w:spacing w:val="-10"/>
                <w:kern w:val="0"/>
                <w:szCs w:val="21"/>
              </w:rPr>
            </w:pPr>
            <w:r>
              <w:rPr>
                <w:rFonts w:eastAsiaTheme="minorEastAsia"/>
                <w:color w:val="000000"/>
              </w:rPr>
              <w:t>0.07</w:t>
            </w:r>
          </w:p>
        </w:tc>
        <w:tc>
          <w:tcPr>
            <w:tcW w:w="315" w:type="pct"/>
            <w:tcBorders>
              <w:top w:val="nil"/>
              <w:left w:val="nil"/>
              <w:bottom w:val="single" w:color="auto" w:sz="4" w:space="0"/>
              <w:right w:val="single" w:color="auto" w:sz="4" w:space="0"/>
            </w:tcBorders>
            <w:shd w:val="clear" w:color="auto" w:fill="auto"/>
            <w:vAlign w:val="center"/>
          </w:tcPr>
          <w:p w14:paraId="71EED3F1">
            <w:pPr>
              <w:spacing w:line="280" w:lineRule="exact"/>
              <w:jc w:val="center"/>
              <w:rPr>
                <w:rFonts w:eastAsiaTheme="minorEastAsia"/>
                <w:spacing w:val="-10"/>
                <w:kern w:val="0"/>
                <w:szCs w:val="21"/>
              </w:rPr>
            </w:pPr>
            <w:r>
              <w:rPr>
                <w:rFonts w:eastAsiaTheme="minorEastAsia"/>
                <w:color w:val="000000"/>
              </w:rPr>
              <w:t>0.04</w:t>
            </w:r>
          </w:p>
        </w:tc>
        <w:tc>
          <w:tcPr>
            <w:tcW w:w="315" w:type="pct"/>
            <w:tcBorders>
              <w:top w:val="nil"/>
              <w:left w:val="nil"/>
              <w:bottom w:val="single" w:color="auto" w:sz="4" w:space="0"/>
              <w:right w:val="single" w:color="auto" w:sz="4" w:space="0"/>
            </w:tcBorders>
            <w:shd w:val="clear" w:color="auto" w:fill="auto"/>
            <w:vAlign w:val="center"/>
          </w:tcPr>
          <w:p w14:paraId="7245AD4C">
            <w:pPr>
              <w:spacing w:line="280" w:lineRule="exact"/>
              <w:jc w:val="center"/>
              <w:rPr>
                <w:rFonts w:eastAsiaTheme="minorEastAsia"/>
                <w:spacing w:val="-10"/>
                <w:kern w:val="0"/>
                <w:szCs w:val="21"/>
              </w:rPr>
            </w:pPr>
            <w:r>
              <w:rPr>
                <w:rFonts w:eastAsiaTheme="minorEastAsia"/>
                <w:color w:val="000000"/>
              </w:rPr>
              <w:t>0.04</w:t>
            </w:r>
          </w:p>
        </w:tc>
        <w:tc>
          <w:tcPr>
            <w:tcW w:w="315" w:type="pct"/>
            <w:tcBorders>
              <w:top w:val="nil"/>
              <w:left w:val="nil"/>
              <w:bottom w:val="single" w:color="auto" w:sz="4" w:space="0"/>
              <w:right w:val="single" w:color="auto" w:sz="4" w:space="0"/>
            </w:tcBorders>
            <w:shd w:val="clear" w:color="auto" w:fill="auto"/>
            <w:vAlign w:val="center"/>
          </w:tcPr>
          <w:p w14:paraId="76163A69">
            <w:pPr>
              <w:spacing w:line="280" w:lineRule="exact"/>
              <w:jc w:val="center"/>
              <w:rPr>
                <w:rFonts w:eastAsiaTheme="minorEastAsia"/>
                <w:spacing w:val="-10"/>
                <w:kern w:val="0"/>
                <w:szCs w:val="21"/>
              </w:rPr>
            </w:pPr>
            <w:r>
              <w:rPr>
                <w:rFonts w:eastAsiaTheme="minorEastAsia"/>
                <w:color w:val="000000"/>
              </w:rPr>
              <w:t>0.04</w:t>
            </w:r>
          </w:p>
        </w:tc>
        <w:tc>
          <w:tcPr>
            <w:tcW w:w="315" w:type="pct"/>
            <w:tcBorders>
              <w:top w:val="nil"/>
              <w:left w:val="nil"/>
              <w:bottom w:val="single" w:color="auto" w:sz="4" w:space="0"/>
              <w:right w:val="single" w:color="auto" w:sz="4" w:space="0"/>
            </w:tcBorders>
            <w:shd w:val="clear" w:color="auto" w:fill="auto"/>
            <w:vAlign w:val="center"/>
          </w:tcPr>
          <w:p w14:paraId="4DCBCD72">
            <w:pPr>
              <w:spacing w:line="280" w:lineRule="exact"/>
              <w:jc w:val="center"/>
              <w:rPr>
                <w:rFonts w:eastAsiaTheme="minorEastAsia"/>
                <w:spacing w:val="-10"/>
                <w:kern w:val="0"/>
                <w:szCs w:val="21"/>
              </w:rPr>
            </w:pPr>
            <w:r>
              <w:rPr>
                <w:rFonts w:eastAsiaTheme="minorEastAsia"/>
                <w:color w:val="000000"/>
              </w:rPr>
              <w:t>0.20</w:t>
            </w:r>
          </w:p>
        </w:tc>
        <w:tc>
          <w:tcPr>
            <w:tcW w:w="315" w:type="pct"/>
            <w:tcBorders>
              <w:top w:val="nil"/>
              <w:left w:val="nil"/>
              <w:bottom w:val="single" w:color="auto" w:sz="4" w:space="0"/>
              <w:right w:val="single" w:color="auto" w:sz="4" w:space="0"/>
            </w:tcBorders>
            <w:shd w:val="clear" w:color="auto" w:fill="auto"/>
            <w:noWrap/>
            <w:vAlign w:val="center"/>
          </w:tcPr>
          <w:p w14:paraId="1E957FA2">
            <w:pPr>
              <w:spacing w:line="280" w:lineRule="exact"/>
              <w:jc w:val="center"/>
              <w:rPr>
                <w:rFonts w:eastAsiaTheme="minorEastAsia"/>
                <w:spacing w:val="-10"/>
                <w:kern w:val="0"/>
                <w:szCs w:val="21"/>
              </w:rPr>
            </w:pPr>
            <w:r>
              <w:rPr>
                <w:rFonts w:eastAsiaTheme="minorEastAsia"/>
                <w:color w:val="000000"/>
              </w:rPr>
              <w:t>0.42</w:t>
            </w:r>
          </w:p>
        </w:tc>
        <w:tc>
          <w:tcPr>
            <w:tcW w:w="335" w:type="pct"/>
            <w:tcBorders>
              <w:top w:val="nil"/>
              <w:left w:val="nil"/>
              <w:bottom w:val="single" w:color="auto" w:sz="4" w:space="0"/>
              <w:right w:val="single" w:color="auto" w:sz="4" w:space="0"/>
            </w:tcBorders>
            <w:shd w:val="clear" w:color="auto" w:fill="auto"/>
            <w:vAlign w:val="center"/>
          </w:tcPr>
          <w:p w14:paraId="684E2EEF">
            <w:pPr>
              <w:widowControl/>
              <w:jc w:val="center"/>
              <w:rPr>
                <w:rFonts w:eastAsiaTheme="minorEastAsia"/>
                <w:kern w:val="0"/>
                <w:szCs w:val="21"/>
              </w:rPr>
            </w:pPr>
            <w:r>
              <w:rPr>
                <w:rFonts w:eastAsiaTheme="minorEastAsia"/>
                <w:color w:val="000000"/>
              </w:rPr>
              <w:t>0.04</w:t>
            </w:r>
          </w:p>
        </w:tc>
        <w:tc>
          <w:tcPr>
            <w:tcW w:w="335" w:type="pct"/>
            <w:tcBorders>
              <w:top w:val="nil"/>
              <w:left w:val="nil"/>
              <w:bottom w:val="single" w:color="auto" w:sz="4" w:space="0"/>
              <w:right w:val="single" w:color="auto" w:sz="4" w:space="0"/>
            </w:tcBorders>
            <w:shd w:val="clear" w:color="auto" w:fill="auto"/>
            <w:vAlign w:val="center"/>
          </w:tcPr>
          <w:p w14:paraId="1A6B72CC">
            <w:pPr>
              <w:widowControl/>
              <w:jc w:val="center"/>
              <w:rPr>
                <w:rFonts w:eastAsiaTheme="minorEastAsia"/>
                <w:kern w:val="0"/>
                <w:szCs w:val="21"/>
              </w:rPr>
            </w:pPr>
            <w:r>
              <w:rPr>
                <w:rFonts w:eastAsiaTheme="minorEastAsia"/>
                <w:color w:val="000000"/>
              </w:rPr>
              <w:t>0.05</w:t>
            </w:r>
          </w:p>
        </w:tc>
        <w:tc>
          <w:tcPr>
            <w:tcW w:w="335" w:type="pct"/>
            <w:tcBorders>
              <w:top w:val="nil"/>
              <w:left w:val="nil"/>
              <w:bottom w:val="single" w:color="auto" w:sz="4" w:space="0"/>
              <w:right w:val="single" w:color="auto" w:sz="4" w:space="0"/>
            </w:tcBorders>
            <w:shd w:val="clear" w:color="auto" w:fill="auto"/>
            <w:vAlign w:val="center"/>
          </w:tcPr>
          <w:p w14:paraId="271FCC22">
            <w:pPr>
              <w:widowControl/>
              <w:jc w:val="center"/>
              <w:rPr>
                <w:rFonts w:eastAsiaTheme="minorEastAsia"/>
                <w:kern w:val="0"/>
                <w:szCs w:val="21"/>
              </w:rPr>
            </w:pPr>
            <w:r>
              <w:rPr>
                <w:rFonts w:eastAsiaTheme="minorEastAsia"/>
                <w:color w:val="000000"/>
              </w:rPr>
              <w:t>0.04</w:t>
            </w:r>
          </w:p>
        </w:tc>
        <w:tc>
          <w:tcPr>
            <w:tcW w:w="335" w:type="pct"/>
            <w:tcBorders>
              <w:top w:val="nil"/>
              <w:left w:val="nil"/>
              <w:bottom w:val="single" w:color="auto" w:sz="4" w:space="0"/>
              <w:right w:val="single" w:color="auto" w:sz="4" w:space="0"/>
            </w:tcBorders>
            <w:shd w:val="clear" w:color="auto" w:fill="auto"/>
            <w:vAlign w:val="center"/>
          </w:tcPr>
          <w:p w14:paraId="09E70DE5">
            <w:pPr>
              <w:widowControl/>
              <w:jc w:val="center"/>
              <w:rPr>
                <w:rFonts w:eastAsiaTheme="minorEastAsia"/>
                <w:kern w:val="0"/>
                <w:szCs w:val="21"/>
              </w:rPr>
            </w:pPr>
            <w:r>
              <w:rPr>
                <w:rFonts w:eastAsiaTheme="minorEastAsia"/>
                <w:color w:val="000000"/>
              </w:rPr>
              <w:t>0.06</w:t>
            </w:r>
          </w:p>
        </w:tc>
        <w:tc>
          <w:tcPr>
            <w:tcW w:w="336" w:type="pct"/>
            <w:tcBorders>
              <w:top w:val="nil"/>
              <w:left w:val="nil"/>
              <w:bottom w:val="single" w:color="auto" w:sz="4" w:space="0"/>
              <w:right w:val="single" w:color="auto" w:sz="4" w:space="0"/>
            </w:tcBorders>
            <w:shd w:val="clear" w:color="auto" w:fill="auto"/>
            <w:vAlign w:val="center"/>
          </w:tcPr>
          <w:p w14:paraId="042E36CA">
            <w:pPr>
              <w:widowControl/>
              <w:jc w:val="center"/>
              <w:rPr>
                <w:rFonts w:eastAsiaTheme="minorEastAsia"/>
                <w:kern w:val="0"/>
                <w:szCs w:val="21"/>
              </w:rPr>
            </w:pPr>
            <w:r>
              <w:rPr>
                <w:rFonts w:eastAsiaTheme="minorEastAsia"/>
                <w:color w:val="000000"/>
              </w:rPr>
              <w:t>0.5</w:t>
            </w:r>
          </w:p>
        </w:tc>
      </w:tr>
      <w:tr w14:paraId="64A7FD54">
        <w:tblPrEx>
          <w:tblCellMar>
            <w:top w:w="0" w:type="dxa"/>
            <w:left w:w="108" w:type="dxa"/>
            <w:bottom w:w="0" w:type="dxa"/>
            <w:right w:w="108" w:type="dxa"/>
          </w:tblCellMar>
        </w:tblPrEx>
        <w:trPr>
          <w:trHeight w:val="480" w:hRule="atLeast"/>
        </w:trPr>
        <w:tc>
          <w:tcPr>
            <w:tcW w:w="243" w:type="pct"/>
            <w:vMerge w:val="continue"/>
            <w:tcBorders>
              <w:top w:val="nil"/>
              <w:left w:val="single" w:color="auto" w:sz="4" w:space="0"/>
              <w:bottom w:val="single" w:color="auto" w:sz="4" w:space="0"/>
              <w:right w:val="single" w:color="auto" w:sz="4" w:space="0"/>
            </w:tcBorders>
            <w:vAlign w:val="center"/>
          </w:tcPr>
          <w:p w14:paraId="08C94BE3">
            <w:pPr>
              <w:spacing w:line="280" w:lineRule="exact"/>
              <w:jc w:val="center"/>
              <w:rPr>
                <w:rFonts w:eastAsiaTheme="minorEastAsia"/>
                <w:spacing w:val="-10"/>
                <w:kern w:val="0"/>
                <w:szCs w:val="21"/>
              </w:rPr>
            </w:pPr>
          </w:p>
        </w:tc>
        <w:tc>
          <w:tcPr>
            <w:tcW w:w="557" w:type="pct"/>
            <w:tcBorders>
              <w:top w:val="nil"/>
              <w:left w:val="nil"/>
              <w:bottom w:val="single" w:color="auto" w:sz="4" w:space="0"/>
              <w:right w:val="single" w:color="auto" w:sz="4" w:space="0"/>
            </w:tcBorders>
            <w:shd w:val="clear" w:color="auto" w:fill="auto"/>
            <w:vAlign w:val="center"/>
          </w:tcPr>
          <w:p w14:paraId="2D70E94E">
            <w:pPr>
              <w:spacing w:line="280" w:lineRule="exact"/>
              <w:jc w:val="center"/>
              <w:rPr>
                <w:rFonts w:eastAsiaTheme="minorEastAsia"/>
                <w:spacing w:val="-10"/>
                <w:kern w:val="0"/>
                <w:szCs w:val="21"/>
              </w:rPr>
            </w:pPr>
            <w:r>
              <w:rPr>
                <w:rFonts w:eastAsiaTheme="minorEastAsia"/>
                <w:color w:val="000000"/>
              </w:rPr>
              <w:t>总磷</w:t>
            </w:r>
          </w:p>
        </w:tc>
        <w:tc>
          <w:tcPr>
            <w:tcW w:w="315" w:type="pct"/>
            <w:tcBorders>
              <w:top w:val="nil"/>
              <w:left w:val="nil"/>
              <w:bottom w:val="single" w:color="auto" w:sz="4" w:space="0"/>
              <w:right w:val="single" w:color="auto" w:sz="4" w:space="0"/>
            </w:tcBorders>
            <w:shd w:val="clear" w:color="auto" w:fill="auto"/>
            <w:vAlign w:val="center"/>
          </w:tcPr>
          <w:p w14:paraId="5FB324C2">
            <w:pPr>
              <w:spacing w:line="280" w:lineRule="exact"/>
              <w:jc w:val="center"/>
              <w:rPr>
                <w:rFonts w:eastAsiaTheme="minorEastAsia"/>
                <w:spacing w:val="-10"/>
                <w:kern w:val="0"/>
                <w:szCs w:val="21"/>
              </w:rPr>
            </w:pPr>
            <w:r>
              <w:rPr>
                <w:rFonts w:eastAsiaTheme="minorEastAsia"/>
                <w:color w:val="000000"/>
              </w:rPr>
              <w:t>0.01</w:t>
            </w:r>
          </w:p>
        </w:tc>
        <w:tc>
          <w:tcPr>
            <w:tcW w:w="316" w:type="pct"/>
            <w:tcBorders>
              <w:top w:val="nil"/>
              <w:left w:val="nil"/>
              <w:bottom w:val="single" w:color="auto" w:sz="4" w:space="0"/>
              <w:right w:val="single" w:color="auto" w:sz="4" w:space="0"/>
            </w:tcBorders>
            <w:shd w:val="clear" w:color="auto" w:fill="auto"/>
            <w:vAlign w:val="center"/>
          </w:tcPr>
          <w:p w14:paraId="769614FE">
            <w:pPr>
              <w:spacing w:line="280" w:lineRule="exact"/>
              <w:jc w:val="center"/>
              <w:rPr>
                <w:rFonts w:eastAsiaTheme="minorEastAsia"/>
                <w:spacing w:val="-10"/>
                <w:kern w:val="0"/>
                <w:szCs w:val="21"/>
              </w:rPr>
            </w:pPr>
            <w:r>
              <w:rPr>
                <w:rFonts w:eastAsiaTheme="minorEastAsia"/>
                <w:color w:val="000000"/>
              </w:rPr>
              <w:t>0.04</w:t>
            </w:r>
          </w:p>
        </w:tc>
        <w:tc>
          <w:tcPr>
            <w:tcW w:w="315" w:type="pct"/>
            <w:tcBorders>
              <w:top w:val="nil"/>
              <w:left w:val="nil"/>
              <w:bottom w:val="single" w:color="auto" w:sz="4" w:space="0"/>
              <w:right w:val="single" w:color="auto" w:sz="4" w:space="0"/>
            </w:tcBorders>
            <w:shd w:val="clear" w:color="auto" w:fill="auto"/>
            <w:vAlign w:val="center"/>
          </w:tcPr>
          <w:p w14:paraId="76B05167">
            <w:pPr>
              <w:spacing w:line="280" w:lineRule="exact"/>
              <w:jc w:val="center"/>
              <w:rPr>
                <w:rFonts w:eastAsiaTheme="minorEastAsia"/>
                <w:spacing w:val="-10"/>
                <w:kern w:val="0"/>
                <w:szCs w:val="21"/>
              </w:rPr>
            </w:pPr>
            <w:r>
              <w:rPr>
                <w:rFonts w:eastAsiaTheme="minorEastAsia"/>
                <w:color w:val="000000"/>
              </w:rPr>
              <w:t>0.02</w:t>
            </w:r>
          </w:p>
        </w:tc>
        <w:tc>
          <w:tcPr>
            <w:tcW w:w="315" w:type="pct"/>
            <w:tcBorders>
              <w:top w:val="nil"/>
              <w:left w:val="nil"/>
              <w:bottom w:val="single" w:color="auto" w:sz="4" w:space="0"/>
              <w:right w:val="single" w:color="auto" w:sz="4" w:space="0"/>
            </w:tcBorders>
            <w:shd w:val="clear" w:color="auto" w:fill="auto"/>
            <w:vAlign w:val="center"/>
          </w:tcPr>
          <w:p w14:paraId="652FC371">
            <w:pPr>
              <w:spacing w:line="280" w:lineRule="exact"/>
              <w:jc w:val="center"/>
              <w:rPr>
                <w:rFonts w:eastAsiaTheme="minorEastAsia"/>
                <w:spacing w:val="-10"/>
                <w:kern w:val="0"/>
                <w:szCs w:val="21"/>
              </w:rPr>
            </w:pPr>
            <w:r>
              <w:rPr>
                <w:rFonts w:eastAsiaTheme="minorEastAsia"/>
                <w:color w:val="000000"/>
              </w:rPr>
              <w:t>0.04</w:t>
            </w:r>
          </w:p>
        </w:tc>
        <w:tc>
          <w:tcPr>
            <w:tcW w:w="315" w:type="pct"/>
            <w:tcBorders>
              <w:top w:val="nil"/>
              <w:left w:val="nil"/>
              <w:bottom w:val="single" w:color="auto" w:sz="4" w:space="0"/>
              <w:right w:val="single" w:color="auto" w:sz="4" w:space="0"/>
            </w:tcBorders>
            <w:shd w:val="clear" w:color="auto" w:fill="auto"/>
            <w:vAlign w:val="center"/>
          </w:tcPr>
          <w:p w14:paraId="7469BCF6">
            <w:pPr>
              <w:spacing w:line="280" w:lineRule="exact"/>
              <w:jc w:val="center"/>
              <w:rPr>
                <w:rFonts w:eastAsiaTheme="minorEastAsia"/>
                <w:spacing w:val="-10"/>
                <w:kern w:val="0"/>
                <w:szCs w:val="21"/>
              </w:rPr>
            </w:pPr>
            <w:r>
              <w:rPr>
                <w:rFonts w:eastAsiaTheme="minorEastAsia"/>
                <w:color w:val="000000"/>
              </w:rPr>
              <w:t>0.02</w:t>
            </w:r>
          </w:p>
        </w:tc>
        <w:tc>
          <w:tcPr>
            <w:tcW w:w="315" w:type="pct"/>
            <w:tcBorders>
              <w:top w:val="nil"/>
              <w:left w:val="nil"/>
              <w:bottom w:val="single" w:color="auto" w:sz="4" w:space="0"/>
              <w:right w:val="single" w:color="auto" w:sz="4" w:space="0"/>
            </w:tcBorders>
            <w:shd w:val="clear" w:color="auto" w:fill="auto"/>
            <w:vAlign w:val="center"/>
          </w:tcPr>
          <w:p w14:paraId="17830D53">
            <w:pPr>
              <w:spacing w:line="280" w:lineRule="exact"/>
              <w:jc w:val="center"/>
              <w:rPr>
                <w:rFonts w:eastAsiaTheme="minorEastAsia"/>
                <w:spacing w:val="-10"/>
                <w:kern w:val="0"/>
                <w:szCs w:val="21"/>
              </w:rPr>
            </w:pPr>
            <w:r>
              <w:rPr>
                <w:rFonts w:eastAsiaTheme="minorEastAsia"/>
                <w:color w:val="000000"/>
              </w:rPr>
              <w:t>0.03</w:t>
            </w:r>
          </w:p>
        </w:tc>
        <w:tc>
          <w:tcPr>
            <w:tcW w:w="315" w:type="pct"/>
            <w:tcBorders>
              <w:top w:val="nil"/>
              <w:left w:val="nil"/>
              <w:bottom w:val="single" w:color="auto" w:sz="4" w:space="0"/>
              <w:right w:val="single" w:color="auto" w:sz="4" w:space="0"/>
            </w:tcBorders>
            <w:shd w:val="clear" w:color="auto" w:fill="auto"/>
            <w:vAlign w:val="center"/>
          </w:tcPr>
          <w:p w14:paraId="19A2E89F">
            <w:pPr>
              <w:spacing w:line="280" w:lineRule="exact"/>
              <w:jc w:val="center"/>
              <w:rPr>
                <w:rFonts w:eastAsiaTheme="minorEastAsia"/>
                <w:spacing w:val="-10"/>
                <w:kern w:val="0"/>
                <w:szCs w:val="21"/>
              </w:rPr>
            </w:pPr>
            <w:r>
              <w:rPr>
                <w:rFonts w:eastAsiaTheme="minorEastAsia"/>
                <w:color w:val="000000"/>
              </w:rPr>
              <w:t>0.05</w:t>
            </w:r>
          </w:p>
        </w:tc>
        <w:tc>
          <w:tcPr>
            <w:tcW w:w="315" w:type="pct"/>
            <w:tcBorders>
              <w:top w:val="nil"/>
              <w:left w:val="nil"/>
              <w:bottom w:val="single" w:color="auto" w:sz="4" w:space="0"/>
              <w:right w:val="single" w:color="auto" w:sz="4" w:space="0"/>
            </w:tcBorders>
            <w:shd w:val="clear" w:color="auto" w:fill="auto"/>
            <w:noWrap/>
            <w:vAlign w:val="center"/>
          </w:tcPr>
          <w:p w14:paraId="19C2C978">
            <w:pPr>
              <w:spacing w:line="280" w:lineRule="exact"/>
              <w:jc w:val="center"/>
              <w:rPr>
                <w:rFonts w:eastAsiaTheme="minorEastAsia"/>
                <w:spacing w:val="-10"/>
                <w:kern w:val="0"/>
                <w:szCs w:val="21"/>
              </w:rPr>
            </w:pPr>
            <w:r>
              <w:rPr>
                <w:rFonts w:eastAsiaTheme="minorEastAsia"/>
                <w:color w:val="000000"/>
              </w:rPr>
              <w:t>0.21</w:t>
            </w:r>
          </w:p>
        </w:tc>
        <w:tc>
          <w:tcPr>
            <w:tcW w:w="335" w:type="pct"/>
            <w:tcBorders>
              <w:top w:val="nil"/>
              <w:left w:val="nil"/>
              <w:bottom w:val="single" w:color="auto" w:sz="4" w:space="0"/>
              <w:right w:val="single" w:color="auto" w:sz="4" w:space="0"/>
            </w:tcBorders>
            <w:shd w:val="clear" w:color="auto" w:fill="auto"/>
            <w:vAlign w:val="center"/>
          </w:tcPr>
          <w:p w14:paraId="60B7D2CA">
            <w:pPr>
              <w:widowControl/>
              <w:jc w:val="center"/>
              <w:rPr>
                <w:rFonts w:eastAsiaTheme="minorEastAsia"/>
                <w:kern w:val="0"/>
                <w:szCs w:val="21"/>
              </w:rPr>
            </w:pPr>
            <w:r>
              <w:rPr>
                <w:rFonts w:eastAsiaTheme="minorEastAsia"/>
                <w:color w:val="000000"/>
              </w:rPr>
              <w:t>0.08</w:t>
            </w:r>
          </w:p>
        </w:tc>
        <w:tc>
          <w:tcPr>
            <w:tcW w:w="335" w:type="pct"/>
            <w:tcBorders>
              <w:top w:val="nil"/>
              <w:left w:val="nil"/>
              <w:bottom w:val="single" w:color="auto" w:sz="4" w:space="0"/>
              <w:right w:val="single" w:color="auto" w:sz="4" w:space="0"/>
            </w:tcBorders>
            <w:shd w:val="clear" w:color="auto" w:fill="auto"/>
            <w:vAlign w:val="center"/>
          </w:tcPr>
          <w:p w14:paraId="071E7331">
            <w:pPr>
              <w:widowControl/>
              <w:jc w:val="center"/>
              <w:rPr>
                <w:rFonts w:eastAsiaTheme="minorEastAsia"/>
                <w:kern w:val="0"/>
                <w:szCs w:val="21"/>
              </w:rPr>
            </w:pPr>
            <w:r>
              <w:rPr>
                <w:rFonts w:eastAsiaTheme="minorEastAsia"/>
                <w:color w:val="000000"/>
              </w:rPr>
              <w:t>0.09</w:t>
            </w:r>
          </w:p>
        </w:tc>
        <w:tc>
          <w:tcPr>
            <w:tcW w:w="335" w:type="pct"/>
            <w:tcBorders>
              <w:top w:val="nil"/>
              <w:left w:val="nil"/>
              <w:bottom w:val="single" w:color="auto" w:sz="4" w:space="0"/>
              <w:right w:val="single" w:color="auto" w:sz="4" w:space="0"/>
            </w:tcBorders>
            <w:shd w:val="clear" w:color="auto" w:fill="auto"/>
            <w:vAlign w:val="center"/>
          </w:tcPr>
          <w:p w14:paraId="3635D02E">
            <w:pPr>
              <w:widowControl/>
              <w:jc w:val="center"/>
              <w:rPr>
                <w:rFonts w:eastAsiaTheme="minorEastAsia"/>
                <w:kern w:val="0"/>
                <w:szCs w:val="21"/>
              </w:rPr>
            </w:pPr>
            <w:r>
              <w:rPr>
                <w:rFonts w:eastAsiaTheme="minorEastAsia"/>
                <w:color w:val="000000"/>
              </w:rPr>
              <w:t>0.04</w:t>
            </w:r>
          </w:p>
        </w:tc>
        <w:tc>
          <w:tcPr>
            <w:tcW w:w="335" w:type="pct"/>
            <w:tcBorders>
              <w:top w:val="nil"/>
              <w:left w:val="nil"/>
              <w:bottom w:val="single" w:color="auto" w:sz="4" w:space="0"/>
              <w:right w:val="single" w:color="auto" w:sz="4" w:space="0"/>
            </w:tcBorders>
            <w:shd w:val="clear" w:color="auto" w:fill="auto"/>
            <w:vAlign w:val="center"/>
          </w:tcPr>
          <w:p w14:paraId="49804316">
            <w:pPr>
              <w:widowControl/>
              <w:jc w:val="center"/>
              <w:rPr>
                <w:rFonts w:eastAsiaTheme="minorEastAsia"/>
                <w:kern w:val="0"/>
                <w:szCs w:val="21"/>
              </w:rPr>
            </w:pPr>
            <w:r>
              <w:rPr>
                <w:rFonts w:eastAsiaTheme="minorEastAsia"/>
                <w:color w:val="000000"/>
              </w:rPr>
              <w:t>0.05</w:t>
            </w:r>
          </w:p>
        </w:tc>
        <w:tc>
          <w:tcPr>
            <w:tcW w:w="336" w:type="pct"/>
            <w:tcBorders>
              <w:top w:val="nil"/>
              <w:left w:val="nil"/>
              <w:bottom w:val="single" w:color="auto" w:sz="4" w:space="0"/>
              <w:right w:val="single" w:color="auto" w:sz="4" w:space="0"/>
            </w:tcBorders>
            <w:shd w:val="clear" w:color="auto" w:fill="auto"/>
            <w:vAlign w:val="center"/>
          </w:tcPr>
          <w:p w14:paraId="39AE094F">
            <w:pPr>
              <w:widowControl/>
              <w:jc w:val="center"/>
              <w:rPr>
                <w:rFonts w:eastAsiaTheme="minorEastAsia"/>
                <w:kern w:val="0"/>
                <w:szCs w:val="21"/>
              </w:rPr>
            </w:pPr>
            <w:r>
              <w:rPr>
                <w:rFonts w:eastAsiaTheme="minorEastAsia"/>
                <w:color w:val="000000"/>
              </w:rPr>
              <w:t>0.1</w:t>
            </w:r>
          </w:p>
        </w:tc>
      </w:tr>
      <w:tr w14:paraId="508F7851">
        <w:tblPrEx>
          <w:tblCellMar>
            <w:top w:w="0" w:type="dxa"/>
            <w:left w:w="108" w:type="dxa"/>
            <w:bottom w:w="0" w:type="dxa"/>
            <w:right w:w="108" w:type="dxa"/>
          </w:tblCellMar>
        </w:tblPrEx>
        <w:trPr>
          <w:trHeight w:val="480" w:hRule="atLeast"/>
        </w:trPr>
        <w:tc>
          <w:tcPr>
            <w:tcW w:w="243" w:type="pct"/>
            <w:vMerge w:val="continue"/>
            <w:tcBorders>
              <w:top w:val="nil"/>
              <w:left w:val="single" w:color="auto" w:sz="4" w:space="0"/>
              <w:bottom w:val="single" w:color="auto" w:sz="4" w:space="0"/>
              <w:right w:val="single" w:color="auto" w:sz="4" w:space="0"/>
            </w:tcBorders>
            <w:vAlign w:val="center"/>
          </w:tcPr>
          <w:p w14:paraId="1BAE735B">
            <w:pPr>
              <w:spacing w:line="280" w:lineRule="exact"/>
              <w:jc w:val="center"/>
              <w:rPr>
                <w:rFonts w:eastAsiaTheme="minorEastAsia"/>
                <w:spacing w:val="-10"/>
                <w:kern w:val="0"/>
                <w:szCs w:val="21"/>
              </w:rPr>
            </w:pPr>
          </w:p>
        </w:tc>
        <w:tc>
          <w:tcPr>
            <w:tcW w:w="557" w:type="pct"/>
            <w:tcBorders>
              <w:top w:val="nil"/>
              <w:left w:val="nil"/>
              <w:bottom w:val="single" w:color="auto" w:sz="4" w:space="0"/>
              <w:right w:val="single" w:color="auto" w:sz="4" w:space="0"/>
            </w:tcBorders>
            <w:shd w:val="clear" w:color="auto" w:fill="auto"/>
            <w:vAlign w:val="center"/>
          </w:tcPr>
          <w:p w14:paraId="0E8C3CDC">
            <w:pPr>
              <w:spacing w:line="280" w:lineRule="exact"/>
              <w:jc w:val="center"/>
              <w:rPr>
                <w:rFonts w:eastAsiaTheme="minorEastAsia"/>
                <w:spacing w:val="-10"/>
                <w:kern w:val="0"/>
                <w:szCs w:val="21"/>
              </w:rPr>
            </w:pPr>
            <w:r>
              <w:rPr>
                <w:rFonts w:eastAsiaTheme="minorEastAsia"/>
                <w:color w:val="000000"/>
              </w:rPr>
              <w:t>总氮</w:t>
            </w:r>
          </w:p>
        </w:tc>
        <w:tc>
          <w:tcPr>
            <w:tcW w:w="315" w:type="pct"/>
            <w:tcBorders>
              <w:top w:val="nil"/>
              <w:left w:val="nil"/>
              <w:bottom w:val="single" w:color="auto" w:sz="4" w:space="0"/>
              <w:right w:val="single" w:color="auto" w:sz="4" w:space="0"/>
            </w:tcBorders>
            <w:shd w:val="clear" w:color="auto" w:fill="auto"/>
            <w:vAlign w:val="center"/>
          </w:tcPr>
          <w:p w14:paraId="35076C62">
            <w:pPr>
              <w:spacing w:line="280" w:lineRule="exact"/>
              <w:jc w:val="center"/>
              <w:rPr>
                <w:rFonts w:eastAsiaTheme="minorEastAsia"/>
                <w:spacing w:val="-10"/>
                <w:kern w:val="0"/>
                <w:szCs w:val="21"/>
              </w:rPr>
            </w:pPr>
            <w:r>
              <w:rPr>
                <w:rFonts w:eastAsiaTheme="minorEastAsia"/>
                <w:color w:val="000000"/>
              </w:rPr>
              <w:t>11.8</w:t>
            </w:r>
          </w:p>
        </w:tc>
        <w:tc>
          <w:tcPr>
            <w:tcW w:w="316" w:type="pct"/>
            <w:tcBorders>
              <w:top w:val="nil"/>
              <w:left w:val="nil"/>
              <w:bottom w:val="single" w:color="auto" w:sz="4" w:space="0"/>
              <w:right w:val="single" w:color="auto" w:sz="4" w:space="0"/>
            </w:tcBorders>
            <w:shd w:val="clear" w:color="auto" w:fill="auto"/>
            <w:vAlign w:val="center"/>
          </w:tcPr>
          <w:p w14:paraId="78D5C8BC">
            <w:pPr>
              <w:spacing w:line="280" w:lineRule="exact"/>
              <w:jc w:val="center"/>
              <w:rPr>
                <w:rFonts w:eastAsiaTheme="minorEastAsia"/>
                <w:spacing w:val="-10"/>
                <w:kern w:val="0"/>
                <w:szCs w:val="21"/>
              </w:rPr>
            </w:pPr>
            <w:r>
              <w:rPr>
                <w:rFonts w:eastAsiaTheme="minorEastAsia"/>
                <w:color w:val="000000"/>
              </w:rPr>
              <w:t>12.8</w:t>
            </w:r>
          </w:p>
        </w:tc>
        <w:tc>
          <w:tcPr>
            <w:tcW w:w="315" w:type="pct"/>
            <w:tcBorders>
              <w:top w:val="nil"/>
              <w:left w:val="nil"/>
              <w:bottom w:val="single" w:color="auto" w:sz="4" w:space="0"/>
              <w:right w:val="single" w:color="auto" w:sz="4" w:space="0"/>
            </w:tcBorders>
            <w:shd w:val="clear" w:color="auto" w:fill="auto"/>
            <w:vAlign w:val="center"/>
          </w:tcPr>
          <w:p w14:paraId="3C82CC08">
            <w:pPr>
              <w:spacing w:line="280" w:lineRule="exact"/>
              <w:jc w:val="center"/>
              <w:rPr>
                <w:rFonts w:eastAsiaTheme="minorEastAsia"/>
                <w:spacing w:val="-10"/>
                <w:kern w:val="0"/>
                <w:szCs w:val="21"/>
              </w:rPr>
            </w:pPr>
            <w:r>
              <w:rPr>
                <w:rFonts w:eastAsiaTheme="minorEastAsia"/>
                <w:color w:val="000000"/>
              </w:rPr>
              <w:t>11.0</w:t>
            </w:r>
          </w:p>
        </w:tc>
        <w:tc>
          <w:tcPr>
            <w:tcW w:w="315" w:type="pct"/>
            <w:tcBorders>
              <w:top w:val="nil"/>
              <w:left w:val="nil"/>
              <w:bottom w:val="single" w:color="auto" w:sz="4" w:space="0"/>
              <w:right w:val="single" w:color="auto" w:sz="4" w:space="0"/>
            </w:tcBorders>
            <w:shd w:val="clear" w:color="auto" w:fill="auto"/>
            <w:vAlign w:val="center"/>
          </w:tcPr>
          <w:p w14:paraId="00DA32F1">
            <w:pPr>
              <w:spacing w:line="280" w:lineRule="exact"/>
              <w:jc w:val="center"/>
              <w:rPr>
                <w:rFonts w:eastAsiaTheme="minorEastAsia"/>
                <w:spacing w:val="-10"/>
                <w:kern w:val="0"/>
                <w:szCs w:val="21"/>
              </w:rPr>
            </w:pPr>
            <w:r>
              <w:rPr>
                <w:rFonts w:eastAsiaTheme="minorEastAsia"/>
                <w:color w:val="000000"/>
              </w:rPr>
              <w:t>9.2</w:t>
            </w:r>
          </w:p>
        </w:tc>
        <w:tc>
          <w:tcPr>
            <w:tcW w:w="315" w:type="pct"/>
            <w:tcBorders>
              <w:top w:val="nil"/>
              <w:left w:val="nil"/>
              <w:bottom w:val="single" w:color="auto" w:sz="4" w:space="0"/>
              <w:right w:val="single" w:color="auto" w:sz="4" w:space="0"/>
            </w:tcBorders>
            <w:shd w:val="clear" w:color="auto" w:fill="auto"/>
            <w:vAlign w:val="center"/>
          </w:tcPr>
          <w:p w14:paraId="4DE0E778">
            <w:pPr>
              <w:spacing w:line="280" w:lineRule="exact"/>
              <w:jc w:val="center"/>
              <w:rPr>
                <w:rFonts w:eastAsiaTheme="minorEastAsia"/>
                <w:spacing w:val="-10"/>
                <w:kern w:val="0"/>
                <w:szCs w:val="21"/>
              </w:rPr>
            </w:pPr>
            <w:r>
              <w:rPr>
                <w:rFonts w:eastAsiaTheme="minorEastAsia"/>
                <w:color w:val="000000"/>
              </w:rPr>
              <w:t>9.5</w:t>
            </w:r>
          </w:p>
        </w:tc>
        <w:tc>
          <w:tcPr>
            <w:tcW w:w="315" w:type="pct"/>
            <w:tcBorders>
              <w:top w:val="nil"/>
              <w:left w:val="nil"/>
              <w:bottom w:val="single" w:color="auto" w:sz="4" w:space="0"/>
              <w:right w:val="single" w:color="auto" w:sz="4" w:space="0"/>
            </w:tcBorders>
            <w:shd w:val="clear" w:color="auto" w:fill="auto"/>
            <w:vAlign w:val="center"/>
          </w:tcPr>
          <w:p w14:paraId="481CCEF8">
            <w:pPr>
              <w:spacing w:line="280" w:lineRule="exact"/>
              <w:jc w:val="center"/>
              <w:rPr>
                <w:rFonts w:eastAsiaTheme="minorEastAsia"/>
                <w:spacing w:val="-10"/>
                <w:kern w:val="0"/>
                <w:szCs w:val="21"/>
              </w:rPr>
            </w:pPr>
            <w:r>
              <w:rPr>
                <w:rFonts w:eastAsiaTheme="minorEastAsia"/>
                <w:color w:val="000000"/>
              </w:rPr>
              <w:t>6.5</w:t>
            </w:r>
          </w:p>
        </w:tc>
        <w:tc>
          <w:tcPr>
            <w:tcW w:w="315" w:type="pct"/>
            <w:tcBorders>
              <w:top w:val="nil"/>
              <w:left w:val="nil"/>
              <w:bottom w:val="single" w:color="auto" w:sz="4" w:space="0"/>
              <w:right w:val="single" w:color="auto" w:sz="4" w:space="0"/>
            </w:tcBorders>
            <w:shd w:val="clear" w:color="auto" w:fill="auto"/>
            <w:vAlign w:val="center"/>
          </w:tcPr>
          <w:p w14:paraId="143CE660">
            <w:pPr>
              <w:spacing w:line="280" w:lineRule="exact"/>
              <w:jc w:val="center"/>
              <w:rPr>
                <w:rFonts w:eastAsiaTheme="minorEastAsia"/>
                <w:spacing w:val="-10"/>
                <w:kern w:val="0"/>
                <w:szCs w:val="21"/>
              </w:rPr>
            </w:pPr>
            <w:r>
              <w:rPr>
                <w:rFonts w:eastAsiaTheme="minorEastAsia"/>
                <w:color w:val="000000"/>
              </w:rPr>
              <w:t>4.15</w:t>
            </w:r>
          </w:p>
        </w:tc>
        <w:tc>
          <w:tcPr>
            <w:tcW w:w="315" w:type="pct"/>
            <w:tcBorders>
              <w:top w:val="nil"/>
              <w:left w:val="nil"/>
              <w:bottom w:val="single" w:color="auto" w:sz="4" w:space="0"/>
              <w:right w:val="single" w:color="auto" w:sz="4" w:space="0"/>
            </w:tcBorders>
            <w:shd w:val="clear" w:color="auto" w:fill="auto"/>
            <w:noWrap/>
            <w:vAlign w:val="center"/>
          </w:tcPr>
          <w:p w14:paraId="7F5EA206">
            <w:pPr>
              <w:spacing w:line="280" w:lineRule="exact"/>
              <w:jc w:val="center"/>
              <w:rPr>
                <w:rFonts w:eastAsiaTheme="minorEastAsia"/>
                <w:spacing w:val="-10"/>
                <w:kern w:val="0"/>
                <w:szCs w:val="21"/>
              </w:rPr>
            </w:pPr>
            <w:r>
              <w:rPr>
                <w:rFonts w:eastAsiaTheme="minorEastAsia"/>
                <w:color w:val="000000"/>
              </w:rPr>
              <w:t>5.78</w:t>
            </w:r>
          </w:p>
        </w:tc>
        <w:tc>
          <w:tcPr>
            <w:tcW w:w="335" w:type="pct"/>
            <w:tcBorders>
              <w:top w:val="nil"/>
              <w:left w:val="nil"/>
              <w:bottom w:val="single" w:color="auto" w:sz="4" w:space="0"/>
              <w:right w:val="single" w:color="auto" w:sz="4" w:space="0"/>
            </w:tcBorders>
            <w:shd w:val="clear" w:color="auto" w:fill="auto"/>
            <w:vAlign w:val="center"/>
          </w:tcPr>
          <w:p w14:paraId="6C7AC660">
            <w:pPr>
              <w:widowControl/>
              <w:jc w:val="center"/>
              <w:rPr>
                <w:rFonts w:eastAsiaTheme="minorEastAsia"/>
                <w:kern w:val="0"/>
                <w:szCs w:val="21"/>
              </w:rPr>
            </w:pPr>
            <w:r>
              <w:rPr>
                <w:rFonts w:eastAsiaTheme="minorEastAsia"/>
                <w:color w:val="000000"/>
              </w:rPr>
              <w:t>6.68</w:t>
            </w:r>
          </w:p>
        </w:tc>
        <w:tc>
          <w:tcPr>
            <w:tcW w:w="335" w:type="pct"/>
            <w:tcBorders>
              <w:top w:val="nil"/>
              <w:left w:val="nil"/>
              <w:bottom w:val="single" w:color="auto" w:sz="4" w:space="0"/>
              <w:right w:val="single" w:color="auto" w:sz="4" w:space="0"/>
            </w:tcBorders>
            <w:shd w:val="clear" w:color="auto" w:fill="auto"/>
            <w:vAlign w:val="center"/>
          </w:tcPr>
          <w:p w14:paraId="3D193701">
            <w:pPr>
              <w:widowControl/>
              <w:jc w:val="center"/>
              <w:rPr>
                <w:rFonts w:eastAsiaTheme="minorEastAsia"/>
                <w:kern w:val="0"/>
                <w:szCs w:val="21"/>
              </w:rPr>
            </w:pPr>
            <w:r>
              <w:rPr>
                <w:rFonts w:eastAsiaTheme="minorEastAsia"/>
                <w:color w:val="000000"/>
              </w:rPr>
              <w:t>7.25</w:t>
            </w:r>
          </w:p>
        </w:tc>
        <w:tc>
          <w:tcPr>
            <w:tcW w:w="335" w:type="pct"/>
            <w:tcBorders>
              <w:top w:val="nil"/>
              <w:left w:val="nil"/>
              <w:bottom w:val="single" w:color="auto" w:sz="4" w:space="0"/>
              <w:right w:val="single" w:color="auto" w:sz="4" w:space="0"/>
            </w:tcBorders>
            <w:shd w:val="clear" w:color="auto" w:fill="auto"/>
            <w:vAlign w:val="center"/>
          </w:tcPr>
          <w:p w14:paraId="0B5FEB05">
            <w:pPr>
              <w:widowControl/>
              <w:jc w:val="center"/>
              <w:rPr>
                <w:rFonts w:eastAsiaTheme="minorEastAsia"/>
                <w:kern w:val="0"/>
                <w:szCs w:val="21"/>
              </w:rPr>
            </w:pPr>
            <w:r>
              <w:rPr>
                <w:rFonts w:eastAsiaTheme="minorEastAsia"/>
                <w:color w:val="000000"/>
              </w:rPr>
              <w:t>11.20</w:t>
            </w:r>
          </w:p>
        </w:tc>
        <w:tc>
          <w:tcPr>
            <w:tcW w:w="335" w:type="pct"/>
            <w:tcBorders>
              <w:top w:val="nil"/>
              <w:left w:val="nil"/>
              <w:bottom w:val="single" w:color="auto" w:sz="4" w:space="0"/>
              <w:right w:val="single" w:color="auto" w:sz="4" w:space="0"/>
            </w:tcBorders>
            <w:shd w:val="clear" w:color="auto" w:fill="auto"/>
            <w:vAlign w:val="center"/>
          </w:tcPr>
          <w:p w14:paraId="79C7E77E">
            <w:pPr>
              <w:widowControl/>
              <w:jc w:val="center"/>
              <w:rPr>
                <w:rFonts w:eastAsiaTheme="minorEastAsia"/>
                <w:kern w:val="0"/>
                <w:szCs w:val="21"/>
              </w:rPr>
            </w:pPr>
            <w:r>
              <w:rPr>
                <w:rFonts w:eastAsiaTheme="minorEastAsia"/>
                <w:color w:val="000000"/>
              </w:rPr>
              <w:t>12.50</w:t>
            </w:r>
          </w:p>
        </w:tc>
        <w:tc>
          <w:tcPr>
            <w:tcW w:w="336" w:type="pct"/>
            <w:tcBorders>
              <w:top w:val="nil"/>
              <w:left w:val="nil"/>
              <w:bottom w:val="single" w:color="auto" w:sz="4" w:space="0"/>
              <w:right w:val="single" w:color="auto" w:sz="4" w:space="0"/>
            </w:tcBorders>
            <w:shd w:val="clear" w:color="auto" w:fill="auto"/>
            <w:vAlign w:val="center"/>
          </w:tcPr>
          <w:p w14:paraId="3EC617E5">
            <w:pPr>
              <w:widowControl/>
              <w:jc w:val="center"/>
              <w:rPr>
                <w:rFonts w:eastAsiaTheme="minorEastAsia"/>
                <w:kern w:val="0"/>
                <w:szCs w:val="21"/>
              </w:rPr>
            </w:pPr>
            <w:r>
              <w:rPr>
                <w:rFonts w:eastAsiaTheme="minorEastAsia"/>
                <w:color w:val="000000"/>
              </w:rPr>
              <w:t>6.56</w:t>
            </w:r>
          </w:p>
        </w:tc>
      </w:tr>
      <w:tr w14:paraId="0865A1DF">
        <w:tblPrEx>
          <w:tblCellMar>
            <w:top w:w="0" w:type="dxa"/>
            <w:left w:w="108" w:type="dxa"/>
            <w:bottom w:w="0" w:type="dxa"/>
            <w:right w:w="108" w:type="dxa"/>
          </w:tblCellMar>
        </w:tblPrEx>
        <w:trPr>
          <w:trHeight w:val="480" w:hRule="atLeast"/>
        </w:trPr>
        <w:tc>
          <w:tcPr>
            <w:tcW w:w="243" w:type="pct"/>
            <w:vMerge w:val="restart"/>
            <w:tcBorders>
              <w:top w:val="nil"/>
              <w:left w:val="single" w:color="auto" w:sz="4" w:space="0"/>
              <w:bottom w:val="single" w:color="auto" w:sz="4" w:space="0"/>
              <w:right w:val="single" w:color="auto" w:sz="4" w:space="0"/>
            </w:tcBorders>
            <w:shd w:val="clear" w:color="auto" w:fill="auto"/>
            <w:vAlign w:val="center"/>
          </w:tcPr>
          <w:p w14:paraId="630E14A2">
            <w:pPr>
              <w:spacing w:line="280" w:lineRule="exact"/>
              <w:jc w:val="center"/>
              <w:rPr>
                <w:rFonts w:eastAsiaTheme="minorEastAsia"/>
                <w:spacing w:val="-10"/>
                <w:kern w:val="0"/>
                <w:szCs w:val="21"/>
              </w:rPr>
            </w:pPr>
            <w:r>
              <w:rPr>
                <w:rFonts w:eastAsiaTheme="minorEastAsia"/>
                <w:color w:val="000000"/>
              </w:rPr>
              <w:t>古北口</w:t>
            </w:r>
          </w:p>
        </w:tc>
        <w:tc>
          <w:tcPr>
            <w:tcW w:w="557" w:type="pct"/>
            <w:tcBorders>
              <w:top w:val="nil"/>
              <w:left w:val="nil"/>
              <w:bottom w:val="single" w:color="auto" w:sz="4" w:space="0"/>
              <w:right w:val="single" w:color="auto" w:sz="4" w:space="0"/>
            </w:tcBorders>
            <w:shd w:val="clear" w:color="auto" w:fill="auto"/>
            <w:vAlign w:val="center"/>
          </w:tcPr>
          <w:p w14:paraId="2E3A87D5">
            <w:pPr>
              <w:spacing w:line="280" w:lineRule="exact"/>
              <w:jc w:val="center"/>
              <w:rPr>
                <w:rFonts w:eastAsiaTheme="minorEastAsia"/>
                <w:spacing w:val="-10"/>
                <w:kern w:val="0"/>
                <w:szCs w:val="21"/>
              </w:rPr>
            </w:pPr>
            <w:r>
              <w:rPr>
                <w:rFonts w:eastAsiaTheme="minorEastAsia"/>
                <w:color w:val="000000"/>
              </w:rPr>
              <w:t>COD</w:t>
            </w:r>
          </w:p>
        </w:tc>
        <w:tc>
          <w:tcPr>
            <w:tcW w:w="315" w:type="pct"/>
            <w:tcBorders>
              <w:top w:val="nil"/>
              <w:left w:val="nil"/>
              <w:bottom w:val="single" w:color="auto" w:sz="4" w:space="0"/>
              <w:right w:val="single" w:color="auto" w:sz="4" w:space="0"/>
            </w:tcBorders>
            <w:shd w:val="clear" w:color="auto" w:fill="auto"/>
            <w:vAlign w:val="center"/>
          </w:tcPr>
          <w:p w14:paraId="1679CF52">
            <w:pPr>
              <w:spacing w:line="280" w:lineRule="exact"/>
              <w:jc w:val="center"/>
              <w:rPr>
                <w:rFonts w:eastAsiaTheme="minorEastAsia"/>
                <w:spacing w:val="-10"/>
                <w:kern w:val="0"/>
                <w:szCs w:val="21"/>
              </w:rPr>
            </w:pPr>
            <w:r>
              <w:rPr>
                <w:rFonts w:eastAsiaTheme="minorEastAsia"/>
                <w:color w:val="000000"/>
              </w:rPr>
              <w:t>5</w:t>
            </w:r>
          </w:p>
        </w:tc>
        <w:tc>
          <w:tcPr>
            <w:tcW w:w="316" w:type="pct"/>
            <w:tcBorders>
              <w:top w:val="nil"/>
              <w:left w:val="nil"/>
              <w:bottom w:val="single" w:color="auto" w:sz="4" w:space="0"/>
              <w:right w:val="single" w:color="auto" w:sz="4" w:space="0"/>
            </w:tcBorders>
            <w:shd w:val="clear" w:color="auto" w:fill="auto"/>
            <w:vAlign w:val="center"/>
          </w:tcPr>
          <w:p w14:paraId="5A134791">
            <w:pPr>
              <w:spacing w:line="280" w:lineRule="exact"/>
              <w:jc w:val="center"/>
              <w:rPr>
                <w:rFonts w:eastAsiaTheme="minorEastAsia"/>
                <w:spacing w:val="-10"/>
                <w:kern w:val="0"/>
                <w:szCs w:val="21"/>
              </w:rPr>
            </w:pPr>
            <w:r>
              <w:rPr>
                <w:rFonts w:eastAsiaTheme="minorEastAsia"/>
                <w:color w:val="000000"/>
              </w:rPr>
              <w:t>5.5</w:t>
            </w:r>
          </w:p>
        </w:tc>
        <w:tc>
          <w:tcPr>
            <w:tcW w:w="315" w:type="pct"/>
            <w:tcBorders>
              <w:top w:val="nil"/>
              <w:left w:val="nil"/>
              <w:bottom w:val="single" w:color="auto" w:sz="4" w:space="0"/>
              <w:right w:val="single" w:color="auto" w:sz="4" w:space="0"/>
            </w:tcBorders>
            <w:shd w:val="clear" w:color="auto" w:fill="auto"/>
            <w:vAlign w:val="center"/>
          </w:tcPr>
          <w:p w14:paraId="30AD6A28">
            <w:pPr>
              <w:spacing w:line="280" w:lineRule="exact"/>
              <w:jc w:val="center"/>
              <w:rPr>
                <w:rFonts w:eastAsiaTheme="minorEastAsia"/>
                <w:spacing w:val="-10"/>
                <w:kern w:val="0"/>
                <w:szCs w:val="21"/>
              </w:rPr>
            </w:pPr>
            <w:r>
              <w:rPr>
                <w:rFonts w:eastAsiaTheme="minorEastAsia"/>
                <w:color w:val="000000"/>
              </w:rPr>
              <w:t>6</w:t>
            </w:r>
          </w:p>
        </w:tc>
        <w:tc>
          <w:tcPr>
            <w:tcW w:w="315" w:type="pct"/>
            <w:tcBorders>
              <w:top w:val="nil"/>
              <w:left w:val="nil"/>
              <w:bottom w:val="single" w:color="auto" w:sz="4" w:space="0"/>
              <w:right w:val="single" w:color="auto" w:sz="4" w:space="0"/>
            </w:tcBorders>
            <w:shd w:val="clear" w:color="auto" w:fill="auto"/>
            <w:vAlign w:val="center"/>
          </w:tcPr>
          <w:p w14:paraId="07CE4A44">
            <w:pPr>
              <w:spacing w:line="280" w:lineRule="exact"/>
              <w:jc w:val="center"/>
              <w:rPr>
                <w:rFonts w:eastAsiaTheme="minorEastAsia"/>
                <w:spacing w:val="-10"/>
                <w:kern w:val="0"/>
                <w:szCs w:val="21"/>
              </w:rPr>
            </w:pPr>
            <w:r>
              <w:rPr>
                <w:rFonts w:eastAsiaTheme="minorEastAsia"/>
                <w:color w:val="000000"/>
              </w:rPr>
              <w:t>9</w:t>
            </w:r>
          </w:p>
        </w:tc>
        <w:tc>
          <w:tcPr>
            <w:tcW w:w="315" w:type="pct"/>
            <w:tcBorders>
              <w:top w:val="nil"/>
              <w:left w:val="nil"/>
              <w:bottom w:val="single" w:color="auto" w:sz="4" w:space="0"/>
              <w:right w:val="single" w:color="auto" w:sz="4" w:space="0"/>
            </w:tcBorders>
            <w:shd w:val="clear" w:color="auto" w:fill="auto"/>
            <w:vAlign w:val="center"/>
          </w:tcPr>
          <w:p w14:paraId="1003BBFE">
            <w:pPr>
              <w:spacing w:line="280" w:lineRule="exact"/>
              <w:jc w:val="center"/>
              <w:rPr>
                <w:rFonts w:eastAsiaTheme="minorEastAsia"/>
                <w:spacing w:val="-10"/>
                <w:kern w:val="0"/>
                <w:szCs w:val="21"/>
              </w:rPr>
            </w:pPr>
            <w:r>
              <w:rPr>
                <w:rFonts w:eastAsiaTheme="minorEastAsia"/>
                <w:color w:val="000000"/>
              </w:rPr>
              <w:t>4.5</w:t>
            </w:r>
          </w:p>
        </w:tc>
        <w:tc>
          <w:tcPr>
            <w:tcW w:w="315" w:type="pct"/>
            <w:tcBorders>
              <w:top w:val="nil"/>
              <w:left w:val="nil"/>
              <w:bottom w:val="single" w:color="auto" w:sz="4" w:space="0"/>
              <w:right w:val="single" w:color="auto" w:sz="4" w:space="0"/>
            </w:tcBorders>
            <w:shd w:val="clear" w:color="auto" w:fill="auto"/>
            <w:vAlign w:val="center"/>
          </w:tcPr>
          <w:p w14:paraId="7A4FB5F8">
            <w:pPr>
              <w:spacing w:line="280" w:lineRule="exact"/>
              <w:jc w:val="center"/>
              <w:rPr>
                <w:rFonts w:eastAsiaTheme="minorEastAsia"/>
                <w:spacing w:val="-10"/>
                <w:kern w:val="0"/>
                <w:szCs w:val="21"/>
              </w:rPr>
            </w:pPr>
            <w:r>
              <w:rPr>
                <w:rFonts w:eastAsiaTheme="minorEastAsia"/>
                <w:color w:val="000000"/>
              </w:rPr>
              <w:t>5.5</w:t>
            </w:r>
          </w:p>
        </w:tc>
        <w:tc>
          <w:tcPr>
            <w:tcW w:w="315" w:type="pct"/>
            <w:tcBorders>
              <w:top w:val="nil"/>
              <w:left w:val="nil"/>
              <w:bottom w:val="single" w:color="auto" w:sz="4" w:space="0"/>
              <w:right w:val="single" w:color="auto" w:sz="4" w:space="0"/>
            </w:tcBorders>
            <w:shd w:val="clear" w:color="auto" w:fill="auto"/>
            <w:vAlign w:val="center"/>
          </w:tcPr>
          <w:p w14:paraId="5F04DBDC">
            <w:pPr>
              <w:spacing w:line="280" w:lineRule="exact"/>
              <w:jc w:val="center"/>
              <w:rPr>
                <w:rFonts w:eastAsiaTheme="minorEastAsia"/>
                <w:spacing w:val="-10"/>
                <w:kern w:val="0"/>
                <w:szCs w:val="21"/>
              </w:rPr>
            </w:pPr>
            <w:r>
              <w:rPr>
                <w:rFonts w:eastAsiaTheme="minorEastAsia"/>
                <w:color w:val="000000"/>
              </w:rPr>
              <w:t>4</w:t>
            </w:r>
          </w:p>
        </w:tc>
        <w:tc>
          <w:tcPr>
            <w:tcW w:w="315" w:type="pct"/>
            <w:tcBorders>
              <w:top w:val="nil"/>
              <w:left w:val="nil"/>
              <w:bottom w:val="single" w:color="auto" w:sz="4" w:space="0"/>
              <w:right w:val="single" w:color="auto" w:sz="4" w:space="0"/>
            </w:tcBorders>
            <w:shd w:val="clear" w:color="auto" w:fill="auto"/>
            <w:vAlign w:val="center"/>
          </w:tcPr>
          <w:p w14:paraId="58736EFF">
            <w:pPr>
              <w:spacing w:line="280" w:lineRule="exact"/>
              <w:jc w:val="center"/>
              <w:rPr>
                <w:rFonts w:eastAsiaTheme="minorEastAsia"/>
                <w:spacing w:val="-10"/>
                <w:kern w:val="0"/>
                <w:szCs w:val="21"/>
              </w:rPr>
            </w:pPr>
            <w:r>
              <w:rPr>
                <w:rFonts w:eastAsiaTheme="minorEastAsia"/>
                <w:color w:val="000000"/>
              </w:rPr>
              <w:t>14.2</w:t>
            </w:r>
          </w:p>
        </w:tc>
        <w:tc>
          <w:tcPr>
            <w:tcW w:w="335" w:type="pct"/>
            <w:tcBorders>
              <w:top w:val="nil"/>
              <w:left w:val="nil"/>
              <w:bottom w:val="single" w:color="auto" w:sz="4" w:space="0"/>
              <w:right w:val="single" w:color="auto" w:sz="4" w:space="0"/>
            </w:tcBorders>
            <w:shd w:val="clear" w:color="auto" w:fill="auto"/>
            <w:vAlign w:val="center"/>
          </w:tcPr>
          <w:p w14:paraId="5F7611F0">
            <w:pPr>
              <w:widowControl/>
              <w:jc w:val="center"/>
              <w:rPr>
                <w:rFonts w:eastAsiaTheme="minorEastAsia"/>
                <w:kern w:val="0"/>
                <w:szCs w:val="21"/>
              </w:rPr>
            </w:pPr>
            <w:r>
              <w:rPr>
                <w:rFonts w:eastAsiaTheme="minorEastAsia"/>
                <w:color w:val="000000"/>
              </w:rPr>
              <w:t>12.5</w:t>
            </w:r>
          </w:p>
        </w:tc>
        <w:tc>
          <w:tcPr>
            <w:tcW w:w="335" w:type="pct"/>
            <w:tcBorders>
              <w:top w:val="single" w:color="auto" w:sz="4" w:space="0"/>
              <w:left w:val="nil"/>
              <w:bottom w:val="single" w:color="auto" w:sz="4" w:space="0"/>
              <w:right w:val="single" w:color="auto" w:sz="4" w:space="0"/>
            </w:tcBorders>
            <w:shd w:val="clear" w:color="auto" w:fill="auto"/>
            <w:vAlign w:val="center"/>
          </w:tcPr>
          <w:p w14:paraId="4F9B1434">
            <w:pPr>
              <w:widowControl/>
              <w:jc w:val="center"/>
              <w:rPr>
                <w:rFonts w:eastAsiaTheme="minorEastAsia"/>
                <w:kern w:val="0"/>
                <w:szCs w:val="21"/>
              </w:rPr>
            </w:pPr>
            <w:r>
              <w:rPr>
                <w:rFonts w:eastAsiaTheme="minorEastAsia"/>
                <w:color w:val="000000"/>
              </w:rPr>
              <w:t>13.5</w:t>
            </w:r>
          </w:p>
        </w:tc>
        <w:tc>
          <w:tcPr>
            <w:tcW w:w="335" w:type="pct"/>
            <w:tcBorders>
              <w:top w:val="nil"/>
              <w:left w:val="nil"/>
              <w:bottom w:val="single" w:color="auto" w:sz="4" w:space="0"/>
              <w:right w:val="single" w:color="auto" w:sz="4" w:space="0"/>
            </w:tcBorders>
            <w:shd w:val="clear" w:color="auto" w:fill="auto"/>
            <w:vAlign w:val="center"/>
          </w:tcPr>
          <w:p w14:paraId="0B62FDF0">
            <w:pPr>
              <w:widowControl/>
              <w:jc w:val="center"/>
              <w:rPr>
                <w:rFonts w:eastAsiaTheme="minorEastAsia"/>
                <w:kern w:val="0"/>
                <w:szCs w:val="21"/>
              </w:rPr>
            </w:pPr>
            <w:r>
              <w:rPr>
                <w:rFonts w:eastAsiaTheme="minorEastAsia"/>
                <w:color w:val="000000"/>
              </w:rPr>
              <w:t>16.5</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49B01">
            <w:pPr>
              <w:widowControl/>
              <w:jc w:val="center"/>
              <w:rPr>
                <w:rFonts w:eastAsiaTheme="minorEastAsia"/>
                <w:kern w:val="0"/>
                <w:szCs w:val="21"/>
              </w:rPr>
            </w:pPr>
            <w:r>
              <w:rPr>
                <w:rFonts w:eastAsiaTheme="minorEastAsia"/>
                <w:color w:val="000000"/>
              </w:rPr>
              <w:t>6</w:t>
            </w:r>
          </w:p>
        </w:tc>
        <w:tc>
          <w:tcPr>
            <w:tcW w:w="336" w:type="pct"/>
            <w:tcBorders>
              <w:top w:val="nil"/>
              <w:left w:val="nil"/>
              <w:bottom w:val="single" w:color="auto" w:sz="4" w:space="0"/>
              <w:right w:val="single" w:color="auto" w:sz="4" w:space="0"/>
            </w:tcBorders>
            <w:shd w:val="clear" w:color="auto" w:fill="auto"/>
            <w:vAlign w:val="center"/>
          </w:tcPr>
          <w:p w14:paraId="106B88A3">
            <w:pPr>
              <w:widowControl/>
              <w:jc w:val="center"/>
              <w:rPr>
                <w:rFonts w:eastAsiaTheme="minorEastAsia"/>
                <w:kern w:val="0"/>
                <w:szCs w:val="21"/>
              </w:rPr>
            </w:pPr>
            <w:r>
              <w:rPr>
                <w:rFonts w:eastAsiaTheme="minorEastAsia"/>
                <w:color w:val="000000"/>
              </w:rPr>
              <w:t>15</w:t>
            </w:r>
          </w:p>
        </w:tc>
      </w:tr>
      <w:tr w14:paraId="769B443E">
        <w:tblPrEx>
          <w:tblCellMar>
            <w:top w:w="0" w:type="dxa"/>
            <w:left w:w="108" w:type="dxa"/>
            <w:bottom w:w="0" w:type="dxa"/>
            <w:right w:w="108" w:type="dxa"/>
          </w:tblCellMar>
        </w:tblPrEx>
        <w:trPr>
          <w:trHeight w:val="480" w:hRule="atLeast"/>
        </w:trPr>
        <w:tc>
          <w:tcPr>
            <w:tcW w:w="243" w:type="pct"/>
            <w:vMerge w:val="continue"/>
            <w:tcBorders>
              <w:top w:val="nil"/>
              <w:left w:val="single" w:color="auto" w:sz="4" w:space="0"/>
              <w:bottom w:val="single" w:color="auto" w:sz="4" w:space="0"/>
              <w:right w:val="single" w:color="auto" w:sz="4" w:space="0"/>
            </w:tcBorders>
            <w:vAlign w:val="center"/>
          </w:tcPr>
          <w:p w14:paraId="3DFF9485">
            <w:pPr>
              <w:spacing w:line="280" w:lineRule="exact"/>
              <w:jc w:val="center"/>
              <w:rPr>
                <w:rFonts w:eastAsiaTheme="minorEastAsia"/>
                <w:spacing w:val="-10"/>
                <w:kern w:val="0"/>
                <w:szCs w:val="21"/>
              </w:rPr>
            </w:pPr>
          </w:p>
        </w:tc>
        <w:tc>
          <w:tcPr>
            <w:tcW w:w="557" w:type="pct"/>
            <w:tcBorders>
              <w:top w:val="nil"/>
              <w:left w:val="nil"/>
              <w:bottom w:val="single" w:color="auto" w:sz="4" w:space="0"/>
              <w:right w:val="single" w:color="auto" w:sz="4" w:space="0"/>
            </w:tcBorders>
            <w:shd w:val="clear" w:color="auto" w:fill="auto"/>
            <w:vAlign w:val="center"/>
          </w:tcPr>
          <w:p w14:paraId="10F1881D">
            <w:pPr>
              <w:spacing w:line="280" w:lineRule="exact"/>
              <w:jc w:val="center"/>
              <w:rPr>
                <w:rFonts w:eastAsiaTheme="minorEastAsia"/>
                <w:spacing w:val="-10"/>
                <w:kern w:val="0"/>
                <w:szCs w:val="21"/>
              </w:rPr>
            </w:pPr>
            <w:r>
              <w:rPr>
                <w:rFonts w:eastAsiaTheme="minorEastAsia"/>
                <w:color w:val="000000"/>
              </w:rPr>
              <w:t>高锰酸盐指数</w:t>
            </w:r>
          </w:p>
        </w:tc>
        <w:tc>
          <w:tcPr>
            <w:tcW w:w="315" w:type="pct"/>
            <w:tcBorders>
              <w:top w:val="nil"/>
              <w:left w:val="nil"/>
              <w:bottom w:val="single" w:color="auto" w:sz="4" w:space="0"/>
              <w:right w:val="single" w:color="auto" w:sz="4" w:space="0"/>
            </w:tcBorders>
            <w:shd w:val="clear" w:color="auto" w:fill="auto"/>
            <w:vAlign w:val="center"/>
          </w:tcPr>
          <w:p w14:paraId="1CFF7330">
            <w:pPr>
              <w:spacing w:line="280" w:lineRule="exact"/>
              <w:jc w:val="center"/>
              <w:rPr>
                <w:rFonts w:eastAsiaTheme="minorEastAsia"/>
                <w:spacing w:val="-10"/>
                <w:kern w:val="0"/>
                <w:szCs w:val="21"/>
              </w:rPr>
            </w:pPr>
            <w:r>
              <w:rPr>
                <w:rFonts w:eastAsiaTheme="minorEastAsia"/>
                <w:color w:val="000000"/>
              </w:rPr>
              <w:t>0.9</w:t>
            </w:r>
          </w:p>
        </w:tc>
        <w:tc>
          <w:tcPr>
            <w:tcW w:w="316" w:type="pct"/>
            <w:tcBorders>
              <w:top w:val="nil"/>
              <w:left w:val="nil"/>
              <w:bottom w:val="single" w:color="auto" w:sz="4" w:space="0"/>
              <w:right w:val="single" w:color="auto" w:sz="4" w:space="0"/>
            </w:tcBorders>
            <w:shd w:val="clear" w:color="auto" w:fill="auto"/>
            <w:vAlign w:val="center"/>
          </w:tcPr>
          <w:p w14:paraId="0EF2CA30">
            <w:pPr>
              <w:spacing w:line="280" w:lineRule="exact"/>
              <w:jc w:val="center"/>
              <w:rPr>
                <w:rFonts w:eastAsiaTheme="minorEastAsia"/>
                <w:spacing w:val="-10"/>
                <w:kern w:val="0"/>
                <w:szCs w:val="21"/>
              </w:rPr>
            </w:pPr>
            <w:r>
              <w:rPr>
                <w:rFonts w:eastAsiaTheme="minorEastAsia"/>
                <w:color w:val="000000"/>
              </w:rPr>
              <w:t>1</w:t>
            </w:r>
          </w:p>
        </w:tc>
        <w:tc>
          <w:tcPr>
            <w:tcW w:w="315" w:type="pct"/>
            <w:tcBorders>
              <w:top w:val="nil"/>
              <w:left w:val="nil"/>
              <w:bottom w:val="single" w:color="auto" w:sz="4" w:space="0"/>
              <w:right w:val="single" w:color="auto" w:sz="4" w:space="0"/>
            </w:tcBorders>
            <w:shd w:val="clear" w:color="auto" w:fill="auto"/>
            <w:vAlign w:val="center"/>
          </w:tcPr>
          <w:p w14:paraId="13434D6F">
            <w:pPr>
              <w:spacing w:line="280" w:lineRule="exact"/>
              <w:jc w:val="center"/>
              <w:rPr>
                <w:rFonts w:eastAsiaTheme="minorEastAsia"/>
                <w:spacing w:val="-10"/>
                <w:kern w:val="0"/>
                <w:szCs w:val="21"/>
              </w:rPr>
            </w:pPr>
            <w:r>
              <w:rPr>
                <w:rFonts w:eastAsiaTheme="minorEastAsia"/>
                <w:color w:val="000000"/>
              </w:rPr>
              <w:t>1.0</w:t>
            </w:r>
          </w:p>
        </w:tc>
        <w:tc>
          <w:tcPr>
            <w:tcW w:w="315" w:type="pct"/>
            <w:tcBorders>
              <w:top w:val="nil"/>
              <w:left w:val="nil"/>
              <w:bottom w:val="single" w:color="auto" w:sz="4" w:space="0"/>
              <w:right w:val="single" w:color="auto" w:sz="4" w:space="0"/>
            </w:tcBorders>
            <w:shd w:val="clear" w:color="auto" w:fill="auto"/>
            <w:vAlign w:val="center"/>
          </w:tcPr>
          <w:p w14:paraId="17FE656E">
            <w:pPr>
              <w:spacing w:line="280" w:lineRule="exact"/>
              <w:jc w:val="center"/>
              <w:rPr>
                <w:rFonts w:eastAsiaTheme="minorEastAsia"/>
                <w:spacing w:val="-10"/>
                <w:kern w:val="0"/>
                <w:szCs w:val="21"/>
              </w:rPr>
            </w:pPr>
            <w:r>
              <w:rPr>
                <w:rFonts w:eastAsiaTheme="minorEastAsia"/>
                <w:color w:val="000000"/>
              </w:rPr>
              <w:t>1.5</w:t>
            </w:r>
          </w:p>
        </w:tc>
        <w:tc>
          <w:tcPr>
            <w:tcW w:w="315" w:type="pct"/>
            <w:tcBorders>
              <w:top w:val="nil"/>
              <w:left w:val="nil"/>
              <w:bottom w:val="single" w:color="auto" w:sz="4" w:space="0"/>
              <w:right w:val="single" w:color="auto" w:sz="4" w:space="0"/>
            </w:tcBorders>
            <w:shd w:val="clear" w:color="auto" w:fill="auto"/>
            <w:vAlign w:val="center"/>
          </w:tcPr>
          <w:p w14:paraId="1585F917">
            <w:pPr>
              <w:spacing w:line="280" w:lineRule="exact"/>
              <w:jc w:val="center"/>
              <w:rPr>
                <w:rFonts w:eastAsiaTheme="minorEastAsia"/>
                <w:spacing w:val="-10"/>
                <w:kern w:val="0"/>
                <w:szCs w:val="21"/>
              </w:rPr>
            </w:pPr>
            <w:r>
              <w:rPr>
                <w:rFonts w:eastAsiaTheme="minorEastAsia"/>
                <w:color w:val="000000"/>
              </w:rPr>
              <w:t>1.6</w:t>
            </w:r>
          </w:p>
        </w:tc>
        <w:tc>
          <w:tcPr>
            <w:tcW w:w="315" w:type="pct"/>
            <w:tcBorders>
              <w:top w:val="nil"/>
              <w:left w:val="nil"/>
              <w:bottom w:val="single" w:color="auto" w:sz="4" w:space="0"/>
              <w:right w:val="single" w:color="auto" w:sz="4" w:space="0"/>
            </w:tcBorders>
            <w:shd w:val="clear" w:color="auto" w:fill="auto"/>
            <w:vAlign w:val="center"/>
          </w:tcPr>
          <w:p w14:paraId="4FB1AFCF">
            <w:pPr>
              <w:spacing w:line="280" w:lineRule="exact"/>
              <w:jc w:val="center"/>
              <w:rPr>
                <w:rFonts w:eastAsiaTheme="minorEastAsia"/>
                <w:spacing w:val="-10"/>
                <w:kern w:val="0"/>
                <w:szCs w:val="21"/>
              </w:rPr>
            </w:pPr>
            <w:r>
              <w:rPr>
                <w:rFonts w:eastAsiaTheme="minorEastAsia"/>
                <w:color w:val="000000"/>
              </w:rPr>
              <w:t>2.0</w:t>
            </w:r>
          </w:p>
        </w:tc>
        <w:tc>
          <w:tcPr>
            <w:tcW w:w="315" w:type="pct"/>
            <w:tcBorders>
              <w:top w:val="nil"/>
              <w:left w:val="nil"/>
              <w:bottom w:val="single" w:color="auto" w:sz="4" w:space="0"/>
              <w:right w:val="single" w:color="auto" w:sz="4" w:space="0"/>
            </w:tcBorders>
            <w:shd w:val="clear" w:color="auto" w:fill="auto"/>
            <w:vAlign w:val="center"/>
          </w:tcPr>
          <w:p w14:paraId="6EB28AD6">
            <w:pPr>
              <w:spacing w:line="280" w:lineRule="exact"/>
              <w:jc w:val="center"/>
              <w:rPr>
                <w:rFonts w:eastAsiaTheme="minorEastAsia"/>
                <w:spacing w:val="-10"/>
                <w:kern w:val="0"/>
                <w:szCs w:val="21"/>
              </w:rPr>
            </w:pPr>
            <w:r>
              <w:rPr>
                <w:rFonts w:eastAsiaTheme="minorEastAsia"/>
                <w:color w:val="000000"/>
              </w:rPr>
              <w:t>2.2</w:t>
            </w:r>
          </w:p>
        </w:tc>
        <w:tc>
          <w:tcPr>
            <w:tcW w:w="315" w:type="pct"/>
            <w:tcBorders>
              <w:top w:val="nil"/>
              <w:left w:val="nil"/>
              <w:bottom w:val="single" w:color="auto" w:sz="4" w:space="0"/>
              <w:right w:val="single" w:color="auto" w:sz="4" w:space="0"/>
            </w:tcBorders>
            <w:shd w:val="clear" w:color="auto" w:fill="auto"/>
            <w:vAlign w:val="center"/>
          </w:tcPr>
          <w:p w14:paraId="5285307F">
            <w:pPr>
              <w:spacing w:line="280" w:lineRule="exact"/>
              <w:jc w:val="center"/>
              <w:rPr>
                <w:rFonts w:eastAsiaTheme="minorEastAsia"/>
                <w:spacing w:val="-10"/>
                <w:kern w:val="0"/>
                <w:szCs w:val="21"/>
              </w:rPr>
            </w:pPr>
            <w:r>
              <w:rPr>
                <w:rFonts w:eastAsiaTheme="minorEastAsia"/>
                <w:color w:val="000000"/>
              </w:rPr>
              <w:t>7.2</w:t>
            </w:r>
          </w:p>
        </w:tc>
        <w:tc>
          <w:tcPr>
            <w:tcW w:w="335" w:type="pct"/>
            <w:tcBorders>
              <w:top w:val="nil"/>
              <w:left w:val="nil"/>
              <w:bottom w:val="single" w:color="auto" w:sz="4" w:space="0"/>
              <w:right w:val="single" w:color="auto" w:sz="4" w:space="0"/>
            </w:tcBorders>
            <w:shd w:val="clear" w:color="auto" w:fill="auto"/>
            <w:vAlign w:val="center"/>
          </w:tcPr>
          <w:p w14:paraId="5AA2629C">
            <w:pPr>
              <w:widowControl/>
              <w:jc w:val="center"/>
              <w:rPr>
                <w:rFonts w:eastAsiaTheme="minorEastAsia"/>
                <w:kern w:val="0"/>
                <w:szCs w:val="21"/>
              </w:rPr>
            </w:pPr>
            <w:r>
              <w:rPr>
                <w:rFonts w:eastAsiaTheme="minorEastAsia"/>
                <w:color w:val="000000"/>
              </w:rPr>
              <w:t>5.0</w:t>
            </w:r>
          </w:p>
        </w:tc>
        <w:tc>
          <w:tcPr>
            <w:tcW w:w="335" w:type="pct"/>
            <w:tcBorders>
              <w:top w:val="nil"/>
              <w:left w:val="nil"/>
              <w:bottom w:val="single" w:color="auto" w:sz="4" w:space="0"/>
              <w:right w:val="single" w:color="auto" w:sz="4" w:space="0"/>
            </w:tcBorders>
            <w:shd w:val="clear" w:color="auto" w:fill="auto"/>
            <w:vAlign w:val="center"/>
          </w:tcPr>
          <w:p w14:paraId="22ADD8C9">
            <w:pPr>
              <w:widowControl/>
              <w:jc w:val="center"/>
              <w:rPr>
                <w:rFonts w:eastAsiaTheme="minorEastAsia"/>
                <w:kern w:val="0"/>
                <w:szCs w:val="21"/>
              </w:rPr>
            </w:pPr>
            <w:r>
              <w:rPr>
                <w:rFonts w:eastAsiaTheme="minorEastAsia"/>
                <w:color w:val="000000"/>
              </w:rPr>
              <w:t>3.4</w:t>
            </w:r>
          </w:p>
        </w:tc>
        <w:tc>
          <w:tcPr>
            <w:tcW w:w="335" w:type="pct"/>
            <w:tcBorders>
              <w:top w:val="nil"/>
              <w:left w:val="nil"/>
              <w:bottom w:val="single" w:color="auto" w:sz="4" w:space="0"/>
              <w:right w:val="single" w:color="auto" w:sz="4" w:space="0"/>
            </w:tcBorders>
            <w:shd w:val="clear" w:color="auto" w:fill="auto"/>
            <w:vAlign w:val="center"/>
          </w:tcPr>
          <w:p w14:paraId="02624FE5">
            <w:pPr>
              <w:widowControl/>
              <w:jc w:val="center"/>
              <w:rPr>
                <w:rFonts w:eastAsiaTheme="minorEastAsia"/>
                <w:kern w:val="0"/>
                <w:szCs w:val="21"/>
              </w:rPr>
            </w:pPr>
            <w:r>
              <w:rPr>
                <w:rFonts w:eastAsiaTheme="minorEastAsia"/>
                <w:color w:val="000000"/>
              </w:rPr>
              <w:t>1.8</w:t>
            </w:r>
          </w:p>
        </w:tc>
        <w:tc>
          <w:tcPr>
            <w:tcW w:w="335" w:type="pct"/>
            <w:tcBorders>
              <w:top w:val="single" w:color="auto" w:sz="4" w:space="0"/>
              <w:left w:val="nil"/>
              <w:bottom w:val="single" w:color="auto" w:sz="4" w:space="0"/>
              <w:right w:val="single" w:color="auto" w:sz="4" w:space="0"/>
            </w:tcBorders>
            <w:shd w:val="clear" w:color="auto" w:fill="auto"/>
            <w:vAlign w:val="center"/>
          </w:tcPr>
          <w:p w14:paraId="109FB280">
            <w:pPr>
              <w:widowControl/>
              <w:jc w:val="center"/>
              <w:rPr>
                <w:rFonts w:eastAsiaTheme="minorEastAsia"/>
                <w:kern w:val="0"/>
                <w:szCs w:val="21"/>
              </w:rPr>
            </w:pPr>
            <w:r>
              <w:rPr>
                <w:rFonts w:eastAsiaTheme="minorEastAsia"/>
                <w:color w:val="000000"/>
              </w:rPr>
              <w:t>1.1</w:t>
            </w:r>
          </w:p>
        </w:tc>
        <w:tc>
          <w:tcPr>
            <w:tcW w:w="336" w:type="pct"/>
            <w:tcBorders>
              <w:top w:val="nil"/>
              <w:left w:val="nil"/>
              <w:bottom w:val="single" w:color="auto" w:sz="4" w:space="0"/>
              <w:right w:val="single" w:color="auto" w:sz="4" w:space="0"/>
            </w:tcBorders>
            <w:shd w:val="clear" w:color="auto" w:fill="auto"/>
            <w:vAlign w:val="center"/>
          </w:tcPr>
          <w:p w14:paraId="746F8DAE">
            <w:pPr>
              <w:widowControl/>
              <w:jc w:val="center"/>
              <w:rPr>
                <w:rFonts w:eastAsiaTheme="minorEastAsia"/>
                <w:kern w:val="0"/>
                <w:szCs w:val="21"/>
              </w:rPr>
            </w:pPr>
            <w:r>
              <w:rPr>
                <w:rFonts w:eastAsiaTheme="minorEastAsia"/>
                <w:color w:val="000000"/>
              </w:rPr>
              <w:t>4</w:t>
            </w:r>
          </w:p>
        </w:tc>
      </w:tr>
      <w:tr w14:paraId="6974056F">
        <w:tblPrEx>
          <w:tblCellMar>
            <w:top w:w="0" w:type="dxa"/>
            <w:left w:w="108" w:type="dxa"/>
            <w:bottom w:w="0" w:type="dxa"/>
            <w:right w:w="108" w:type="dxa"/>
          </w:tblCellMar>
        </w:tblPrEx>
        <w:trPr>
          <w:trHeight w:val="480" w:hRule="atLeast"/>
        </w:trPr>
        <w:tc>
          <w:tcPr>
            <w:tcW w:w="243" w:type="pct"/>
            <w:vMerge w:val="continue"/>
            <w:tcBorders>
              <w:top w:val="nil"/>
              <w:left w:val="single" w:color="auto" w:sz="4" w:space="0"/>
              <w:bottom w:val="single" w:color="auto" w:sz="4" w:space="0"/>
              <w:right w:val="single" w:color="auto" w:sz="4" w:space="0"/>
            </w:tcBorders>
            <w:vAlign w:val="center"/>
          </w:tcPr>
          <w:p w14:paraId="3D95FE6D">
            <w:pPr>
              <w:spacing w:line="280" w:lineRule="exact"/>
              <w:jc w:val="center"/>
              <w:rPr>
                <w:rFonts w:eastAsiaTheme="minorEastAsia"/>
                <w:spacing w:val="-10"/>
                <w:kern w:val="0"/>
                <w:szCs w:val="21"/>
              </w:rPr>
            </w:pPr>
          </w:p>
        </w:tc>
        <w:tc>
          <w:tcPr>
            <w:tcW w:w="557" w:type="pct"/>
            <w:tcBorders>
              <w:top w:val="nil"/>
              <w:left w:val="nil"/>
              <w:bottom w:val="single" w:color="auto" w:sz="4" w:space="0"/>
              <w:right w:val="single" w:color="auto" w:sz="4" w:space="0"/>
            </w:tcBorders>
            <w:shd w:val="clear" w:color="auto" w:fill="auto"/>
            <w:vAlign w:val="center"/>
          </w:tcPr>
          <w:p w14:paraId="3E4E77D6">
            <w:pPr>
              <w:spacing w:line="280" w:lineRule="exact"/>
              <w:jc w:val="center"/>
              <w:rPr>
                <w:rFonts w:eastAsiaTheme="minorEastAsia"/>
                <w:spacing w:val="-10"/>
                <w:kern w:val="0"/>
                <w:szCs w:val="21"/>
              </w:rPr>
            </w:pPr>
            <w:r>
              <w:rPr>
                <w:rFonts w:eastAsiaTheme="minorEastAsia"/>
                <w:color w:val="000000"/>
              </w:rPr>
              <w:t>氨氮</w:t>
            </w:r>
          </w:p>
        </w:tc>
        <w:tc>
          <w:tcPr>
            <w:tcW w:w="315" w:type="pct"/>
            <w:tcBorders>
              <w:top w:val="nil"/>
              <w:left w:val="nil"/>
              <w:bottom w:val="single" w:color="auto" w:sz="4" w:space="0"/>
              <w:right w:val="single" w:color="auto" w:sz="4" w:space="0"/>
            </w:tcBorders>
            <w:shd w:val="clear" w:color="auto" w:fill="auto"/>
            <w:vAlign w:val="center"/>
          </w:tcPr>
          <w:p w14:paraId="63581738">
            <w:pPr>
              <w:spacing w:line="280" w:lineRule="exact"/>
              <w:jc w:val="center"/>
              <w:rPr>
                <w:rFonts w:eastAsiaTheme="minorEastAsia"/>
                <w:spacing w:val="-10"/>
                <w:kern w:val="0"/>
                <w:szCs w:val="21"/>
              </w:rPr>
            </w:pPr>
            <w:r>
              <w:rPr>
                <w:rFonts w:eastAsiaTheme="minorEastAsia"/>
                <w:color w:val="000000"/>
              </w:rPr>
              <w:t>0.04</w:t>
            </w:r>
          </w:p>
        </w:tc>
        <w:tc>
          <w:tcPr>
            <w:tcW w:w="316" w:type="pct"/>
            <w:tcBorders>
              <w:top w:val="nil"/>
              <w:left w:val="nil"/>
              <w:bottom w:val="single" w:color="auto" w:sz="4" w:space="0"/>
              <w:right w:val="single" w:color="auto" w:sz="4" w:space="0"/>
            </w:tcBorders>
            <w:shd w:val="clear" w:color="auto" w:fill="auto"/>
            <w:vAlign w:val="center"/>
          </w:tcPr>
          <w:p w14:paraId="457FAE50">
            <w:pPr>
              <w:spacing w:line="280" w:lineRule="exact"/>
              <w:jc w:val="center"/>
              <w:rPr>
                <w:rFonts w:eastAsiaTheme="minorEastAsia"/>
                <w:spacing w:val="-10"/>
                <w:kern w:val="0"/>
                <w:szCs w:val="21"/>
              </w:rPr>
            </w:pPr>
            <w:r>
              <w:rPr>
                <w:rFonts w:eastAsiaTheme="minorEastAsia"/>
                <w:color w:val="000000"/>
              </w:rPr>
              <w:t>0.09</w:t>
            </w:r>
          </w:p>
        </w:tc>
        <w:tc>
          <w:tcPr>
            <w:tcW w:w="315" w:type="pct"/>
            <w:tcBorders>
              <w:top w:val="nil"/>
              <w:left w:val="nil"/>
              <w:bottom w:val="single" w:color="auto" w:sz="4" w:space="0"/>
              <w:right w:val="single" w:color="auto" w:sz="4" w:space="0"/>
            </w:tcBorders>
            <w:shd w:val="clear" w:color="auto" w:fill="auto"/>
            <w:vAlign w:val="center"/>
          </w:tcPr>
          <w:p w14:paraId="4E4F0D47">
            <w:pPr>
              <w:spacing w:line="280" w:lineRule="exact"/>
              <w:jc w:val="center"/>
              <w:rPr>
                <w:rFonts w:eastAsiaTheme="minorEastAsia"/>
                <w:spacing w:val="-10"/>
                <w:kern w:val="0"/>
                <w:szCs w:val="21"/>
              </w:rPr>
            </w:pPr>
            <w:r>
              <w:rPr>
                <w:rFonts w:eastAsiaTheme="minorEastAsia"/>
                <w:color w:val="000000"/>
              </w:rPr>
              <w:t>0.20</w:t>
            </w:r>
          </w:p>
        </w:tc>
        <w:tc>
          <w:tcPr>
            <w:tcW w:w="315" w:type="pct"/>
            <w:tcBorders>
              <w:top w:val="nil"/>
              <w:left w:val="nil"/>
              <w:bottom w:val="single" w:color="auto" w:sz="4" w:space="0"/>
              <w:right w:val="single" w:color="auto" w:sz="4" w:space="0"/>
            </w:tcBorders>
            <w:shd w:val="clear" w:color="auto" w:fill="auto"/>
            <w:vAlign w:val="center"/>
          </w:tcPr>
          <w:p w14:paraId="49BD2AF1">
            <w:pPr>
              <w:spacing w:line="280" w:lineRule="exact"/>
              <w:jc w:val="center"/>
              <w:rPr>
                <w:rFonts w:eastAsiaTheme="minorEastAsia"/>
                <w:spacing w:val="-10"/>
                <w:kern w:val="0"/>
                <w:szCs w:val="21"/>
              </w:rPr>
            </w:pPr>
            <w:r>
              <w:rPr>
                <w:rFonts w:eastAsiaTheme="minorEastAsia"/>
                <w:color w:val="000000"/>
              </w:rPr>
              <w:t>0.21</w:t>
            </w:r>
          </w:p>
        </w:tc>
        <w:tc>
          <w:tcPr>
            <w:tcW w:w="315" w:type="pct"/>
            <w:tcBorders>
              <w:top w:val="nil"/>
              <w:left w:val="nil"/>
              <w:bottom w:val="single" w:color="auto" w:sz="4" w:space="0"/>
              <w:right w:val="single" w:color="auto" w:sz="4" w:space="0"/>
            </w:tcBorders>
            <w:shd w:val="clear" w:color="auto" w:fill="auto"/>
            <w:vAlign w:val="center"/>
          </w:tcPr>
          <w:p w14:paraId="79254AB2">
            <w:pPr>
              <w:spacing w:line="280" w:lineRule="exact"/>
              <w:jc w:val="center"/>
              <w:rPr>
                <w:rFonts w:eastAsiaTheme="minorEastAsia"/>
                <w:spacing w:val="-10"/>
                <w:kern w:val="0"/>
                <w:szCs w:val="21"/>
              </w:rPr>
            </w:pPr>
            <w:r>
              <w:rPr>
                <w:rFonts w:eastAsiaTheme="minorEastAsia"/>
                <w:color w:val="000000"/>
              </w:rPr>
              <w:t>0.36</w:t>
            </w:r>
          </w:p>
        </w:tc>
        <w:tc>
          <w:tcPr>
            <w:tcW w:w="315" w:type="pct"/>
            <w:tcBorders>
              <w:top w:val="nil"/>
              <w:left w:val="nil"/>
              <w:bottom w:val="single" w:color="auto" w:sz="4" w:space="0"/>
              <w:right w:val="single" w:color="auto" w:sz="4" w:space="0"/>
            </w:tcBorders>
            <w:shd w:val="clear" w:color="auto" w:fill="auto"/>
            <w:vAlign w:val="center"/>
          </w:tcPr>
          <w:p w14:paraId="26AF8521">
            <w:pPr>
              <w:spacing w:line="280" w:lineRule="exact"/>
              <w:jc w:val="center"/>
              <w:rPr>
                <w:rFonts w:eastAsiaTheme="minorEastAsia"/>
                <w:spacing w:val="-10"/>
                <w:kern w:val="0"/>
                <w:szCs w:val="21"/>
              </w:rPr>
            </w:pPr>
            <w:r>
              <w:rPr>
                <w:rFonts w:eastAsiaTheme="minorEastAsia"/>
                <w:color w:val="000000"/>
              </w:rPr>
              <w:t>0.17</w:t>
            </w:r>
          </w:p>
        </w:tc>
        <w:tc>
          <w:tcPr>
            <w:tcW w:w="315" w:type="pct"/>
            <w:tcBorders>
              <w:top w:val="nil"/>
              <w:left w:val="nil"/>
              <w:bottom w:val="single" w:color="auto" w:sz="4" w:space="0"/>
              <w:right w:val="single" w:color="auto" w:sz="4" w:space="0"/>
            </w:tcBorders>
            <w:shd w:val="clear" w:color="auto" w:fill="auto"/>
            <w:vAlign w:val="center"/>
          </w:tcPr>
          <w:p w14:paraId="3692FD35">
            <w:pPr>
              <w:spacing w:line="280" w:lineRule="exact"/>
              <w:jc w:val="center"/>
              <w:rPr>
                <w:rFonts w:eastAsiaTheme="minorEastAsia"/>
                <w:spacing w:val="-10"/>
                <w:kern w:val="0"/>
                <w:szCs w:val="21"/>
              </w:rPr>
            </w:pPr>
            <w:r>
              <w:rPr>
                <w:rFonts w:eastAsiaTheme="minorEastAsia"/>
                <w:color w:val="000000"/>
              </w:rPr>
              <w:t>0.30</w:t>
            </w:r>
          </w:p>
        </w:tc>
        <w:tc>
          <w:tcPr>
            <w:tcW w:w="315" w:type="pct"/>
            <w:tcBorders>
              <w:top w:val="nil"/>
              <w:left w:val="nil"/>
              <w:bottom w:val="single" w:color="auto" w:sz="4" w:space="0"/>
              <w:right w:val="single" w:color="auto" w:sz="4" w:space="0"/>
            </w:tcBorders>
            <w:shd w:val="clear" w:color="auto" w:fill="auto"/>
            <w:noWrap/>
            <w:vAlign w:val="center"/>
          </w:tcPr>
          <w:p w14:paraId="4008B943">
            <w:pPr>
              <w:spacing w:line="280" w:lineRule="exact"/>
              <w:jc w:val="center"/>
              <w:rPr>
                <w:rFonts w:eastAsiaTheme="minorEastAsia"/>
                <w:spacing w:val="-10"/>
                <w:kern w:val="0"/>
                <w:szCs w:val="21"/>
              </w:rPr>
            </w:pPr>
            <w:r>
              <w:rPr>
                <w:rFonts w:eastAsiaTheme="minorEastAsia"/>
                <w:color w:val="000000"/>
              </w:rPr>
              <w:t>0.09</w:t>
            </w:r>
          </w:p>
        </w:tc>
        <w:tc>
          <w:tcPr>
            <w:tcW w:w="335" w:type="pct"/>
            <w:tcBorders>
              <w:top w:val="nil"/>
              <w:left w:val="nil"/>
              <w:bottom w:val="single" w:color="auto" w:sz="4" w:space="0"/>
              <w:right w:val="single" w:color="auto" w:sz="4" w:space="0"/>
            </w:tcBorders>
            <w:shd w:val="clear" w:color="auto" w:fill="auto"/>
            <w:vAlign w:val="center"/>
          </w:tcPr>
          <w:p w14:paraId="29B82578">
            <w:pPr>
              <w:widowControl/>
              <w:jc w:val="center"/>
              <w:rPr>
                <w:rFonts w:eastAsiaTheme="minorEastAsia"/>
                <w:kern w:val="0"/>
                <w:szCs w:val="21"/>
              </w:rPr>
            </w:pPr>
            <w:r>
              <w:rPr>
                <w:rFonts w:eastAsiaTheme="minorEastAsia"/>
                <w:color w:val="000000"/>
              </w:rPr>
              <w:t>0.07</w:t>
            </w:r>
          </w:p>
        </w:tc>
        <w:tc>
          <w:tcPr>
            <w:tcW w:w="335" w:type="pct"/>
            <w:tcBorders>
              <w:top w:val="nil"/>
              <w:left w:val="nil"/>
              <w:bottom w:val="single" w:color="auto" w:sz="4" w:space="0"/>
              <w:right w:val="single" w:color="auto" w:sz="4" w:space="0"/>
            </w:tcBorders>
            <w:shd w:val="clear" w:color="auto" w:fill="auto"/>
            <w:vAlign w:val="center"/>
          </w:tcPr>
          <w:p w14:paraId="1882362D">
            <w:pPr>
              <w:widowControl/>
              <w:jc w:val="center"/>
              <w:rPr>
                <w:rFonts w:eastAsiaTheme="minorEastAsia"/>
                <w:kern w:val="0"/>
                <w:szCs w:val="21"/>
              </w:rPr>
            </w:pPr>
            <w:r>
              <w:rPr>
                <w:rFonts w:eastAsiaTheme="minorEastAsia"/>
                <w:color w:val="000000"/>
              </w:rPr>
              <w:t>0.39</w:t>
            </w:r>
          </w:p>
        </w:tc>
        <w:tc>
          <w:tcPr>
            <w:tcW w:w="335" w:type="pct"/>
            <w:tcBorders>
              <w:top w:val="nil"/>
              <w:left w:val="nil"/>
              <w:bottom w:val="single" w:color="auto" w:sz="4" w:space="0"/>
              <w:right w:val="single" w:color="auto" w:sz="4" w:space="0"/>
            </w:tcBorders>
            <w:shd w:val="clear" w:color="auto" w:fill="auto"/>
            <w:vAlign w:val="center"/>
          </w:tcPr>
          <w:p w14:paraId="56651E0F">
            <w:pPr>
              <w:widowControl/>
              <w:jc w:val="center"/>
              <w:rPr>
                <w:rFonts w:eastAsiaTheme="minorEastAsia"/>
                <w:kern w:val="0"/>
                <w:szCs w:val="21"/>
              </w:rPr>
            </w:pPr>
            <w:r>
              <w:rPr>
                <w:rFonts w:eastAsiaTheme="minorEastAsia"/>
                <w:color w:val="000000"/>
              </w:rPr>
              <w:t>0.04</w:t>
            </w:r>
          </w:p>
        </w:tc>
        <w:tc>
          <w:tcPr>
            <w:tcW w:w="335" w:type="pct"/>
            <w:tcBorders>
              <w:top w:val="nil"/>
              <w:left w:val="nil"/>
              <w:bottom w:val="single" w:color="auto" w:sz="4" w:space="0"/>
              <w:right w:val="single" w:color="auto" w:sz="4" w:space="0"/>
            </w:tcBorders>
            <w:shd w:val="clear" w:color="auto" w:fill="auto"/>
            <w:vAlign w:val="center"/>
          </w:tcPr>
          <w:p w14:paraId="003F0AC2">
            <w:pPr>
              <w:widowControl/>
              <w:jc w:val="center"/>
              <w:rPr>
                <w:rFonts w:eastAsiaTheme="minorEastAsia"/>
                <w:kern w:val="0"/>
                <w:szCs w:val="21"/>
              </w:rPr>
            </w:pPr>
            <w:r>
              <w:rPr>
                <w:rFonts w:eastAsiaTheme="minorEastAsia"/>
                <w:color w:val="000000"/>
              </w:rPr>
              <w:t>0.03</w:t>
            </w:r>
          </w:p>
        </w:tc>
        <w:tc>
          <w:tcPr>
            <w:tcW w:w="336" w:type="pct"/>
            <w:tcBorders>
              <w:top w:val="nil"/>
              <w:left w:val="nil"/>
              <w:bottom w:val="single" w:color="auto" w:sz="4" w:space="0"/>
              <w:right w:val="single" w:color="auto" w:sz="4" w:space="0"/>
            </w:tcBorders>
            <w:shd w:val="clear" w:color="auto" w:fill="auto"/>
            <w:vAlign w:val="center"/>
          </w:tcPr>
          <w:p w14:paraId="5C0FE93F">
            <w:pPr>
              <w:widowControl/>
              <w:jc w:val="center"/>
              <w:rPr>
                <w:rFonts w:eastAsiaTheme="minorEastAsia"/>
                <w:kern w:val="0"/>
                <w:szCs w:val="21"/>
              </w:rPr>
            </w:pPr>
            <w:r>
              <w:rPr>
                <w:rFonts w:eastAsiaTheme="minorEastAsia"/>
                <w:color w:val="000000"/>
              </w:rPr>
              <w:t>0.5</w:t>
            </w:r>
          </w:p>
        </w:tc>
      </w:tr>
      <w:tr w14:paraId="2B90EB40">
        <w:tblPrEx>
          <w:tblCellMar>
            <w:top w:w="0" w:type="dxa"/>
            <w:left w:w="108" w:type="dxa"/>
            <w:bottom w:w="0" w:type="dxa"/>
            <w:right w:w="108" w:type="dxa"/>
          </w:tblCellMar>
        </w:tblPrEx>
        <w:trPr>
          <w:trHeight w:val="480" w:hRule="atLeast"/>
        </w:trPr>
        <w:tc>
          <w:tcPr>
            <w:tcW w:w="243" w:type="pct"/>
            <w:vMerge w:val="continue"/>
            <w:tcBorders>
              <w:top w:val="nil"/>
              <w:left w:val="single" w:color="auto" w:sz="4" w:space="0"/>
              <w:bottom w:val="single" w:color="auto" w:sz="4" w:space="0"/>
              <w:right w:val="single" w:color="auto" w:sz="4" w:space="0"/>
            </w:tcBorders>
            <w:vAlign w:val="center"/>
          </w:tcPr>
          <w:p w14:paraId="230166CA">
            <w:pPr>
              <w:spacing w:line="280" w:lineRule="exact"/>
              <w:jc w:val="center"/>
              <w:rPr>
                <w:rFonts w:eastAsiaTheme="minorEastAsia"/>
                <w:spacing w:val="-10"/>
                <w:kern w:val="0"/>
                <w:szCs w:val="21"/>
              </w:rPr>
            </w:pPr>
          </w:p>
        </w:tc>
        <w:tc>
          <w:tcPr>
            <w:tcW w:w="557" w:type="pct"/>
            <w:tcBorders>
              <w:top w:val="nil"/>
              <w:left w:val="nil"/>
              <w:bottom w:val="single" w:color="auto" w:sz="4" w:space="0"/>
              <w:right w:val="single" w:color="auto" w:sz="4" w:space="0"/>
            </w:tcBorders>
            <w:shd w:val="clear" w:color="auto" w:fill="auto"/>
            <w:vAlign w:val="center"/>
          </w:tcPr>
          <w:p w14:paraId="07D129B4">
            <w:pPr>
              <w:spacing w:line="280" w:lineRule="exact"/>
              <w:jc w:val="center"/>
              <w:rPr>
                <w:rFonts w:eastAsiaTheme="minorEastAsia"/>
                <w:spacing w:val="-10"/>
                <w:kern w:val="0"/>
                <w:szCs w:val="21"/>
              </w:rPr>
            </w:pPr>
            <w:r>
              <w:rPr>
                <w:rFonts w:eastAsiaTheme="minorEastAsia"/>
                <w:color w:val="000000"/>
              </w:rPr>
              <w:t>总磷</w:t>
            </w:r>
          </w:p>
        </w:tc>
        <w:tc>
          <w:tcPr>
            <w:tcW w:w="315" w:type="pct"/>
            <w:tcBorders>
              <w:top w:val="nil"/>
              <w:left w:val="nil"/>
              <w:bottom w:val="single" w:color="auto" w:sz="4" w:space="0"/>
              <w:right w:val="single" w:color="auto" w:sz="4" w:space="0"/>
            </w:tcBorders>
            <w:shd w:val="clear" w:color="auto" w:fill="auto"/>
            <w:vAlign w:val="center"/>
          </w:tcPr>
          <w:p w14:paraId="7E399B74">
            <w:pPr>
              <w:spacing w:line="280" w:lineRule="exact"/>
              <w:jc w:val="center"/>
              <w:rPr>
                <w:rFonts w:eastAsiaTheme="minorEastAsia"/>
                <w:spacing w:val="-10"/>
                <w:kern w:val="0"/>
                <w:szCs w:val="21"/>
              </w:rPr>
            </w:pPr>
            <w:r>
              <w:rPr>
                <w:rFonts w:eastAsiaTheme="minorEastAsia"/>
                <w:color w:val="000000"/>
              </w:rPr>
              <w:t>0.1</w:t>
            </w:r>
          </w:p>
        </w:tc>
        <w:tc>
          <w:tcPr>
            <w:tcW w:w="316" w:type="pct"/>
            <w:tcBorders>
              <w:top w:val="nil"/>
              <w:left w:val="nil"/>
              <w:bottom w:val="single" w:color="auto" w:sz="4" w:space="0"/>
              <w:right w:val="single" w:color="auto" w:sz="4" w:space="0"/>
            </w:tcBorders>
            <w:shd w:val="clear" w:color="auto" w:fill="auto"/>
            <w:vAlign w:val="center"/>
          </w:tcPr>
          <w:p w14:paraId="030DB2C5">
            <w:pPr>
              <w:spacing w:line="280" w:lineRule="exact"/>
              <w:jc w:val="center"/>
              <w:rPr>
                <w:rFonts w:eastAsiaTheme="minorEastAsia"/>
                <w:spacing w:val="-10"/>
                <w:kern w:val="0"/>
                <w:szCs w:val="21"/>
              </w:rPr>
            </w:pPr>
            <w:r>
              <w:rPr>
                <w:rFonts w:eastAsiaTheme="minorEastAsia"/>
                <w:color w:val="000000"/>
              </w:rPr>
              <w:t>0.01</w:t>
            </w:r>
          </w:p>
        </w:tc>
        <w:tc>
          <w:tcPr>
            <w:tcW w:w="315" w:type="pct"/>
            <w:tcBorders>
              <w:top w:val="nil"/>
              <w:left w:val="nil"/>
              <w:bottom w:val="single" w:color="auto" w:sz="4" w:space="0"/>
              <w:right w:val="single" w:color="auto" w:sz="4" w:space="0"/>
            </w:tcBorders>
            <w:shd w:val="clear" w:color="auto" w:fill="auto"/>
            <w:vAlign w:val="center"/>
          </w:tcPr>
          <w:p w14:paraId="3F8FEC55">
            <w:pPr>
              <w:spacing w:line="280" w:lineRule="exact"/>
              <w:jc w:val="center"/>
              <w:rPr>
                <w:rFonts w:eastAsiaTheme="minorEastAsia"/>
                <w:spacing w:val="-10"/>
                <w:kern w:val="0"/>
                <w:szCs w:val="21"/>
              </w:rPr>
            </w:pPr>
            <w:r>
              <w:rPr>
                <w:rFonts w:eastAsiaTheme="minorEastAsia"/>
                <w:color w:val="000000"/>
              </w:rPr>
              <w:t>0.007</w:t>
            </w:r>
          </w:p>
        </w:tc>
        <w:tc>
          <w:tcPr>
            <w:tcW w:w="315" w:type="pct"/>
            <w:tcBorders>
              <w:top w:val="nil"/>
              <w:left w:val="nil"/>
              <w:bottom w:val="single" w:color="auto" w:sz="4" w:space="0"/>
              <w:right w:val="single" w:color="auto" w:sz="4" w:space="0"/>
            </w:tcBorders>
            <w:shd w:val="clear" w:color="auto" w:fill="auto"/>
            <w:vAlign w:val="center"/>
          </w:tcPr>
          <w:p w14:paraId="0F6A5EA3">
            <w:pPr>
              <w:spacing w:line="280" w:lineRule="exact"/>
              <w:jc w:val="center"/>
              <w:rPr>
                <w:rFonts w:eastAsiaTheme="minorEastAsia"/>
                <w:spacing w:val="-10"/>
                <w:kern w:val="0"/>
                <w:szCs w:val="21"/>
              </w:rPr>
            </w:pPr>
            <w:r>
              <w:rPr>
                <w:rFonts w:eastAsiaTheme="minorEastAsia"/>
                <w:color w:val="000000"/>
              </w:rPr>
              <w:t>0.02</w:t>
            </w:r>
          </w:p>
        </w:tc>
        <w:tc>
          <w:tcPr>
            <w:tcW w:w="315" w:type="pct"/>
            <w:tcBorders>
              <w:top w:val="nil"/>
              <w:left w:val="nil"/>
              <w:bottom w:val="single" w:color="auto" w:sz="4" w:space="0"/>
              <w:right w:val="single" w:color="auto" w:sz="4" w:space="0"/>
            </w:tcBorders>
            <w:shd w:val="clear" w:color="auto" w:fill="auto"/>
            <w:vAlign w:val="center"/>
          </w:tcPr>
          <w:p w14:paraId="7EBD50F4">
            <w:pPr>
              <w:spacing w:line="280" w:lineRule="exact"/>
              <w:jc w:val="center"/>
              <w:rPr>
                <w:rFonts w:eastAsiaTheme="minorEastAsia"/>
                <w:spacing w:val="-10"/>
                <w:kern w:val="0"/>
                <w:szCs w:val="21"/>
              </w:rPr>
            </w:pPr>
            <w:r>
              <w:rPr>
                <w:rFonts w:eastAsiaTheme="minorEastAsia"/>
                <w:color w:val="000000"/>
              </w:rPr>
              <w:t>0.008</w:t>
            </w:r>
          </w:p>
        </w:tc>
        <w:tc>
          <w:tcPr>
            <w:tcW w:w="315" w:type="pct"/>
            <w:tcBorders>
              <w:top w:val="nil"/>
              <w:left w:val="nil"/>
              <w:bottom w:val="single" w:color="auto" w:sz="4" w:space="0"/>
              <w:right w:val="single" w:color="auto" w:sz="4" w:space="0"/>
            </w:tcBorders>
            <w:shd w:val="clear" w:color="auto" w:fill="auto"/>
            <w:vAlign w:val="center"/>
          </w:tcPr>
          <w:p w14:paraId="3FD79441">
            <w:pPr>
              <w:spacing w:line="280" w:lineRule="exact"/>
              <w:jc w:val="center"/>
              <w:rPr>
                <w:rFonts w:eastAsiaTheme="minorEastAsia"/>
                <w:spacing w:val="-10"/>
                <w:kern w:val="0"/>
                <w:szCs w:val="21"/>
              </w:rPr>
            </w:pPr>
            <w:r>
              <w:rPr>
                <w:rFonts w:eastAsiaTheme="minorEastAsia"/>
                <w:color w:val="000000"/>
              </w:rPr>
              <w:t>0.025</w:t>
            </w:r>
          </w:p>
        </w:tc>
        <w:tc>
          <w:tcPr>
            <w:tcW w:w="315" w:type="pct"/>
            <w:tcBorders>
              <w:top w:val="nil"/>
              <w:left w:val="nil"/>
              <w:bottom w:val="single" w:color="auto" w:sz="4" w:space="0"/>
              <w:right w:val="single" w:color="auto" w:sz="4" w:space="0"/>
            </w:tcBorders>
            <w:shd w:val="clear" w:color="auto" w:fill="auto"/>
            <w:vAlign w:val="center"/>
          </w:tcPr>
          <w:p w14:paraId="4C5F65F1">
            <w:pPr>
              <w:spacing w:line="280" w:lineRule="exact"/>
              <w:jc w:val="center"/>
              <w:rPr>
                <w:rFonts w:eastAsiaTheme="minorEastAsia"/>
                <w:spacing w:val="-10"/>
                <w:kern w:val="0"/>
                <w:szCs w:val="21"/>
              </w:rPr>
            </w:pPr>
            <w:r>
              <w:rPr>
                <w:rFonts w:eastAsiaTheme="minorEastAsia"/>
                <w:color w:val="000000"/>
              </w:rPr>
              <w:t>0.01</w:t>
            </w:r>
          </w:p>
        </w:tc>
        <w:tc>
          <w:tcPr>
            <w:tcW w:w="315" w:type="pct"/>
            <w:tcBorders>
              <w:top w:val="nil"/>
              <w:left w:val="nil"/>
              <w:bottom w:val="single" w:color="auto" w:sz="4" w:space="0"/>
              <w:right w:val="single" w:color="auto" w:sz="4" w:space="0"/>
            </w:tcBorders>
            <w:shd w:val="clear" w:color="auto" w:fill="auto"/>
            <w:noWrap/>
            <w:vAlign w:val="center"/>
          </w:tcPr>
          <w:p w14:paraId="02D6B0B6">
            <w:pPr>
              <w:spacing w:line="280" w:lineRule="exact"/>
              <w:jc w:val="center"/>
              <w:rPr>
                <w:rFonts w:eastAsiaTheme="minorEastAsia"/>
                <w:spacing w:val="-10"/>
                <w:kern w:val="0"/>
                <w:szCs w:val="21"/>
              </w:rPr>
            </w:pPr>
            <w:r>
              <w:rPr>
                <w:rFonts w:eastAsiaTheme="minorEastAsia"/>
                <w:color w:val="000000"/>
              </w:rPr>
              <w:t>0.263</w:t>
            </w:r>
          </w:p>
        </w:tc>
        <w:tc>
          <w:tcPr>
            <w:tcW w:w="335" w:type="pct"/>
            <w:tcBorders>
              <w:top w:val="nil"/>
              <w:left w:val="nil"/>
              <w:bottom w:val="single" w:color="auto" w:sz="4" w:space="0"/>
              <w:right w:val="single" w:color="auto" w:sz="4" w:space="0"/>
            </w:tcBorders>
            <w:shd w:val="clear" w:color="auto" w:fill="auto"/>
            <w:vAlign w:val="center"/>
          </w:tcPr>
          <w:p w14:paraId="0145E7A6">
            <w:pPr>
              <w:widowControl/>
              <w:jc w:val="center"/>
              <w:rPr>
                <w:rFonts w:eastAsiaTheme="minorEastAsia"/>
                <w:kern w:val="0"/>
                <w:szCs w:val="21"/>
              </w:rPr>
            </w:pPr>
            <w:r>
              <w:rPr>
                <w:rFonts w:eastAsiaTheme="minorEastAsia"/>
                <w:color w:val="000000"/>
              </w:rPr>
              <w:t>0.09</w:t>
            </w:r>
          </w:p>
        </w:tc>
        <w:tc>
          <w:tcPr>
            <w:tcW w:w="335" w:type="pct"/>
            <w:tcBorders>
              <w:top w:val="nil"/>
              <w:left w:val="nil"/>
              <w:bottom w:val="single" w:color="auto" w:sz="4" w:space="0"/>
              <w:right w:val="single" w:color="auto" w:sz="4" w:space="0"/>
            </w:tcBorders>
            <w:shd w:val="clear" w:color="auto" w:fill="auto"/>
            <w:vAlign w:val="center"/>
          </w:tcPr>
          <w:p w14:paraId="71D48141">
            <w:pPr>
              <w:widowControl/>
              <w:jc w:val="center"/>
              <w:rPr>
                <w:rFonts w:eastAsiaTheme="minorEastAsia"/>
                <w:kern w:val="0"/>
                <w:szCs w:val="21"/>
              </w:rPr>
            </w:pPr>
            <w:r>
              <w:rPr>
                <w:rFonts w:eastAsiaTheme="minorEastAsia"/>
                <w:color w:val="000000"/>
              </w:rPr>
              <w:t>0.094</w:t>
            </w:r>
          </w:p>
        </w:tc>
        <w:tc>
          <w:tcPr>
            <w:tcW w:w="335" w:type="pct"/>
            <w:tcBorders>
              <w:top w:val="nil"/>
              <w:left w:val="nil"/>
              <w:bottom w:val="single" w:color="auto" w:sz="4" w:space="0"/>
              <w:right w:val="single" w:color="auto" w:sz="4" w:space="0"/>
            </w:tcBorders>
            <w:shd w:val="clear" w:color="auto" w:fill="auto"/>
            <w:vAlign w:val="center"/>
          </w:tcPr>
          <w:p w14:paraId="006F8310">
            <w:pPr>
              <w:widowControl/>
              <w:jc w:val="center"/>
              <w:rPr>
                <w:rFonts w:eastAsiaTheme="minorEastAsia"/>
                <w:kern w:val="0"/>
                <w:szCs w:val="21"/>
              </w:rPr>
            </w:pPr>
            <w:r>
              <w:rPr>
                <w:rFonts w:eastAsiaTheme="minorEastAsia"/>
                <w:color w:val="000000"/>
              </w:rPr>
              <w:t>0.015</w:t>
            </w:r>
          </w:p>
        </w:tc>
        <w:tc>
          <w:tcPr>
            <w:tcW w:w="335" w:type="pct"/>
            <w:tcBorders>
              <w:top w:val="nil"/>
              <w:left w:val="nil"/>
              <w:bottom w:val="single" w:color="auto" w:sz="4" w:space="0"/>
              <w:right w:val="single" w:color="auto" w:sz="4" w:space="0"/>
            </w:tcBorders>
            <w:shd w:val="clear" w:color="auto" w:fill="auto"/>
            <w:vAlign w:val="center"/>
          </w:tcPr>
          <w:p w14:paraId="5103A533">
            <w:pPr>
              <w:widowControl/>
              <w:jc w:val="center"/>
              <w:rPr>
                <w:rFonts w:eastAsiaTheme="minorEastAsia"/>
                <w:kern w:val="0"/>
                <w:szCs w:val="21"/>
              </w:rPr>
            </w:pPr>
            <w:r>
              <w:rPr>
                <w:rFonts w:eastAsiaTheme="minorEastAsia"/>
                <w:color w:val="000000"/>
              </w:rPr>
              <w:t>0.009</w:t>
            </w:r>
          </w:p>
        </w:tc>
        <w:tc>
          <w:tcPr>
            <w:tcW w:w="336" w:type="pct"/>
            <w:tcBorders>
              <w:top w:val="nil"/>
              <w:left w:val="nil"/>
              <w:bottom w:val="single" w:color="auto" w:sz="4" w:space="0"/>
              <w:right w:val="single" w:color="auto" w:sz="4" w:space="0"/>
            </w:tcBorders>
            <w:shd w:val="clear" w:color="auto" w:fill="auto"/>
            <w:vAlign w:val="center"/>
          </w:tcPr>
          <w:p w14:paraId="63616C9F">
            <w:pPr>
              <w:widowControl/>
              <w:jc w:val="center"/>
              <w:rPr>
                <w:rFonts w:eastAsiaTheme="minorEastAsia"/>
                <w:kern w:val="0"/>
                <w:szCs w:val="21"/>
              </w:rPr>
            </w:pPr>
            <w:r>
              <w:rPr>
                <w:rFonts w:eastAsiaTheme="minorEastAsia"/>
                <w:color w:val="000000"/>
              </w:rPr>
              <w:t>0.1</w:t>
            </w:r>
          </w:p>
        </w:tc>
      </w:tr>
      <w:bookmarkEnd w:id="101"/>
      <w:tr w14:paraId="2EFDC544">
        <w:tblPrEx>
          <w:tblCellMar>
            <w:top w:w="0" w:type="dxa"/>
            <w:left w:w="108" w:type="dxa"/>
            <w:bottom w:w="0" w:type="dxa"/>
            <w:right w:w="108" w:type="dxa"/>
          </w:tblCellMar>
        </w:tblPrEx>
        <w:trPr>
          <w:trHeight w:val="480" w:hRule="atLeast"/>
        </w:trPr>
        <w:tc>
          <w:tcPr>
            <w:tcW w:w="243" w:type="pct"/>
            <w:vMerge w:val="continue"/>
            <w:tcBorders>
              <w:top w:val="nil"/>
              <w:left w:val="single" w:color="auto" w:sz="4" w:space="0"/>
              <w:bottom w:val="single" w:color="auto" w:sz="4" w:space="0"/>
              <w:right w:val="single" w:color="auto" w:sz="4" w:space="0"/>
            </w:tcBorders>
            <w:vAlign w:val="center"/>
          </w:tcPr>
          <w:p w14:paraId="719DC7C5">
            <w:pPr>
              <w:spacing w:line="280" w:lineRule="exact"/>
              <w:jc w:val="center"/>
              <w:rPr>
                <w:rFonts w:eastAsiaTheme="minorEastAsia"/>
                <w:spacing w:val="-10"/>
                <w:kern w:val="0"/>
                <w:szCs w:val="21"/>
              </w:rPr>
            </w:pPr>
          </w:p>
        </w:tc>
        <w:tc>
          <w:tcPr>
            <w:tcW w:w="557" w:type="pct"/>
            <w:tcBorders>
              <w:top w:val="nil"/>
              <w:left w:val="nil"/>
              <w:bottom w:val="single" w:color="auto" w:sz="4" w:space="0"/>
              <w:right w:val="single" w:color="auto" w:sz="4" w:space="0"/>
            </w:tcBorders>
            <w:shd w:val="clear" w:color="auto" w:fill="auto"/>
            <w:vAlign w:val="center"/>
          </w:tcPr>
          <w:p w14:paraId="4D05C262">
            <w:pPr>
              <w:spacing w:line="280" w:lineRule="exact"/>
              <w:jc w:val="center"/>
              <w:rPr>
                <w:rFonts w:eastAsiaTheme="minorEastAsia"/>
                <w:spacing w:val="-10"/>
                <w:kern w:val="0"/>
                <w:szCs w:val="21"/>
              </w:rPr>
            </w:pPr>
            <w:r>
              <w:rPr>
                <w:rFonts w:eastAsiaTheme="minorEastAsia"/>
                <w:color w:val="000000"/>
              </w:rPr>
              <w:t>总氮</w:t>
            </w:r>
          </w:p>
        </w:tc>
        <w:tc>
          <w:tcPr>
            <w:tcW w:w="315" w:type="pct"/>
            <w:tcBorders>
              <w:top w:val="nil"/>
              <w:left w:val="nil"/>
              <w:bottom w:val="single" w:color="auto" w:sz="4" w:space="0"/>
              <w:right w:val="single" w:color="auto" w:sz="4" w:space="0"/>
            </w:tcBorders>
            <w:shd w:val="clear" w:color="auto" w:fill="auto"/>
            <w:vAlign w:val="center"/>
          </w:tcPr>
          <w:p w14:paraId="70FF0024">
            <w:pPr>
              <w:spacing w:line="280" w:lineRule="exact"/>
              <w:jc w:val="center"/>
              <w:rPr>
                <w:rFonts w:eastAsiaTheme="minorEastAsia"/>
                <w:spacing w:val="-10"/>
                <w:kern w:val="0"/>
                <w:szCs w:val="21"/>
              </w:rPr>
            </w:pPr>
            <w:r>
              <w:rPr>
                <w:rFonts w:eastAsiaTheme="minorEastAsia"/>
                <w:color w:val="000000"/>
              </w:rPr>
              <w:t>8.5</w:t>
            </w:r>
          </w:p>
        </w:tc>
        <w:tc>
          <w:tcPr>
            <w:tcW w:w="316" w:type="pct"/>
            <w:tcBorders>
              <w:top w:val="nil"/>
              <w:left w:val="nil"/>
              <w:bottom w:val="single" w:color="auto" w:sz="4" w:space="0"/>
              <w:right w:val="single" w:color="auto" w:sz="4" w:space="0"/>
            </w:tcBorders>
            <w:shd w:val="clear" w:color="auto" w:fill="auto"/>
            <w:vAlign w:val="center"/>
          </w:tcPr>
          <w:p w14:paraId="01B55D6B">
            <w:pPr>
              <w:spacing w:line="280" w:lineRule="exact"/>
              <w:jc w:val="center"/>
              <w:rPr>
                <w:rFonts w:eastAsiaTheme="minorEastAsia"/>
                <w:spacing w:val="-10"/>
                <w:kern w:val="0"/>
                <w:szCs w:val="21"/>
              </w:rPr>
            </w:pPr>
            <w:r>
              <w:rPr>
                <w:rFonts w:eastAsiaTheme="minorEastAsia"/>
                <w:color w:val="000000"/>
              </w:rPr>
              <w:t>7.4</w:t>
            </w:r>
          </w:p>
        </w:tc>
        <w:tc>
          <w:tcPr>
            <w:tcW w:w="315" w:type="pct"/>
            <w:tcBorders>
              <w:top w:val="nil"/>
              <w:left w:val="nil"/>
              <w:bottom w:val="single" w:color="auto" w:sz="4" w:space="0"/>
              <w:right w:val="single" w:color="auto" w:sz="4" w:space="0"/>
            </w:tcBorders>
            <w:shd w:val="clear" w:color="auto" w:fill="auto"/>
            <w:vAlign w:val="center"/>
          </w:tcPr>
          <w:p w14:paraId="25CD7A8F">
            <w:pPr>
              <w:spacing w:line="280" w:lineRule="exact"/>
              <w:jc w:val="center"/>
              <w:rPr>
                <w:rFonts w:eastAsiaTheme="minorEastAsia"/>
                <w:spacing w:val="-10"/>
                <w:kern w:val="0"/>
                <w:szCs w:val="21"/>
              </w:rPr>
            </w:pPr>
            <w:r>
              <w:rPr>
                <w:rFonts w:eastAsiaTheme="minorEastAsia"/>
                <w:color w:val="000000"/>
              </w:rPr>
              <w:t>7.65</w:t>
            </w:r>
          </w:p>
        </w:tc>
        <w:tc>
          <w:tcPr>
            <w:tcW w:w="315" w:type="pct"/>
            <w:tcBorders>
              <w:top w:val="nil"/>
              <w:left w:val="nil"/>
              <w:bottom w:val="single" w:color="auto" w:sz="4" w:space="0"/>
              <w:right w:val="single" w:color="auto" w:sz="4" w:space="0"/>
            </w:tcBorders>
            <w:shd w:val="clear" w:color="auto" w:fill="auto"/>
            <w:vAlign w:val="center"/>
          </w:tcPr>
          <w:p w14:paraId="56E38BA1">
            <w:pPr>
              <w:spacing w:line="280" w:lineRule="exact"/>
              <w:jc w:val="center"/>
              <w:rPr>
                <w:rFonts w:eastAsiaTheme="minorEastAsia"/>
                <w:spacing w:val="-10"/>
                <w:kern w:val="0"/>
                <w:szCs w:val="21"/>
              </w:rPr>
            </w:pPr>
            <w:r>
              <w:rPr>
                <w:rFonts w:eastAsiaTheme="minorEastAsia"/>
                <w:color w:val="000000"/>
              </w:rPr>
              <w:t>5.22</w:t>
            </w:r>
          </w:p>
        </w:tc>
        <w:tc>
          <w:tcPr>
            <w:tcW w:w="315" w:type="pct"/>
            <w:tcBorders>
              <w:top w:val="nil"/>
              <w:left w:val="nil"/>
              <w:bottom w:val="single" w:color="auto" w:sz="4" w:space="0"/>
              <w:right w:val="single" w:color="auto" w:sz="4" w:space="0"/>
            </w:tcBorders>
            <w:shd w:val="clear" w:color="auto" w:fill="auto"/>
            <w:vAlign w:val="center"/>
          </w:tcPr>
          <w:p w14:paraId="72707B7F">
            <w:pPr>
              <w:spacing w:line="280" w:lineRule="exact"/>
              <w:jc w:val="center"/>
              <w:rPr>
                <w:rFonts w:eastAsiaTheme="minorEastAsia"/>
                <w:spacing w:val="-10"/>
                <w:kern w:val="0"/>
                <w:szCs w:val="21"/>
              </w:rPr>
            </w:pPr>
            <w:r>
              <w:rPr>
                <w:rFonts w:eastAsiaTheme="minorEastAsia"/>
                <w:color w:val="000000"/>
              </w:rPr>
              <w:t>3.33</w:t>
            </w:r>
          </w:p>
        </w:tc>
        <w:tc>
          <w:tcPr>
            <w:tcW w:w="315" w:type="pct"/>
            <w:tcBorders>
              <w:top w:val="nil"/>
              <w:left w:val="nil"/>
              <w:bottom w:val="single" w:color="auto" w:sz="4" w:space="0"/>
              <w:right w:val="single" w:color="auto" w:sz="4" w:space="0"/>
            </w:tcBorders>
            <w:shd w:val="clear" w:color="auto" w:fill="auto"/>
            <w:vAlign w:val="center"/>
          </w:tcPr>
          <w:p w14:paraId="603EB96F">
            <w:pPr>
              <w:spacing w:line="280" w:lineRule="exact"/>
              <w:jc w:val="center"/>
              <w:rPr>
                <w:rFonts w:eastAsiaTheme="minorEastAsia"/>
                <w:spacing w:val="-10"/>
                <w:kern w:val="0"/>
                <w:szCs w:val="21"/>
              </w:rPr>
            </w:pPr>
            <w:r>
              <w:rPr>
                <w:rFonts w:eastAsiaTheme="minorEastAsia"/>
                <w:color w:val="000000"/>
              </w:rPr>
              <w:t>2.26</w:t>
            </w:r>
          </w:p>
        </w:tc>
        <w:tc>
          <w:tcPr>
            <w:tcW w:w="315" w:type="pct"/>
            <w:tcBorders>
              <w:top w:val="nil"/>
              <w:left w:val="nil"/>
              <w:bottom w:val="single" w:color="auto" w:sz="4" w:space="0"/>
              <w:right w:val="single" w:color="auto" w:sz="4" w:space="0"/>
            </w:tcBorders>
            <w:shd w:val="clear" w:color="auto" w:fill="auto"/>
            <w:vAlign w:val="center"/>
          </w:tcPr>
          <w:p w14:paraId="615CD2BB">
            <w:pPr>
              <w:spacing w:line="280" w:lineRule="exact"/>
              <w:jc w:val="center"/>
              <w:rPr>
                <w:rFonts w:eastAsiaTheme="minorEastAsia"/>
                <w:spacing w:val="-10"/>
                <w:kern w:val="0"/>
                <w:szCs w:val="21"/>
              </w:rPr>
            </w:pPr>
            <w:r>
              <w:rPr>
                <w:rFonts w:eastAsiaTheme="minorEastAsia"/>
                <w:color w:val="000000"/>
              </w:rPr>
              <w:t>1.22</w:t>
            </w:r>
          </w:p>
        </w:tc>
        <w:tc>
          <w:tcPr>
            <w:tcW w:w="315" w:type="pct"/>
            <w:tcBorders>
              <w:top w:val="nil"/>
              <w:left w:val="nil"/>
              <w:bottom w:val="single" w:color="auto" w:sz="4" w:space="0"/>
              <w:right w:val="single" w:color="auto" w:sz="4" w:space="0"/>
            </w:tcBorders>
            <w:shd w:val="clear" w:color="auto" w:fill="auto"/>
            <w:noWrap/>
            <w:vAlign w:val="center"/>
          </w:tcPr>
          <w:p w14:paraId="410D2FFE">
            <w:pPr>
              <w:spacing w:line="280" w:lineRule="exact"/>
              <w:jc w:val="center"/>
              <w:rPr>
                <w:rFonts w:eastAsiaTheme="minorEastAsia"/>
                <w:spacing w:val="-10"/>
                <w:kern w:val="0"/>
                <w:szCs w:val="21"/>
              </w:rPr>
            </w:pPr>
            <w:r>
              <w:rPr>
                <w:rFonts w:eastAsiaTheme="minorEastAsia"/>
                <w:color w:val="000000"/>
              </w:rPr>
              <w:t>9.32</w:t>
            </w:r>
          </w:p>
        </w:tc>
        <w:tc>
          <w:tcPr>
            <w:tcW w:w="335" w:type="pct"/>
            <w:tcBorders>
              <w:top w:val="nil"/>
              <w:left w:val="nil"/>
              <w:bottom w:val="single" w:color="auto" w:sz="4" w:space="0"/>
              <w:right w:val="single" w:color="auto" w:sz="4" w:space="0"/>
            </w:tcBorders>
            <w:shd w:val="clear" w:color="auto" w:fill="auto"/>
            <w:vAlign w:val="center"/>
          </w:tcPr>
          <w:p w14:paraId="31F6F7DE">
            <w:pPr>
              <w:widowControl/>
              <w:jc w:val="center"/>
              <w:rPr>
                <w:rFonts w:eastAsiaTheme="minorEastAsia"/>
                <w:kern w:val="0"/>
                <w:szCs w:val="21"/>
              </w:rPr>
            </w:pPr>
            <w:r>
              <w:rPr>
                <w:rFonts w:eastAsiaTheme="minorEastAsia"/>
                <w:color w:val="000000"/>
              </w:rPr>
              <w:t>9.41</w:t>
            </w:r>
          </w:p>
        </w:tc>
        <w:tc>
          <w:tcPr>
            <w:tcW w:w="335" w:type="pct"/>
            <w:tcBorders>
              <w:top w:val="nil"/>
              <w:left w:val="nil"/>
              <w:bottom w:val="single" w:color="auto" w:sz="4" w:space="0"/>
              <w:right w:val="single" w:color="auto" w:sz="4" w:space="0"/>
            </w:tcBorders>
            <w:shd w:val="clear" w:color="auto" w:fill="auto"/>
            <w:vAlign w:val="center"/>
          </w:tcPr>
          <w:p w14:paraId="6A8FDC42">
            <w:pPr>
              <w:widowControl/>
              <w:jc w:val="center"/>
              <w:rPr>
                <w:rFonts w:eastAsiaTheme="minorEastAsia"/>
                <w:kern w:val="0"/>
                <w:szCs w:val="21"/>
              </w:rPr>
            </w:pPr>
            <w:r>
              <w:rPr>
                <w:rFonts w:eastAsiaTheme="minorEastAsia"/>
                <w:color w:val="000000"/>
              </w:rPr>
              <w:t>12.22</w:t>
            </w:r>
          </w:p>
        </w:tc>
        <w:tc>
          <w:tcPr>
            <w:tcW w:w="335" w:type="pct"/>
            <w:tcBorders>
              <w:top w:val="nil"/>
              <w:left w:val="nil"/>
              <w:bottom w:val="single" w:color="auto" w:sz="4" w:space="0"/>
              <w:right w:val="single" w:color="auto" w:sz="4" w:space="0"/>
            </w:tcBorders>
            <w:shd w:val="clear" w:color="auto" w:fill="auto"/>
            <w:vAlign w:val="center"/>
          </w:tcPr>
          <w:p w14:paraId="2C01BD4C">
            <w:pPr>
              <w:widowControl/>
              <w:jc w:val="center"/>
              <w:rPr>
                <w:rFonts w:eastAsiaTheme="minorEastAsia"/>
                <w:kern w:val="0"/>
                <w:szCs w:val="21"/>
              </w:rPr>
            </w:pPr>
            <w:r>
              <w:rPr>
                <w:rFonts w:eastAsiaTheme="minorEastAsia"/>
                <w:color w:val="000000"/>
              </w:rPr>
              <w:t>12.41</w:t>
            </w:r>
          </w:p>
        </w:tc>
        <w:tc>
          <w:tcPr>
            <w:tcW w:w="335" w:type="pct"/>
            <w:tcBorders>
              <w:top w:val="nil"/>
              <w:left w:val="nil"/>
              <w:bottom w:val="single" w:color="auto" w:sz="4" w:space="0"/>
              <w:right w:val="single" w:color="auto" w:sz="4" w:space="0"/>
            </w:tcBorders>
            <w:shd w:val="clear" w:color="auto" w:fill="auto"/>
            <w:vAlign w:val="center"/>
          </w:tcPr>
          <w:p w14:paraId="59C7E6F9">
            <w:pPr>
              <w:widowControl/>
              <w:jc w:val="center"/>
              <w:rPr>
                <w:rFonts w:eastAsiaTheme="minorEastAsia"/>
                <w:kern w:val="0"/>
                <w:szCs w:val="21"/>
              </w:rPr>
            </w:pPr>
            <w:r>
              <w:rPr>
                <w:rFonts w:eastAsiaTheme="minorEastAsia"/>
                <w:color w:val="000000"/>
              </w:rPr>
              <w:t>13.59</w:t>
            </w:r>
          </w:p>
        </w:tc>
        <w:tc>
          <w:tcPr>
            <w:tcW w:w="336" w:type="pct"/>
            <w:tcBorders>
              <w:top w:val="nil"/>
              <w:left w:val="nil"/>
              <w:bottom w:val="single" w:color="auto" w:sz="4" w:space="0"/>
              <w:right w:val="single" w:color="auto" w:sz="4" w:space="0"/>
            </w:tcBorders>
            <w:shd w:val="clear" w:color="auto" w:fill="auto"/>
            <w:vAlign w:val="center"/>
          </w:tcPr>
          <w:p w14:paraId="1BA54967">
            <w:pPr>
              <w:widowControl/>
              <w:jc w:val="center"/>
              <w:rPr>
                <w:rFonts w:eastAsiaTheme="minorEastAsia"/>
                <w:kern w:val="0"/>
                <w:szCs w:val="21"/>
              </w:rPr>
            </w:pPr>
            <w:r>
              <w:rPr>
                <w:rFonts w:eastAsiaTheme="minorEastAsia"/>
                <w:color w:val="000000"/>
              </w:rPr>
              <w:t>6.56</w:t>
            </w:r>
          </w:p>
        </w:tc>
      </w:tr>
      <w:bookmarkEnd w:id="102"/>
    </w:tbl>
    <w:p w14:paraId="550D07F1">
      <w:pPr>
        <w:pStyle w:val="17"/>
        <w:keepNext/>
        <w:spacing w:line="520" w:lineRule="exact"/>
        <w:jc w:val="center"/>
        <w:rPr>
          <w:rFonts w:ascii="Times New Roman" w:hAnsi="Times New Roman" w:cs="Times New Roman"/>
          <w:kern w:val="0"/>
        </w:rPr>
      </w:pPr>
      <w:bookmarkStart w:id="104" w:name="_Ref129799001"/>
      <w:r>
        <w:rPr>
          <w:rFonts w:ascii="Times New Roman" w:hAnsi="Times New Roman" w:cs="Times New Roman"/>
          <w:kern w:val="0"/>
          <w:sz w:val="24"/>
          <w:szCs w:val="24"/>
        </w:rPr>
        <w:t>表</w:t>
      </w:r>
      <w:r>
        <w:rPr>
          <w:rFonts w:ascii="Times New Roman" w:hAnsi="Times New Roman" w:cs="Times New Roman"/>
          <w:kern w:val="0"/>
          <w:sz w:val="24"/>
          <w:szCs w:val="24"/>
        </w:rPr>
        <w:fldChar w:fldCharType="begin"/>
      </w:r>
      <w:r>
        <w:rPr>
          <w:rFonts w:ascii="Times New Roman" w:hAnsi="Times New Roman" w:cs="Times New Roman"/>
          <w:kern w:val="0"/>
          <w:sz w:val="24"/>
          <w:szCs w:val="24"/>
        </w:rPr>
        <w:instrText xml:space="preserve"> STYLEREF 1 \s </w:instrText>
      </w:r>
      <w:r>
        <w:rPr>
          <w:rFonts w:ascii="Times New Roman" w:hAnsi="Times New Roman" w:cs="Times New Roman"/>
          <w:kern w:val="0"/>
          <w:sz w:val="24"/>
          <w:szCs w:val="24"/>
        </w:rPr>
        <w:fldChar w:fldCharType="separate"/>
      </w:r>
      <w:r>
        <w:rPr>
          <w:rFonts w:ascii="Times New Roman" w:hAnsi="Times New Roman" w:cs="Times New Roman"/>
          <w:kern w:val="0"/>
          <w:sz w:val="24"/>
          <w:szCs w:val="24"/>
        </w:rPr>
        <w:t>3</w:t>
      </w:r>
      <w:r>
        <w:rPr>
          <w:rFonts w:ascii="Times New Roman" w:hAnsi="Times New Roman" w:cs="Times New Roman"/>
          <w:kern w:val="0"/>
          <w:sz w:val="24"/>
          <w:szCs w:val="24"/>
        </w:rPr>
        <w:fldChar w:fldCharType="end"/>
      </w:r>
      <w:r>
        <w:rPr>
          <w:rFonts w:ascii="Times New Roman" w:hAnsi="Times New Roman" w:cs="Times New Roman"/>
          <w:kern w:val="0"/>
          <w:sz w:val="24"/>
          <w:szCs w:val="24"/>
        </w:rPr>
        <w:noBreakHyphen/>
      </w:r>
      <w:r>
        <w:rPr>
          <w:rFonts w:ascii="Times New Roman" w:hAnsi="Times New Roman" w:cs="Times New Roman"/>
          <w:kern w:val="0"/>
          <w:sz w:val="24"/>
          <w:szCs w:val="24"/>
        </w:rPr>
        <w:fldChar w:fldCharType="begin"/>
      </w:r>
      <w:r>
        <w:rPr>
          <w:rFonts w:ascii="Times New Roman" w:hAnsi="Times New Roman" w:cs="Times New Roman"/>
          <w:kern w:val="0"/>
          <w:sz w:val="24"/>
          <w:szCs w:val="24"/>
        </w:rPr>
        <w:instrText xml:space="preserve"> SEQ 表 \* ARABIC \s 1 </w:instrText>
      </w:r>
      <w:r>
        <w:rPr>
          <w:rFonts w:ascii="Times New Roman" w:hAnsi="Times New Roman" w:cs="Times New Roman"/>
          <w:kern w:val="0"/>
          <w:sz w:val="24"/>
          <w:szCs w:val="24"/>
        </w:rPr>
        <w:fldChar w:fldCharType="separate"/>
      </w:r>
      <w:r>
        <w:rPr>
          <w:rFonts w:ascii="Times New Roman" w:hAnsi="Times New Roman" w:cs="Times New Roman"/>
          <w:kern w:val="0"/>
          <w:sz w:val="24"/>
          <w:szCs w:val="24"/>
        </w:rPr>
        <w:t>3</w:t>
      </w:r>
      <w:r>
        <w:rPr>
          <w:rFonts w:ascii="Times New Roman" w:hAnsi="Times New Roman" w:cs="Times New Roman"/>
          <w:kern w:val="0"/>
          <w:sz w:val="24"/>
          <w:szCs w:val="24"/>
        </w:rPr>
        <w:fldChar w:fldCharType="end"/>
      </w:r>
      <w:bookmarkEnd w:id="104"/>
      <w:r>
        <w:rPr>
          <w:rFonts w:ascii="Times New Roman" w:hAnsi="Times New Roman" w:cs="Times New Roman"/>
          <w:kern w:val="0"/>
          <w:sz w:val="24"/>
          <w:szCs w:val="24"/>
        </w:rPr>
        <w:t xml:space="preserve">  </w:t>
      </w:r>
      <w:r>
        <w:rPr>
          <w:rFonts w:hint="eastAsia" w:ascii="Times New Roman" w:hAnsi="Times New Roman" w:cs="Times New Roman"/>
          <w:kern w:val="0"/>
          <w:sz w:val="24"/>
        </w:rPr>
        <w:t>2024年1-12月份地表水跨县界断面水质标准指数</w:t>
      </w:r>
    </w:p>
    <w:tbl>
      <w:tblPr>
        <w:tblStyle w:val="6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1713"/>
        <w:gridCol w:w="1310"/>
        <w:gridCol w:w="1146"/>
        <w:gridCol w:w="1146"/>
        <w:gridCol w:w="1227"/>
        <w:gridCol w:w="1223"/>
      </w:tblGrid>
      <w:tr w14:paraId="5CF18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shd w:val="clear" w:color="auto" w:fill="auto"/>
            <w:vAlign w:val="center"/>
          </w:tcPr>
          <w:p w14:paraId="6FF68456">
            <w:pPr>
              <w:spacing w:line="280" w:lineRule="exact"/>
              <w:jc w:val="center"/>
              <w:rPr>
                <w:spacing w:val="-10"/>
                <w:kern w:val="0"/>
                <w:szCs w:val="21"/>
              </w:rPr>
            </w:pPr>
            <w:r>
              <w:rPr>
                <w:spacing w:val="-10"/>
                <w:kern w:val="0"/>
                <w:szCs w:val="21"/>
              </w:rPr>
              <w:t>断面名称</w:t>
            </w:r>
          </w:p>
        </w:tc>
        <w:tc>
          <w:tcPr>
            <w:tcW w:w="1004" w:type="pct"/>
            <w:shd w:val="clear" w:color="auto" w:fill="auto"/>
            <w:vAlign w:val="center"/>
          </w:tcPr>
          <w:p w14:paraId="5F3FC4A3">
            <w:pPr>
              <w:spacing w:line="280" w:lineRule="exact"/>
              <w:jc w:val="center"/>
              <w:rPr>
                <w:spacing w:val="-10"/>
                <w:kern w:val="0"/>
                <w:szCs w:val="21"/>
              </w:rPr>
            </w:pPr>
            <w:r>
              <w:rPr>
                <w:spacing w:val="-10"/>
                <w:kern w:val="0"/>
                <w:szCs w:val="21"/>
              </w:rPr>
              <w:t>监测因子mg/L</w:t>
            </w:r>
          </w:p>
        </w:tc>
        <w:tc>
          <w:tcPr>
            <w:tcW w:w="768" w:type="pct"/>
            <w:vAlign w:val="center"/>
          </w:tcPr>
          <w:p w14:paraId="53D6FFCE">
            <w:pPr>
              <w:widowControl/>
              <w:jc w:val="center"/>
              <w:rPr>
                <w:bCs/>
                <w:kern w:val="0"/>
                <w:szCs w:val="21"/>
              </w:rPr>
            </w:pPr>
            <w:r>
              <w:rPr>
                <w:rFonts w:hint="eastAsia"/>
                <w:bCs/>
                <w:kern w:val="0"/>
                <w:szCs w:val="21"/>
              </w:rPr>
              <w:t>月监测值mg</w:t>
            </w:r>
            <w:r>
              <w:rPr>
                <w:bCs/>
                <w:kern w:val="0"/>
                <w:szCs w:val="21"/>
              </w:rPr>
              <w:t>/L</w:t>
            </w:r>
          </w:p>
        </w:tc>
        <w:tc>
          <w:tcPr>
            <w:tcW w:w="672" w:type="pct"/>
            <w:vAlign w:val="center"/>
          </w:tcPr>
          <w:p w14:paraId="6D1AF965">
            <w:pPr>
              <w:widowControl/>
              <w:jc w:val="center"/>
              <w:rPr>
                <w:bCs/>
                <w:kern w:val="0"/>
                <w:szCs w:val="21"/>
              </w:rPr>
            </w:pPr>
            <w:r>
              <w:rPr>
                <w:rFonts w:hint="eastAsia"/>
                <w:bCs/>
                <w:kern w:val="0"/>
                <w:szCs w:val="21"/>
              </w:rPr>
              <w:t>1</w:t>
            </w:r>
            <w:r>
              <w:rPr>
                <w:bCs/>
                <w:kern w:val="0"/>
                <w:szCs w:val="21"/>
              </w:rPr>
              <w:t>2</w:t>
            </w:r>
            <w:r>
              <w:rPr>
                <w:rFonts w:hint="eastAsia"/>
                <w:bCs/>
                <w:kern w:val="0"/>
                <w:szCs w:val="21"/>
              </w:rPr>
              <w:t>个月均值mg</w:t>
            </w:r>
            <w:r>
              <w:rPr>
                <w:bCs/>
                <w:kern w:val="0"/>
                <w:szCs w:val="21"/>
              </w:rPr>
              <w:t>/L</w:t>
            </w:r>
          </w:p>
        </w:tc>
        <w:tc>
          <w:tcPr>
            <w:tcW w:w="672" w:type="pct"/>
            <w:shd w:val="clear" w:color="auto" w:fill="auto"/>
            <w:vAlign w:val="center"/>
          </w:tcPr>
          <w:p w14:paraId="27C21D7A">
            <w:pPr>
              <w:widowControl/>
              <w:jc w:val="center"/>
              <w:rPr>
                <w:bCs/>
                <w:kern w:val="0"/>
                <w:szCs w:val="21"/>
              </w:rPr>
            </w:pPr>
            <w:r>
              <w:rPr>
                <w:rFonts w:hint="eastAsia"/>
                <w:bCs/>
                <w:kern w:val="0"/>
                <w:szCs w:val="21"/>
              </w:rPr>
              <w:t>标准值mg</w:t>
            </w:r>
            <w:r>
              <w:rPr>
                <w:bCs/>
                <w:kern w:val="0"/>
                <w:szCs w:val="21"/>
              </w:rPr>
              <w:t>/L</w:t>
            </w:r>
          </w:p>
        </w:tc>
        <w:tc>
          <w:tcPr>
            <w:tcW w:w="719" w:type="pct"/>
            <w:vAlign w:val="center"/>
          </w:tcPr>
          <w:p w14:paraId="78CBA4B4">
            <w:pPr>
              <w:widowControl/>
              <w:jc w:val="center"/>
              <w:rPr>
                <w:bCs/>
                <w:kern w:val="0"/>
                <w:szCs w:val="21"/>
              </w:rPr>
            </w:pPr>
            <w:r>
              <w:rPr>
                <w:rFonts w:hint="eastAsia"/>
                <w:bCs/>
                <w:kern w:val="0"/>
                <w:szCs w:val="21"/>
              </w:rPr>
              <w:t>月监测值</w:t>
            </w:r>
            <w:r>
              <w:rPr>
                <w:bCs/>
                <w:kern w:val="0"/>
                <w:szCs w:val="21"/>
              </w:rPr>
              <w:t>标准指数</w:t>
            </w:r>
          </w:p>
        </w:tc>
        <w:tc>
          <w:tcPr>
            <w:tcW w:w="717" w:type="pct"/>
            <w:vAlign w:val="center"/>
          </w:tcPr>
          <w:p w14:paraId="514964FA">
            <w:pPr>
              <w:widowControl/>
              <w:jc w:val="center"/>
              <w:rPr>
                <w:bCs/>
                <w:kern w:val="0"/>
                <w:szCs w:val="21"/>
              </w:rPr>
            </w:pPr>
            <w:r>
              <w:rPr>
                <w:rFonts w:hint="eastAsia"/>
                <w:bCs/>
                <w:kern w:val="0"/>
                <w:szCs w:val="21"/>
              </w:rPr>
              <w:t>1</w:t>
            </w:r>
            <w:r>
              <w:rPr>
                <w:bCs/>
                <w:kern w:val="0"/>
                <w:szCs w:val="21"/>
              </w:rPr>
              <w:t>2</w:t>
            </w:r>
            <w:r>
              <w:rPr>
                <w:rFonts w:hint="eastAsia"/>
                <w:bCs/>
                <w:kern w:val="0"/>
                <w:szCs w:val="21"/>
              </w:rPr>
              <w:t>个月均值标准指数</w:t>
            </w:r>
          </w:p>
        </w:tc>
      </w:tr>
      <w:tr w14:paraId="54410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vMerge w:val="restart"/>
            <w:shd w:val="clear" w:color="auto" w:fill="auto"/>
            <w:vAlign w:val="center"/>
          </w:tcPr>
          <w:p w14:paraId="39522E57">
            <w:pPr>
              <w:spacing w:line="280" w:lineRule="exact"/>
              <w:jc w:val="center"/>
              <w:rPr>
                <w:spacing w:val="-10"/>
                <w:kern w:val="0"/>
                <w:szCs w:val="21"/>
              </w:rPr>
            </w:pPr>
            <w:bookmarkStart w:id="105" w:name="_Hlk196063203"/>
            <w:r>
              <w:rPr>
                <w:rFonts w:hint="eastAsia"/>
                <w:spacing w:val="-10"/>
                <w:kern w:val="0"/>
                <w:szCs w:val="21"/>
              </w:rPr>
              <w:t>天桥</w:t>
            </w:r>
          </w:p>
        </w:tc>
        <w:tc>
          <w:tcPr>
            <w:tcW w:w="1004" w:type="pct"/>
            <w:shd w:val="clear" w:color="auto" w:fill="auto"/>
            <w:vAlign w:val="center"/>
          </w:tcPr>
          <w:p w14:paraId="20C89F11">
            <w:pPr>
              <w:spacing w:line="280" w:lineRule="exact"/>
              <w:jc w:val="center"/>
              <w:rPr>
                <w:spacing w:val="-10"/>
                <w:kern w:val="0"/>
                <w:szCs w:val="21"/>
              </w:rPr>
            </w:pPr>
            <w:r>
              <w:rPr>
                <w:spacing w:val="-10"/>
                <w:kern w:val="0"/>
                <w:szCs w:val="21"/>
              </w:rPr>
              <w:t>COD</w:t>
            </w:r>
          </w:p>
        </w:tc>
        <w:tc>
          <w:tcPr>
            <w:tcW w:w="768" w:type="pct"/>
            <w:vAlign w:val="center"/>
          </w:tcPr>
          <w:p w14:paraId="48FEEFC6">
            <w:pPr>
              <w:widowControl/>
              <w:jc w:val="center"/>
              <w:rPr>
                <w:kern w:val="0"/>
                <w:szCs w:val="21"/>
              </w:rPr>
            </w:pPr>
            <w:r>
              <w:rPr>
                <w:kern w:val="0"/>
                <w:szCs w:val="21"/>
              </w:rPr>
              <w:t>7~26</w:t>
            </w:r>
          </w:p>
        </w:tc>
        <w:tc>
          <w:tcPr>
            <w:tcW w:w="672" w:type="pct"/>
            <w:vAlign w:val="bottom"/>
          </w:tcPr>
          <w:p w14:paraId="7CE618F7">
            <w:pPr>
              <w:widowControl/>
              <w:jc w:val="center"/>
              <w:rPr>
                <w:kern w:val="0"/>
                <w:szCs w:val="21"/>
              </w:rPr>
            </w:pPr>
            <w:r>
              <w:rPr>
                <w:rFonts w:hint="eastAsia"/>
                <w:kern w:val="0"/>
                <w:szCs w:val="21"/>
              </w:rPr>
              <w:t>12.17</w:t>
            </w:r>
          </w:p>
        </w:tc>
        <w:tc>
          <w:tcPr>
            <w:tcW w:w="672" w:type="pct"/>
            <w:shd w:val="clear" w:color="auto" w:fill="auto"/>
            <w:vAlign w:val="center"/>
          </w:tcPr>
          <w:p w14:paraId="65D5C059">
            <w:pPr>
              <w:widowControl/>
              <w:jc w:val="center"/>
              <w:rPr>
                <w:kern w:val="0"/>
                <w:szCs w:val="21"/>
              </w:rPr>
            </w:pPr>
            <w:r>
              <w:rPr>
                <w:kern w:val="0"/>
                <w:szCs w:val="21"/>
              </w:rPr>
              <w:t>15</w:t>
            </w:r>
          </w:p>
        </w:tc>
        <w:tc>
          <w:tcPr>
            <w:tcW w:w="719" w:type="pct"/>
            <w:vAlign w:val="center"/>
          </w:tcPr>
          <w:p w14:paraId="753D5F07">
            <w:pPr>
              <w:widowControl/>
              <w:jc w:val="center"/>
              <w:rPr>
                <w:kern w:val="0"/>
                <w:szCs w:val="21"/>
              </w:rPr>
            </w:pPr>
            <w:r>
              <w:rPr>
                <w:rFonts w:hint="eastAsia"/>
                <w:kern w:val="0"/>
                <w:szCs w:val="21"/>
              </w:rPr>
              <w:t>0.</w:t>
            </w:r>
            <w:r>
              <w:rPr>
                <w:kern w:val="0"/>
                <w:szCs w:val="21"/>
              </w:rPr>
              <w:t>4</w:t>
            </w:r>
            <w:r>
              <w:rPr>
                <w:rFonts w:hint="eastAsia"/>
                <w:kern w:val="0"/>
                <w:szCs w:val="21"/>
              </w:rPr>
              <w:t>7</w:t>
            </w:r>
            <w:r>
              <w:rPr>
                <w:kern w:val="0"/>
                <w:szCs w:val="21"/>
              </w:rPr>
              <w:t>~1.73</w:t>
            </w:r>
          </w:p>
        </w:tc>
        <w:tc>
          <w:tcPr>
            <w:tcW w:w="717" w:type="pct"/>
            <w:vAlign w:val="bottom"/>
          </w:tcPr>
          <w:p w14:paraId="145E7AF0">
            <w:pPr>
              <w:widowControl/>
              <w:jc w:val="center"/>
              <w:rPr>
                <w:kern w:val="0"/>
                <w:szCs w:val="21"/>
              </w:rPr>
            </w:pPr>
            <w:r>
              <w:rPr>
                <w:rFonts w:hint="eastAsia"/>
                <w:kern w:val="0"/>
                <w:szCs w:val="21"/>
              </w:rPr>
              <w:t>0.81</w:t>
            </w:r>
          </w:p>
        </w:tc>
      </w:tr>
      <w:tr w14:paraId="4A31B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vMerge w:val="continue"/>
            <w:vAlign w:val="center"/>
          </w:tcPr>
          <w:p w14:paraId="5EE524A2">
            <w:pPr>
              <w:spacing w:line="280" w:lineRule="exact"/>
              <w:jc w:val="center"/>
              <w:rPr>
                <w:spacing w:val="-10"/>
                <w:kern w:val="0"/>
                <w:szCs w:val="21"/>
              </w:rPr>
            </w:pPr>
          </w:p>
        </w:tc>
        <w:tc>
          <w:tcPr>
            <w:tcW w:w="1004" w:type="pct"/>
            <w:shd w:val="clear" w:color="auto" w:fill="auto"/>
            <w:vAlign w:val="center"/>
          </w:tcPr>
          <w:p w14:paraId="17BB3298">
            <w:pPr>
              <w:spacing w:line="280" w:lineRule="exact"/>
              <w:jc w:val="center"/>
              <w:rPr>
                <w:spacing w:val="-10"/>
                <w:kern w:val="0"/>
                <w:szCs w:val="21"/>
              </w:rPr>
            </w:pPr>
            <w:r>
              <w:rPr>
                <w:spacing w:val="-10"/>
                <w:kern w:val="0"/>
                <w:szCs w:val="21"/>
              </w:rPr>
              <w:t>高锰酸盐指数</w:t>
            </w:r>
          </w:p>
        </w:tc>
        <w:tc>
          <w:tcPr>
            <w:tcW w:w="768" w:type="pct"/>
            <w:vAlign w:val="center"/>
          </w:tcPr>
          <w:p w14:paraId="22953C9E">
            <w:pPr>
              <w:widowControl/>
              <w:jc w:val="center"/>
              <w:rPr>
                <w:kern w:val="0"/>
                <w:szCs w:val="21"/>
              </w:rPr>
            </w:pPr>
            <w:r>
              <w:rPr>
                <w:kern w:val="0"/>
                <w:szCs w:val="21"/>
              </w:rPr>
              <w:t>1.2~7.4</w:t>
            </w:r>
          </w:p>
        </w:tc>
        <w:tc>
          <w:tcPr>
            <w:tcW w:w="672" w:type="pct"/>
            <w:vAlign w:val="bottom"/>
          </w:tcPr>
          <w:p w14:paraId="421D26E9">
            <w:pPr>
              <w:widowControl/>
              <w:jc w:val="center"/>
              <w:rPr>
                <w:kern w:val="0"/>
                <w:szCs w:val="21"/>
              </w:rPr>
            </w:pPr>
            <w:r>
              <w:rPr>
                <w:rFonts w:hint="eastAsia"/>
                <w:kern w:val="0"/>
                <w:szCs w:val="21"/>
              </w:rPr>
              <w:t>3.2</w:t>
            </w:r>
            <w:r>
              <w:rPr>
                <w:kern w:val="0"/>
                <w:szCs w:val="21"/>
              </w:rPr>
              <w:t>8</w:t>
            </w:r>
          </w:p>
        </w:tc>
        <w:tc>
          <w:tcPr>
            <w:tcW w:w="672" w:type="pct"/>
            <w:shd w:val="clear" w:color="auto" w:fill="auto"/>
            <w:vAlign w:val="center"/>
          </w:tcPr>
          <w:p w14:paraId="4CBB5827">
            <w:pPr>
              <w:widowControl/>
              <w:jc w:val="center"/>
              <w:rPr>
                <w:kern w:val="0"/>
                <w:szCs w:val="21"/>
              </w:rPr>
            </w:pPr>
            <w:r>
              <w:rPr>
                <w:kern w:val="0"/>
                <w:szCs w:val="21"/>
              </w:rPr>
              <w:t>4</w:t>
            </w:r>
          </w:p>
        </w:tc>
        <w:tc>
          <w:tcPr>
            <w:tcW w:w="719" w:type="pct"/>
            <w:vAlign w:val="center"/>
          </w:tcPr>
          <w:p w14:paraId="3FD7A14F">
            <w:pPr>
              <w:widowControl/>
              <w:jc w:val="center"/>
              <w:rPr>
                <w:kern w:val="0"/>
                <w:szCs w:val="21"/>
              </w:rPr>
            </w:pPr>
            <w:r>
              <w:rPr>
                <w:kern w:val="0"/>
                <w:szCs w:val="21"/>
              </w:rPr>
              <w:t>0.3~1.85</w:t>
            </w:r>
          </w:p>
        </w:tc>
        <w:tc>
          <w:tcPr>
            <w:tcW w:w="717" w:type="pct"/>
            <w:vAlign w:val="bottom"/>
          </w:tcPr>
          <w:p w14:paraId="79137A24">
            <w:pPr>
              <w:widowControl/>
              <w:jc w:val="center"/>
              <w:rPr>
                <w:kern w:val="0"/>
                <w:szCs w:val="21"/>
              </w:rPr>
            </w:pPr>
            <w:r>
              <w:rPr>
                <w:rFonts w:hint="eastAsia"/>
                <w:kern w:val="0"/>
                <w:szCs w:val="21"/>
              </w:rPr>
              <w:t>0.8</w:t>
            </w:r>
            <w:r>
              <w:rPr>
                <w:kern w:val="0"/>
                <w:szCs w:val="21"/>
              </w:rPr>
              <w:t>2</w:t>
            </w:r>
          </w:p>
        </w:tc>
      </w:tr>
      <w:tr w14:paraId="67A77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vMerge w:val="continue"/>
            <w:vAlign w:val="center"/>
          </w:tcPr>
          <w:p w14:paraId="707607D3">
            <w:pPr>
              <w:spacing w:line="280" w:lineRule="exact"/>
              <w:jc w:val="center"/>
              <w:rPr>
                <w:spacing w:val="-10"/>
                <w:kern w:val="0"/>
                <w:szCs w:val="21"/>
              </w:rPr>
            </w:pPr>
          </w:p>
        </w:tc>
        <w:tc>
          <w:tcPr>
            <w:tcW w:w="1004" w:type="pct"/>
            <w:shd w:val="clear" w:color="auto" w:fill="auto"/>
            <w:vAlign w:val="center"/>
          </w:tcPr>
          <w:p w14:paraId="7B1719AB">
            <w:pPr>
              <w:spacing w:line="280" w:lineRule="exact"/>
              <w:jc w:val="center"/>
              <w:rPr>
                <w:spacing w:val="-10"/>
                <w:kern w:val="0"/>
                <w:szCs w:val="21"/>
              </w:rPr>
            </w:pPr>
            <w:r>
              <w:rPr>
                <w:spacing w:val="-10"/>
                <w:kern w:val="0"/>
                <w:szCs w:val="21"/>
              </w:rPr>
              <w:t>氨氮</w:t>
            </w:r>
          </w:p>
        </w:tc>
        <w:tc>
          <w:tcPr>
            <w:tcW w:w="768" w:type="pct"/>
            <w:vAlign w:val="center"/>
          </w:tcPr>
          <w:p w14:paraId="791FBC62">
            <w:pPr>
              <w:widowControl/>
              <w:jc w:val="center"/>
              <w:rPr>
                <w:kern w:val="0"/>
                <w:szCs w:val="21"/>
              </w:rPr>
            </w:pPr>
            <w:r>
              <w:rPr>
                <w:rFonts w:hint="eastAsia"/>
                <w:kern w:val="0"/>
                <w:szCs w:val="21"/>
              </w:rPr>
              <w:t>0.0</w:t>
            </w:r>
            <w:r>
              <w:rPr>
                <w:kern w:val="0"/>
                <w:szCs w:val="21"/>
              </w:rPr>
              <w:t>3~0.42</w:t>
            </w:r>
          </w:p>
        </w:tc>
        <w:tc>
          <w:tcPr>
            <w:tcW w:w="672" w:type="pct"/>
            <w:vAlign w:val="bottom"/>
          </w:tcPr>
          <w:p w14:paraId="5D0373E1">
            <w:pPr>
              <w:widowControl/>
              <w:jc w:val="center"/>
              <w:rPr>
                <w:kern w:val="0"/>
                <w:szCs w:val="21"/>
              </w:rPr>
            </w:pPr>
            <w:r>
              <w:rPr>
                <w:rFonts w:hint="eastAsia"/>
                <w:kern w:val="0"/>
                <w:szCs w:val="21"/>
              </w:rPr>
              <w:t>0.0</w:t>
            </w:r>
            <w:r>
              <w:rPr>
                <w:kern w:val="0"/>
                <w:szCs w:val="21"/>
              </w:rPr>
              <w:t>9</w:t>
            </w:r>
          </w:p>
        </w:tc>
        <w:tc>
          <w:tcPr>
            <w:tcW w:w="672" w:type="pct"/>
            <w:shd w:val="clear" w:color="auto" w:fill="auto"/>
            <w:vAlign w:val="center"/>
          </w:tcPr>
          <w:p w14:paraId="356B123D">
            <w:pPr>
              <w:widowControl/>
              <w:jc w:val="center"/>
              <w:rPr>
                <w:kern w:val="0"/>
                <w:szCs w:val="21"/>
              </w:rPr>
            </w:pPr>
            <w:r>
              <w:rPr>
                <w:kern w:val="0"/>
                <w:szCs w:val="21"/>
              </w:rPr>
              <w:t>0.5</w:t>
            </w:r>
          </w:p>
        </w:tc>
        <w:tc>
          <w:tcPr>
            <w:tcW w:w="719" w:type="pct"/>
            <w:vAlign w:val="center"/>
          </w:tcPr>
          <w:p w14:paraId="0BA3987E">
            <w:pPr>
              <w:widowControl/>
              <w:jc w:val="center"/>
              <w:rPr>
                <w:kern w:val="0"/>
                <w:szCs w:val="21"/>
              </w:rPr>
            </w:pPr>
            <w:r>
              <w:rPr>
                <w:kern w:val="0"/>
                <w:szCs w:val="21"/>
              </w:rPr>
              <w:t>0.06~0.84</w:t>
            </w:r>
          </w:p>
        </w:tc>
        <w:tc>
          <w:tcPr>
            <w:tcW w:w="717" w:type="pct"/>
            <w:vAlign w:val="bottom"/>
          </w:tcPr>
          <w:p w14:paraId="248866AA">
            <w:pPr>
              <w:widowControl/>
              <w:jc w:val="center"/>
              <w:rPr>
                <w:kern w:val="0"/>
                <w:szCs w:val="21"/>
              </w:rPr>
            </w:pPr>
            <w:r>
              <w:rPr>
                <w:rFonts w:hint="eastAsia"/>
                <w:kern w:val="0"/>
                <w:szCs w:val="21"/>
              </w:rPr>
              <w:t>0.18</w:t>
            </w:r>
          </w:p>
        </w:tc>
      </w:tr>
      <w:tr w14:paraId="42B93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vMerge w:val="continue"/>
            <w:vAlign w:val="center"/>
          </w:tcPr>
          <w:p w14:paraId="1EC35493">
            <w:pPr>
              <w:spacing w:line="280" w:lineRule="exact"/>
              <w:jc w:val="center"/>
              <w:rPr>
                <w:spacing w:val="-10"/>
                <w:kern w:val="0"/>
                <w:szCs w:val="21"/>
              </w:rPr>
            </w:pPr>
          </w:p>
        </w:tc>
        <w:tc>
          <w:tcPr>
            <w:tcW w:w="1004" w:type="pct"/>
            <w:shd w:val="clear" w:color="auto" w:fill="auto"/>
            <w:vAlign w:val="center"/>
          </w:tcPr>
          <w:p w14:paraId="46904B9E">
            <w:pPr>
              <w:spacing w:line="280" w:lineRule="exact"/>
              <w:jc w:val="center"/>
              <w:rPr>
                <w:spacing w:val="-10"/>
                <w:kern w:val="0"/>
                <w:szCs w:val="21"/>
              </w:rPr>
            </w:pPr>
            <w:r>
              <w:rPr>
                <w:spacing w:val="-10"/>
                <w:kern w:val="0"/>
                <w:szCs w:val="21"/>
              </w:rPr>
              <w:t>总磷</w:t>
            </w:r>
          </w:p>
        </w:tc>
        <w:tc>
          <w:tcPr>
            <w:tcW w:w="768" w:type="pct"/>
            <w:vAlign w:val="center"/>
          </w:tcPr>
          <w:p w14:paraId="5D101264">
            <w:pPr>
              <w:widowControl/>
              <w:jc w:val="center"/>
              <w:rPr>
                <w:kern w:val="0"/>
                <w:szCs w:val="21"/>
              </w:rPr>
            </w:pPr>
            <w:r>
              <w:rPr>
                <w:rFonts w:hint="eastAsia"/>
                <w:kern w:val="0"/>
                <w:szCs w:val="21"/>
              </w:rPr>
              <w:t>0.0</w:t>
            </w:r>
            <w:r>
              <w:rPr>
                <w:kern w:val="0"/>
                <w:szCs w:val="21"/>
              </w:rPr>
              <w:t>1~0.21</w:t>
            </w:r>
          </w:p>
        </w:tc>
        <w:tc>
          <w:tcPr>
            <w:tcW w:w="672" w:type="pct"/>
            <w:vAlign w:val="bottom"/>
          </w:tcPr>
          <w:p w14:paraId="4563B51C">
            <w:pPr>
              <w:widowControl/>
              <w:jc w:val="center"/>
              <w:rPr>
                <w:kern w:val="0"/>
                <w:szCs w:val="21"/>
              </w:rPr>
            </w:pPr>
            <w:r>
              <w:rPr>
                <w:rFonts w:hint="eastAsia"/>
                <w:kern w:val="0"/>
                <w:szCs w:val="21"/>
              </w:rPr>
              <w:t>0.0</w:t>
            </w:r>
            <w:r>
              <w:rPr>
                <w:kern w:val="0"/>
                <w:szCs w:val="21"/>
              </w:rPr>
              <w:t>6</w:t>
            </w:r>
          </w:p>
        </w:tc>
        <w:tc>
          <w:tcPr>
            <w:tcW w:w="672" w:type="pct"/>
            <w:shd w:val="clear" w:color="auto" w:fill="auto"/>
            <w:vAlign w:val="center"/>
          </w:tcPr>
          <w:p w14:paraId="4D61F9CE">
            <w:pPr>
              <w:widowControl/>
              <w:jc w:val="center"/>
              <w:rPr>
                <w:kern w:val="0"/>
                <w:szCs w:val="21"/>
              </w:rPr>
            </w:pPr>
            <w:r>
              <w:rPr>
                <w:kern w:val="0"/>
                <w:szCs w:val="21"/>
              </w:rPr>
              <w:t>0.1</w:t>
            </w:r>
          </w:p>
        </w:tc>
        <w:tc>
          <w:tcPr>
            <w:tcW w:w="719" w:type="pct"/>
            <w:vAlign w:val="center"/>
          </w:tcPr>
          <w:p w14:paraId="7A1B2D9D">
            <w:pPr>
              <w:widowControl/>
              <w:jc w:val="center"/>
              <w:rPr>
                <w:kern w:val="0"/>
                <w:szCs w:val="21"/>
              </w:rPr>
            </w:pPr>
            <w:r>
              <w:rPr>
                <w:kern w:val="0"/>
                <w:szCs w:val="21"/>
              </w:rPr>
              <w:t>0.1~2.1</w:t>
            </w:r>
          </w:p>
        </w:tc>
        <w:tc>
          <w:tcPr>
            <w:tcW w:w="717" w:type="pct"/>
            <w:vAlign w:val="bottom"/>
          </w:tcPr>
          <w:p w14:paraId="2244193A">
            <w:pPr>
              <w:widowControl/>
              <w:jc w:val="center"/>
              <w:rPr>
                <w:kern w:val="0"/>
                <w:szCs w:val="21"/>
              </w:rPr>
            </w:pPr>
            <w:r>
              <w:rPr>
                <w:rFonts w:hint="eastAsia"/>
                <w:kern w:val="0"/>
                <w:szCs w:val="21"/>
              </w:rPr>
              <w:t>0.5</w:t>
            </w:r>
            <w:r>
              <w:rPr>
                <w:kern w:val="0"/>
                <w:szCs w:val="21"/>
              </w:rPr>
              <w:t>7</w:t>
            </w:r>
          </w:p>
        </w:tc>
      </w:tr>
      <w:bookmarkEnd w:id="105"/>
      <w:tr w14:paraId="6D4C3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vMerge w:val="continue"/>
            <w:vAlign w:val="center"/>
          </w:tcPr>
          <w:p w14:paraId="56DA8358">
            <w:pPr>
              <w:spacing w:line="280" w:lineRule="exact"/>
              <w:jc w:val="center"/>
              <w:rPr>
                <w:spacing w:val="-10"/>
                <w:kern w:val="0"/>
                <w:szCs w:val="21"/>
              </w:rPr>
            </w:pPr>
          </w:p>
        </w:tc>
        <w:tc>
          <w:tcPr>
            <w:tcW w:w="1004" w:type="pct"/>
            <w:shd w:val="clear" w:color="auto" w:fill="auto"/>
            <w:vAlign w:val="center"/>
          </w:tcPr>
          <w:p w14:paraId="17EDA9A7">
            <w:pPr>
              <w:spacing w:line="280" w:lineRule="exact"/>
              <w:jc w:val="center"/>
              <w:rPr>
                <w:spacing w:val="-10"/>
                <w:kern w:val="0"/>
                <w:szCs w:val="21"/>
              </w:rPr>
            </w:pPr>
            <w:r>
              <w:rPr>
                <w:spacing w:val="-10"/>
                <w:kern w:val="0"/>
                <w:szCs w:val="21"/>
              </w:rPr>
              <w:t>总氮</w:t>
            </w:r>
          </w:p>
        </w:tc>
        <w:tc>
          <w:tcPr>
            <w:tcW w:w="768" w:type="pct"/>
            <w:vAlign w:val="center"/>
          </w:tcPr>
          <w:p w14:paraId="74157532">
            <w:pPr>
              <w:widowControl/>
              <w:jc w:val="center"/>
              <w:rPr>
                <w:kern w:val="0"/>
                <w:szCs w:val="21"/>
              </w:rPr>
            </w:pPr>
            <w:r>
              <w:rPr>
                <w:kern w:val="0"/>
                <w:szCs w:val="21"/>
              </w:rPr>
              <w:t>4.15~12.8</w:t>
            </w:r>
          </w:p>
        </w:tc>
        <w:tc>
          <w:tcPr>
            <w:tcW w:w="672" w:type="pct"/>
            <w:vAlign w:val="bottom"/>
          </w:tcPr>
          <w:p w14:paraId="1B413A25">
            <w:pPr>
              <w:widowControl/>
              <w:jc w:val="center"/>
              <w:rPr>
                <w:kern w:val="0"/>
                <w:szCs w:val="21"/>
              </w:rPr>
            </w:pPr>
            <w:r>
              <w:rPr>
                <w:rFonts w:hint="eastAsia"/>
                <w:kern w:val="0"/>
                <w:szCs w:val="21"/>
              </w:rPr>
              <w:t>9.03</w:t>
            </w:r>
          </w:p>
        </w:tc>
        <w:tc>
          <w:tcPr>
            <w:tcW w:w="672" w:type="pct"/>
            <w:shd w:val="clear" w:color="auto" w:fill="auto"/>
            <w:vAlign w:val="center"/>
          </w:tcPr>
          <w:p w14:paraId="4468387F">
            <w:pPr>
              <w:widowControl/>
              <w:jc w:val="center"/>
              <w:rPr>
                <w:kern w:val="0"/>
                <w:szCs w:val="21"/>
              </w:rPr>
            </w:pPr>
            <w:r>
              <w:rPr>
                <w:kern w:val="0"/>
                <w:szCs w:val="21"/>
              </w:rPr>
              <w:t>6.56</w:t>
            </w:r>
          </w:p>
        </w:tc>
        <w:tc>
          <w:tcPr>
            <w:tcW w:w="719" w:type="pct"/>
            <w:vAlign w:val="center"/>
          </w:tcPr>
          <w:p w14:paraId="66A96DD5">
            <w:pPr>
              <w:widowControl/>
              <w:jc w:val="center"/>
              <w:rPr>
                <w:kern w:val="0"/>
                <w:szCs w:val="21"/>
              </w:rPr>
            </w:pPr>
            <w:r>
              <w:rPr>
                <w:kern w:val="0"/>
                <w:szCs w:val="21"/>
              </w:rPr>
              <w:t>0.63~1.95</w:t>
            </w:r>
          </w:p>
        </w:tc>
        <w:tc>
          <w:tcPr>
            <w:tcW w:w="717" w:type="pct"/>
            <w:vAlign w:val="bottom"/>
          </w:tcPr>
          <w:p w14:paraId="73F67E2A">
            <w:pPr>
              <w:widowControl/>
              <w:jc w:val="center"/>
              <w:rPr>
                <w:kern w:val="0"/>
                <w:szCs w:val="21"/>
              </w:rPr>
            </w:pPr>
            <w:r>
              <w:rPr>
                <w:rFonts w:hint="eastAsia"/>
                <w:kern w:val="0"/>
                <w:szCs w:val="21"/>
              </w:rPr>
              <w:t>1.3</w:t>
            </w:r>
            <w:r>
              <w:rPr>
                <w:kern w:val="0"/>
                <w:szCs w:val="21"/>
              </w:rPr>
              <w:t>8</w:t>
            </w:r>
          </w:p>
        </w:tc>
      </w:tr>
      <w:tr w14:paraId="49786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vMerge w:val="restart"/>
            <w:shd w:val="clear" w:color="auto" w:fill="auto"/>
            <w:vAlign w:val="center"/>
          </w:tcPr>
          <w:p w14:paraId="58745213">
            <w:pPr>
              <w:spacing w:line="280" w:lineRule="exact"/>
              <w:jc w:val="center"/>
              <w:rPr>
                <w:spacing w:val="-10"/>
                <w:kern w:val="0"/>
                <w:szCs w:val="21"/>
              </w:rPr>
            </w:pPr>
            <w:r>
              <w:rPr>
                <w:rFonts w:hint="eastAsia"/>
                <w:spacing w:val="-10"/>
                <w:kern w:val="0"/>
                <w:szCs w:val="21"/>
              </w:rPr>
              <w:t>古北口</w:t>
            </w:r>
          </w:p>
        </w:tc>
        <w:tc>
          <w:tcPr>
            <w:tcW w:w="1004" w:type="pct"/>
            <w:shd w:val="clear" w:color="auto" w:fill="auto"/>
            <w:vAlign w:val="center"/>
          </w:tcPr>
          <w:p w14:paraId="017D9180">
            <w:pPr>
              <w:spacing w:line="280" w:lineRule="exact"/>
              <w:jc w:val="center"/>
              <w:rPr>
                <w:spacing w:val="-10"/>
                <w:kern w:val="0"/>
                <w:szCs w:val="21"/>
              </w:rPr>
            </w:pPr>
            <w:r>
              <w:rPr>
                <w:spacing w:val="-10"/>
                <w:kern w:val="0"/>
                <w:szCs w:val="21"/>
              </w:rPr>
              <w:t>COD</w:t>
            </w:r>
          </w:p>
        </w:tc>
        <w:tc>
          <w:tcPr>
            <w:tcW w:w="768" w:type="pct"/>
            <w:vAlign w:val="center"/>
          </w:tcPr>
          <w:p w14:paraId="494392DF">
            <w:pPr>
              <w:widowControl/>
              <w:jc w:val="center"/>
              <w:rPr>
                <w:kern w:val="0"/>
                <w:szCs w:val="21"/>
              </w:rPr>
            </w:pPr>
            <w:r>
              <w:rPr>
                <w:kern w:val="0"/>
                <w:szCs w:val="21"/>
              </w:rPr>
              <w:t>4~16.5</w:t>
            </w:r>
          </w:p>
        </w:tc>
        <w:tc>
          <w:tcPr>
            <w:tcW w:w="672" w:type="pct"/>
            <w:vAlign w:val="bottom"/>
          </w:tcPr>
          <w:p w14:paraId="79F05A55">
            <w:pPr>
              <w:widowControl/>
              <w:jc w:val="center"/>
              <w:rPr>
                <w:kern w:val="0"/>
                <w:szCs w:val="21"/>
              </w:rPr>
            </w:pPr>
            <w:r>
              <w:rPr>
                <w:rFonts w:hint="eastAsia"/>
                <w:kern w:val="0"/>
                <w:szCs w:val="21"/>
              </w:rPr>
              <w:t>8.5</w:t>
            </w:r>
            <w:r>
              <w:rPr>
                <w:kern w:val="0"/>
                <w:szCs w:val="21"/>
              </w:rPr>
              <w:t>2</w:t>
            </w:r>
          </w:p>
        </w:tc>
        <w:tc>
          <w:tcPr>
            <w:tcW w:w="672" w:type="pct"/>
            <w:shd w:val="clear" w:color="auto" w:fill="auto"/>
            <w:vAlign w:val="center"/>
          </w:tcPr>
          <w:p w14:paraId="406657C5">
            <w:pPr>
              <w:widowControl/>
              <w:jc w:val="center"/>
              <w:rPr>
                <w:kern w:val="0"/>
                <w:szCs w:val="21"/>
              </w:rPr>
            </w:pPr>
            <w:r>
              <w:rPr>
                <w:kern w:val="0"/>
                <w:szCs w:val="21"/>
              </w:rPr>
              <w:t>15</w:t>
            </w:r>
          </w:p>
        </w:tc>
        <w:tc>
          <w:tcPr>
            <w:tcW w:w="719" w:type="pct"/>
            <w:vAlign w:val="center"/>
          </w:tcPr>
          <w:p w14:paraId="3141EEF1">
            <w:pPr>
              <w:widowControl/>
              <w:jc w:val="center"/>
              <w:rPr>
                <w:kern w:val="0"/>
                <w:szCs w:val="21"/>
              </w:rPr>
            </w:pPr>
            <w:r>
              <w:rPr>
                <w:rFonts w:hint="eastAsia"/>
                <w:kern w:val="0"/>
                <w:szCs w:val="21"/>
              </w:rPr>
              <w:t>0.</w:t>
            </w:r>
            <w:r>
              <w:rPr>
                <w:kern w:val="0"/>
                <w:szCs w:val="21"/>
              </w:rPr>
              <w:t>2</w:t>
            </w:r>
            <w:r>
              <w:rPr>
                <w:rFonts w:hint="eastAsia"/>
                <w:kern w:val="0"/>
                <w:szCs w:val="21"/>
              </w:rPr>
              <w:t>7</w:t>
            </w:r>
            <w:r>
              <w:rPr>
                <w:kern w:val="0"/>
                <w:szCs w:val="21"/>
              </w:rPr>
              <w:t>~1.1</w:t>
            </w:r>
          </w:p>
        </w:tc>
        <w:tc>
          <w:tcPr>
            <w:tcW w:w="717" w:type="pct"/>
            <w:vAlign w:val="bottom"/>
          </w:tcPr>
          <w:p w14:paraId="58F120AE">
            <w:pPr>
              <w:widowControl/>
              <w:jc w:val="center"/>
              <w:rPr>
                <w:kern w:val="0"/>
                <w:szCs w:val="21"/>
              </w:rPr>
            </w:pPr>
            <w:r>
              <w:rPr>
                <w:rFonts w:hint="eastAsia"/>
                <w:kern w:val="0"/>
                <w:szCs w:val="21"/>
              </w:rPr>
              <w:t>0.57</w:t>
            </w:r>
          </w:p>
        </w:tc>
      </w:tr>
      <w:tr w14:paraId="40417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vMerge w:val="continue"/>
            <w:vAlign w:val="center"/>
          </w:tcPr>
          <w:p w14:paraId="2C03A743">
            <w:pPr>
              <w:spacing w:line="280" w:lineRule="exact"/>
              <w:jc w:val="center"/>
              <w:rPr>
                <w:spacing w:val="-10"/>
                <w:kern w:val="0"/>
                <w:szCs w:val="21"/>
              </w:rPr>
            </w:pPr>
          </w:p>
        </w:tc>
        <w:tc>
          <w:tcPr>
            <w:tcW w:w="1004" w:type="pct"/>
            <w:shd w:val="clear" w:color="auto" w:fill="auto"/>
            <w:vAlign w:val="center"/>
          </w:tcPr>
          <w:p w14:paraId="2334709C">
            <w:pPr>
              <w:spacing w:line="280" w:lineRule="exact"/>
              <w:jc w:val="center"/>
              <w:rPr>
                <w:spacing w:val="-10"/>
                <w:kern w:val="0"/>
                <w:szCs w:val="21"/>
              </w:rPr>
            </w:pPr>
            <w:r>
              <w:rPr>
                <w:spacing w:val="-10"/>
                <w:kern w:val="0"/>
                <w:szCs w:val="21"/>
              </w:rPr>
              <w:t>高锰酸盐指数</w:t>
            </w:r>
          </w:p>
        </w:tc>
        <w:tc>
          <w:tcPr>
            <w:tcW w:w="768" w:type="pct"/>
            <w:vAlign w:val="center"/>
          </w:tcPr>
          <w:p w14:paraId="2DD0DE26">
            <w:pPr>
              <w:widowControl/>
              <w:jc w:val="center"/>
              <w:rPr>
                <w:kern w:val="0"/>
                <w:szCs w:val="21"/>
              </w:rPr>
            </w:pPr>
            <w:r>
              <w:rPr>
                <w:kern w:val="0"/>
                <w:szCs w:val="21"/>
              </w:rPr>
              <w:t>0.9~7.2</w:t>
            </w:r>
          </w:p>
        </w:tc>
        <w:tc>
          <w:tcPr>
            <w:tcW w:w="672" w:type="pct"/>
            <w:vAlign w:val="bottom"/>
          </w:tcPr>
          <w:p w14:paraId="1BFC463D">
            <w:pPr>
              <w:widowControl/>
              <w:jc w:val="center"/>
              <w:rPr>
                <w:kern w:val="0"/>
                <w:szCs w:val="21"/>
              </w:rPr>
            </w:pPr>
            <w:r>
              <w:rPr>
                <w:rFonts w:hint="eastAsia"/>
                <w:kern w:val="0"/>
                <w:szCs w:val="21"/>
              </w:rPr>
              <w:t>2.39</w:t>
            </w:r>
            <w:r>
              <w:rPr>
                <w:kern w:val="0"/>
                <w:szCs w:val="21"/>
              </w:rPr>
              <w:t>2</w:t>
            </w:r>
          </w:p>
        </w:tc>
        <w:tc>
          <w:tcPr>
            <w:tcW w:w="672" w:type="pct"/>
            <w:shd w:val="clear" w:color="auto" w:fill="auto"/>
            <w:vAlign w:val="center"/>
          </w:tcPr>
          <w:p w14:paraId="40E72A9A">
            <w:pPr>
              <w:widowControl/>
              <w:jc w:val="center"/>
              <w:rPr>
                <w:kern w:val="0"/>
                <w:szCs w:val="21"/>
              </w:rPr>
            </w:pPr>
            <w:r>
              <w:rPr>
                <w:kern w:val="0"/>
                <w:szCs w:val="21"/>
              </w:rPr>
              <w:t>4</w:t>
            </w:r>
          </w:p>
        </w:tc>
        <w:tc>
          <w:tcPr>
            <w:tcW w:w="719" w:type="pct"/>
            <w:vAlign w:val="center"/>
          </w:tcPr>
          <w:p w14:paraId="7F5A24C4">
            <w:pPr>
              <w:widowControl/>
              <w:jc w:val="center"/>
              <w:rPr>
                <w:kern w:val="0"/>
                <w:szCs w:val="21"/>
              </w:rPr>
            </w:pPr>
            <w:r>
              <w:rPr>
                <w:kern w:val="0"/>
                <w:szCs w:val="21"/>
              </w:rPr>
              <w:t>0.225~1.8</w:t>
            </w:r>
          </w:p>
        </w:tc>
        <w:tc>
          <w:tcPr>
            <w:tcW w:w="717" w:type="pct"/>
            <w:vAlign w:val="bottom"/>
          </w:tcPr>
          <w:p w14:paraId="7BC88112">
            <w:pPr>
              <w:widowControl/>
              <w:jc w:val="center"/>
              <w:rPr>
                <w:kern w:val="0"/>
                <w:szCs w:val="21"/>
              </w:rPr>
            </w:pPr>
            <w:r>
              <w:rPr>
                <w:rFonts w:hint="eastAsia"/>
                <w:kern w:val="0"/>
                <w:szCs w:val="21"/>
              </w:rPr>
              <w:t>0.</w:t>
            </w:r>
            <w:r>
              <w:rPr>
                <w:kern w:val="0"/>
                <w:szCs w:val="21"/>
              </w:rPr>
              <w:t>60</w:t>
            </w:r>
          </w:p>
        </w:tc>
      </w:tr>
      <w:tr w14:paraId="64FB1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vMerge w:val="continue"/>
            <w:vAlign w:val="center"/>
          </w:tcPr>
          <w:p w14:paraId="2A73A8D7">
            <w:pPr>
              <w:spacing w:line="280" w:lineRule="exact"/>
              <w:jc w:val="center"/>
              <w:rPr>
                <w:spacing w:val="-10"/>
                <w:kern w:val="0"/>
                <w:szCs w:val="21"/>
              </w:rPr>
            </w:pPr>
          </w:p>
        </w:tc>
        <w:tc>
          <w:tcPr>
            <w:tcW w:w="1004" w:type="pct"/>
            <w:shd w:val="clear" w:color="auto" w:fill="auto"/>
            <w:vAlign w:val="center"/>
          </w:tcPr>
          <w:p w14:paraId="32210497">
            <w:pPr>
              <w:spacing w:line="280" w:lineRule="exact"/>
              <w:jc w:val="center"/>
              <w:rPr>
                <w:spacing w:val="-10"/>
                <w:kern w:val="0"/>
                <w:szCs w:val="21"/>
              </w:rPr>
            </w:pPr>
            <w:r>
              <w:rPr>
                <w:spacing w:val="-10"/>
                <w:kern w:val="0"/>
                <w:szCs w:val="21"/>
              </w:rPr>
              <w:t>氨氮</w:t>
            </w:r>
          </w:p>
        </w:tc>
        <w:tc>
          <w:tcPr>
            <w:tcW w:w="768" w:type="pct"/>
            <w:vAlign w:val="center"/>
          </w:tcPr>
          <w:p w14:paraId="37B9EF72">
            <w:pPr>
              <w:widowControl/>
              <w:jc w:val="center"/>
              <w:rPr>
                <w:kern w:val="0"/>
                <w:szCs w:val="21"/>
              </w:rPr>
            </w:pPr>
            <w:r>
              <w:rPr>
                <w:rFonts w:hint="eastAsia"/>
                <w:kern w:val="0"/>
                <w:szCs w:val="21"/>
              </w:rPr>
              <w:t>0.</w:t>
            </w:r>
            <w:r>
              <w:rPr>
                <w:kern w:val="0"/>
                <w:szCs w:val="21"/>
              </w:rPr>
              <w:t>03~0.39</w:t>
            </w:r>
          </w:p>
        </w:tc>
        <w:tc>
          <w:tcPr>
            <w:tcW w:w="672" w:type="pct"/>
            <w:vAlign w:val="bottom"/>
          </w:tcPr>
          <w:p w14:paraId="26F53F64">
            <w:pPr>
              <w:widowControl/>
              <w:jc w:val="center"/>
              <w:rPr>
                <w:kern w:val="0"/>
                <w:szCs w:val="21"/>
              </w:rPr>
            </w:pPr>
            <w:r>
              <w:rPr>
                <w:rFonts w:hint="eastAsia"/>
                <w:kern w:val="0"/>
                <w:szCs w:val="21"/>
              </w:rPr>
              <w:t>0.1</w:t>
            </w:r>
            <w:r>
              <w:rPr>
                <w:kern w:val="0"/>
                <w:szCs w:val="21"/>
              </w:rPr>
              <w:t>7</w:t>
            </w:r>
          </w:p>
        </w:tc>
        <w:tc>
          <w:tcPr>
            <w:tcW w:w="672" w:type="pct"/>
            <w:shd w:val="clear" w:color="auto" w:fill="auto"/>
            <w:vAlign w:val="center"/>
          </w:tcPr>
          <w:p w14:paraId="7323B30A">
            <w:pPr>
              <w:widowControl/>
              <w:jc w:val="center"/>
              <w:rPr>
                <w:kern w:val="0"/>
                <w:szCs w:val="21"/>
              </w:rPr>
            </w:pPr>
            <w:r>
              <w:rPr>
                <w:kern w:val="0"/>
                <w:szCs w:val="21"/>
              </w:rPr>
              <w:t>0.5</w:t>
            </w:r>
          </w:p>
        </w:tc>
        <w:tc>
          <w:tcPr>
            <w:tcW w:w="719" w:type="pct"/>
            <w:vAlign w:val="center"/>
          </w:tcPr>
          <w:p w14:paraId="3B98838A">
            <w:pPr>
              <w:widowControl/>
              <w:jc w:val="center"/>
              <w:rPr>
                <w:kern w:val="0"/>
                <w:szCs w:val="21"/>
              </w:rPr>
            </w:pPr>
            <w:r>
              <w:rPr>
                <w:kern w:val="0"/>
                <w:szCs w:val="21"/>
              </w:rPr>
              <w:t>0.06~0.78</w:t>
            </w:r>
          </w:p>
        </w:tc>
        <w:tc>
          <w:tcPr>
            <w:tcW w:w="717" w:type="pct"/>
            <w:vAlign w:val="bottom"/>
          </w:tcPr>
          <w:p w14:paraId="37DCC143">
            <w:pPr>
              <w:widowControl/>
              <w:jc w:val="center"/>
              <w:rPr>
                <w:kern w:val="0"/>
                <w:szCs w:val="21"/>
              </w:rPr>
            </w:pPr>
            <w:r>
              <w:rPr>
                <w:rFonts w:hint="eastAsia"/>
                <w:kern w:val="0"/>
                <w:szCs w:val="21"/>
              </w:rPr>
              <w:t>0.33</w:t>
            </w:r>
          </w:p>
        </w:tc>
      </w:tr>
      <w:tr w14:paraId="14724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vMerge w:val="continue"/>
            <w:vAlign w:val="center"/>
          </w:tcPr>
          <w:p w14:paraId="0FB51595">
            <w:pPr>
              <w:spacing w:line="280" w:lineRule="exact"/>
              <w:jc w:val="center"/>
              <w:rPr>
                <w:spacing w:val="-10"/>
                <w:kern w:val="0"/>
                <w:szCs w:val="21"/>
              </w:rPr>
            </w:pPr>
          </w:p>
        </w:tc>
        <w:tc>
          <w:tcPr>
            <w:tcW w:w="1004" w:type="pct"/>
            <w:shd w:val="clear" w:color="auto" w:fill="auto"/>
            <w:vAlign w:val="center"/>
          </w:tcPr>
          <w:p w14:paraId="3109AEC0">
            <w:pPr>
              <w:spacing w:line="280" w:lineRule="exact"/>
              <w:jc w:val="center"/>
              <w:rPr>
                <w:spacing w:val="-10"/>
                <w:kern w:val="0"/>
                <w:szCs w:val="21"/>
              </w:rPr>
            </w:pPr>
            <w:r>
              <w:rPr>
                <w:spacing w:val="-10"/>
                <w:kern w:val="0"/>
                <w:szCs w:val="21"/>
              </w:rPr>
              <w:t>总磷</w:t>
            </w:r>
          </w:p>
        </w:tc>
        <w:tc>
          <w:tcPr>
            <w:tcW w:w="768" w:type="pct"/>
            <w:vAlign w:val="center"/>
          </w:tcPr>
          <w:p w14:paraId="5B81C960">
            <w:pPr>
              <w:widowControl/>
              <w:jc w:val="center"/>
              <w:rPr>
                <w:kern w:val="0"/>
                <w:szCs w:val="21"/>
              </w:rPr>
            </w:pPr>
            <w:r>
              <w:rPr>
                <w:rFonts w:hint="eastAsia"/>
                <w:kern w:val="0"/>
                <w:szCs w:val="21"/>
              </w:rPr>
              <w:t>0.0</w:t>
            </w:r>
            <w:r>
              <w:rPr>
                <w:kern w:val="0"/>
                <w:szCs w:val="21"/>
              </w:rPr>
              <w:t>07~0.263</w:t>
            </w:r>
          </w:p>
        </w:tc>
        <w:tc>
          <w:tcPr>
            <w:tcW w:w="672" w:type="pct"/>
            <w:vAlign w:val="bottom"/>
          </w:tcPr>
          <w:p w14:paraId="3B536BD2">
            <w:pPr>
              <w:widowControl/>
              <w:jc w:val="center"/>
              <w:rPr>
                <w:kern w:val="0"/>
                <w:szCs w:val="21"/>
              </w:rPr>
            </w:pPr>
            <w:r>
              <w:rPr>
                <w:rFonts w:hint="eastAsia"/>
                <w:kern w:val="0"/>
                <w:szCs w:val="21"/>
              </w:rPr>
              <w:t>0.05</w:t>
            </w:r>
          </w:p>
        </w:tc>
        <w:tc>
          <w:tcPr>
            <w:tcW w:w="672" w:type="pct"/>
            <w:shd w:val="clear" w:color="auto" w:fill="auto"/>
            <w:vAlign w:val="center"/>
          </w:tcPr>
          <w:p w14:paraId="1D17489C">
            <w:pPr>
              <w:widowControl/>
              <w:jc w:val="center"/>
              <w:rPr>
                <w:kern w:val="0"/>
                <w:szCs w:val="21"/>
              </w:rPr>
            </w:pPr>
            <w:r>
              <w:rPr>
                <w:kern w:val="0"/>
                <w:szCs w:val="21"/>
              </w:rPr>
              <w:t>0.1</w:t>
            </w:r>
          </w:p>
        </w:tc>
        <w:tc>
          <w:tcPr>
            <w:tcW w:w="719" w:type="pct"/>
            <w:vAlign w:val="center"/>
          </w:tcPr>
          <w:p w14:paraId="21494F42">
            <w:pPr>
              <w:widowControl/>
              <w:jc w:val="center"/>
              <w:rPr>
                <w:kern w:val="0"/>
                <w:szCs w:val="21"/>
              </w:rPr>
            </w:pPr>
            <w:r>
              <w:rPr>
                <w:kern w:val="0"/>
                <w:szCs w:val="21"/>
              </w:rPr>
              <w:t>0.07~2.63</w:t>
            </w:r>
          </w:p>
        </w:tc>
        <w:tc>
          <w:tcPr>
            <w:tcW w:w="717" w:type="pct"/>
            <w:vAlign w:val="bottom"/>
          </w:tcPr>
          <w:p w14:paraId="2B58528D">
            <w:pPr>
              <w:widowControl/>
              <w:jc w:val="center"/>
              <w:rPr>
                <w:kern w:val="0"/>
                <w:szCs w:val="21"/>
              </w:rPr>
            </w:pPr>
            <w:r>
              <w:rPr>
                <w:rFonts w:hint="eastAsia"/>
                <w:kern w:val="0"/>
                <w:szCs w:val="21"/>
              </w:rPr>
              <w:t>0.54</w:t>
            </w:r>
          </w:p>
        </w:tc>
      </w:tr>
      <w:tr w14:paraId="50EE8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vMerge w:val="continue"/>
            <w:vAlign w:val="center"/>
          </w:tcPr>
          <w:p w14:paraId="003A4ED5">
            <w:pPr>
              <w:spacing w:line="280" w:lineRule="exact"/>
              <w:jc w:val="center"/>
              <w:rPr>
                <w:spacing w:val="-10"/>
                <w:kern w:val="0"/>
                <w:szCs w:val="21"/>
              </w:rPr>
            </w:pPr>
          </w:p>
        </w:tc>
        <w:tc>
          <w:tcPr>
            <w:tcW w:w="1004" w:type="pct"/>
            <w:shd w:val="clear" w:color="auto" w:fill="auto"/>
            <w:vAlign w:val="center"/>
          </w:tcPr>
          <w:p w14:paraId="57EEFC0C">
            <w:pPr>
              <w:spacing w:line="280" w:lineRule="exact"/>
              <w:jc w:val="center"/>
              <w:rPr>
                <w:spacing w:val="-10"/>
                <w:kern w:val="0"/>
                <w:szCs w:val="21"/>
              </w:rPr>
            </w:pPr>
            <w:r>
              <w:rPr>
                <w:spacing w:val="-10"/>
                <w:kern w:val="0"/>
                <w:szCs w:val="21"/>
              </w:rPr>
              <w:t>总氮</w:t>
            </w:r>
          </w:p>
        </w:tc>
        <w:tc>
          <w:tcPr>
            <w:tcW w:w="768" w:type="pct"/>
            <w:vAlign w:val="center"/>
          </w:tcPr>
          <w:p w14:paraId="06483AD2">
            <w:pPr>
              <w:widowControl/>
              <w:jc w:val="center"/>
              <w:rPr>
                <w:kern w:val="0"/>
                <w:szCs w:val="21"/>
              </w:rPr>
            </w:pPr>
            <w:r>
              <w:rPr>
                <w:kern w:val="0"/>
                <w:szCs w:val="21"/>
              </w:rPr>
              <w:t>1.22~13.59</w:t>
            </w:r>
          </w:p>
        </w:tc>
        <w:tc>
          <w:tcPr>
            <w:tcW w:w="672" w:type="pct"/>
            <w:vAlign w:val="bottom"/>
          </w:tcPr>
          <w:p w14:paraId="0F0922D3">
            <w:pPr>
              <w:widowControl/>
              <w:jc w:val="center"/>
              <w:rPr>
                <w:kern w:val="0"/>
                <w:szCs w:val="21"/>
              </w:rPr>
            </w:pPr>
            <w:r>
              <w:rPr>
                <w:rFonts w:hint="eastAsia"/>
                <w:kern w:val="0"/>
                <w:szCs w:val="21"/>
              </w:rPr>
              <w:t>7.71</w:t>
            </w:r>
          </w:p>
        </w:tc>
        <w:tc>
          <w:tcPr>
            <w:tcW w:w="672" w:type="pct"/>
            <w:shd w:val="clear" w:color="auto" w:fill="auto"/>
            <w:vAlign w:val="center"/>
          </w:tcPr>
          <w:p w14:paraId="1C053FB7">
            <w:pPr>
              <w:widowControl/>
              <w:jc w:val="center"/>
              <w:rPr>
                <w:kern w:val="0"/>
                <w:szCs w:val="21"/>
              </w:rPr>
            </w:pPr>
            <w:r>
              <w:rPr>
                <w:kern w:val="0"/>
                <w:szCs w:val="21"/>
              </w:rPr>
              <w:t>6.56</w:t>
            </w:r>
          </w:p>
        </w:tc>
        <w:tc>
          <w:tcPr>
            <w:tcW w:w="719" w:type="pct"/>
            <w:vAlign w:val="center"/>
          </w:tcPr>
          <w:p w14:paraId="106A1684">
            <w:pPr>
              <w:widowControl/>
              <w:jc w:val="center"/>
              <w:rPr>
                <w:kern w:val="0"/>
                <w:szCs w:val="21"/>
              </w:rPr>
            </w:pPr>
            <w:r>
              <w:rPr>
                <w:rFonts w:hint="eastAsia"/>
                <w:kern w:val="0"/>
                <w:szCs w:val="21"/>
              </w:rPr>
              <w:t>0</w:t>
            </w:r>
            <w:r>
              <w:rPr>
                <w:kern w:val="0"/>
                <w:szCs w:val="21"/>
              </w:rPr>
              <w:t>.19~2.07</w:t>
            </w:r>
          </w:p>
        </w:tc>
        <w:tc>
          <w:tcPr>
            <w:tcW w:w="717" w:type="pct"/>
            <w:vAlign w:val="bottom"/>
          </w:tcPr>
          <w:p w14:paraId="6BD6B0A1">
            <w:pPr>
              <w:widowControl/>
              <w:jc w:val="center"/>
              <w:rPr>
                <w:kern w:val="0"/>
                <w:szCs w:val="21"/>
              </w:rPr>
            </w:pPr>
            <w:r>
              <w:rPr>
                <w:rFonts w:hint="eastAsia"/>
                <w:kern w:val="0"/>
                <w:szCs w:val="21"/>
              </w:rPr>
              <w:t>1.1</w:t>
            </w:r>
            <w:r>
              <w:rPr>
                <w:kern w:val="0"/>
                <w:szCs w:val="21"/>
              </w:rPr>
              <w:t>8</w:t>
            </w:r>
          </w:p>
        </w:tc>
      </w:tr>
    </w:tbl>
    <w:p w14:paraId="55B6128E">
      <w:pPr>
        <w:pStyle w:val="85"/>
        <w:ind w:firstLine="480"/>
        <w:rPr>
          <w:kern w:val="0"/>
        </w:rPr>
      </w:pPr>
      <w:r>
        <w:rPr>
          <w:kern w:val="0"/>
        </w:rPr>
        <w:t>由监测统计和评价结果可知</w:t>
      </w:r>
      <w:r>
        <w:rPr>
          <w:rFonts w:hint="eastAsia"/>
          <w:kern w:val="0"/>
        </w:rPr>
        <w:t>：</w:t>
      </w:r>
    </w:p>
    <w:p w14:paraId="6C7A7635">
      <w:pPr>
        <w:pStyle w:val="85"/>
        <w:ind w:firstLine="480"/>
        <w:rPr>
          <w:kern w:val="0"/>
        </w:rPr>
      </w:pPr>
      <w:r>
        <w:rPr>
          <w:rFonts w:hint="eastAsia"/>
          <w:kern w:val="0"/>
        </w:rPr>
        <w:t>天桥断面、古北口断面</w:t>
      </w:r>
      <w:r>
        <w:rPr>
          <w:kern w:val="0"/>
        </w:rPr>
        <w:t>COD</w:t>
      </w:r>
      <w:r>
        <w:rPr>
          <w:rFonts w:hint="eastAsia"/>
          <w:kern w:val="0"/>
        </w:rPr>
        <w:t>、高锰酸盐指数、氨氮、总磷1</w:t>
      </w:r>
      <w:r>
        <w:rPr>
          <w:kern w:val="0"/>
        </w:rPr>
        <w:t>2</w:t>
      </w:r>
      <w:r>
        <w:rPr>
          <w:rFonts w:hint="eastAsia"/>
          <w:kern w:val="0"/>
        </w:rPr>
        <w:t>个月均值能够</w:t>
      </w:r>
      <w:r>
        <w:rPr>
          <w:kern w:val="0"/>
        </w:rPr>
        <w:t>《地表水环境质量标准》（GB3838-2002）中</w:t>
      </w:r>
      <w:r>
        <w:rPr>
          <w:rFonts w:hint="eastAsia"/>
          <w:kern w:val="0"/>
          <w:szCs w:val="21"/>
        </w:rPr>
        <w:t>Ⅱ类</w:t>
      </w:r>
      <w:r>
        <w:rPr>
          <w:kern w:val="0"/>
        </w:rPr>
        <w:t>标准要求</w:t>
      </w:r>
      <w:r>
        <w:rPr>
          <w:rFonts w:hint="eastAsia"/>
          <w:kern w:val="0"/>
        </w:rPr>
        <w:t>；总氮1</w:t>
      </w:r>
      <w:r>
        <w:rPr>
          <w:kern w:val="0"/>
        </w:rPr>
        <w:t>2</w:t>
      </w:r>
      <w:r>
        <w:rPr>
          <w:rFonts w:hint="eastAsia"/>
          <w:kern w:val="0"/>
        </w:rPr>
        <w:t>个月均值不能满足《密云水库上游潮白河流域水源涵养区横向生态保护补偿协议（2021-2025年）》，管理要求（总氮目标值为＜6.56mg/L）。</w:t>
      </w:r>
    </w:p>
    <w:p w14:paraId="54F8E52D">
      <w:pPr>
        <w:pStyle w:val="85"/>
        <w:ind w:firstLine="480"/>
        <w:rPr>
          <w:kern w:val="0"/>
        </w:rPr>
      </w:pPr>
      <w:r>
        <w:rPr>
          <w:rFonts w:hint="eastAsia"/>
          <w:kern w:val="0"/>
        </w:rPr>
        <w:t>氨氮各月监测值均能满足</w:t>
      </w:r>
      <w:r>
        <w:rPr>
          <w:kern w:val="0"/>
        </w:rPr>
        <w:t>《地表水环境质量标准》（GB3838-2002）中</w:t>
      </w:r>
      <w:r>
        <w:rPr>
          <w:rFonts w:hint="eastAsia"/>
          <w:kern w:val="0"/>
          <w:szCs w:val="21"/>
        </w:rPr>
        <w:t>Ⅱ类</w:t>
      </w:r>
      <w:r>
        <w:rPr>
          <w:kern w:val="0"/>
        </w:rPr>
        <w:t>标准要求</w:t>
      </w:r>
      <w:r>
        <w:rPr>
          <w:rFonts w:hint="eastAsia"/>
          <w:kern w:val="0"/>
        </w:rPr>
        <w:t>；</w:t>
      </w:r>
      <w:r>
        <w:rPr>
          <w:kern w:val="0"/>
        </w:rPr>
        <w:t>COD</w:t>
      </w:r>
      <w:r>
        <w:rPr>
          <w:rFonts w:hint="eastAsia"/>
          <w:kern w:val="0"/>
        </w:rPr>
        <w:t>、高锰酸盐指数、总磷部分月份不能满足</w:t>
      </w:r>
      <w:r>
        <w:rPr>
          <w:kern w:val="0"/>
        </w:rPr>
        <w:t>《地表水环境质量标准》（GB3838-2002）中</w:t>
      </w:r>
      <w:r>
        <w:rPr>
          <w:rFonts w:hint="eastAsia"/>
          <w:kern w:val="0"/>
          <w:szCs w:val="21"/>
        </w:rPr>
        <w:t>Ⅱ类</w:t>
      </w:r>
      <w:r>
        <w:rPr>
          <w:kern w:val="0"/>
        </w:rPr>
        <w:t>标准要求</w:t>
      </w:r>
      <w:r>
        <w:rPr>
          <w:rFonts w:hint="eastAsia"/>
          <w:kern w:val="0"/>
        </w:rPr>
        <w:t>；总氮部分月份不能满足《密云水库上游潮白河流域水源涵养区横向生态保护补偿协议（2021-2025年）》，管理要求（总氮目标值为＜6.56mg/L）。</w:t>
      </w:r>
    </w:p>
    <w:p w14:paraId="48AC5A1A">
      <w:pPr>
        <w:pStyle w:val="4"/>
      </w:pPr>
      <w:r>
        <w:rPr>
          <w:rFonts w:hint="eastAsia"/>
        </w:rPr>
        <w:t>底泥环境现状监测与评价</w:t>
      </w:r>
    </w:p>
    <w:p w14:paraId="21F6B9B5">
      <w:pPr>
        <w:pStyle w:val="85"/>
        <w:ind w:firstLine="480"/>
        <w:rPr>
          <w:kern w:val="0"/>
        </w:rPr>
      </w:pPr>
      <w:r>
        <w:rPr>
          <w:rFonts w:hint="eastAsia"/>
          <w:kern w:val="0"/>
        </w:rPr>
        <w:t>（1）监测</w:t>
      </w:r>
      <w:r>
        <w:rPr>
          <w:kern w:val="0"/>
        </w:rPr>
        <w:t>点位</w:t>
      </w:r>
    </w:p>
    <w:p w14:paraId="113F290D">
      <w:pPr>
        <w:pStyle w:val="85"/>
        <w:ind w:firstLine="480"/>
        <w:rPr>
          <w:kern w:val="0"/>
        </w:rPr>
      </w:pPr>
      <w:r>
        <w:rPr>
          <w:rFonts w:hint="eastAsia"/>
          <w:kern w:val="0"/>
        </w:rPr>
        <w:t>布设2个监测点位，具体为：1#项目起点河道内、2#项目终点河道内。</w:t>
      </w:r>
    </w:p>
    <w:p w14:paraId="5FB9B428">
      <w:pPr>
        <w:pStyle w:val="85"/>
        <w:ind w:firstLine="480"/>
        <w:rPr>
          <w:kern w:val="0"/>
        </w:rPr>
      </w:pPr>
      <w:r>
        <w:rPr>
          <w:rFonts w:hint="eastAsia"/>
          <w:kern w:val="0"/>
        </w:rPr>
        <w:t>（2）监测因子</w:t>
      </w:r>
    </w:p>
    <w:p w14:paraId="3E5BB7AD">
      <w:pPr>
        <w:pStyle w:val="85"/>
        <w:ind w:firstLine="480"/>
        <w:rPr>
          <w:bCs/>
          <w:kern w:val="0"/>
        </w:rPr>
      </w:pPr>
      <w:r>
        <w:rPr>
          <w:rFonts w:hint="eastAsia"/>
          <w:kern w:val="0"/>
        </w:rPr>
        <w:t>pH、镉、汞、砷、铅、铬、铜、镍、锌。</w:t>
      </w:r>
    </w:p>
    <w:p w14:paraId="5FA25039">
      <w:pPr>
        <w:pStyle w:val="85"/>
        <w:ind w:firstLine="480"/>
        <w:rPr>
          <w:kern w:val="0"/>
        </w:rPr>
      </w:pPr>
      <w:r>
        <w:rPr>
          <w:rFonts w:hint="eastAsia"/>
          <w:kern w:val="0"/>
        </w:rPr>
        <w:t>（3）</w:t>
      </w:r>
      <w:r>
        <w:rPr>
          <w:bCs/>
          <w:kern w:val="0"/>
        </w:rPr>
        <w:t>监测时间及频次</w:t>
      </w:r>
    </w:p>
    <w:p w14:paraId="70EC7584">
      <w:pPr>
        <w:pStyle w:val="85"/>
        <w:ind w:firstLine="480"/>
        <w:rPr>
          <w:kern w:val="0"/>
        </w:rPr>
      </w:pPr>
      <w:r>
        <w:rPr>
          <w:rFonts w:hint="eastAsia"/>
          <w:kern w:val="0"/>
        </w:rPr>
        <w:t>202</w:t>
      </w:r>
      <w:r>
        <w:rPr>
          <w:kern w:val="0"/>
        </w:rPr>
        <w:t>5</w:t>
      </w:r>
      <w:r>
        <w:rPr>
          <w:bCs/>
          <w:kern w:val="0"/>
        </w:rPr>
        <w:t>年4月17日</w:t>
      </w:r>
      <w:r>
        <w:rPr>
          <w:rFonts w:hint="eastAsia"/>
          <w:bCs/>
          <w:kern w:val="0"/>
        </w:rPr>
        <w:t>监测</w:t>
      </w:r>
      <w:r>
        <w:rPr>
          <w:kern w:val="0"/>
        </w:rPr>
        <w:t>1天</w:t>
      </w:r>
      <w:r>
        <w:rPr>
          <w:rFonts w:hint="eastAsia"/>
          <w:kern w:val="0"/>
        </w:rPr>
        <w:t>，</w:t>
      </w:r>
      <w:r>
        <w:rPr>
          <w:kern w:val="0"/>
        </w:rPr>
        <w:t>取样一次。</w:t>
      </w:r>
    </w:p>
    <w:p w14:paraId="3A654EDA">
      <w:pPr>
        <w:pStyle w:val="85"/>
        <w:ind w:firstLine="480"/>
        <w:rPr>
          <w:kern w:val="0"/>
        </w:rPr>
      </w:pPr>
      <w:r>
        <w:rPr>
          <w:rFonts w:hint="eastAsia"/>
          <w:kern w:val="0"/>
        </w:rPr>
        <w:t>（4）</w:t>
      </w:r>
      <w:r>
        <w:rPr>
          <w:kern w:val="0"/>
        </w:rPr>
        <w:t>监测分析方法</w:t>
      </w:r>
    </w:p>
    <w:p w14:paraId="5B8ECB73">
      <w:pPr>
        <w:pStyle w:val="85"/>
        <w:ind w:firstLine="480"/>
        <w:rPr>
          <w:kern w:val="0"/>
        </w:rPr>
      </w:pPr>
      <w:r>
        <w:rPr>
          <w:kern w:val="0"/>
        </w:rPr>
        <w:t>监测采样方法按《地下水环境监测技术规范》（HJ164-2020）进行。监测分析方法应首先选择国家颁布的标准分析方法。</w:t>
      </w:r>
    </w:p>
    <w:p w14:paraId="101FD4D8">
      <w:pPr>
        <w:pStyle w:val="85"/>
        <w:ind w:firstLine="480"/>
        <w:rPr>
          <w:kern w:val="0"/>
        </w:rPr>
      </w:pPr>
      <w:r>
        <w:rPr>
          <w:kern w:val="0"/>
        </w:rPr>
        <w:t>各监测分析方法及检出限见</w:t>
      </w:r>
      <w:r>
        <w:rPr>
          <w:rFonts w:hint="eastAsia"/>
          <w:kern w:val="0"/>
        </w:rPr>
        <w:t>下表</w:t>
      </w:r>
      <w:r>
        <w:rPr>
          <w:kern w:val="0"/>
        </w:rPr>
        <w:t>。</w:t>
      </w:r>
    </w:p>
    <w:p w14:paraId="303522AF">
      <w:pPr>
        <w:spacing w:line="360" w:lineRule="auto"/>
        <w:jc w:val="center"/>
        <w:rPr>
          <w:rFonts w:eastAsia="黑体"/>
          <w:kern w:val="0"/>
          <w:sz w:val="24"/>
        </w:rPr>
      </w:pPr>
      <w:r>
        <w:rPr>
          <w:kern w:val="0"/>
          <w:sz w:val="24"/>
        </w:rPr>
        <w:t>表</w:t>
      </w:r>
      <w:r>
        <w:rPr>
          <w:kern w:val="0"/>
          <w:sz w:val="24"/>
        </w:rPr>
        <w:fldChar w:fldCharType="begin"/>
      </w:r>
      <w:r>
        <w:rPr>
          <w:kern w:val="0"/>
          <w:sz w:val="24"/>
        </w:rPr>
        <w:instrText xml:space="preserve"> STYLEREF 1 \s </w:instrText>
      </w:r>
      <w:r>
        <w:rPr>
          <w:kern w:val="0"/>
          <w:sz w:val="24"/>
        </w:rPr>
        <w:fldChar w:fldCharType="separate"/>
      </w:r>
      <w:r>
        <w:rPr>
          <w:kern w:val="0"/>
          <w:sz w:val="24"/>
        </w:rPr>
        <w:t>3</w:t>
      </w:r>
      <w:r>
        <w:rPr>
          <w:kern w:val="0"/>
          <w:sz w:val="24"/>
        </w:rPr>
        <w:fldChar w:fldCharType="end"/>
      </w:r>
      <w:r>
        <w:rPr>
          <w:kern w:val="0"/>
          <w:sz w:val="24"/>
        </w:rPr>
        <w:noBreakHyphen/>
      </w:r>
      <w:r>
        <w:rPr>
          <w:kern w:val="0"/>
          <w:sz w:val="24"/>
        </w:rPr>
        <w:fldChar w:fldCharType="begin"/>
      </w:r>
      <w:r>
        <w:rPr>
          <w:kern w:val="0"/>
          <w:sz w:val="24"/>
        </w:rPr>
        <w:instrText xml:space="preserve"> SEQ 表 \* ARABIC \s 1 </w:instrText>
      </w:r>
      <w:r>
        <w:rPr>
          <w:kern w:val="0"/>
          <w:sz w:val="24"/>
        </w:rPr>
        <w:fldChar w:fldCharType="separate"/>
      </w:r>
      <w:r>
        <w:rPr>
          <w:kern w:val="0"/>
          <w:sz w:val="24"/>
        </w:rPr>
        <w:t>4</w:t>
      </w:r>
      <w:r>
        <w:rPr>
          <w:kern w:val="0"/>
          <w:sz w:val="24"/>
        </w:rPr>
        <w:fldChar w:fldCharType="end"/>
      </w:r>
      <w:r>
        <w:rPr>
          <w:kern w:val="0"/>
          <w:sz w:val="24"/>
        </w:rPr>
        <w:t xml:space="preserve">  </w:t>
      </w:r>
      <w:r>
        <w:rPr>
          <w:rFonts w:hint="eastAsia" w:eastAsia="黑体"/>
          <w:kern w:val="0"/>
          <w:sz w:val="24"/>
        </w:rPr>
        <w:t>检测方法及检出限一览表</w:t>
      </w:r>
    </w:p>
    <w:tbl>
      <w:tblPr>
        <w:tblStyle w:val="6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63"/>
        <w:gridCol w:w="3019"/>
        <w:gridCol w:w="3212"/>
        <w:gridCol w:w="1074"/>
      </w:tblGrid>
      <w:tr w14:paraId="6CBCA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35" w:type="pct"/>
            <w:tcBorders>
              <w:tl2br w:val="nil"/>
              <w:tr2bl w:val="nil"/>
            </w:tcBorders>
            <w:vAlign w:val="center"/>
          </w:tcPr>
          <w:p w14:paraId="0180609B">
            <w:pPr>
              <w:widowControl/>
              <w:jc w:val="center"/>
              <w:rPr>
                <w:szCs w:val="21"/>
              </w:rPr>
            </w:pPr>
            <w:r>
              <w:rPr>
                <w:szCs w:val="21"/>
              </w:rPr>
              <w:t>检测项目</w:t>
            </w:r>
          </w:p>
        </w:tc>
        <w:tc>
          <w:tcPr>
            <w:tcW w:w="1804" w:type="pct"/>
            <w:tcBorders>
              <w:tl2br w:val="nil"/>
              <w:tr2bl w:val="nil"/>
            </w:tcBorders>
            <w:vAlign w:val="center"/>
          </w:tcPr>
          <w:p w14:paraId="3506C34C">
            <w:pPr>
              <w:widowControl/>
              <w:jc w:val="center"/>
              <w:rPr>
                <w:szCs w:val="21"/>
              </w:rPr>
            </w:pPr>
            <w:r>
              <w:rPr>
                <w:szCs w:val="21"/>
              </w:rPr>
              <w:t>分析方法</w:t>
            </w:r>
          </w:p>
        </w:tc>
        <w:tc>
          <w:tcPr>
            <w:tcW w:w="1919" w:type="pct"/>
            <w:tcBorders>
              <w:tl2br w:val="nil"/>
              <w:tr2bl w:val="nil"/>
            </w:tcBorders>
            <w:vAlign w:val="center"/>
          </w:tcPr>
          <w:p w14:paraId="5F7EFBCC">
            <w:pPr>
              <w:widowControl/>
              <w:jc w:val="center"/>
              <w:rPr>
                <w:szCs w:val="21"/>
              </w:rPr>
            </w:pPr>
            <w:r>
              <w:rPr>
                <w:szCs w:val="21"/>
              </w:rPr>
              <w:t>仪器名称/型号/编号</w:t>
            </w:r>
          </w:p>
        </w:tc>
        <w:tc>
          <w:tcPr>
            <w:tcW w:w="642" w:type="pct"/>
            <w:tcBorders>
              <w:tl2br w:val="nil"/>
              <w:tr2bl w:val="nil"/>
            </w:tcBorders>
            <w:vAlign w:val="center"/>
          </w:tcPr>
          <w:p w14:paraId="258EA780">
            <w:pPr>
              <w:widowControl/>
              <w:jc w:val="center"/>
              <w:rPr>
                <w:szCs w:val="21"/>
              </w:rPr>
            </w:pPr>
            <w:r>
              <w:rPr>
                <w:szCs w:val="21"/>
              </w:rPr>
              <w:t>检出限</w:t>
            </w:r>
          </w:p>
        </w:tc>
      </w:tr>
      <w:tr w14:paraId="75E0B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35" w:type="pct"/>
            <w:tcBorders>
              <w:tl2br w:val="nil"/>
              <w:tr2bl w:val="nil"/>
            </w:tcBorders>
            <w:vAlign w:val="center"/>
          </w:tcPr>
          <w:p w14:paraId="1C92554A">
            <w:pPr>
              <w:jc w:val="center"/>
              <w:rPr>
                <w:szCs w:val="21"/>
              </w:rPr>
            </w:pPr>
            <w:r>
              <w:rPr>
                <w:rFonts w:hint="eastAsia"/>
                <w:szCs w:val="21"/>
              </w:rPr>
              <w:t>pH</w:t>
            </w:r>
          </w:p>
        </w:tc>
        <w:tc>
          <w:tcPr>
            <w:tcW w:w="1804" w:type="pct"/>
            <w:tcBorders>
              <w:tl2br w:val="nil"/>
              <w:tr2bl w:val="nil"/>
            </w:tcBorders>
            <w:vAlign w:val="center"/>
          </w:tcPr>
          <w:p w14:paraId="61DE865D">
            <w:pPr>
              <w:widowControl/>
              <w:jc w:val="left"/>
              <w:textAlignment w:val="center"/>
              <w:rPr>
                <w:szCs w:val="21"/>
              </w:rPr>
            </w:pPr>
            <w:r>
              <w:rPr>
                <w:rFonts w:hint="eastAsia"/>
                <w:szCs w:val="21"/>
              </w:rPr>
              <w:t>《土壤 pH值的测定 电位法》(HJ962-2018)</w:t>
            </w:r>
          </w:p>
        </w:tc>
        <w:tc>
          <w:tcPr>
            <w:tcW w:w="1919" w:type="pct"/>
            <w:tcBorders>
              <w:tl2br w:val="nil"/>
              <w:tr2bl w:val="nil"/>
            </w:tcBorders>
            <w:vAlign w:val="center"/>
          </w:tcPr>
          <w:p w14:paraId="30D57860">
            <w:pPr>
              <w:widowControl/>
              <w:jc w:val="left"/>
              <w:textAlignment w:val="center"/>
              <w:rPr>
                <w:szCs w:val="21"/>
              </w:rPr>
            </w:pPr>
            <w:r>
              <w:rPr>
                <w:rFonts w:hint="eastAsia"/>
                <w:szCs w:val="21"/>
              </w:rPr>
              <w:t>多参数分析仪/DZS-706-A/YH-070</w:t>
            </w:r>
          </w:p>
        </w:tc>
        <w:tc>
          <w:tcPr>
            <w:tcW w:w="642" w:type="pct"/>
            <w:tcBorders>
              <w:tl2br w:val="nil"/>
              <w:tr2bl w:val="nil"/>
            </w:tcBorders>
            <w:vAlign w:val="center"/>
          </w:tcPr>
          <w:p w14:paraId="0877C582">
            <w:pPr>
              <w:widowControl/>
              <w:jc w:val="center"/>
              <w:rPr>
                <w:szCs w:val="21"/>
              </w:rPr>
            </w:pPr>
            <w:r>
              <w:rPr>
                <w:rFonts w:hint="eastAsia"/>
                <w:szCs w:val="21"/>
              </w:rPr>
              <w:t>0.01pH 值</w:t>
            </w:r>
          </w:p>
        </w:tc>
      </w:tr>
      <w:tr w14:paraId="38BCA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35" w:type="pct"/>
            <w:tcBorders>
              <w:tl2br w:val="nil"/>
              <w:tr2bl w:val="nil"/>
            </w:tcBorders>
            <w:vAlign w:val="center"/>
          </w:tcPr>
          <w:p w14:paraId="49A8B3C1">
            <w:pPr>
              <w:widowControl/>
              <w:jc w:val="center"/>
              <w:textAlignment w:val="center"/>
              <w:rPr>
                <w:szCs w:val="21"/>
              </w:rPr>
            </w:pPr>
            <w:r>
              <w:rPr>
                <w:rFonts w:hint="eastAsia"/>
                <w:szCs w:val="21"/>
              </w:rPr>
              <w:t>镉</w:t>
            </w:r>
          </w:p>
        </w:tc>
        <w:tc>
          <w:tcPr>
            <w:tcW w:w="1804" w:type="pct"/>
            <w:tcBorders>
              <w:tl2br w:val="nil"/>
              <w:tr2bl w:val="nil"/>
            </w:tcBorders>
            <w:vAlign w:val="center"/>
          </w:tcPr>
          <w:p w14:paraId="199990F0">
            <w:pPr>
              <w:widowControl/>
              <w:jc w:val="left"/>
              <w:textAlignment w:val="center"/>
              <w:rPr>
                <w:szCs w:val="21"/>
              </w:rPr>
            </w:pPr>
            <w:r>
              <w:rPr>
                <w:rFonts w:hint="eastAsia"/>
                <w:szCs w:val="21"/>
              </w:rPr>
              <w:t>《土壤和沉积物 12种金属元素的测定 王水提取-电感耦合等离子体质谱法》(HJ803-2016)</w:t>
            </w:r>
          </w:p>
        </w:tc>
        <w:tc>
          <w:tcPr>
            <w:tcW w:w="1919" w:type="pct"/>
            <w:tcBorders>
              <w:tl2br w:val="nil"/>
              <w:tr2bl w:val="nil"/>
            </w:tcBorders>
            <w:vAlign w:val="center"/>
          </w:tcPr>
          <w:p w14:paraId="335A0C33">
            <w:pPr>
              <w:widowControl/>
              <w:jc w:val="left"/>
              <w:textAlignment w:val="center"/>
              <w:rPr>
                <w:szCs w:val="21"/>
              </w:rPr>
            </w:pPr>
            <w:r>
              <w:rPr>
                <w:rFonts w:hint="eastAsia"/>
                <w:szCs w:val="21"/>
              </w:rPr>
              <w:t>电感耦合等离子体质谱仪/iCAP RO/YH-058</w:t>
            </w:r>
          </w:p>
        </w:tc>
        <w:tc>
          <w:tcPr>
            <w:tcW w:w="642" w:type="pct"/>
            <w:tcBorders>
              <w:tl2br w:val="nil"/>
              <w:tr2bl w:val="nil"/>
            </w:tcBorders>
            <w:vAlign w:val="center"/>
          </w:tcPr>
          <w:p w14:paraId="2092BF2B">
            <w:pPr>
              <w:widowControl/>
              <w:jc w:val="center"/>
              <w:rPr>
                <w:szCs w:val="21"/>
              </w:rPr>
            </w:pPr>
            <w:r>
              <w:rPr>
                <w:szCs w:val="21"/>
              </w:rPr>
              <w:t>0.1mg/kg</w:t>
            </w:r>
          </w:p>
        </w:tc>
      </w:tr>
      <w:tr w14:paraId="00004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35" w:type="pct"/>
            <w:tcBorders>
              <w:tl2br w:val="nil"/>
              <w:tr2bl w:val="nil"/>
            </w:tcBorders>
            <w:vAlign w:val="center"/>
          </w:tcPr>
          <w:p w14:paraId="38A3405E">
            <w:pPr>
              <w:jc w:val="center"/>
              <w:rPr>
                <w:szCs w:val="21"/>
              </w:rPr>
            </w:pPr>
            <w:r>
              <w:rPr>
                <w:rFonts w:hint="eastAsia"/>
                <w:szCs w:val="21"/>
              </w:rPr>
              <w:t>汞</w:t>
            </w:r>
          </w:p>
        </w:tc>
        <w:tc>
          <w:tcPr>
            <w:tcW w:w="1804" w:type="pct"/>
            <w:vMerge w:val="restart"/>
            <w:tcBorders>
              <w:tl2br w:val="nil"/>
              <w:tr2bl w:val="nil"/>
            </w:tcBorders>
            <w:vAlign w:val="center"/>
          </w:tcPr>
          <w:p w14:paraId="69E935D4">
            <w:pPr>
              <w:jc w:val="center"/>
              <w:rPr>
                <w:szCs w:val="21"/>
              </w:rPr>
            </w:pPr>
            <w:r>
              <w:rPr>
                <w:rFonts w:hint="eastAsia"/>
                <w:szCs w:val="21"/>
              </w:rPr>
              <w:t>《土壤和沉积物 汞、砷、硒、铋、锑的测定 微波消解/原子荧光法》(HJ680-2013)</w:t>
            </w:r>
          </w:p>
        </w:tc>
        <w:tc>
          <w:tcPr>
            <w:tcW w:w="1919" w:type="pct"/>
            <w:vMerge w:val="restart"/>
            <w:tcBorders>
              <w:tl2br w:val="nil"/>
              <w:tr2bl w:val="nil"/>
            </w:tcBorders>
            <w:vAlign w:val="center"/>
          </w:tcPr>
          <w:p w14:paraId="32C3047F">
            <w:pPr>
              <w:widowControl/>
              <w:rPr>
                <w:szCs w:val="21"/>
              </w:rPr>
            </w:pPr>
            <w:r>
              <w:rPr>
                <w:rFonts w:hint="eastAsia"/>
                <w:szCs w:val="21"/>
              </w:rPr>
              <w:t>原子荧光光度计/AFS-10B/YH-506</w:t>
            </w:r>
          </w:p>
        </w:tc>
        <w:tc>
          <w:tcPr>
            <w:tcW w:w="642" w:type="pct"/>
            <w:tcBorders>
              <w:tl2br w:val="nil"/>
              <w:tr2bl w:val="nil"/>
            </w:tcBorders>
            <w:vAlign w:val="center"/>
          </w:tcPr>
          <w:p w14:paraId="7E9046FD">
            <w:pPr>
              <w:jc w:val="center"/>
              <w:rPr>
                <w:szCs w:val="21"/>
              </w:rPr>
            </w:pPr>
            <w:r>
              <w:rPr>
                <w:szCs w:val="21"/>
              </w:rPr>
              <w:t>0.002mg/kg</w:t>
            </w:r>
          </w:p>
        </w:tc>
      </w:tr>
      <w:tr w14:paraId="18B67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35" w:type="pct"/>
            <w:tcBorders>
              <w:tl2br w:val="nil"/>
              <w:tr2bl w:val="nil"/>
            </w:tcBorders>
            <w:vAlign w:val="center"/>
          </w:tcPr>
          <w:p w14:paraId="2524E62F">
            <w:pPr>
              <w:jc w:val="center"/>
              <w:rPr>
                <w:szCs w:val="21"/>
              </w:rPr>
            </w:pPr>
            <w:r>
              <w:rPr>
                <w:rFonts w:hint="eastAsia"/>
                <w:szCs w:val="21"/>
              </w:rPr>
              <w:t>砷</w:t>
            </w:r>
          </w:p>
        </w:tc>
        <w:tc>
          <w:tcPr>
            <w:tcW w:w="1804" w:type="pct"/>
            <w:vMerge w:val="continue"/>
            <w:tcBorders>
              <w:tl2br w:val="nil"/>
              <w:tr2bl w:val="nil"/>
            </w:tcBorders>
            <w:vAlign w:val="center"/>
          </w:tcPr>
          <w:p w14:paraId="61E6B591">
            <w:pPr>
              <w:widowControl/>
              <w:jc w:val="left"/>
              <w:textAlignment w:val="center"/>
              <w:rPr>
                <w:szCs w:val="21"/>
              </w:rPr>
            </w:pPr>
          </w:p>
        </w:tc>
        <w:tc>
          <w:tcPr>
            <w:tcW w:w="1919" w:type="pct"/>
            <w:vMerge w:val="continue"/>
            <w:tcBorders>
              <w:tl2br w:val="nil"/>
              <w:tr2bl w:val="nil"/>
            </w:tcBorders>
            <w:vAlign w:val="center"/>
          </w:tcPr>
          <w:p w14:paraId="6AD068C5">
            <w:pPr>
              <w:widowControl/>
              <w:rPr>
                <w:szCs w:val="21"/>
              </w:rPr>
            </w:pPr>
          </w:p>
        </w:tc>
        <w:tc>
          <w:tcPr>
            <w:tcW w:w="642" w:type="pct"/>
            <w:tcBorders>
              <w:tl2br w:val="nil"/>
              <w:tr2bl w:val="nil"/>
            </w:tcBorders>
            <w:vAlign w:val="center"/>
          </w:tcPr>
          <w:p w14:paraId="58503963">
            <w:pPr>
              <w:widowControl/>
              <w:jc w:val="center"/>
              <w:rPr>
                <w:szCs w:val="21"/>
              </w:rPr>
            </w:pPr>
            <w:r>
              <w:rPr>
                <w:szCs w:val="21"/>
              </w:rPr>
              <w:t>0.01mg/kg</w:t>
            </w:r>
          </w:p>
        </w:tc>
      </w:tr>
      <w:tr w14:paraId="708DC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35" w:type="pct"/>
            <w:tcBorders>
              <w:tl2br w:val="nil"/>
              <w:tr2bl w:val="nil"/>
            </w:tcBorders>
            <w:vAlign w:val="center"/>
          </w:tcPr>
          <w:p w14:paraId="2A796B29">
            <w:pPr>
              <w:jc w:val="center"/>
              <w:rPr>
                <w:szCs w:val="21"/>
              </w:rPr>
            </w:pPr>
            <w:r>
              <w:rPr>
                <w:rFonts w:hint="eastAsia"/>
                <w:szCs w:val="21"/>
              </w:rPr>
              <w:t>铅</w:t>
            </w:r>
          </w:p>
        </w:tc>
        <w:tc>
          <w:tcPr>
            <w:tcW w:w="1804" w:type="pct"/>
            <w:vMerge w:val="restart"/>
            <w:tcBorders>
              <w:tl2br w:val="nil"/>
              <w:tr2bl w:val="nil"/>
            </w:tcBorders>
            <w:vAlign w:val="center"/>
          </w:tcPr>
          <w:p w14:paraId="0F10DB30">
            <w:pPr>
              <w:jc w:val="left"/>
              <w:rPr>
                <w:szCs w:val="21"/>
              </w:rPr>
            </w:pPr>
            <w:r>
              <w:rPr>
                <w:rFonts w:hint="eastAsia"/>
                <w:szCs w:val="21"/>
              </w:rPr>
              <w:t>《土壤和沉积物 铜、锌、铅、镍、铬的测定 火焰原子吸收分光光度法》(HJ491-2019)</w:t>
            </w:r>
          </w:p>
        </w:tc>
        <w:tc>
          <w:tcPr>
            <w:tcW w:w="1919" w:type="pct"/>
            <w:vMerge w:val="restart"/>
            <w:tcBorders>
              <w:tl2br w:val="nil"/>
              <w:tr2bl w:val="nil"/>
            </w:tcBorders>
            <w:vAlign w:val="center"/>
          </w:tcPr>
          <w:p w14:paraId="14B58B5E">
            <w:pPr>
              <w:pStyle w:val="364"/>
              <w:rPr>
                <w:rFonts w:ascii="Times New Roman" w:hAnsi="Times New Roman" w:cs="Times New Roman"/>
                <w:sz w:val="21"/>
                <w:szCs w:val="21"/>
              </w:rPr>
            </w:pPr>
            <w:r>
              <w:rPr>
                <w:rFonts w:hint="eastAsia" w:ascii="Times New Roman" w:hAnsi="Times New Roman" w:cs="Times New Roman"/>
                <w:sz w:val="21"/>
                <w:szCs w:val="21"/>
              </w:rPr>
              <w:t>原子吸收分光光度计/TAS-990AFG/YH-354</w:t>
            </w:r>
          </w:p>
        </w:tc>
        <w:tc>
          <w:tcPr>
            <w:tcW w:w="642" w:type="pct"/>
            <w:tcBorders>
              <w:tl2br w:val="nil"/>
              <w:tr2bl w:val="nil"/>
            </w:tcBorders>
            <w:vAlign w:val="center"/>
          </w:tcPr>
          <w:p w14:paraId="13B06134">
            <w:pPr>
              <w:widowControl/>
              <w:jc w:val="center"/>
              <w:rPr>
                <w:szCs w:val="21"/>
              </w:rPr>
            </w:pPr>
            <w:r>
              <w:rPr>
                <w:szCs w:val="21"/>
              </w:rPr>
              <w:t>10mg/kg</w:t>
            </w:r>
          </w:p>
        </w:tc>
      </w:tr>
      <w:tr w14:paraId="0085F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35" w:type="pct"/>
            <w:tcBorders>
              <w:tl2br w:val="nil"/>
              <w:tr2bl w:val="nil"/>
            </w:tcBorders>
            <w:vAlign w:val="center"/>
          </w:tcPr>
          <w:p w14:paraId="0A735EA4">
            <w:pPr>
              <w:jc w:val="center"/>
              <w:rPr>
                <w:szCs w:val="21"/>
              </w:rPr>
            </w:pPr>
            <w:r>
              <w:rPr>
                <w:rFonts w:hint="eastAsia"/>
                <w:szCs w:val="21"/>
              </w:rPr>
              <w:t>铬</w:t>
            </w:r>
          </w:p>
        </w:tc>
        <w:tc>
          <w:tcPr>
            <w:tcW w:w="1804" w:type="pct"/>
            <w:vMerge w:val="continue"/>
            <w:tcBorders>
              <w:tl2br w:val="nil"/>
              <w:tr2bl w:val="nil"/>
            </w:tcBorders>
            <w:vAlign w:val="center"/>
          </w:tcPr>
          <w:p w14:paraId="028ECA3A">
            <w:pPr>
              <w:widowControl/>
              <w:jc w:val="left"/>
              <w:textAlignment w:val="center"/>
              <w:rPr>
                <w:szCs w:val="21"/>
              </w:rPr>
            </w:pPr>
          </w:p>
        </w:tc>
        <w:tc>
          <w:tcPr>
            <w:tcW w:w="1919" w:type="pct"/>
            <w:vMerge w:val="continue"/>
            <w:tcBorders>
              <w:tl2br w:val="nil"/>
              <w:tr2bl w:val="nil"/>
            </w:tcBorders>
            <w:vAlign w:val="center"/>
          </w:tcPr>
          <w:p w14:paraId="3AF0D455">
            <w:pPr>
              <w:widowControl/>
              <w:rPr>
                <w:szCs w:val="21"/>
              </w:rPr>
            </w:pPr>
          </w:p>
        </w:tc>
        <w:tc>
          <w:tcPr>
            <w:tcW w:w="642" w:type="pct"/>
            <w:tcBorders>
              <w:tl2br w:val="nil"/>
              <w:tr2bl w:val="nil"/>
            </w:tcBorders>
            <w:vAlign w:val="center"/>
          </w:tcPr>
          <w:p w14:paraId="440EA2BD">
            <w:pPr>
              <w:widowControl/>
              <w:jc w:val="center"/>
              <w:rPr>
                <w:szCs w:val="21"/>
              </w:rPr>
            </w:pPr>
            <w:r>
              <w:rPr>
                <w:szCs w:val="21"/>
              </w:rPr>
              <w:t>4mg/kg</w:t>
            </w:r>
          </w:p>
        </w:tc>
      </w:tr>
      <w:tr w14:paraId="0D750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35" w:type="pct"/>
            <w:tcBorders>
              <w:tl2br w:val="nil"/>
              <w:tr2bl w:val="nil"/>
            </w:tcBorders>
            <w:vAlign w:val="center"/>
          </w:tcPr>
          <w:p w14:paraId="2FAE99F1">
            <w:pPr>
              <w:jc w:val="center"/>
              <w:rPr>
                <w:szCs w:val="21"/>
              </w:rPr>
            </w:pPr>
            <w:r>
              <w:rPr>
                <w:rFonts w:hint="eastAsia"/>
                <w:szCs w:val="21"/>
              </w:rPr>
              <w:t>铜</w:t>
            </w:r>
          </w:p>
        </w:tc>
        <w:tc>
          <w:tcPr>
            <w:tcW w:w="1804" w:type="pct"/>
            <w:vMerge w:val="continue"/>
            <w:tcBorders>
              <w:tl2br w:val="nil"/>
              <w:tr2bl w:val="nil"/>
            </w:tcBorders>
            <w:vAlign w:val="center"/>
          </w:tcPr>
          <w:p w14:paraId="3D3EE526">
            <w:pPr>
              <w:widowControl/>
              <w:jc w:val="left"/>
              <w:textAlignment w:val="center"/>
              <w:rPr>
                <w:szCs w:val="21"/>
              </w:rPr>
            </w:pPr>
          </w:p>
        </w:tc>
        <w:tc>
          <w:tcPr>
            <w:tcW w:w="1919" w:type="pct"/>
            <w:vMerge w:val="continue"/>
            <w:tcBorders>
              <w:tl2br w:val="nil"/>
              <w:tr2bl w:val="nil"/>
            </w:tcBorders>
            <w:vAlign w:val="center"/>
          </w:tcPr>
          <w:p w14:paraId="14161F2C">
            <w:pPr>
              <w:widowControl/>
              <w:rPr>
                <w:szCs w:val="21"/>
              </w:rPr>
            </w:pPr>
          </w:p>
        </w:tc>
        <w:tc>
          <w:tcPr>
            <w:tcW w:w="642" w:type="pct"/>
            <w:tcBorders>
              <w:tl2br w:val="nil"/>
              <w:tr2bl w:val="nil"/>
            </w:tcBorders>
            <w:vAlign w:val="center"/>
          </w:tcPr>
          <w:p w14:paraId="2FB6A8C3">
            <w:pPr>
              <w:widowControl/>
              <w:jc w:val="center"/>
              <w:rPr>
                <w:szCs w:val="21"/>
              </w:rPr>
            </w:pPr>
            <w:r>
              <w:rPr>
                <w:szCs w:val="21"/>
              </w:rPr>
              <w:t>1mg/kg</w:t>
            </w:r>
          </w:p>
        </w:tc>
      </w:tr>
      <w:tr w14:paraId="255E5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35" w:type="pct"/>
            <w:tcBorders>
              <w:tl2br w:val="nil"/>
              <w:tr2bl w:val="nil"/>
            </w:tcBorders>
            <w:vAlign w:val="center"/>
          </w:tcPr>
          <w:p w14:paraId="5DECB525">
            <w:pPr>
              <w:jc w:val="center"/>
              <w:rPr>
                <w:szCs w:val="21"/>
              </w:rPr>
            </w:pPr>
            <w:r>
              <w:rPr>
                <w:rFonts w:hint="eastAsia"/>
                <w:szCs w:val="21"/>
              </w:rPr>
              <w:t>镍</w:t>
            </w:r>
          </w:p>
        </w:tc>
        <w:tc>
          <w:tcPr>
            <w:tcW w:w="1804" w:type="pct"/>
            <w:vMerge w:val="continue"/>
            <w:tcBorders>
              <w:tl2br w:val="nil"/>
              <w:tr2bl w:val="nil"/>
            </w:tcBorders>
            <w:vAlign w:val="center"/>
          </w:tcPr>
          <w:p w14:paraId="37F7618D">
            <w:pPr>
              <w:widowControl/>
              <w:jc w:val="left"/>
              <w:textAlignment w:val="center"/>
              <w:rPr>
                <w:szCs w:val="21"/>
              </w:rPr>
            </w:pPr>
          </w:p>
        </w:tc>
        <w:tc>
          <w:tcPr>
            <w:tcW w:w="1919" w:type="pct"/>
            <w:vMerge w:val="continue"/>
            <w:tcBorders>
              <w:tl2br w:val="nil"/>
              <w:tr2bl w:val="nil"/>
            </w:tcBorders>
            <w:vAlign w:val="center"/>
          </w:tcPr>
          <w:p w14:paraId="28663C69">
            <w:pPr>
              <w:pStyle w:val="364"/>
              <w:jc w:val="left"/>
              <w:rPr>
                <w:rFonts w:ascii="Times New Roman" w:hAnsi="Times New Roman" w:cs="Times New Roman"/>
                <w:sz w:val="21"/>
                <w:szCs w:val="21"/>
              </w:rPr>
            </w:pPr>
          </w:p>
        </w:tc>
        <w:tc>
          <w:tcPr>
            <w:tcW w:w="642" w:type="pct"/>
            <w:tcBorders>
              <w:tl2br w:val="nil"/>
              <w:tr2bl w:val="nil"/>
            </w:tcBorders>
            <w:vAlign w:val="center"/>
          </w:tcPr>
          <w:p w14:paraId="752847FB">
            <w:pPr>
              <w:widowControl/>
              <w:jc w:val="center"/>
              <w:rPr>
                <w:szCs w:val="21"/>
              </w:rPr>
            </w:pPr>
            <w:r>
              <w:rPr>
                <w:szCs w:val="21"/>
              </w:rPr>
              <w:t>3mg/kg</w:t>
            </w:r>
          </w:p>
        </w:tc>
      </w:tr>
      <w:tr w14:paraId="50A3D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35" w:type="pct"/>
            <w:tcBorders>
              <w:tl2br w:val="nil"/>
              <w:tr2bl w:val="nil"/>
            </w:tcBorders>
            <w:vAlign w:val="center"/>
          </w:tcPr>
          <w:p w14:paraId="3072FFC0">
            <w:pPr>
              <w:jc w:val="center"/>
              <w:rPr>
                <w:szCs w:val="21"/>
              </w:rPr>
            </w:pPr>
            <w:r>
              <w:rPr>
                <w:rFonts w:hint="eastAsia"/>
                <w:szCs w:val="21"/>
              </w:rPr>
              <w:t>锌</w:t>
            </w:r>
          </w:p>
        </w:tc>
        <w:tc>
          <w:tcPr>
            <w:tcW w:w="1804" w:type="pct"/>
            <w:vMerge w:val="continue"/>
            <w:tcBorders>
              <w:tl2br w:val="nil"/>
              <w:tr2bl w:val="nil"/>
            </w:tcBorders>
            <w:vAlign w:val="center"/>
          </w:tcPr>
          <w:p w14:paraId="557B2E48">
            <w:pPr>
              <w:widowControl/>
              <w:jc w:val="left"/>
              <w:textAlignment w:val="center"/>
              <w:rPr>
                <w:szCs w:val="21"/>
              </w:rPr>
            </w:pPr>
          </w:p>
        </w:tc>
        <w:tc>
          <w:tcPr>
            <w:tcW w:w="1919" w:type="pct"/>
            <w:vMerge w:val="continue"/>
            <w:tcBorders>
              <w:tl2br w:val="nil"/>
              <w:tr2bl w:val="nil"/>
            </w:tcBorders>
            <w:vAlign w:val="center"/>
          </w:tcPr>
          <w:p w14:paraId="71AB5AF7">
            <w:pPr>
              <w:widowControl/>
              <w:rPr>
                <w:szCs w:val="21"/>
              </w:rPr>
            </w:pPr>
          </w:p>
        </w:tc>
        <w:tc>
          <w:tcPr>
            <w:tcW w:w="642" w:type="pct"/>
            <w:tcBorders>
              <w:tl2br w:val="nil"/>
              <w:tr2bl w:val="nil"/>
            </w:tcBorders>
            <w:vAlign w:val="center"/>
          </w:tcPr>
          <w:p w14:paraId="55CDBBA0">
            <w:pPr>
              <w:jc w:val="center"/>
              <w:rPr>
                <w:szCs w:val="21"/>
              </w:rPr>
            </w:pPr>
            <w:r>
              <w:rPr>
                <w:szCs w:val="21"/>
              </w:rPr>
              <w:t>1mg/kg</w:t>
            </w:r>
          </w:p>
        </w:tc>
      </w:tr>
    </w:tbl>
    <w:p w14:paraId="0A069D00">
      <w:pPr>
        <w:spacing w:line="360" w:lineRule="auto"/>
        <w:jc w:val="center"/>
        <w:rPr>
          <w:kern w:val="0"/>
        </w:rPr>
      </w:pPr>
      <w:r>
        <w:rPr>
          <w:kern w:val="0"/>
          <w:sz w:val="24"/>
        </w:rPr>
        <w:t>表</w:t>
      </w:r>
      <w:r>
        <w:rPr>
          <w:kern w:val="0"/>
          <w:sz w:val="24"/>
        </w:rPr>
        <w:fldChar w:fldCharType="begin"/>
      </w:r>
      <w:r>
        <w:rPr>
          <w:kern w:val="0"/>
          <w:sz w:val="24"/>
        </w:rPr>
        <w:instrText xml:space="preserve"> STYLEREF 1 \s </w:instrText>
      </w:r>
      <w:r>
        <w:rPr>
          <w:kern w:val="0"/>
          <w:sz w:val="24"/>
        </w:rPr>
        <w:fldChar w:fldCharType="separate"/>
      </w:r>
      <w:r>
        <w:rPr>
          <w:kern w:val="0"/>
          <w:sz w:val="24"/>
        </w:rPr>
        <w:t>3</w:t>
      </w:r>
      <w:r>
        <w:rPr>
          <w:kern w:val="0"/>
          <w:sz w:val="24"/>
        </w:rPr>
        <w:fldChar w:fldCharType="end"/>
      </w:r>
      <w:r>
        <w:rPr>
          <w:kern w:val="0"/>
          <w:sz w:val="24"/>
        </w:rPr>
        <w:noBreakHyphen/>
      </w:r>
      <w:r>
        <w:rPr>
          <w:kern w:val="0"/>
          <w:sz w:val="24"/>
        </w:rPr>
        <w:fldChar w:fldCharType="begin"/>
      </w:r>
      <w:r>
        <w:rPr>
          <w:kern w:val="0"/>
          <w:sz w:val="24"/>
        </w:rPr>
        <w:instrText xml:space="preserve"> SEQ 表 \* ARABIC \s 1 </w:instrText>
      </w:r>
      <w:r>
        <w:rPr>
          <w:kern w:val="0"/>
          <w:sz w:val="24"/>
        </w:rPr>
        <w:fldChar w:fldCharType="separate"/>
      </w:r>
      <w:r>
        <w:rPr>
          <w:kern w:val="0"/>
          <w:sz w:val="24"/>
        </w:rPr>
        <w:t>5</w:t>
      </w:r>
      <w:r>
        <w:rPr>
          <w:kern w:val="0"/>
          <w:sz w:val="24"/>
        </w:rPr>
        <w:fldChar w:fldCharType="end"/>
      </w:r>
      <w:r>
        <w:rPr>
          <w:kern w:val="0"/>
          <w:sz w:val="24"/>
        </w:rPr>
        <w:t xml:space="preserve">  </w:t>
      </w:r>
      <w:r>
        <w:rPr>
          <w:rFonts w:hint="eastAsia" w:eastAsia="黑体"/>
          <w:kern w:val="0"/>
          <w:sz w:val="24"/>
        </w:rPr>
        <w:t>底泥现状监测与评价结果一览表</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1575"/>
        <w:gridCol w:w="1527"/>
        <w:gridCol w:w="1527"/>
        <w:gridCol w:w="1527"/>
        <w:gridCol w:w="1527"/>
      </w:tblGrid>
      <w:tr w14:paraId="215E1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2EDE4078">
            <w:pPr>
              <w:jc w:val="center"/>
              <w:rPr>
                <w:szCs w:val="21"/>
              </w:rPr>
            </w:pPr>
            <w:r>
              <w:rPr>
                <w:rFonts w:hint="eastAsia"/>
                <w:szCs w:val="21"/>
              </w:rPr>
              <w:t>监测因子</w:t>
            </w:r>
          </w:p>
        </w:tc>
        <w:tc>
          <w:tcPr>
            <w:tcW w:w="0" w:type="auto"/>
            <w:vMerge w:val="restart"/>
            <w:vAlign w:val="center"/>
          </w:tcPr>
          <w:p w14:paraId="1F5C191B">
            <w:pPr>
              <w:jc w:val="center"/>
              <w:rPr>
                <w:szCs w:val="21"/>
              </w:rPr>
            </w:pPr>
            <w:r>
              <w:rPr>
                <w:rFonts w:hint="eastAsia"/>
                <w:szCs w:val="21"/>
              </w:rPr>
              <w:t>标准值（mg</w:t>
            </w:r>
            <w:r>
              <w:rPr>
                <w:szCs w:val="21"/>
              </w:rPr>
              <w:t>/</w:t>
            </w:r>
            <w:r>
              <w:rPr>
                <w:rFonts w:hint="eastAsia"/>
                <w:szCs w:val="21"/>
              </w:rPr>
              <w:t>kg）</w:t>
            </w:r>
          </w:p>
        </w:tc>
        <w:tc>
          <w:tcPr>
            <w:tcW w:w="0" w:type="auto"/>
            <w:gridSpan w:val="2"/>
            <w:vAlign w:val="center"/>
          </w:tcPr>
          <w:p w14:paraId="353F98AB">
            <w:pPr>
              <w:jc w:val="center"/>
              <w:rPr>
                <w:szCs w:val="21"/>
              </w:rPr>
            </w:pPr>
            <w:r>
              <w:rPr>
                <w:kern w:val="0"/>
                <w:szCs w:val="21"/>
              </w:rPr>
              <w:t>监测值（无量纲或 mg/kg）</w:t>
            </w:r>
          </w:p>
        </w:tc>
        <w:tc>
          <w:tcPr>
            <w:tcW w:w="0" w:type="auto"/>
            <w:gridSpan w:val="2"/>
            <w:vAlign w:val="center"/>
          </w:tcPr>
          <w:p w14:paraId="594AB066">
            <w:pPr>
              <w:jc w:val="center"/>
              <w:rPr>
                <w:szCs w:val="21"/>
              </w:rPr>
            </w:pPr>
            <w:r>
              <w:rPr>
                <w:kern w:val="0"/>
                <w:szCs w:val="21"/>
              </w:rPr>
              <w:t>标准指数</w:t>
            </w:r>
          </w:p>
        </w:tc>
      </w:tr>
      <w:tr w14:paraId="523F7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3246154A">
            <w:pPr>
              <w:jc w:val="center"/>
              <w:rPr>
                <w:szCs w:val="21"/>
              </w:rPr>
            </w:pPr>
          </w:p>
        </w:tc>
        <w:tc>
          <w:tcPr>
            <w:tcW w:w="0" w:type="auto"/>
            <w:vMerge w:val="continue"/>
            <w:vAlign w:val="center"/>
          </w:tcPr>
          <w:p w14:paraId="45AB8476">
            <w:pPr>
              <w:jc w:val="center"/>
              <w:rPr>
                <w:szCs w:val="21"/>
              </w:rPr>
            </w:pPr>
          </w:p>
        </w:tc>
        <w:tc>
          <w:tcPr>
            <w:tcW w:w="0" w:type="auto"/>
            <w:vAlign w:val="center"/>
          </w:tcPr>
          <w:p w14:paraId="60056EC5">
            <w:pPr>
              <w:jc w:val="center"/>
              <w:rPr>
                <w:szCs w:val="21"/>
              </w:rPr>
            </w:pPr>
            <w:r>
              <w:rPr>
                <w:kern w:val="0"/>
                <w:szCs w:val="21"/>
              </w:rPr>
              <w:t>1# 项目起点河道内</w:t>
            </w:r>
          </w:p>
        </w:tc>
        <w:tc>
          <w:tcPr>
            <w:tcW w:w="0" w:type="auto"/>
            <w:vAlign w:val="center"/>
          </w:tcPr>
          <w:p w14:paraId="4B77557B">
            <w:pPr>
              <w:jc w:val="center"/>
              <w:rPr>
                <w:szCs w:val="21"/>
              </w:rPr>
            </w:pPr>
            <w:r>
              <w:rPr>
                <w:kern w:val="0"/>
                <w:szCs w:val="21"/>
              </w:rPr>
              <w:t>2# 项目终点河道内</w:t>
            </w:r>
          </w:p>
        </w:tc>
        <w:tc>
          <w:tcPr>
            <w:tcW w:w="0" w:type="auto"/>
            <w:vAlign w:val="center"/>
          </w:tcPr>
          <w:p w14:paraId="3C172853">
            <w:pPr>
              <w:jc w:val="center"/>
              <w:rPr>
                <w:szCs w:val="21"/>
              </w:rPr>
            </w:pPr>
            <w:r>
              <w:rPr>
                <w:kern w:val="0"/>
                <w:szCs w:val="21"/>
              </w:rPr>
              <w:t>1# 项目起点河道内</w:t>
            </w:r>
          </w:p>
        </w:tc>
        <w:tc>
          <w:tcPr>
            <w:tcW w:w="0" w:type="auto"/>
            <w:vAlign w:val="center"/>
          </w:tcPr>
          <w:p w14:paraId="5F72CD6B">
            <w:pPr>
              <w:jc w:val="center"/>
              <w:rPr>
                <w:szCs w:val="21"/>
              </w:rPr>
            </w:pPr>
            <w:r>
              <w:rPr>
                <w:kern w:val="0"/>
                <w:szCs w:val="21"/>
              </w:rPr>
              <w:t>2# 项目终点河道内</w:t>
            </w:r>
          </w:p>
        </w:tc>
      </w:tr>
      <w:tr w14:paraId="4B9A6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7BEB7F9">
            <w:pPr>
              <w:jc w:val="center"/>
              <w:rPr>
                <w:szCs w:val="21"/>
              </w:rPr>
            </w:pPr>
            <w:r>
              <w:rPr>
                <w:kern w:val="0"/>
                <w:szCs w:val="21"/>
              </w:rPr>
              <w:t>pH值</w:t>
            </w:r>
          </w:p>
        </w:tc>
        <w:tc>
          <w:tcPr>
            <w:tcW w:w="0" w:type="auto"/>
            <w:vAlign w:val="center"/>
          </w:tcPr>
          <w:p w14:paraId="1AA4A932">
            <w:pPr>
              <w:jc w:val="center"/>
              <w:rPr>
                <w:szCs w:val="21"/>
              </w:rPr>
            </w:pPr>
            <w:r>
              <w:rPr>
                <w:kern w:val="0"/>
                <w:szCs w:val="21"/>
              </w:rPr>
              <w:t>-</w:t>
            </w:r>
          </w:p>
        </w:tc>
        <w:tc>
          <w:tcPr>
            <w:tcW w:w="0" w:type="auto"/>
            <w:vAlign w:val="center"/>
          </w:tcPr>
          <w:p w14:paraId="39FB9F8F">
            <w:pPr>
              <w:jc w:val="center"/>
              <w:rPr>
                <w:szCs w:val="21"/>
              </w:rPr>
            </w:pPr>
            <w:r>
              <w:rPr>
                <w:kern w:val="0"/>
                <w:szCs w:val="21"/>
              </w:rPr>
              <w:t>8.60</w:t>
            </w:r>
          </w:p>
        </w:tc>
        <w:tc>
          <w:tcPr>
            <w:tcW w:w="0" w:type="auto"/>
            <w:vAlign w:val="center"/>
          </w:tcPr>
          <w:p w14:paraId="0524F3DD">
            <w:pPr>
              <w:jc w:val="center"/>
              <w:rPr>
                <w:szCs w:val="21"/>
              </w:rPr>
            </w:pPr>
            <w:r>
              <w:rPr>
                <w:kern w:val="0"/>
                <w:szCs w:val="21"/>
              </w:rPr>
              <w:t>8.01</w:t>
            </w:r>
          </w:p>
        </w:tc>
        <w:tc>
          <w:tcPr>
            <w:tcW w:w="0" w:type="auto"/>
            <w:vAlign w:val="center"/>
          </w:tcPr>
          <w:p w14:paraId="75AC20A0">
            <w:pPr>
              <w:jc w:val="center"/>
              <w:rPr>
                <w:szCs w:val="21"/>
              </w:rPr>
            </w:pPr>
            <w:r>
              <w:rPr>
                <w:kern w:val="0"/>
                <w:szCs w:val="21"/>
              </w:rPr>
              <w:t>-</w:t>
            </w:r>
          </w:p>
        </w:tc>
        <w:tc>
          <w:tcPr>
            <w:tcW w:w="0" w:type="auto"/>
            <w:vAlign w:val="center"/>
          </w:tcPr>
          <w:p w14:paraId="676C94EE">
            <w:pPr>
              <w:jc w:val="center"/>
              <w:rPr>
                <w:szCs w:val="21"/>
              </w:rPr>
            </w:pPr>
            <w:r>
              <w:rPr>
                <w:kern w:val="0"/>
                <w:szCs w:val="21"/>
              </w:rPr>
              <w:t>-</w:t>
            </w:r>
          </w:p>
        </w:tc>
      </w:tr>
      <w:tr w14:paraId="66529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CEAD491">
            <w:pPr>
              <w:jc w:val="center"/>
              <w:rPr>
                <w:szCs w:val="21"/>
              </w:rPr>
            </w:pPr>
            <w:r>
              <w:rPr>
                <w:kern w:val="0"/>
                <w:szCs w:val="21"/>
              </w:rPr>
              <w:t>铜</w:t>
            </w:r>
          </w:p>
        </w:tc>
        <w:tc>
          <w:tcPr>
            <w:tcW w:w="0" w:type="auto"/>
            <w:vAlign w:val="center"/>
          </w:tcPr>
          <w:p w14:paraId="57E9BA88">
            <w:pPr>
              <w:jc w:val="center"/>
              <w:rPr>
                <w:szCs w:val="21"/>
              </w:rPr>
            </w:pPr>
            <w:r>
              <w:rPr>
                <w:kern w:val="0"/>
                <w:szCs w:val="21"/>
              </w:rPr>
              <w:t>100</w:t>
            </w:r>
          </w:p>
        </w:tc>
        <w:tc>
          <w:tcPr>
            <w:tcW w:w="0" w:type="auto"/>
            <w:vAlign w:val="center"/>
          </w:tcPr>
          <w:p w14:paraId="3CA5D6FD">
            <w:pPr>
              <w:jc w:val="center"/>
              <w:rPr>
                <w:szCs w:val="21"/>
              </w:rPr>
            </w:pPr>
            <w:r>
              <w:rPr>
                <w:kern w:val="0"/>
                <w:szCs w:val="21"/>
              </w:rPr>
              <w:t>14</w:t>
            </w:r>
          </w:p>
        </w:tc>
        <w:tc>
          <w:tcPr>
            <w:tcW w:w="0" w:type="auto"/>
            <w:vAlign w:val="center"/>
          </w:tcPr>
          <w:p w14:paraId="41356ABF">
            <w:pPr>
              <w:jc w:val="center"/>
              <w:rPr>
                <w:szCs w:val="21"/>
              </w:rPr>
            </w:pPr>
            <w:r>
              <w:rPr>
                <w:kern w:val="0"/>
                <w:szCs w:val="21"/>
              </w:rPr>
              <w:t>17</w:t>
            </w:r>
          </w:p>
        </w:tc>
        <w:tc>
          <w:tcPr>
            <w:tcW w:w="0" w:type="auto"/>
            <w:vAlign w:val="center"/>
          </w:tcPr>
          <w:p w14:paraId="394CFC20">
            <w:pPr>
              <w:jc w:val="center"/>
              <w:rPr>
                <w:szCs w:val="21"/>
              </w:rPr>
            </w:pPr>
            <w:r>
              <w:rPr>
                <w:kern w:val="0"/>
                <w:szCs w:val="21"/>
              </w:rPr>
              <w:t>0.140</w:t>
            </w:r>
          </w:p>
        </w:tc>
        <w:tc>
          <w:tcPr>
            <w:tcW w:w="0" w:type="auto"/>
            <w:vAlign w:val="center"/>
          </w:tcPr>
          <w:p w14:paraId="59713030">
            <w:pPr>
              <w:jc w:val="center"/>
              <w:rPr>
                <w:szCs w:val="21"/>
              </w:rPr>
            </w:pPr>
            <w:r>
              <w:rPr>
                <w:kern w:val="0"/>
                <w:szCs w:val="21"/>
              </w:rPr>
              <w:t>0.170</w:t>
            </w:r>
          </w:p>
        </w:tc>
      </w:tr>
      <w:tr w14:paraId="2D2B0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955362B">
            <w:pPr>
              <w:jc w:val="center"/>
              <w:rPr>
                <w:szCs w:val="21"/>
              </w:rPr>
            </w:pPr>
            <w:r>
              <w:rPr>
                <w:kern w:val="0"/>
                <w:szCs w:val="21"/>
              </w:rPr>
              <w:t>锌</w:t>
            </w:r>
          </w:p>
        </w:tc>
        <w:tc>
          <w:tcPr>
            <w:tcW w:w="0" w:type="auto"/>
            <w:vAlign w:val="center"/>
          </w:tcPr>
          <w:p w14:paraId="250BD77B">
            <w:pPr>
              <w:jc w:val="center"/>
              <w:rPr>
                <w:szCs w:val="21"/>
              </w:rPr>
            </w:pPr>
            <w:r>
              <w:rPr>
                <w:kern w:val="0"/>
                <w:szCs w:val="21"/>
              </w:rPr>
              <w:t>300</w:t>
            </w:r>
          </w:p>
        </w:tc>
        <w:tc>
          <w:tcPr>
            <w:tcW w:w="0" w:type="auto"/>
            <w:vAlign w:val="center"/>
          </w:tcPr>
          <w:p w14:paraId="52564494">
            <w:pPr>
              <w:jc w:val="center"/>
              <w:rPr>
                <w:szCs w:val="21"/>
              </w:rPr>
            </w:pPr>
            <w:r>
              <w:rPr>
                <w:kern w:val="0"/>
                <w:szCs w:val="21"/>
              </w:rPr>
              <w:t>40</w:t>
            </w:r>
          </w:p>
        </w:tc>
        <w:tc>
          <w:tcPr>
            <w:tcW w:w="0" w:type="auto"/>
            <w:vAlign w:val="center"/>
          </w:tcPr>
          <w:p w14:paraId="5291B2C3">
            <w:pPr>
              <w:jc w:val="center"/>
              <w:rPr>
                <w:szCs w:val="21"/>
              </w:rPr>
            </w:pPr>
            <w:r>
              <w:rPr>
                <w:kern w:val="0"/>
                <w:szCs w:val="21"/>
              </w:rPr>
              <w:t>59</w:t>
            </w:r>
          </w:p>
        </w:tc>
        <w:tc>
          <w:tcPr>
            <w:tcW w:w="0" w:type="auto"/>
            <w:vAlign w:val="center"/>
          </w:tcPr>
          <w:p w14:paraId="3A83CA3E">
            <w:pPr>
              <w:jc w:val="center"/>
              <w:rPr>
                <w:szCs w:val="21"/>
              </w:rPr>
            </w:pPr>
            <w:r>
              <w:rPr>
                <w:kern w:val="0"/>
                <w:szCs w:val="21"/>
              </w:rPr>
              <w:t>0.133</w:t>
            </w:r>
          </w:p>
        </w:tc>
        <w:tc>
          <w:tcPr>
            <w:tcW w:w="0" w:type="auto"/>
            <w:vAlign w:val="center"/>
          </w:tcPr>
          <w:p w14:paraId="6CF27979">
            <w:pPr>
              <w:jc w:val="center"/>
              <w:rPr>
                <w:szCs w:val="21"/>
              </w:rPr>
            </w:pPr>
            <w:r>
              <w:rPr>
                <w:kern w:val="0"/>
                <w:szCs w:val="21"/>
              </w:rPr>
              <w:t>0.197</w:t>
            </w:r>
          </w:p>
        </w:tc>
      </w:tr>
      <w:tr w14:paraId="2503D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6868FD9">
            <w:pPr>
              <w:jc w:val="center"/>
              <w:rPr>
                <w:szCs w:val="21"/>
              </w:rPr>
            </w:pPr>
            <w:r>
              <w:rPr>
                <w:kern w:val="0"/>
                <w:szCs w:val="21"/>
              </w:rPr>
              <w:t>镉</w:t>
            </w:r>
          </w:p>
        </w:tc>
        <w:tc>
          <w:tcPr>
            <w:tcW w:w="0" w:type="auto"/>
            <w:vAlign w:val="center"/>
          </w:tcPr>
          <w:p w14:paraId="53496048">
            <w:pPr>
              <w:jc w:val="center"/>
              <w:rPr>
                <w:szCs w:val="21"/>
              </w:rPr>
            </w:pPr>
            <w:r>
              <w:rPr>
                <w:kern w:val="0"/>
                <w:szCs w:val="21"/>
              </w:rPr>
              <w:t>0.6</w:t>
            </w:r>
          </w:p>
        </w:tc>
        <w:tc>
          <w:tcPr>
            <w:tcW w:w="0" w:type="auto"/>
            <w:vAlign w:val="center"/>
          </w:tcPr>
          <w:p w14:paraId="40FF8BF0">
            <w:pPr>
              <w:jc w:val="center"/>
              <w:rPr>
                <w:szCs w:val="21"/>
              </w:rPr>
            </w:pPr>
            <w:r>
              <w:rPr>
                <w:kern w:val="0"/>
                <w:szCs w:val="21"/>
              </w:rPr>
              <w:t>未检出</w:t>
            </w:r>
          </w:p>
        </w:tc>
        <w:tc>
          <w:tcPr>
            <w:tcW w:w="0" w:type="auto"/>
            <w:vAlign w:val="center"/>
          </w:tcPr>
          <w:p w14:paraId="26A8519A">
            <w:pPr>
              <w:jc w:val="center"/>
              <w:rPr>
                <w:szCs w:val="21"/>
              </w:rPr>
            </w:pPr>
            <w:r>
              <w:rPr>
                <w:kern w:val="0"/>
                <w:szCs w:val="21"/>
              </w:rPr>
              <w:t>0.14</w:t>
            </w:r>
          </w:p>
        </w:tc>
        <w:tc>
          <w:tcPr>
            <w:tcW w:w="0" w:type="auto"/>
            <w:vAlign w:val="center"/>
          </w:tcPr>
          <w:p w14:paraId="224F4B80">
            <w:pPr>
              <w:jc w:val="center"/>
              <w:rPr>
                <w:szCs w:val="21"/>
              </w:rPr>
            </w:pPr>
            <w:r>
              <w:rPr>
                <w:kern w:val="0"/>
                <w:szCs w:val="21"/>
              </w:rPr>
              <w:t>-</w:t>
            </w:r>
          </w:p>
        </w:tc>
        <w:tc>
          <w:tcPr>
            <w:tcW w:w="0" w:type="auto"/>
            <w:vAlign w:val="center"/>
          </w:tcPr>
          <w:p w14:paraId="57103D13">
            <w:pPr>
              <w:jc w:val="center"/>
              <w:rPr>
                <w:szCs w:val="21"/>
              </w:rPr>
            </w:pPr>
            <w:r>
              <w:rPr>
                <w:kern w:val="0"/>
                <w:szCs w:val="21"/>
              </w:rPr>
              <w:t>0.233</w:t>
            </w:r>
          </w:p>
        </w:tc>
      </w:tr>
      <w:tr w14:paraId="26477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F82202A">
            <w:pPr>
              <w:jc w:val="center"/>
              <w:rPr>
                <w:szCs w:val="21"/>
              </w:rPr>
            </w:pPr>
            <w:r>
              <w:rPr>
                <w:kern w:val="0"/>
                <w:szCs w:val="21"/>
              </w:rPr>
              <w:t>汞</w:t>
            </w:r>
          </w:p>
        </w:tc>
        <w:tc>
          <w:tcPr>
            <w:tcW w:w="0" w:type="auto"/>
            <w:vAlign w:val="center"/>
          </w:tcPr>
          <w:p w14:paraId="5E18AC85">
            <w:pPr>
              <w:jc w:val="center"/>
              <w:rPr>
                <w:szCs w:val="21"/>
              </w:rPr>
            </w:pPr>
            <w:r>
              <w:rPr>
                <w:kern w:val="0"/>
                <w:szCs w:val="21"/>
              </w:rPr>
              <w:t>3.4</w:t>
            </w:r>
          </w:p>
        </w:tc>
        <w:tc>
          <w:tcPr>
            <w:tcW w:w="0" w:type="auto"/>
            <w:vAlign w:val="center"/>
          </w:tcPr>
          <w:p w14:paraId="739F4C2C">
            <w:pPr>
              <w:jc w:val="center"/>
              <w:rPr>
                <w:szCs w:val="21"/>
              </w:rPr>
            </w:pPr>
            <w:r>
              <w:rPr>
                <w:kern w:val="0"/>
                <w:szCs w:val="21"/>
              </w:rPr>
              <w:t>0.032</w:t>
            </w:r>
          </w:p>
        </w:tc>
        <w:tc>
          <w:tcPr>
            <w:tcW w:w="0" w:type="auto"/>
            <w:vAlign w:val="center"/>
          </w:tcPr>
          <w:p w14:paraId="413A165E">
            <w:pPr>
              <w:jc w:val="center"/>
              <w:rPr>
                <w:szCs w:val="21"/>
              </w:rPr>
            </w:pPr>
            <w:r>
              <w:rPr>
                <w:kern w:val="0"/>
                <w:szCs w:val="21"/>
              </w:rPr>
              <w:t>0.027</w:t>
            </w:r>
          </w:p>
        </w:tc>
        <w:tc>
          <w:tcPr>
            <w:tcW w:w="0" w:type="auto"/>
            <w:vAlign w:val="center"/>
          </w:tcPr>
          <w:p w14:paraId="6C78DAA7">
            <w:pPr>
              <w:jc w:val="center"/>
              <w:rPr>
                <w:szCs w:val="21"/>
              </w:rPr>
            </w:pPr>
            <w:r>
              <w:rPr>
                <w:kern w:val="0"/>
                <w:szCs w:val="21"/>
              </w:rPr>
              <w:t>0.009</w:t>
            </w:r>
          </w:p>
        </w:tc>
        <w:tc>
          <w:tcPr>
            <w:tcW w:w="0" w:type="auto"/>
            <w:vAlign w:val="center"/>
          </w:tcPr>
          <w:p w14:paraId="736935F2">
            <w:pPr>
              <w:jc w:val="center"/>
              <w:rPr>
                <w:szCs w:val="21"/>
              </w:rPr>
            </w:pPr>
            <w:r>
              <w:rPr>
                <w:kern w:val="0"/>
                <w:szCs w:val="21"/>
              </w:rPr>
              <w:t>0.008</w:t>
            </w:r>
          </w:p>
        </w:tc>
      </w:tr>
      <w:tr w14:paraId="73764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BDCA4B1">
            <w:pPr>
              <w:jc w:val="center"/>
              <w:rPr>
                <w:szCs w:val="21"/>
              </w:rPr>
            </w:pPr>
            <w:r>
              <w:rPr>
                <w:kern w:val="0"/>
                <w:szCs w:val="21"/>
              </w:rPr>
              <w:t>砷</w:t>
            </w:r>
          </w:p>
        </w:tc>
        <w:tc>
          <w:tcPr>
            <w:tcW w:w="0" w:type="auto"/>
            <w:vAlign w:val="center"/>
          </w:tcPr>
          <w:p w14:paraId="0AA7127D">
            <w:pPr>
              <w:jc w:val="center"/>
              <w:rPr>
                <w:szCs w:val="21"/>
              </w:rPr>
            </w:pPr>
            <w:r>
              <w:rPr>
                <w:kern w:val="0"/>
                <w:szCs w:val="21"/>
              </w:rPr>
              <w:t>25</w:t>
            </w:r>
          </w:p>
        </w:tc>
        <w:tc>
          <w:tcPr>
            <w:tcW w:w="0" w:type="auto"/>
            <w:vAlign w:val="center"/>
          </w:tcPr>
          <w:p w14:paraId="467D065F">
            <w:pPr>
              <w:jc w:val="center"/>
              <w:rPr>
                <w:szCs w:val="21"/>
              </w:rPr>
            </w:pPr>
            <w:r>
              <w:rPr>
                <w:kern w:val="0"/>
                <w:szCs w:val="21"/>
              </w:rPr>
              <w:t>3.58</w:t>
            </w:r>
          </w:p>
        </w:tc>
        <w:tc>
          <w:tcPr>
            <w:tcW w:w="0" w:type="auto"/>
            <w:vAlign w:val="center"/>
          </w:tcPr>
          <w:p w14:paraId="456A56DC">
            <w:pPr>
              <w:jc w:val="center"/>
              <w:rPr>
                <w:szCs w:val="21"/>
              </w:rPr>
            </w:pPr>
            <w:r>
              <w:rPr>
                <w:kern w:val="0"/>
                <w:szCs w:val="21"/>
              </w:rPr>
              <w:t>4.76</w:t>
            </w:r>
          </w:p>
        </w:tc>
        <w:tc>
          <w:tcPr>
            <w:tcW w:w="0" w:type="auto"/>
            <w:vAlign w:val="center"/>
          </w:tcPr>
          <w:p w14:paraId="1B93026D">
            <w:pPr>
              <w:jc w:val="center"/>
              <w:rPr>
                <w:szCs w:val="21"/>
              </w:rPr>
            </w:pPr>
            <w:r>
              <w:rPr>
                <w:kern w:val="0"/>
                <w:szCs w:val="21"/>
              </w:rPr>
              <w:t>0.143</w:t>
            </w:r>
          </w:p>
        </w:tc>
        <w:tc>
          <w:tcPr>
            <w:tcW w:w="0" w:type="auto"/>
            <w:vAlign w:val="center"/>
          </w:tcPr>
          <w:p w14:paraId="71D0D487">
            <w:pPr>
              <w:jc w:val="center"/>
              <w:rPr>
                <w:szCs w:val="21"/>
              </w:rPr>
            </w:pPr>
            <w:r>
              <w:rPr>
                <w:kern w:val="0"/>
                <w:szCs w:val="21"/>
              </w:rPr>
              <w:t>0.190</w:t>
            </w:r>
          </w:p>
        </w:tc>
      </w:tr>
      <w:tr w14:paraId="029A6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AAF8EAF">
            <w:pPr>
              <w:jc w:val="center"/>
              <w:rPr>
                <w:szCs w:val="21"/>
              </w:rPr>
            </w:pPr>
            <w:r>
              <w:rPr>
                <w:kern w:val="0"/>
                <w:szCs w:val="21"/>
              </w:rPr>
              <w:t>铅</w:t>
            </w:r>
          </w:p>
        </w:tc>
        <w:tc>
          <w:tcPr>
            <w:tcW w:w="0" w:type="auto"/>
            <w:vAlign w:val="center"/>
          </w:tcPr>
          <w:p w14:paraId="2C01A645">
            <w:pPr>
              <w:jc w:val="center"/>
              <w:rPr>
                <w:szCs w:val="21"/>
              </w:rPr>
            </w:pPr>
            <w:r>
              <w:rPr>
                <w:kern w:val="0"/>
                <w:szCs w:val="21"/>
              </w:rPr>
              <w:t>170</w:t>
            </w:r>
          </w:p>
        </w:tc>
        <w:tc>
          <w:tcPr>
            <w:tcW w:w="0" w:type="auto"/>
            <w:vAlign w:val="center"/>
          </w:tcPr>
          <w:p w14:paraId="56545E9C">
            <w:pPr>
              <w:jc w:val="center"/>
              <w:rPr>
                <w:szCs w:val="21"/>
              </w:rPr>
            </w:pPr>
            <w:r>
              <w:rPr>
                <w:kern w:val="0"/>
                <w:szCs w:val="21"/>
              </w:rPr>
              <w:t>26</w:t>
            </w:r>
          </w:p>
        </w:tc>
        <w:tc>
          <w:tcPr>
            <w:tcW w:w="0" w:type="auto"/>
            <w:vAlign w:val="center"/>
          </w:tcPr>
          <w:p w14:paraId="7DBE73B0">
            <w:pPr>
              <w:jc w:val="center"/>
              <w:rPr>
                <w:szCs w:val="21"/>
              </w:rPr>
            </w:pPr>
            <w:r>
              <w:rPr>
                <w:kern w:val="0"/>
                <w:szCs w:val="21"/>
              </w:rPr>
              <w:t>14</w:t>
            </w:r>
          </w:p>
        </w:tc>
        <w:tc>
          <w:tcPr>
            <w:tcW w:w="0" w:type="auto"/>
            <w:vAlign w:val="center"/>
          </w:tcPr>
          <w:p w14:paraId="0E693228">
            <w:pPr>
              <w:jc w:val="center"/>
              <w:rPr>
                <w:szCs w:val="21"/>
              </w:rPr>
            </w:pPr>
            <w:r>
              <w:rPr>
                <w:kern w:val="0"/>
                <w:szCs w:val="21"/>
              </w:rPr>
              <w:t>0.153</w:t>
            </w:r>
          </w:p>
        </w:tc>
        <w:tc>
          <w:tcPr>
            <w:tcW w:w="0" w:type="auto"/>
            <w:vAlign w:val="center"/>
          </w:tcPr>
          <w:p w14:paraId="74B5EEE3">
            <w:pPr>
              <w:jc w:val="center"/>
              <w:rPr>
                <w:szCs w:val="21"/>
              </w:rPr>
            </w:pPr>
            <w:r>
              <w:rPr>
                <w:kern w:val="0"/>
                <w:szCs w:val="21"/>
              </w:rPr>
              <w:t>0.082</w:t>
            </w:r>
          </w:p>
        </w:tc>
      </w:tr>
      <w:tr w14:paraId="6FC8D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6A86EDC">
            <w:pPr>
              <w:jc w:val="center"/>
              <w:rPr>
                <w:szCs w:val="21"/>
              </w:rPr>
            </w:pPr>
            <w:r>
              <w:rPr>
                <w:kern w:val="0"/>
                <w:szCs w:val="21"/>
              </w:rPr>
              <w:t>铬</w:t>
            </w:r>
          </w:p>
        </w:tc>
        <w:tc>
          <w:tcPr>
            <w:tcW w:w="0" w:type="auto"/>
            <w:vAlign w:val="center"/>
          </w:tcPr>
          <w:p w14:paraId="16B1C7B0">
            <w:pPr>
              <w:jc w:val="center"/>
              <w:rPr>
                <w:szCs w:val="21"/>
              </w:rPr>
            </w:pPr>
            <w:r>
              <w:rPr>
                <w:kern w:val="0"/>
                <w:szCs w:val="21"/>
              </w:rPr>
              <w:t>250</w:t>
            </w:r>
          </w:p>
        </w:tc>
        <w:tc>
          <w:tcPr>
            <w:tcW w:w="0" w:type="auto"/>
            <w:vAlign w:val="center"/>
          </w:tcPr>
          <w:p w14:paraId="3D4675A4">
            <w:pPr>
              <w:jc w:val="center"/>
              <w:rPr>
                <w:szCs w:val="21"/>
              </w:rPr>
            </w:pPr>
            <w:r>
              <w:rPr>
                <w:kern w:val="0"/>
                <w:szCs w:val="21"/>
              </w:rPr>
              <w:t>26</w:t>
            </w:r>
          </w:p>
        </w:tc>
        <w:tc>
          <w:tcPr>
            <w:tcW w:w="0" w:type="auto"/>
            <w:vAlign w:val="center"/>
          </w:tcPr>
          <w:p w14:paraId="531BF216">
            <w:pPr>
              <w:jc w:val="center"/>
              <w:rPr>
                <w:szCs w:val="21"/>
              </w:rPr>
            </w:pPr>
            <w:r>
              <w:rPr>
                <w:kern w:val="0"/>
                <w:szCs w:val="21"/>
              </w:rPr>
              <w:t>35</w:t>
            </w:r>
          </w:p>
        </w:tc>
        <w:tc>
          <w:tcPr>
            <w:tcW w:w="0" w:type="auto"/>
            <w:vAlign w:val="center"/>
          </w:tcPr>
          <w:p w14:paraId="72232A34">
            <w:pPr>
              <w:jc w:val="center"/>
              <w:rPr>
                <w:szCs w:val="21"/>
              </w:rPr>
            </w:pPr>
            <w:r>
              <w:rPr>
                <w:kern w:val="0"/>
                <w:szCs w:val="21"/>
              </w:rPr>
              <w:t>0.104</w:t>
            </w:r>
          </w:p>
        </w:tc>
        <w:tc>
          <w:tcPr>
            <w:tcW w:w="0" w:type="auto"/>
            <w:vAlign w:val="center"/>
          </w:tcPr>
          <w:p w14:paraId="4A170287">
            <w:pPr>
              <w:jc w:val="center"/>
              <w:rPr>
                <w:szCs w:val="21"/>
              </w:rPr>
            </w:pPr>
            <w:r>
              <w:rPr>
                <w:kern w:val="0"/>
                <w:szCs w:val="21"/>
              </w:rPr>
              <w:t>0.140</w:t>
            </w:r>
          </w:p>
        </w:tc>
      </w:tr>
      <w:tr w14:paraId="7A5F6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AF111C7">
            <w:pPr>
              <w:jc w:val="center"/>
              <w:rPr>
                <w:kern w:val="0"/>
                <w:szCs w:val="21"/>
              </w:rPr>
            </w:pPr>
            <w:r>
              <w:rPr>
                <w:kern w:val="0"/>
                <w:szCs w:val="21"/>
              </w:rPr>
              <w:t>镍</w:t>
            </w:r>
          </w:p>
        </w:tc>
        <w:tc>
          <w:tcPr>
            <w:tcW w:w="0" w:type="auto"/>
            <w:vAlign w:val="center"/>
          </w:tcPr>
          <w:p w14:paraId="0D43E892">
            <w:pPr>
              <w:jc w:val="center"/>
              <w:rPr>
                <w:kern w:val="0"/>
                <w:szCs w:val="21"/>
              </w:rPr>
            </w:pPr>
            <w:r>
              <w:rPr>
                <w:kern w:val="0"/>
                <w:szCs w:val="21"/>
              </w:rPr>
              <w:t>190</w:t>
            </w:r>
          </w:p>
        </w:tc>
        <w:tc>
          <w:tcPr>
            <w:tcW w:w="0" w:type="auto"/>
            <w:vAlign w:val="center"/>
          </w:tcPr>
          <w:p w14:paraId="013DE476">
            <w:pPr>
              <w:jc w:val="center"/>
              <w:rPr>
                <w:kern w:val="0"/>
                <w:szCs w:val="21"/>
              </w:rPr>
            </w:pPr>
            <w:r>
              <w:rPr>
                <w:kern w:val="0"/>
                <w:szCs w:val="21"/>
              </w:rPr>
              <w:t>16</w:t>
            </w:r>
          </w:p>
        </w:tc>
        <w:tc>
          <w:tcPr>
            <w:tcW w:w="0" w:type="auto"/>
            <w:vAlign w:val="center"/>
          </w:tcPr>
          <w:p w14:paraId="3E7237EB">
            <w:pPr>
              <w:jc w:val="center"/>
              <w:rPr>
                <w:kern w:val="0"/>
                <w:szCs w:val="21"/>
              </w:rPr>
            </w:pPr>
            <w:r>
              <w:rPr>
                <w:kern w:val="0"/>
                <w:szCs w:val="21"/>
              </w:rPr>
              <w:t>26</w:t>
            </w:r>
          </w:p>
        </w:tc>
        <w:tc>
          <w:tcPr>
            <w:tcW w:w="0" w:type="auto"/>
            <w:vAlign w:val="center"/>
          </w:tcPr>
          <w:p w14:paraId="3ED7FCED">
            <w:pPr>
              <w:jc w:val="center"/>
              <w:rPr>
                <w:kern w:val="0"/>
                <w:szCs w:val="21"/>
              </w:rPr>
            </w:pPr>
            <w:r>
              <w:rPr>
                <w:kern w:val="0"/>
                <w:szCs w:val="21"/>
              </w:rPr>
              <w:t>0.084</w:t>
            </w:r>
          </w:p>
        </w:tc>
        <w:tc>
          <w:tcPr>
            <w:tcW w:w="0" w:type="auto"/>
            <w:vAlign w:val="center"/>
          </w:tcPr>
          <w:p w14:paraId="7F0EEB22">
            <w:pPr>
              <w:jc w:val="center"/>
              <w:rPr>
                <w:kern w:val="0"/>
                <w:szCs w:val="21"/>
              </w:rPr>
            </w:pPr>
            <w:r>
              <w:rPr>
                <w:kern w:val="0"/>
                <w:szCs w:val="21"/>
              </w:rPr>
              <w:t>0.137</w:t>
            </w:r>
          </w:p>
        </w:tc>
      </w:tr>
    </w:tbl>
    <w:p w14:paraId="590543E9">
      <w:pPr>
        <w:pStyle w:val="85"/>
        <w:ind w:firstLine="480"/>
        <w:rPr>
          <w:kern w:val="0"/>
        </w:rPr>
      </w:pPr>
      <w:r>
        <w:rPr>
          <w:rFonts w:hint="eastAsia"/>
          <w:kern w:val="0"/>
        </w:rPr>
        <w:t>由上表分析可知，各监测点位底泥环境现状监测值均满足参照执行的《土壤环境质量农用地土壤污染风险管控标准（试行）》（GB15618-2018）表 1 中其他筛选值标准。</w:t>
      </w:r>
    </w:p>
    <w:p w14:paraId="61A94A4C">
      <w:pPr>
        <w:pStyle w:val="4"/>
        <w:rPr>
          <w:kern w:val="0"/>
        </w:rPr>
      </w:pPr>
      <w:r>
        <w:rPr>
          <w:kern w:val="0"/>
        </w:rPr>
        <w:t>水文</w:t>
      </w:r>
      <w:r>
        <w:rPr>
          <w:rFonts w:hint="eastAsia"/>
          <w:kern w:val="0"/>
        </w:rPr>
        <w:t>情势</w:t>
      </w:r>
      <w:r>
        <w:rPr>
          <w:kern w:val="0"/>
        </w:rPr>
        <w:t>调查</w:t>
      </w:r>
    </w:p>
    <w:p w14:paraId="06777370">
      <w:pPr>
        <w:pStyle w:val="85"/>
        <w:ind w:firstLine="480"/>
        <w:rPr>
          <w:kern w:val="0"/>
        </w:rPr>
      </w:pPr>
      <w:r>
        <w:rPr>
          <w:rFonts w:hint="eastAsia"/>
          <w:kern w:val="0"/>
        </w:rPr>
        <w:t>潮河发源于丰宁县选将营子川上黄旗哈拉海沟，在古北口入北京市密云县境后注入密云水库，为潮白河上游左支流。滦平县境内流域面积1422.0平方公里，地理坐标为：东经116°40′13″—117°31′13″，北纬40°39′20″—41°00′44″，流域共涉及滦平县的2镇9乡（虎什哈、巴克什营镇、平坊、安纯沟门、五道营子、马营子、邓厂、付家店、火斗山、两间房、涝洼乡</w:t>
      </w:r>
      <w:r>
        <w:rPr>
          <w:kern w:val="0"/>
        </w:rPr>
        <w:t>）</w:t>
      </w:r>
      <w:r>
        <w:rPr>
          <w:rFonts w:hint="eastAsia"/>
          <w:kern w:val="0"/>
        </w:rPr>
        <w:t>。潮河在滦平县境内河长58.5公里，入境处潮河岸边海拔368.0米，在出境处潮河岸边海拔213米，为滦平县境内最低点，河道坡降2.6‰。多年平均输沙量为47.9万吨，多年平均输沙模数为341吨/平方公里。</w:t>
      </w:r>
    </w:p>
    <w:p w14:paraId="2F944DA8">
      <w:pPr>
        <w:pStyle w:val="85"/>
        <w:ind w:firstLine="480"/>
        <w:rPr>
          <w:kern w:val="0"/>
        </w:rPr>
      </w:pPr>
      <w:r>
        <w:rPr>
          <w:rFonts w:hint="eastAsia"/>
          <w:kern w:val="0"/>
        </w:rPr>
        <w:t>潮河为境外河流，多年平均入境量为18958万</w:t>
      </w:r>
      <w:r>
        <w:rPr>
          <w:kern w:val="0"/>
        </w:rPr>
        <w:t>立方米</w:t>
      </w:r>
      <w:r>
        <w:rPr>
          <w:rFonts w:hint="eastAsia"/>
          <w:kern w:val="0"/>
        </w:rPr>
        <w:t>。当计入入境量后多年平均水资源总量为31051万</w:t>
      </w:r>
      <w:r>
        <w:rPr>
          <w:kern w:val="0"/>
        </w:rPr>
        <w:t>立方米</w:t>
      </w:r>
      <w:r>
        <w:rPr>
          <w:rFonts w:hint="eastAsia"/>
          <w:kern w:val="0"/>
        </w:rPr>
        <w:t>，入境量占水资源总量的61.1％。多年平均出境量为29338万</w:t>
      </w:r>
      <w:r>
        <w:rPr>
          <w:kern w:val="0"/>
        </w:rPr>
        <w:t>立方米</w:t>
      </w:r>
      <w:r>
        <w:rPr>
          <w:rFonts w:hint="eastAsia"/>
          <w:kern w:val="0"/>
        </w:rPr>
        <w:t>，占水资源总量的94.5％。</w:t>
      </w:r>
      <w:r>
        <w:rPr>
          <w:kern w:val="0"/>
        </w:rPr>
        <w:t>多年平均径流</w:t>
      </w:r>
      <w:r>
        <w:rPr>
          <w:rFonts w:hint="eastAsia"/>
          <w:kern w:val="0"/>
        </w:rPr>
        <w:t>深81.5</w:t>
      </w:r>
      <w:r>
        <w:rPr>
          <w:kern w:val="0"/>
        </w:rPr>
        <w:t>毫米，</w:t>
      </w:r>
      <w:r>
        <w:rPr>
          <w:rFonts w:hint="eastAsia"/>
          <w:kern w:val="0"/>
        </w:rPr>
        <w:t>年</w:t>
      </w:r>
      <w:r>
        <w:rPr>
          <w:kern w:val="0"/>
        </w:rPr>
        <w:t>产径流量</w:t>
      </w:r>
      <w:r>
        <w:rPr>
          <w:rFonts w:hint="eastAsia"/>
          <w:kern w:val="0"/>
        </w:rPr>
        <w:t>11589万</w:t>
      </w:r>
      <w:r>
        <w:rPr>
          <w:kern w:val="0"/>
        </w:rPr>
        <w:t>立方米</w:t>
      </w:r>
      <w:r>
        <w:rPr>
          <w:rFonts w:hint="eastAsia"/>
          <w:kern w:val="0"/>
        </w:rPr>
        <w:t>。滦平县潮河流域水资源总量为12093万</w:t>
      </w:r>
      <w:r>
        <w:rPr>
          <w:kern w:val="0"/>
        </w:rPr>
        <w:t>立方米</w:t>
      </w:r>
      <w:r>
        <w:rPr>
          <w:rFonts w:hint="eastAsia"/>
          <w:kern w:val="0"/>
        </w:rPr>
        <w:t>，其中地表水11589万</w:t>
      </w:r>
      <w:r>
        <w:rPr>
          <w:kern w:val="0"/>
        </w:rPr>
        <w:t>立方米</w:t>
      </w:r>
      <w:r>
        <w:rPr>
          <w:rFonts w:hint="eastAsia"/>
          <w:kern w:val="0"/>
        </w:rPr>
        <w:t>，地下水5379万</w:t>
      </w:r>
      <w:r>
        <w:rPr>
          <w:kern w:val="0"/>
        </w:rPr>
        <w:t>立方米</w:t>
      </w:r>
      <w:r>
        <w:rPr>
          <w:rFonts w:hint="eastAsia"/>
          <w:kern w:val="0"/>
        </w:rPr>
        <w:t>，地表水和地下水重复计算量（即：河川基流量）为4875万</w:t>
      </w:r>
      <w:r>
        <w:rPr>
          <w:kern w:val="0"/>
        </w:rPr>
        <w:t>立方米</w:t>
      </w:r>
      <w:r>
        <w:rPr>
          <w:rFonts w:hint="eastAsia"/>
          <w:kern w:val="0"/>
        </w:rPr>
        <w:t>。人均水资源占有量为1023.7立方米/人，亩均水资源量为851.6</w:t>
      </w:r>
      <w:r>
        <w:rPr>
          <w:kern w:val="0"/>
        </w:rPr>
        <w:t>立方米</w:t>
      </w:r>
      <w:r>
        <w:rPr>
          <w:rFonts w:hint="eastAsia"/>
          <w:kern w:val="0"/>
        </w:rPr>
        <w:t>/亩，为水资源比较丰富的地区。</w:t>
      </w:r>
    </w:p>
    <w:p w14:paraId="0D526DF1">
      <w:pPr>
        <w:pStyle w:val="85"/>
        <w:ind w:firstLine="480"/>
        <w:rPr>
          <w:kern w:val="0"/>
        </w:rPr>
      </w:pPr>
      <w:r>
        <w:rPr>
          <w:rFonts w:hint="eastAsia"/>
          <w:kern w:val="0"/>
        </w:rPr>
        <w:t>潮河在滦平县虎什哈镇大河北村的马道沟自然村旁入境后，到大河北村岗子自然村有岗子河汇入，岗子河发源于平坊乡白石砬，全长35公里，集水面积226.1平方公里。在虎什哈镇虎什哈村前有金台子川（河）汇入，金台子川（河）发源于五道营子乡柳树底下，全长33公里，集水面积369.7平方公里。在马营子乡的南大庙村有于营子川（河）汇入。于营子川（河）发源于马营子乡后火石岭，全长20公里，集水面积130平方公里。在巴克什营镇巴克什营村的北门处有两间房川（河）汇入，两间房川（河）发</w:t>
      </w:r>
      <w:r>
        <w:rPr>
          <w:kern w:val="0"/>
        </w:rPr>
        <w:t>源于</w:t>
      </w:r>
      <w:r>
        <w:rPr>
          <w:rFonts w:hint="eastAsia"/>
          <w:kern w:val="0"/>
        </w:rPr>
        <w:t>两间房</w:t>
      </w:r>
      <w:r>
        <w:rPr>
          <w:kern w:val="0"/>
        </w:rPr>
        <w:t>乡</w:t>
      </w:r>
      <w:r>
        <w:rPr>
          <w:rFonts w:hint="eastAsia"/>
          <w:kern w:val="0"/>
        </w:rPr>
        <w:t>牤牛</w:t>
      </w:r>
      <w:r>
        <w:rPr>
          <w:kern w:val="0"/>
        </w:rPr>
        <w:t>沟，至巴克什营</w:t>
      </w:r>
      <w:r>
        <w:rPr>
          <w:rFonts w:hint="eastAsia"/>
          <w:kern w:val="0"/>
        </w:rPr>
        <w:t>镇巴克什营村前有</w:t>
      </w:r>
      <w:r>
        <w:rPr>
          <w:kern w:val="0"/>
        </w:rPr>
        <w:t>火斗山川（河）加入后注入潮河</w:t>
      </w:r>
      <w:r>
        <w:rPr>
          <w:rFonts w:hint="eastAsia"/>
          <w:kern w:val="0"/>
        </w:rPr>
        <w:t>，</w:t>
      </w:r>
      <w:r>
        <w:rPr>
          <w:kern w:val="0"/>
        </w:rPr>
        <w:t>全长3</w:t>
      </w:r>
      <w:r>
        <w:rPr>
          <w:rFonts w:hint="eastAsia"/>
          <w:kern w:val="0"/>
        </w:rPr>
        <w:t>1.3</w:t>
      </w:r>
      <w:r>
        <w:rPr>
          <w:kern w:val="0"/>
        </w:rPr>
        <w:t>公里，集水面积378.2平方公里</w:t>
      </w:r>
      <w:r>
        <w:rPr>
          <w:rFonts w:hint="eastAsia"/>
          <w:kern w:val="0"/>
        </w:rPr>
        <w:t>。另有2条支流到密云县内汇入潮河。其一为</w:t>
      </w:r>
      <w:r>
        <w:rPr>
          <w:kern w:val="0"/>
        </w:rPr>
        <w:t>涝洼川（河）</w:t>
      </w:r>
      <w:r>
        <w:rPr>
          <w:rFonts w:hint="eastAsia"/>
          <w:kern w:val="0"/>
        </w:rPr>
        <w:t>，</w:t>
      </w:r>
      <w:r>
        <w:rPr>
          <w:kern w:val="0"/>
        </w:rPr>
        <w:t>发源于人头山南麓，流向西南，经三岔口、涝洼至三道沟折南，于关门穿长城入密云县境的南台木河后注入潮河</w:t>
      </w:r>
      <w:r>
        <w:rPr>
          <w:rFonts w:hint="eastAsia"/>
          <w:kern w:val="0"/>
        </w:rPr>
        <w:t>，</w:t>
      </w:r>
      <w:r>
        <w:rPr>
          <w:kern w:val="0"/>
        </w:rPr>
        <w:t>县内河长8公里，集水面积50.7平方公里。</w:t>
      </w:r>
      <w:r>
        <w:rPr>
          <w:rFonts w:hint="eastAsia"/>
          <w:kern w:val="0"/>
        </w:rPr>
        <w:t>其二为</w:t>
      </w:r>
      <w:r>
        <w:rPr>
          <w:kern w:val="0"/>
        </w:rPr>
        <w:t>温水河</w:t>
      </w:r>
      <w:r>
        <w:rPr>
          <w:rFonts w:hint="eastAsia"/>
          <w:kern w:val="0"/>
        </w:rPr>
        <w:t>，</w:t>
      </w:r>
      <w:r>
        <w:rPr>
          <w:kern w:val="0"/>
        </w:rPr>
        <w:t>即缸房川，发源于涝洼乡五道梁北麓八道沟，自东向西流经三道沟、古城川乡侯营子、缸房、曹栅子，至金山岭长城关门山北侧，金山岭长城温泉加入后称温水河，穿长城后注入南台木河（密云县）后入潮河。县境内长20公里，集水面积58.57平方公里。</w:t>
      </w:r>
    </w:p>
    <w:p w14:paraId="613357B4">
      <w:pPr>
        <w:pStyle w:val="4"/>
        <w:rPr>
          <w:kern w:val="0"/>
        </w:rPr>
      </w:pPr>
      <w:r>
        <w:rPr>
          <w:rFonts w:hint="eastAsia"/>
          <w:kern w:val="0"/>
        </w:rPr>
        <w:t>地下水质量</w:t>
      </w:r>
      <w:r>
        <w:rPr>
          <w:kern w:val="0"/>
        </w:rPr>
        <w:t>现状监测与评价</w:t>
      </w:r>
    </w:p>
    <w:p w14:paraId="47423BF1">
      <w:pPr>
        <w:pStyle w:val="85"/>
        <w:ind w:firstLine="480"/>
        <w:rPr>
          <w:kern w:val="0"/>
        </w:rPr>
      </w:pPr>
      <w:r>
        <w:rPr>
          <w:rFonts w:hint="eastAsia"/>
          <w:kern w:val="0"/>
        </w:rPr>
        <w:t>（1）监测</w:t>
      </w:r>
      <w:r>
        <w:rPr>
          <w:kern w:val="0"/>
        </w:rPr>
        <w:t>点位</w:t>
      </w:r>
    </w:p>
    <w:p w14:paraId="42ECF1F8">
      <w:pPr>
        <w:pStyle w:val="85"/>
        <w:ind w:firstLine="480"/>
        <w:rPr>
          <w:kern w:val="0"/>
        </w:rPr>
      </w:pPr>
      <w:r>
        <w:rPr>
          <w:rFonts w:hint="eastAsia"/>
          <w:kern w:val="0"/>
        </w:rPr>
        <w:t>监测点位见下表：</w:t>
      </w:r>
    </w:p>
    <w:p w14:paraId="4546C813">
      <w:pPr>
        <w:spacing w:line="360" w:lineRule="auto"/>
        <w:jc w:val="center"/>
        <w:rPr>
          <w:rFonts w:eastAsia="黑体"/>
          <w:kern w:val="0"/>
        </w:rPr>
      </w:pPr>
      <w:r>
        <w:rPr>
          <w:kern w:val="0"/>
          <w:sz w:val="24"/>
        </w:rPr>
        <w:t>表</w:t>
      </w:r>
      <w:r>
        <w:rPr>
          <w:kern w:val="0"/>
          <w:sz w:val="24"/>
        </w:rPr>
        <w:fldChar w:fldCharType="begin"/>
      </w:r>
      <w:r>
        <w:rPr>
          <w:kern w:val="0"/>
          <w:sz w:val="24"/>
        </w:rPr>
        <w:instrText xml:space="preserve"> STYLEREF 1 \s </w:instrText>
      </w:r>
      <w:r>
        <w:rPr>
          <w:kern w:val="0"/>
          <w:sz w:val="24"/>
        </w:rPr>
        <w:fldChar w:fldCharType="separate"/>
      </w:r>
      <w:r>
        <w:rPr>
          <w:kern w:val="0"/>
          <w:sz w:val="24"/>
        </w:rPr>
        <w:t>3</w:t>
      </w:r>
      <w:r>
        <w:rPr>
          <w:kern w:val="0"/>
          <w:sz w:val="24"/>
        </w:rPr>
        <w:fldChar w:fldCharType="end"/>
      </w:r>
      <w:r>
        <w:rPr>
          <w:kern w:val="0"/>
          <w:sz w:val="24"/>
        </w:rPr>
        <w:noBreakHyphen/>
      </w:r>
      <w:r>
        <w:rPr>
          <w:kern w:val="0"/>
          <w:sz w:val="24"/>
        </w:rPr>
        <w:fldChar w:fldCharType="begin"/>
      </w:r>
      <w:r>
        <w:rPr>
          <w:kern w:val="0"/>
          <w:sz w:val="24"/>
        </w:rPr>
        <w:instrText xml:space="preserve"> SEQ 表 \* ARABIC \s 1 </w:instrText>
      </w:r>
      <w:r>
        <w:rPr>
          <w:kern w:val="0"/>
          <w:sz w:val="24"/>
        </w:rPr>
        <w:fldChar w:fldCharType="separate"/>
      </w:r>
      <w:r>
        <w:rPr>
          <w:kern w:val="0"/>
          <w:sz w:val="24"/>
        </w:rPr>
        <w:t>6</w:t>
      </w:r>
      <w:r>
        <w:rPr>
          <w:kern w:val="0"/>
          <w:sz w:val="24"/>
        </w:rPr>
        <w:fldChar w:fldCharType="end"/>
      </w:r>
      <w:r>
        <w:rPr>
          <w:kern w:val="0"/>
          <w:sz w:val="24"/>
        </w:rPr>
        <w:t xml:space="preserve">  </w:t>
      </w:r>
      <w:r>
        <w:rPr>
          <w:rFonts w:eastAsia="黑体"/>
          <w:kern w:val="0"/>
          <w:sz w:val="24"/>
        </w:rPr>
        <w:t>地下水环境监测布点一览表</w:t>
      </w:r>
    </w:p>
    <w:tbl>
      <w:tblPr>
        <w:tblStyle w:val="6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1056"/>
        <w:gridCol w:w="1126"/>
        <w:gridCol w:w="5830"/>
      </w:tblGrid>
      <w:tr w14:paraId="2A382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vAlign w:val="center"/>
          </w:tcPr>
          <w:p w14:paraId="47764B75">
            <w:pPr>
              <w:jc w:val="center"/>
              <w:rPr>
                <w:kern w:val="0"/>
                <w:szCs w:val="21"/>
              </w:rPr>
            </w:pPr>
            <w:r>
              <w:rPr>
                <w:rFonts w:hint="eastAsia"/>
                <w:kern w:val="0"/>
                <w:szCs w:val="21"/>
              </w:rPr>
              <w:t>序号</w:t>
            </w:r>
          </w:p>
        </w:tc>
        <w:tc>
          <w:tcPr>
            <w:tcW w:w="619" w:type="pct"/>
            <w:vAlign w:val="center"/>
          </w:tcPr>
          <w:p w14:paraId="5C65B05B">
            <w:pPr>
              <w:jc w:val="center"/>
              <w:rPr>
                <w:kern w:val="0"/>
                <w:szCs w:val="21"/>
              </w:rPr>
            </w:pPr>
            <w:r>
              <w:rPr>
                <w:rFonts w:hint="eastAsia"/>
                <w:kern w:val="0"/>
                <w:szCs w:val="21"/>
              </w:rPr>
              <w:t>层位</w:t>
            </w:r>
          </w:p>
        </w:tc>
        <w:tc>
          <w:tcPr>
            <w:tcW w:w="660" w:type="pct"/>
            <w:vAlign w:val="center"/>
          </w:tcPr>
          <w:p w14:paraId="442B87F2">
            <w:pPr>
              <w:jc w:val="center"/>
              <w:rPr>
                <w:kern w:val="0"/>
                <w:szCs w:val="21"/>
              </w:rPr>
            </w:pPr>
            <w:r>
              <w:rPr>
                <w:rFonts w:hint="eastAsia"/>
                <w:kern w:val="0"/>
                <w:szCs w:val="21"/>
              </w:rPr>
              <w:t>编号</w:t>
            </w:r>
          </w:p>
        </w:tc>
        <w:tc>
          <w:tcPr>
            <w:tcW w:w="3418" w:type="pct"/>
            <w:vAlign w:val="center"/>
          </w:tcPr>
          <w:p w14:paraId="550B368A">
            <w:pPr>
              <w:jc w:val="center"/>
              <w:rPr>
                <w:kern w:val="0"/>
                <w:szCs w:val="21"/>
              </w:rPr>
            </w:pPr>
            <w:r>
              <w:rPr>
                <w:rFonts w:hint="eastAsia"/>
                <w:kern w:val="0"/>
                <w:szCs w:val="21"/>
              </w:rPr>
              <w:t>位置</w:t>
            </w:r>
          </w:p>
        </w:tc>
      </w:tr>
      <w:tr w14:paraId="02325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vAlign w:val="center"/>
          </w:tcPr>
          <w:p w14:paraId="4849254A">
            <w:pPr>
              <w:jc w:val="center"/>
              <w:rPr>
                <w:kern w:val="0"/>
                <w:szCs w:val="21"/>
              </w:rPr>
            </w:pPr>
            <w:r>
              <w:rPr>
                <w:rFonts w:hint="eastAsia"/>
                <w:kern w:val="0"/>
                <w:szCs w:val="21"/>
              </w:rPr>
              <w:t>1</w:t>
            </w:r>
          </w:p>
        </w:tc>
        <w:tc>
          <w:tcPr>
            <w:tcW w:w="619" w:type="pct"/>
            <w:vMerge w:val="restart"/>
            <w:vAlign w:val="center"/>
          </w:tcPr>
          <w:p w14:paraId="60110728">
            <w:pPr>
              <w:jc w:val="center"/>
              <w:rPr>
                <w:kern w:val="0"/>
                <w:szCs w:val="21"/>
              </w:rPr>
            </w:pPr>
            <w:r>
              <w:rPr>
                <w:rFonts w:hint="eastAsia"/>
                <w:kern w:val="0"/>
                <w:szCs w:val="21"/>
              </w:rPr>
              <w:t>潜水</w:t>
            </w:r>
          </w:p>
        </w:tc>
        <w:tc>
          <w:tcPr>
            <w:tcW w:w="660" w:type="pct"/>
            <w:vAlign w:val="center"/>
          </w:tcPr>
          <w:p w14:paraId="084C8278">
            <w:pPr>
              <w:jc w:val="center"/>
              <w:rPr>
                <w:kern w:val="0"/>
                <w:szCs w:val="21"/>
              </w:rPr>
            </w:pPr>
            <w:r>
              <w:rPr>
                <w:rFonts w:hint="eastAsia"/>
                <w:kern w:val="0"/>
                <w:szCs w:val="21"/>
              </w:rPr>
              <w:t>Q1</w:t>
            </w:r>
          </w:p>
        </w:tc>
        <w:tc>
          <w:tcPr>
            <w:tcW w:w="3418" w:type="pct"/>
            <w:vAlign w:val="center"/>
          </w:tcPr>
          <w:p w14:paraId="7A35EF83">
            <w:pPr>
              <w:jc w:val="center"/>
              <w:rPr>
                <w:kern w:val="0"/>
                <w:szCs w:val="21"/>
              </w:rPr>
            </w:pPr>
            <w:r>
              <w:rPr>
                <w:rFonts w:hint="eastAsia"/>
                <w:kern w:val="0"/>
                <w:szCs w:val="21"/>
              </w:rPr>
              <w:t>小辽东村</w:t>
            </w:r>
          </w:p>
        </w:tc>
      </w:tr>
      <w:tr w14:paraId="1A111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vAlign w:val="center"/>
          </w:tcPr>
          <w:p w14:paraId="6150689A">
            <w:pPr>
              <w:jc w:val="center"/>
              <w:rPr>
                <w:kern w:val="0"/>
                <w:szCs w:val="21"/>
              </w:rPr>
            </w:pPr>
            <w:r>
              <w:rPr>
                <w:rFonts w:hint="eastAsia"/>
                <w:kern w:val="0"/>
                <w:szCs w:val="21"/>
              </w:rPr>
              <w:t>2</w:t>
            </w:r>
          </w:p>
        </w:tc>
        <w:tc>
          <w:tcPr>
            <w:tcW w:w="619" w:type="pct"/>
            <w:vMerge w:val="continue"/>
            <w:vAlign w:val="center"/>
          </w:tcPr>
          <w:p w14:paraId="2C664522">
            <w:pPr>
              <w:jc w:val="center"/>
              <w:rPr>
                <w:kern w:val="0"/>
                <w:szCs w:val="21"/>
              </w:rPr>
            </w:pPr>
          </w:p>
        </w:tc>
        <w:tc>
          <w:tcPr>
            <w:tcW w:w="660" w:type="pct"/>
            <w:vAlign w:val="center"/>
          </w:tcPr>
          <w:p w14:paraId="6A76E4EB">
            <w:pPr>
              <w:jc w:val="center"/>
              <w:rPr>
                <w:kern w:val="0"/>
                <w:szCs w:val="21"/>
              </w:rPr>
            </w:pPr>
            <w:r>
              <w:rPr>
                <w:rFonts w:hint="eastAsia"/>
                <w:kern w:val="0"/>
                <w:szCs w:val="21"/>
              </w:rPr>
              <w:t>Q2</w:t>
            </w:r>
          </w:p>
        </w:tc>
        <w:tc>
          <w:tcPr>
            <w:tcW w:w="3418" w:type="pct"/>
            <w:vAlign w:val="center"/>
          </w:tcPr>
          <w:p w14:paraId="6E38F4B8">
            <w:pPr>
              <w:jc w:val="center"/>
              <w:rPr>
                <w:kern w:val="0"/>
                <w:szCs w:val="21"/>
              </w:rPr>
            </w:pPr>
            <w:r>
              <w:rPr>
                <w:rFonts w:hint="eastAsia"/>
                <w:kern w:val="0"/>
                <w:szCs w:val="21"/>
              </w:rPr>
              <w:t>大河北村</w:t>
            </w:r>
          </w:p>
        </w:tc>
      </w:tr>
      <w:tr w14:paraId="2E69B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vAlign w:val="center"/>
          </w:tcPr>
          <w:p w14:paraId="1DF301B8">
            <w:pPr>
              <w:jc w:val="center"/>
              <w:rPr>
                <w:kern w:val="0"/>
                <w:szCs w:val="21"/>
              </w:rPr>
            </w:pPr>
            <w:r>
              <w:rPr>
                <w:rFonts w:hint="eastAsia"/>
                <w:kern w:val="0"/>
                <w:szCs w:val="21"/>
              </w:rPr>
              <w:t>3</w:t>
            </w:r>
          </w:p>
        </w:tc>
        <w:tc>
          <w:tcPr>
            <w:tcW w:w="619" w:type="pct"/>
            <w:vMerge w:val="continue"/>
            <w:vAlign w:val="center"/>
          </w:tcPr>
          <w:p w14:paraId="1D14B90F">
            <w:pPr>
              <w:jc w:val="center"/>
              <w:rPr>
                <w:kern w:val="0"/>
                <w:szCs w:val="21"/>
              </w:rPr>
            </w:pPr>
          </w:p>
        </w:tc>
        <w:tc>
          <w:tcPr>
            <w:tcW w:w="660" w:type="pct"/>
            <w:vAlign w:val="center"/>
          </w:tcPr>
          <w:p w14:paraId="3F0C39D5">
            <w:pPr>
              <w:jc w:val="center"/>
              <w:rPr>
                <w:kern w:val="0"/>
                <w:szCs w:val="21"/>
              </w:rPr>
            </w:pPr>
            <w:r>
              <w:rPr>
                <w:rFonts w:hint="eastAsia"/>
                <w:kern w:val="0"/>
                <w:szCs w:val="21"/>
              </w:rPr>
              <w:t>Q3</w:t>
            </w:r>
          </w:p>
        </w:tc>
        <w:tc>
          <w:tcPr>
            <w:tcW w:w="3418" w:type="pct"/>
            <w:vAlign w:val="center"/>
          </w:tcPr>
          <w:p w14:paraId="531381DC">
            <w:pPr>
              <w:jc w:val="center"/>
              <w:rPr>
                <w:kern w:val="0"/>
                <w:szCs w:val="21"/>
              </w:rPr>
            </w:pPr>
            <w:r>
              <w:rPr>
                <w:rFonts w:hint="eastAsia"/>
                <w:kern w:val="0"/>
                <w:szCs w:val="21"/>
              </w:rPr>
              <w:t>西红旗村</w:t>
            </w:r>
          </w:p>
        </w:tc>
      </w:tr>
    </w:tbl>
    <w:p w14:paraId="03BA2683">
      <w:pPr>
        <w:pStyle w:val="85"/>
        <w:ind w:firstLine="480"/>
        <w:rPr>
          <w:bCs/>
          <w:kern w:val="0"/>
        </w:rPr>
      </w:pPr>
      <w:r>
        <w:rPr>
          <w:rFonts w:hint="eastAsia"/>
          <w:kern w:val="0"/>
        </w:rPr>
        <w:t>地下水水质监测项目：浅层及深层地下水监测项目均为色</w:t>
      </w:r>
      <w:r>
        <w:rPr>
          <w:kern w:val="0"/>
        </w:rPr>
        <w:t>、嗅和味、浑浊度、肉眼可见物、pH、总硬度、溶解性总固体、硫酸盐、氯化物、铁、锰、</w:t>
      </w:r>
      <w:r>
        <w:rPr>
          <w:rFonts w:hint="eastAsia"/>
          <w:kern w:val="0"/>
        </w:rPr>
        <w:t>铜</w:t>
      </w:r>
      <w:r>
        <w:rPr>
          <w:kern w:val="0"/>
        </w:rPr>
        <w:t>、锌、</w:t>
      </w:r>
      <w:r>
        <w:rPr>
          <w:rFonts w:hint="eastAsia"/>
          <w:kern w:val="0"/>
        </w:rPr>
        <w:t>铝</w:t>
      </w:r>
      <w:r>
        <w:rPr>
          <w:kern w:val="0"/>
        </w:rPr>
        <w:t>、挥发性酚、</w:t>
      </w:r>
      <w:r>
        <w:rPr>
          <w:rFonts w:hint="eastAsia"/>
          <w:kern w:val="0"/>
        </w:rPr>
        <w:t>阴离子</w:t>
      </w:r>
      <w:r>
        <w:rPr>
          <w:kern w:val="0"/>
        </w:rPr>
        <w:t>表面活性剂、耗氧量(COD</w:t>
      </w:r>
      <w:r>
        <w:rPr>
          <w:kern w:val="0"/>
          <w:vertAlign w:val="subscript"/>
        </w:rPr>
        <w:t>Mn</w:t>
      </w:r>
      <w:r>
        <w:rPr>
          <w:kern w:val="0"/>
        </w:rPr>
        <w:t>)、氨氮、</w:t>
      </w:r>
      <w:r>
        <w:rPr>
          <w:rFonts w:hint="eastAsia"/>
          <w:kern w:val="0"/>
        </w:rPr>
        <w:t>硫化物、钠</w:t>
      </w:r>
      <w:r>
        <w:rPr>
          <w:kern w:val="0"/>
        </w:rPr>
        <w:t>、</w:t>
      </w:r>
      <w:r>
        <w:rPr>
          <w:rFonts w:hint="eastAsia"/>
          <w:kern w:val="0"/>
        </w:rPr>
        <w:t>总大肠菌群、菌落总数、</w:t>
      </w:r>
      <w:r>
        <w:rPr>
          <w:kern w:val="0"/>
        </w:rPr>
        <w:t>亚硝酸盐、硝酸盐、氰化物、氟化物、</w:t>
      </w:r>
      <w:r>
        <w:rPr>
          <w:rFonts w:hint="eastAsia"/>
          <w:kern w:val="0"/>
        </w:rPr>
        <w:t>碘化物</w:t>
      </w:r>
      <w:r>
        <w:rPr>
          <w:kern w:val="0"/>
        </w:rPr>
        <w:t>、汞、砷、</w:t>
      </w:r>
      <w:r>
        <w:rPr>
          <w:rFonts w:hint="eastAsia"/>
          <w:kern w:val="0"/>
        </w:rPr>
        <w:t>硒</w:t>
      </w:r>
      <w:r>
        <w:rPr>
          <w:kern w:val="0"/>
        </w:rPr>
        <w:t>、镉、六价铬、铅、</w:t>
      </w:r>
      <w:r>
        <w:rPr>
          <w:rFonts w:hint="eastAsia"/>
          <w:kern w:val="0"/>
        </w:rPr>
        <w:t>三氯甲烷</w:t>
      </w:r>
      <w:r>
        <w:rPr>
          <w:kern w:val="0"/>
        </w:rPr>
        <w:t>、四氯化碳、苯、甲苯、石油类</w:t>
      </w:r>
      <w:r>
        <w:rPr>
          <w:rFonts w:hint="eastAsia"/>
          <w:kern w:val="0"/>
        </w:rPr>
        <w:t>及</w:t>
      </w:r>
      <w:r>
        <w:rPr>
          <w:kern w:val="0"/>
        </w:rPr>
        <w:t>K</w:t>
      </w:r>
      <w:r>
        <w:rPr>
          <w:kern w:val="0"/>
          <w:vertAlign w:val="superscript"/>
        </w:rPr>
        <w:t>+</w:t>
      </w:r>
      <w:r>
        <w:rPr>
          <w:kern w:val="0"/>
        </w:rPr>
        <w:t>、Na</w:t>
      </w:r>
      <w:r>
        <w:rPr>
          <w:kern w:val="0"/>
          <w:vertAlign w:val="superscript"/>
        </w:rPr>
        <w:t>+</w:t>
      </w:r>
      <w:r>
        <w:rPr>
          <w:kern w:val="0"/>
        </w:rPr>
        <w:t>、Ca</w:t>
      </w:r>
      <w:r>
        <w:rPr>
          <w:kern w:val="0"/>
          <w:vertAlign w:val="superscript"/>
        </w:rPr>
        <w:t>2+</w:t>
      </w:r>
      <w:r>
        <w:rPr>
          <w:kern w:val="0"/>
        </w:rPr>
        <w:t>、Mg</w:t>
      </w:r>
      <w:r>
        <w:rPr>
          <w:kern w:val="0"/>
          <w:vertAlign w:val="superscript"/>
        </w:rPr>
        <w:t>2+</w:t>
      </w:r>
      <w:r>
        <w:rPr>
          <w:kern w:val="0"/>
        </w:rPr>
        <w:t>、CO</w:t>
      </w:r>
      <w:r>
        <w:rPr>
          <w:kern w:val="0"/>
          <w:vertAlign w:val="subscript"/>
        </w:rPr>
        <w:t>3</w:t>
      </w:r>
      <w:r>
        <w:rPr>
          <w:kern w:val="0"/>
          <w:vertAlign w:val="superscript"/>
        </w:rPr>
        <w:t>2-</w:t>
      </w:r>
      <w:r>
        <w:rPr>
          <w:kern w:val="0"/>
        </w:rPr>
        <w:t>、HCO</w:t>
      </w:r>
      <w:r>
        <w:rPr>
          <w:kern w:val="0"/>
          <w:vertAlign w:val="subscript"/>
        </w:rPr>
        <w:t>3</w:t>
      </w:r>
      <w:r>
        <w:rPr>
          <w:kern w:val="0"/>
          <w:vertAlign w:val="superscript"/>
        </w:rPr>
        <w:t>-</w:t>
      </w:r>
      <w:r>
        <w:rPr>
          <w:kern w:val="0"/>
        </w:rPr>
        <w:t>、Cl</w:t>
      </w:r>
      <w:r>
        <w:rPr>
          <w:kern w:val="0"/>
          <w:vertAlign w:val="superscript"/>
        </w:rPr>
        <w:t>-</w:t>
      </w:r>
      <w:r>
        <w:rPr>
          <w:kern w:val="0"/>
        </w:rPr>
        <w:t>、SO</w:t>
      </w:r>
      <w:r>
        <w:rPr>
          <w:kern w:val="0"/>
          <w:vertAlign w:val="subscript"/>
        </w:rPr>
        <w:t>4</w:t>
      </w:r>
      <w:r>
        <w:rPr>
          <w:kern w:val="0"/>
          <w:vertAlign w:val="superscript"/>
        </w:rPr>
        <w:t>2-</w:t>
      </w:r>
      <w:r>
        <w:rPr>
          <w:rFonts w:hint="eastAsia"/>
          <w:kern w:val="0"/>
        </w:rPr>
        <w:t>。</w:t>
      </w:r>
    </w:p>
    <w:p w14:paraId="039551DF">
      <w:pPr>
        <w:pStyle w:val="85"/>
        <w:ind w:firstLine="480"/>
        <w:rPr>
          <w:kern w:val="0"/>
        </w:rPr>
      </w:pPr>
      <w:r>
        <w:rPr>
          <w:rFonts w:hint="eastAsia"/>
          <w:kern w:val="0"/>
        </w:rPr>
        <w:t>（3）</w:t>
      </w:r>
      <w:r>
        <w:rPr>
          <w:bCs/>
          <w:kern w:val="0"/>
        </w:rPr>
        <w:t>监测时间及频次</w:t>
      </w:r>
    </w:p>
    <w:p w14:paraId="127279E2">
      <w:pPr>
        <w:pStyle w:val="85"/>
        <w:ind w:firstLine="480"/>
        <w:rPr>
          <w:kern w:val="0"/>
        </w:rPr>
      </w:pPr>
      <w:r>
        <w:rPr>
          <w:rFonts w:hint="eastAsia"/>
          <w:kern w:val="0"/>
        </w:rPr>
        <w:t>Q</w:t>
      </w:r>
      <w:r>
        <w:rPr>
          <w:kern w:val="0"/>
        </w:rPr>
        <w:t>1-</w:t>
      </w:r>
      <w:r>
        <w:rPr>
          <w:rFonts w:hint="eastAsia"/>
          <w:kern w:val="0"/>
        </w:rPr>
        <w:t>Q</w:t>
      </w:r>
      <w:r>
        <w:rPr>
          <w:kern w:val="0"/>
        </w:rPr>
        <w:t>3</w:t>
      </w:r>
      <w:r>
        <w:rPr>
          <w:rFonts w:hint="eastAsia"/>
          <w:kern w:val="0"/>
        </w:rPr>
        <w:t>监测点：202</w:t>
      </w:r>
      <w:r>
        <w:rPr>
          <w:kern w:val="0"/>
        </w:rPr>
        <w:t>5</w:t>
      </w:r>
      <w:r>
        <w:rPr>
          <w:bCs/>
          <w:kern w:val="0"/>
        </w:rPr>
        <w:t>年4月14日</w:t>
      </w:r>
      <w:r>
        <w:rPr>
          <w:rFonts w:hint="eastAsia"/>
          <w:bCs/>
          <w:kern w:val="0"/>
        </w:rPr>
        <w:t>监测</w:t>
      </w:r>
      <w:r>
        <w:rPr>
          <w:kern w:val="0"/>
        </w:rPr>
        <w:t>1天</w:t>
      </w:r>
      <w:r>
        <w:rPr>
          <w:rFonts w:hint="eastAsia"/>
          <w:kern w:val="0"/>
        </w:rPr>
        <w:t>，</w:t>
      </w:r>
      <w:r>
        <w:rPr>
          <w:kern w:val="0"/>
        </w:rPr>
        <w:t>取样一次。</w:t>
      </w:r>
    </w:p>
    <w:p w14:paraId="4CBA8A79">
      <w:pPr>
        <w:pStyle w:val="85"/>
        <w:ind w:firstLine="480"/>
        <w:rPr>
          <w:kern w:val="0"/>
        </w:rPr>
      </w:pPr>
      <w:r>
        <w:rPr>
          <w:rFonts w:hint="eastAsia"/>
          <w:kern w:val="0"/>
        </w:rPr>
        <w:t>（4）</w:t>
      </w:r>
      <w:r>
        <w:rPr>
          <w:kern w:val="0"/>
        </w:rPr>
        <w:t>监测分析方法</w:t>
      </w:r>
    </w:p>
    <w:p w14:paraId="2B5F26B7">
      <w:pPr>
        <w:pStyle w:val="85"/>
        <w:ind w:firstLine="480"/>
        <w:rPr>
          <w:kern w:val="0"/>
        </w:rPr>
      </w:pPr>
      <w:r>
        <w:rPr>
          <w:kern w:val="0"/>
        </w:rPr>
        <w:t>监测采样方法按《地下水环境监测技术规范》（HJ164-2020）进行。监测分析方法应首先选择国家颁布的标准分析方法。</w:t>
      </w:r>
    </w:p>
    <w:p w14:paraId="7C5CFD63">
      <w:pPr>
        <w:pStyle w:val="85"/>
        <w:ind w:firstLine="480"/>
        <w:rPr>
          <w:kern w:val="0"/>
        </w:rPr>
      </w:pPr>
      <w:r>
        <w:rPr>
          <w:kern w:val="0"/>
        </w:rPr>
        <w:t>各监测分析方法及检出限见</w:t>
      </w:r>
      <w:r>
        <w:rPr>
          <w:rFonts w:hint="eastAsia"/>
          <w:kern w:val="0"/>
        </w:rPr>
        <w:t>下表</w:t>
      </w:r>
      <w:r>
        <w:rPr>
          <w:kern w:val="0"/>
        </w:rPr>
        <w:t>。</w:t>
      </w:r>
    </w:p>
    <w:p w14:paraId="05DDC4FB">
      <w:pPr>
        <w:pStyle w:val="85"/>
        <w:ind w:firstLine="480"/>
        <w:rPr>
          <w:kern w:val="0"/>
        </w:rPr>
      </w:pPr>
    </w:p>
    <w:p w14:paraId="03E1076D">
      <w:pPr>
        <w:pStyle w:val="85"/>
        <w:ind w:firstLine="480"/>
        <w:rPr>
          <w:kern w:val="0"/>
        </w:rPr>
      </w:pPr>
    </w:p>
    <w:p w14:paraId="2A4A1465">
      <w:pPr>
        <w:pStyle w:val="85"/>
        <w:ind w:firstLine="480"/>
        <w:rPr>
          <w:kern w:val="0"/>
        </w:rPr>
      </w:pPr>
    </w:p>
    <w:p w14:paraId="6B9EBEB7">
      <w:pPr>
        <w:pStyle w:val="85"/>
        <w:ind w:firstLine="480"/>
        <w:rPr>
          <w:kern w:val="0"/>
        </w:rPr>
      </w:pPr>
    </w:p>
    <w:p w14:paraId="6C4BFE42">
      <w:pPr>
        <w:spacing w:line="360" w:lineRule="auto"/>
        <w:jc w:val="center"/>
        <w:rPr>
          <w:rFonts w:eastAsia="黑体"/>
          <w:kern w:val="0"/>
          <w:sz w:val="24"/>
        </w:rPr>
      </w:pPr>
      <w:r>
        <w:rPr>
          <w:kern w:val="0"/>
          <w:sz w:val="24"/>
        </w:rPr>
        <w:t>表</w:t>
      </w:r>
      <w:r>
        <w:rPr>
          <w:kern w:val="0"/>
          <w:sz w:val="24"/>
        </w:rPr>
        <w:fldChar w:fldCharType="begin"/>
      </w:r>
      <w:r>
        <w:rPr>
          <w:kern w:val="0"/>
          <w:sz w:val="24"/>
        </w:rPr>
        <w:instrText xml:space="preserve"> STYLEREF 1 \s </w:instrText>
      </w:r>
      <w:r>
        <w:rPr>
          <w:kern w:val="0"/>
          <w:sz w:val="24"/>
        </w:rPr>
        <w:fldChar w:fldCharType="separate"/>
      </w:r>
      <w:r>
        <w:rPr>
          <w:kern w:val="0"/>
          <w:sz w:val="24"/>
        </w:rPr>
        <w:t>3</w:t>
      </w:r>
      <w:r>
        <w:rPr>
          <w:kern w:val="0"/>
          <w:sz w:val="24"/>
        </w:rPr>
        <w:fldChar w:fldCharType="end"/>
      </w:r>
      <w:r>
        <w:rPr>
          <w:kern w:val="0"/>
          <w:sz w:val="24"/>
        </w:rPr>
        <w:noBreakHyphen/>
      </w:r>
      <w:r>
        <w:rPr>
          <w:kern w:val="0"/>
          <w:sz w:val="24"/>
        </w:rPr>
        <w:fldChar w:fldCharType="begin"/>
      </w:r>
      <w:r>
        <w:rPr>
          <w:kern w:val="0"/>
          <w:sz w:val="24"/>
        </w:rPr>
        <w:instrText xml:space="preserve"> SEQ 表 \* ARABIC \s 1 </w:instrText>
      </w:r>
      <w:r>
        <w:rPr>
          <w:kern w:val="0"/>
          <w:sz w:val="24"/>
        </w:rPr>
        <w:fldChar w:fldCharType="separate"/>
      </w:r>
      <w:r>
        <w:rPr>
          <w:kern w:val="0"/>
          <w:sz w:val="24"/>
        </w:rPr>
        <w:t>7</w:t>
      </w:r>
      <w:r>
        <w:rPr>
          <w:kern w:val="0"/>
          <w:sz w:val="24"/>
        </w:rPr>
        <w:fldChar w:fldCharType="end"/>
      </w:r>
      <w:r>
        <w:rPr>
          <w:kern w:val="0"/>
          <w:sz w:val="24"/>
        </w:rPr>
        <w:t xml:space="preserve">  </w:t>
      </w:r>
      <w:r>
        <w:rPr>
          <w:rFonts w:hint="eastAsia" w:eastAsia="黑体"/>
          <w:kern w:val="0"/>
          <w:sz w:val="24"/>
        </w:rPr>
        <w:t>地下水环境质量现状检测方法及检出限一览表</w:t>
      </w:r>
    </w:p>
    <w:tbl>
      <w:tblPr>
        <w:tblStyle w:val="6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59"/>
        <w:gridCol w:w="3014"/>
        <w:gridCol w:w="3206"/>
        <w:gridCol w:w="1089"/>
      </w:tblGrid>
      <w:tr w14:paraId="2541F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67" w:hRule="atLeast"/>
          <w:jc w:val="center"/>
        </w:trPr>
        <w:tc>
          <w:tcPr>
            <w:tcW w:w="647" w:type="pct"/>
            <w:tcBorders>
              <w:tl2br w:val="nil"/>
              <w:tr2bl w:val="nil"/>
            </w:tcBorders>
            <w:vAlign w:val="center"/>
          </w:tcPr>
          <w:p w14:paraId="3200B772">
            <w:pPr>
              <w:widowControl/>
              <w:jc w:val="center"/>
              <w:rPr>
                <w:szCs w:val="21"/>
              </w:rPr>
            </w:pPr>
            <w:r>
              <w:rPr>
                <w:szCs w:val="21"/>
              </w:rPr>
              <w:t>检测项目</w:t>
            </w:r>
          </w:p>
        </w:tc>
        <w:tc>
          <w:tcPr>
            <w:tcW w:w="1815" w:type="pct"/>
            <w:tcBorders>
              <w:tl2br w:val="nil"/>
              <w:tr2bl w:val="nil"/>
            </w:tcBorders>
            <w:vAlign w:val="center"/>
          </w:tcPr>
          <w:p w14:paraId="608A56D8">
            <w:pPr>
              <w:widowControl/>
              <w:jc w:val="center"/>
              <w:rPr>
                <w:szCs w:val="21"/>
              </w:rPr>
            </w:pPr>
            <w:r>
              <w:rPr>
                <w:szCs w:val="21"/>
              </w:rPr>
              <w:t>分析方法</w:t>
            </w:r>
          </w:p>
        </w:tc>
        <w:tc>
          <w:tcPr>
            <w:tcW w:w="1930" w:type="pct"/>
            <w:tcBorders>
              <w:tl2br w:val="nil"/>
              <w:tr2bl w:val="nil"/>
            </w:tcBorders>
            <w:vAlign w:val="center"/>
          </w:tcPr>
          <w:p w14:paraId="363292C8">
            <w:pPr>
              <w:widowControl/>
              <w:jc w:val="center"/>
              <w:rPr>
                <w:szCs w:val="21"/>
              </w:rPr>
            </w:pPr>
            <w:r>
              <w:rPr>
                <w:szCs w:val="21"/>
              </w:rPr>
              <w:t>仪器名称/型号/编号</w:t>
            </w:r>
          </w:p>
        </w:tc>
        <w:tc>
          <w:tcPr>
            <w:tcW w:w="608" w:type="pct"/>
            <w:tcBorders>
              <w:tl2br w:val="nil"/>
              <w:tr2bl w:val="nil"/>
            </w:tcBorders>
            <w:vAlign w:val="center"/>
          </w:tcPr>
          <w:p w14:paraId="4D35D53A">
            <w:pPr>
              <w:widowControl/>
              <w:jc w:val="center"/>
              <w:rPr>
                <w:szCs w:val="21"/>
              </w:rPr>
            </w:pPr>
            <w:r>
              <w:rPr>
                <w:szCs w:val="21"/>
              </w:rPr>
              <w:t>检出限</w:t>
            </w:r>
          </w:p>
        </w:tc>
      </w:tr>
      <w:tr w14:paraId="77423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67" w:hRule="atLeast"/>
          <w:jc w:val="center"/>
        </w:trPr>
        <w:tc>
          <w:tcPr>
            <w:tcW w:w="647" w:type="pct"/>
            <w:tcBorders>
              <w:tl2br w:val="nil"/>
              <w:tr2bl w:val="nil"/>
            </w:tcBorders>
            <w:vAlign w:val="center"/>
          </w:tcPr>
          <w:p w14:paraId="6DFB5031">
            <w:pPr>
              <w:jc w:val="center"/>
              <w:rPr>
                <w:szCs w:val="21"/>
              </w:rPr>
            </w:pPr>
            <w:r>
              <w:rPr>
                <w:szCs w:val="21"/>
              </w:rPr>
              <w:t>色度</w:t>
            </w:r>
          </w:p>
        </w:tc>
        <w:tc>
          <w:tcPr>
            <w:tcW w:w="1815" w:type="pct"/>
            <w:tcBorders>
              <w:tl2br w:val="nil"/>
              <w:tr2bl w:val="nil"/>
            </w:tcBorders>
            <w:vAlign w:val="center"/>
          </w:tcPr>
          <w:p w14:paraId="5D405E69">
            <w:pPr>
              <w:widowControl/>
              <w:jc w:val="left"/>
              <w:textAlignment w:val="center"/>
              <w:rPr>
                <w:szCs w:val="21"/>
              </w:rPr>
            </w:pPr>
            <w:r>
              <w:rPr>
                <w:rFonts w:hint="eastAsia"/>
                <w:szCs w:val="21"/>
              </w:rPr>
              <w:t>《生活饮用水标准检验方法 第 4 部分：感官性状和物理指标》</w:t>
            </w:r>
            <w:r>
              <w:rPr>
                <w:szCs w:val="21"/>
              </w:rPr>
              <w:t>GB/T 5750.4-</w:t>
            </w:r>
            <w:r>
              <w:rPr>
                <w:rFonts w:hint="eastAsia"/>
                <w:szCs w:val="21"/>
              </w:rPr>
              <w:t>2023</w:t>
            </w:r>
          </w:p>
          <w:p w14:paraId="0972D0AB">
            <w:pPr>
              <w:widowControl/>
              <w:jc w:val="left"/>
              <w:textAlignment w:val="center"/>
              <w:rPr>
                <w:szCs w:val="21"/>
              </w:rPr>
            </w:pPr>
            <w:r>
              <w:rPr>
                <w:szCs w:val="21"/>
              </w:rPr>
              <w:t>4.1 铂-钴标准比色法</w:t>
            </w:r>
          </w:p>
        </w:tc>
        <w:tc>
          <w:tcPr>
            <w:tcW w:w="1930" w:type="pct"/>
            <w:tcBorders>
              <w:tl2br w:val="nil"/>
              <w:tr2bl w:val="nil"/>
            </w:tcBorders>
            <w:vAlign w:val="center"/>
          </w:tcPr>
          <w:p w14:paraId="14BBE087">
            <w:pPr>
              <w:widowControl/>
              <w:rPr>
                <w:szCs w:val="21"/>
              </w:rPr>
            </w:pPr>
            <w:r>
              <w:rPr>
                <w:rFonts w:hint="eastAsia"/>
                <w:szCs w:val="21"/>
              </w:rPr>
              <w:t>/</w:t>
            </w:r>
          </w:p>
        </w:tc>
        <w:tc>
          <w:tcPr>
            <w:tcW w:w="608" w:type="pct"/>
            <w:tcBorders>
              <w:tl2br w:val="nil"/>
              <w:tr2bl w:val="nil"/>
            </w:tcBorders>
            <w:vAlign w:val="center"/>
          </w:tcPr>
          <w:p w14:paraId="06A15B8F">
            <w:pPr>
              <w:widowControl/>
              <w:jc w:val="center"/>
              <w:rPr>
                <w:szCs w:val="21"/>
              </w:rPr>
            </w:pPr>
            <w:r>
              <w:t>5度</w:t>
            </w:r>
          </w:p>
        </w:tc>
      </w:tr>
      <w:tr w14:paraId="4731E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67" w:hRule="atLeast"/>
          <w:jc w:val="center"/>
        </w:trPr>
        <w:tc>
          <w:tcPr>
            <w:tcW w:w="647" w:type="pct"/>
            <w:tcBorders>
              <w:tl2br w:val="nil"/>
              <w:tr2bl w:val="nil"/>
            </w:tcBorders>
            <w:vAlign w:val="center"/>
          </w:tcPr>
          <w:p w14:paraId="438A5D46">
            <w:pPr>
              <w:jc w:val="center"/>
              <w:rPr>
                <w:szCs w:val="21"/>
              </w:rPr>
            </w:pPr>
            <w:r>
              <w:rPr>
                <w:szCs w:val="21"/>
              </w:rPr>
              <w:t>臭和味</w:t>
            </w:r>
          </w:p>
        </w:tc>
        <w:tc>
          <w:tcPr>
            <w:tcW w:w="1815" w:type="pct"/>
            <w:tcBorders>
              <w:tl2br w:val="nil"/>
              <w:tr2bl w:val="nil"/>
            </w:tcBorders>
            <w:vAlign w:val="center"/>
          </w:tcPr>
          <w:p w14:paraId="2E292F8E">
            <w:pPr>
              <w:widowControl/>
              <w:jc w:val="left"/>
              <w:textAlignment w:val="center"/>
              <w:rPr>
                <w:szCs w:val="21"/>
              </w:rPr>
            </w:pPr>
            <w:r>
              <w:rPr>
                <w:rFonts w:hint="eastAsia"/>
                <w:szCs w:val="21"/>
              </w:rPr>
              <w:t xml:space="preserve">《生活饮用水标准检验方法 第 4 部分：感官性状和物理指标》 </w:t>
            </w:r>
            <w:r>
              <w:rPr>
                <w:szCs w:val="21"/>
              </w:rPr>
              <w:t>GB/T 5750.4-</w:t>
            </w:r>
            <w:r>
              <w:rPr>
                <w:rFonts w:hint="eastAsia"/>
                <w:szCs w:val="21"/>
              </w:rPr>
              <w:t>2023</w:t>
            </w:r>
            <w:r>
              <w:rPr>
                <w:szCs w:val="21"/>
              </w:rPr>
              <w:t xml:space="preserve"> </w:t>
            </w:r>
          </w:p>
          <w:p w14:paraId="7D122E5A">
            <w:pPr>
              <w:widowControl/>
              <w:jc w:val="left"/>
              <w:textAlignment w:val="center"/>
              <w:rPr>
                <w:szCs w:val="21"/>
              </w:rPr>
            </w:pPr>
            <w:r>
              <w:rPr>
                <w:szCs w:val="21"/>
              </w:rPr>
              <w:t>6.1 嗅气和尝味法</w:t>
            </w:r>
          </w:p>
        </w:tc>
        <w:tc>
          <w:tcPr>
            <w:tcW w:w="1930" w:type="pct"/>
            <w:tcBorders>
              <w:tl2br w:val="nil"/>
              <w:tr2bl w:val="nil"/>
            </w:tcBorders>
            <w:vAlign w:val="center"/>
          </w:tcPr>
          <w:p w14:paraId="3D8935BF">
            <w:pPr>
              <w:widowControl/>
              <w:rPr>
                <w:szCs w:val="21"/>
              </w:rPr>
            </w:pPr>
            <w:r>
              <w:rPr>
                <w:rFonts w:hint="eastAsia"/>
                <w:szCs w:val="21"/>
              </w:rPr>
              <w:t>/</w:t>
            </w:r>
          </w:p>
        </w:tc>
        <w:tc>
          <w:tcPr>
            <w:tcW w:w="608" w:type="pct"/>
            <w:tcBorders>
              <w:tl2br w:val="nil"/>
              <w:tr2bl w:val="nil"/>
            </w:tcBorders>
            <w:vAlign w:val="center"/>
          </w:tcPr>
          <w:p w14:paraId="53DFAE63">
            <w:pPr>
              <w:widowControl/>
              <w:jc w:val="center"/>
              <w:rPr>
                <w:szCs w:val="21"/>
              </w:rPr>
            </w:pPr>
            <w:r>
              <w:rPr>
                <w:rFonts w:hint="eastAsia"/>
                <w:szCs w:val="21"/>
              </w:rPr>
              <w:t>/</w:t>
            </w:r>
          </w:p>
        </w:tc>
      </w:tr>
      <w:tr w14:paraId="25519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67" w:hRule="atLeast"/>
          <w:jc w:val="center"/>
        </w:trPr>
        <w:tc>
          <w:tcPr>
            <w:tcW w:w="647" w:type="pct"/>
            <w:tcBorders>
              <w:tl2br w:val="nil"/>
              <w:tr2bl w:val="nil"/>
            </w:tcBorders>
            <w:vAlign w:val="center"/>
          </w:tcPr>
          <w:p w14:paraId="60CB3BB0">
            <w:pPr>
              <w:jc w:val="center"/>
              <w:rPr>
                <w:szCs w:val="21"/>
              </w:rPr>
            </w:pPr>
            <w:r>
              <w:rPr>
                <w:rFonts w:hint="eastAsia"/>
                <w:szCs w:val="21"/>
              </w:rPr>
              <w:t>浑浊度</w:t>
            </w:r>
          </w:p>
        </w:tc>
        <w:tc>
          <w:tcPr>
            <w:tcW w:w="1815" w:type="pct"/>
            <w:tcBorders>
              <w:tl2br w:val="nil"/>
              <w:tr2bl w:val="nil"/>
            </w:tcBorders>
            <w:vAlign w:val="center"/>
          </w:tcPr>
          <w:p w14:paraId="6FBDAEB1">
            <w:pPr>
              <w:widowControl/>
              <w:jc w:val="left"/>
              <w:textAlignment w:val="center"/>
              <w:rPr>
                <w:szCs w:val="21"/>
              </w:rPr>
            </w:pPr>
            <w:r>
              <w:rPr>
                <w:szCs w:val="21"/>
              </w:rPr>
              <w:t>《水质 浊度的测定 浊度计法》HJ 1075-2019</w:t>
            </w:r>
          </w:p>
        </w:tc>
        <w:tc>
          <w:tcPr>
            <w:tcW w:w="1930" w:type="pct"/>
            <w:tcBorders>
              <w:tl2br w:val="nil"/>
              <w:tr2bl w:val="nil"/>
            </w:tcBorders>
            <w:vAlign w:val="center"/>
          </w:tcPr>
          <w:p w14:paraId="5AE3C1BF">
            <w:pPr>
              <w:widowControl/>
              <w:rPr>
                <w:szCs w:val="21"/>
              </w:rPr>
            </w:pPr>
            <w:r>
              <w:rPr>
                <w:rFonts w:hint="eastAsia"/>
                <w:szCs w:val="21"/>
              </w:rPr>
              <w:t>便携式浊度仪/WGZ-200B型/HBJC-YQ-193</w:t>
            </w:r>
          </w:p>
        </w:tc>
        <w:tc>
          <w:tcPr>
            <w:tcW w:w="608" w:type="pct"/>
            <w:tcBorders>
              <w:tl2br w:val="nil"/>
              <w:tr2bl w:val="nil"/>
            </w:tcBorders>
            <w:vAlign w:val="center"/>
          </w:tcPr>
          <w:p w14:paraId="6E8CA98E">
            <w:pPr>
              <w:widowControl/>
              <w:jc w:val="center"/>
              <w:rPr>
                <w:szCs w:val="21"/>
              </w:rPr>
            </w:pPr>
            <w:r>
              <w:rPr>
                <w:rFonts w:hint="eastAsia"/>
                <w:szCs w:val="21"/>
              </w:rPr>
              <w:t>0.3NTU</w:t>
            </w:r>
          </w:p>
        </w:tc>
      </w:tr>
      <w:tr w14:paraId="5AA0A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atLeast"/>
          <w:jc w:val="center"/>
        </w:trPr>
        <w:tc>
          <w:tcPr>
            <w:tcW w:w="647" w:type="pct"/>
            <w:tcBorders>
              <w:tl2br w:val="nil"/>
              <w:tr2bl w:val="nil"/>
            </w:tcBorders>
            <w:vAlign w:val="center"/>
          </w:tcPr>
          <w:p w14:paraId="475C0A34">
            <w:pPr>
              <w:jc w:val="center"/>
              <w:rPr>
                <w:szCs w:val="21"/>
              </w:rPr>
            </w:pPr>
            <w:r>
              <w:rPr>
                <w:szCs w:val="21"/>
              </w:rPr>
              <w:t>肉眼可见物</w:t>
            </w:r>
          </w:p>
        </w:tc>
        <w:tc>
          <w:tcPr>
            <w:tcW w:w="1815" w:type="pct"/>
            <w:tcBorders>
              <w:tl2br w:val="nil"/>
              <w:tr2bl w:val="nil"/>
            </w:tcBorders>
            <w:vAlign w:val="center"/>
          </w:tcPr>
          <w:p w14:paraId="31004F0C">
            <w:pPr>
              <w:widowControl/>
              <w:jc w:val="left"/>
              <w:textAlignment w:val="center"/>
              <w:rPr>
                <w:szCs w:val="21"/>
              </w:rPr>
            </w:pPr>
            <w:r>
              <w:rPr>
                <w:rFonts w:hint="eastAsia"/>
                <w:szCs w:val="21"/>
              </w:rPr>
              <w:t>《生活饮用水标准检验方法 第 4 部分：感官性状和物理指标》</w:t>
            </w:r>
            <w:r>
              <w:rPr>
                <w:szCs w:val="21"/>
              </w:rPr>
              <w:t>GB/T 5750.4-</w:t>
            </w:r>
            <w:r>
              <w:rPr>
                <w:rFonts w:hint="eastAsia"/>
                <w:szCs w:val="21"/>
              </w:rPr>
              <w:t>2023</w:t>
            </w:r>
          </w:p>
          <w:p w14:paraId="73E5573F">
            <w:pPr>
              <w:widowControl/>
              <w:jc w:val="left"/>
              <w:textAlignment w:val="center"/>
              <w:rPr>
                <w:szCs w:val="21"/>
              </w:rPr>
            </w:pPr>
            <w:r>
              <w:rPr>
                <w:szCs w:val="21"/>
              </w:rPr>
              <w:t>7.1 直接观察法</w:t>
            </w:r>
          </w:p>
        </w:tc>
        <w:tc>
          <w:tcPr>
            <w:tcW w:w="1930" w:type="pct"/>
            <w:tcBorders>
              <w:tl2br w:val="nil"/>
              <w:tr2bl w:val="nil"/>
            </w:tcBorders>
            <w:vAlign w:val="center"/>
          </w:tcPr>
          <w:p w14:paraId="40510E90">
            <w:pPr>
              <w:widowControl/>
              <w:rPr>
                <w:szCs w:val="21"/>
              </w:rPr>
            </w:pPr>
            <w:r>
              <w:rPr>
                <w:rFonts w:hint="eastAsia"/>
                <w:szCs w:val="21"/>
              </w:rPr>
              <w:t>/</w:t>
            </w:r>
          </w:p>
        </w:tc>
        <w:tc>
          <w:tcPr>
            <w:tcW w:w="608" w:type="pct"/>
            <w:tcBorders>
              <w:tl2br w:val="nil"/>
              <w:tr2bl w:val="nil"/>
            </w:tcBorders>
            <w:vAlign w:val="center"/>
          </w:tcPr>
          <w:p w14:paraId="00A87BC4">
            <w:pPr>
              <w:widowControl/>
              <w:jc w:val="center"/>
              <w:rPr>
                <w:szCs w:val="21"/>
              </w:rPr>
            </w:pPr>
            <w:r>
              <w:rPr>
                <w:rFonts w:hint="eastAsia"/>
                <w:szCs w:val="21"/>
              </w:rPr>
              <w:t>/</w:t>
            </w:r>
          </w:p>
        </w:tc>
      </w:tr>
      <w:tr w14:paraId="03727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atLeast"/>
          <w:jc w:val="center"/>
        </w:trPr>
        <w:tc>
          <w:tcPr>
            <w:tcW w:w="647" w:type="pct"/>
            <w:tcBorders>
              <w:tl2br w:val="nil"/>
              <w:tr2bl w:val="nil"/>
            </w:tcBorders>
            <w:vAlign w:val="center"/>
          </w:tcPr>
          <w:p w14:paraId="60FFC6BD">
            <w:pPr>
              <w:jc w:val="center"/>
              <w:rPr>
                <w:szCs w:val="21"/>
              </w:rPr>
            </w:pPr>
            <w:r>
              <w:rPr>
                <w:szCs w:val="21"/>
              </w:rPr>
              <w:t>pH值</w:t>
            </w:r>
          </w:p>
        </w:tc>
        <w:tc>
          <w:tcPr>
            <w:tcW w:w="1815" w:type="pct"/>
            <w:tcBorders>
              <w:tl2br w:val="nil"/>
              <w:tr2bl w:val="nil"/>
            </w:tcBorders>
            <w:vAlign w:val="center"/>
          </w:tcPr>
          <w:p w14:paraId="4F783D1E">
            <w:pPr>
              <w:jc w:val="left"/>
              <w:rPr>
                <w:szCs w:val="21"/>
              </w:rPr>
            </w:pPr>
            <w:r>
              <w:rPr>
                <w:rFonts w:hint="eastAsia"/>
                <w:szCs w:val="21"/>
              </w:rPr>
              <w:t>《水质 pH值的测定 电极法》HJ1147-2020</w:t>
            </w:r>
          </w:p>
        </w:tc>
        <w:tc>
          <w:tcPr>
            <w:tcW w:w="1930" w:type="pct"/>
            <w:tcBorders>
              <w:tl2br w:val="nil"/>
              <w:tr2bl w:val="nil"/>
            </w:tcBorders>
            <w:vAlign w:val="center"/>
          </w:tcPr>
          <w:p w14:paraId="52CD766C">
            <w:pPr>
              <w:pStyle w:val="364"/>
              <w:rPr>
                <w:rFonts w:ascii="Times New Roman" w:hAnsi="Times New Roman" w:cs="Times New Roman"/>
                <w:sz w:val="21"/>
                <w:szCs w:val="21"/>
              </w:rPr>
            </w:pPr>
            <w:r>
              <w:rPr>
                <w:rFonts w:hint="eastAsia" w:ascii="Times New Roman" w:hAnsi="Times New Roman" w:cs="Times New Roman"/>
                <w:color w:val="auto"/>
                <w:sz w:val="21"/>
                <w:szCs w:val="21"/>
              </w:rPr>
              <w:t>便携式pH计/PHBJ-260型/HBJC-YQ-174</w:t>
            </w:r>
          </w:p>
        </w:tc>
        <w:tc>
          <w:tcPr>
            <w:tcW w:w="608" w:type="pct"/>
            <w:tcBorders>
              <w:tl2br w:val="nil"/>
              <w:tr2bl w:val="nil"/>
            </w:tcBorders>
            <w:vAlign w:val="center"/>
          </w:tcPr>
          <w:p w14:paraId="2F44F4DD">
            <w:pPr>
              <w:pStyle w:val="364"/>
              <w:jc w:val="center"/>
              <w:rPr>
                <w:rFonts w:ascii="Times New Roman" w:hAnsi="Times New Roman" w:cs="Times New Roman"/>
                <w:color w:val="auto"/>
                <w:sz w:val="21"/>
                <w:szCs w:val="21"/>
              </w:rPr>
            </w:pPr>
            <w:r>
              <w:rPr>
                <w:rFonts w:hint="eastAsia" w:ascii="Times New Roman" w:cs="Times New Roman"/>
                <w:color w:val="auto"/>
                <w:sz w:val="21"/>
                <w:szCs w:val="21"/>
              </w:rPr>
              <w:t>/</w:t>
            </w:r>
          </w:p>
        </w:tc>
      </w:tr>
      <w:tr w14:paraId="05AA4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atLeast"/>
          <w:jc w:val="center"/>
        </w:trPr>
        <w:tc>
          <w:tcPr>
            <w:tcW w:w="647" w:type="pct"/>
            <w:tcBorders>
              <w:tl2br w:val="nil"/>
              <w:tr2bl w:val="nil"/>
            </w:tcBorders>
            <w:vAlign w:val="center"/>
          </w:tcPr>
          <w:p w14:paraId="5A501DAC">
            <w:pPr>
              <w:jc w:val="center"/>
              <w:rPr>
                <w:szCs w:val="21"/>
              </w:rPr>
            </w:pPr>
            <w:r>
              <w:rPr>
                <w:szCs w:val="21"/>
              </w:rPr>
              <w:t>总硬度</w:t>
            </w:r>
          </w:p>
        </w:tc>
        <w:tc>
          <w:tcPr>
            <w:tcW w:w="1815" w:type="pct"/>
            <w:tcBorders>
              <w:tl2br w:val="nil"/>
              <w:tr2bl w:val="nil"/>
            </w:tcBorders>
            <w:vAlign w:val="center"/>
          </w:tcPr>
          <w:p w14:paraId="4E8F3C48">
            <w:pPr>
              <w:widowControl/>
              <w:jc w:val="left"/>
              <w:textAlignment w:val="center"/>
              <w:rPr>
                <w:szCs w:val="21"/>
              </w:rPr>
            </w:pPr>
            <w:r>
              <w:rPr>
                <w:rFonts w:hint="eastAsia"/>
                <w:szCs w:val="21"/>
              </w:rPr>
              <w:t>《生活饮用水标准检验方法 第4部分：感官性状和物理指标》GB/T 5750.4-2023</w:t>
            </w:r>
          </w:p>
          <w:p w14:paraId="6808661A">
            <w:pPr>
              <w:widowControl/>
              <w:jc w:val="left"/>
              <w:textAlignment w:val="center"/>
              <w:rPr>
                <w:szCs w:val="21"/>
              </w:rPr>
            </w:pPr>
            <w:r>
              <w:rPr>
                <w:rFonts w:hint="eastAsia"/>
                <w:szCs w:val="21"/>
              </w:rPr>
              <w:t>10.1乙二胺四乙酸二钠滴定法</w:t>
            </w:r>
          </w:p>
        </w:tc>
        <w:tc>
          <w:tcPr>
            <w:tcW w:w="1930" w:type="pct"/>
            <w:tcBorders>
              <w:tl2br w:val="nil"/>
              <w:tr2bl w:val="nil"/>
            </w:tcBorders>
            <w:vAlign w:val="center"/>
          </w:tcPr>
          <w:p w14:paraId="2541EC62">
            <w:pPr>
              <w:widowControl/>
              <w:rPr>
                <w:szCs w:val="21"/>
              </w:rPr>
            </w:pPr>
            <w:r>
              <w:rPr>
                <w:rFonts w:hint="eastAsia"/>
                <w:szCs w:val="21"/>
              </w:rPr>
              <w:t>滴定管25mL</w:t>
            </w:r>
          </w:p>
        </w:tc>
        <w:tc>
          <w:tcPr>
            <w:tcW w:w="608" w:type="pct"/>
            <w:tcBorders>
              <w:tl2br w:val="nil"/>
              <w:tr2bl w:val="nil"/>
            </w:tcBorders>
            <w:vAlign w:val="center"/>
          </w:tcPr>
          <w:p w14:paraId="6D162585">
            <w:pPr>
              <w:widowControl/>
              <w:jc w:val="center"/>
              <w:rPr>
                <w:szCs w:val="21"/>
              </w:rPr>
            </w:pPr>
            <w:r>
              <w:rPr>
                <w:rFonts w:hint="eastAsia"/>
                <w:szCs w:val="21"/>
              </w:rPr>
              <w:t>1.0</w:t>
            </w:r>
            <w:r>
              <w:rPr>
                <w:szCs w:val="21"/>
              </w:rPr>
              <w:t>mg/L</w:t>
            </w:r>
          </w:p>
        </w:tc>
      </w:tr>
      <w:tr w14:paraId="29981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atLeast"/>
          <w:jc w:val="center"/>
        </w:trPr>
        <w:tc>
          <w:tcPr>
            <w:tcW w:w="647" w:type="pct"/>
            <w:tcBorders>
              <w:tl2br w:val="nil"/>
              <w:tr2bl w:val="nil"/>
            </w:tcBorders>
            <w:vAlign w:val="center"/>
          </w:tcPr>
          <w:p w14:paraId="70B84A2C">
            <w:pPr>
              <w:jc w:val="center"/>
              <w:rPr>
                <w:szCs w:val="21"/>
              </w:rPr>
            </w:pPr>
            <w:r>
              <w:rPr>
                <w:szCs w:val="21"/>
              </w:rPr>
              <w:t>溶解性总固体</w:t>
            </w:r>
          </w:p>
        </w:tc>
        <w:tc>
          <w:tcPr>
            <w:tcW w:w="1815" w:type="pct"/>
            <w:tcBorders>
              <w:tl2br w:val="nil"/>
              <w:tr2bl w:val="nil"/>
            </w:tcBorders>
            <w:vAlign w:val="center"/>
          </w:tcPr>
          <w:p w14:paraId="6902686D">
            <w:pPr>
              <w:widowControl/>
              <w:jc w:val="left"/>
              <w:textAlignment w:val="center"/>
              <w:rPr>
                <w:szCs w:val="21"/>
              </w:rPr>
            </w:pPr>
            <w:r>
              <w:rPr>
                <w:rFonts w:hint="eastAsia"/>
                <w:szCs w:val="21"/>
              </w:rPr>
              <w:t>《生活饮用水标准检验方法 第4部分：感官性状和物理指标》GB/T 5750.4-2023</w:t>
            </w:r>
          </w:p>
          <w:p w14:paraId="1C6D13E9">
            <w:pPr>
              <w:widowControl/>
              <w:jc w:val="left"/>
              <w:textAlignment w:val="center"/>
              <w:rPr>
                <w:szCs w:val="21"/>
              </w:rPr>
            </w:pPr>
            <w:r>
              <w:rPr>
                <w:rFonts w:hint="eastAsia"/>
                <w:szCs w:val="21"/>
              </w:rPr>
              <w:t>11.1称量法</w:t>
            </w:r>
          </w:p>
        </w:tc>
        <w:tc>
          <w:tcPr>
            <w:tcW w:w="1930" w:type="pct"/>
            <w:tcBorders>
              <w:tl2br w:val="nil"/>
              <w:tr2bl w:val="nil"/>
            </w:tcBorders>
            <w:vAlign w:val="center"/>
          </w:tcPr>
          <w:p w14:paraId="1FA1A438">
            <w:pPr>
              <w:widowControl/>
              <w:rPr>
                <w:szCs w:val="21"/>
              </w:rPr>
            </w:pPr>
            <w:r>
              <w:rPr>
                <w:szCs w:val="21"/>
              </w:rPr>
              <w:t>电热鼓风干燥箱</w:t>
            </w:r>
            <w:r>
              <w:rPr>
                <w:rFonts w:hint="eastAsia"/>
                <w:szCs w:val="21"/>
              </w:rPr>
              <w:t>/</w:t>
            </w:r>
            <w:r>
              <w:rPr>
                <w:szCs w:val="21"/>
              </w:rPr>
              <w:t>GZX-9070MBE型</w:t>
            </w:r>
            <w:r>
              <w:rPr>
                <w:rFonts w:hint="eastAsia"/>
                <w:szCs w:val="21"/>
              </w:rPr>
              <w:t>/</w:t>
            </w:r>
            <w:r>
              <w:rPr>
                <w:szCs w:val="21"/>
              </w:rPr>
              <w:t>HBJC-YQ-</w:t>
            </w:r>
            <w:r>
              <w:rPr>
                <w:rFonts w:hint="eastAsia"/>
                <w:szCs w:val="21"/>
              </w:rPr>
              <w:t>031</w:t>
            </w:r>
          </w:p>
          <w:p w14:paraId="1725B244">
            <w:pPr>
              <w:widowControl/>
              <w:rPr>
                <w:szCs w:val="21"/>
              </w:rPr>
            </w:pPr>
            <w:r>
              <w:rPr>
                <w:szCs w:val="21"/>
              </w:rPr>
              <w:t>天平/AR124CN型/HBJC-YQ-013</w:t>
            </w:r>
          </w:p>
        </w:tc>
        <w:tc>
          <w:tcPr>
            <w:tcW w:w="608" w:type="pct"/>
            <w:tcBorders>
              <w:tl2br w:val="nil"/>
              <w:tr2bl w:val="nil"/>
            </w:tcBorders>
            <w:vAlign w:val="center"/>
          </w:tcPr>
          <w:p w14:paraId="1C349DD7">
            <w:pPr>
              <w:widowControl/>
              <w:jc w:val="center"/>
              <w:rPr>
                <w:szCs w:val="21"/>
              </w:rPr>
            </w:pPr>
            <w:r>
              <w:rPr>
                <w:rFonts w:hint="eastAsia"/>
                <w:szCs w:val="21"/>
              </w:rPr>
              <w:t>4</w:t>
            </w:r>
            <w:r>
              <w:rPr>
                <w:szCs w:val="21"/>
              </w:rPr>
              <w:t>mg/L</w:t>
            </w:r>
          </w:p>
        </w:tc>
      </w:tr>
      <w:tr w14:paraId="1EEC3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atLeast"/>
          <w:jc w:val="center"/>
        </w:trPr>
        <w:tc>
          <w:tcPr>
            <w:tcW w:w="647" w:type="pct"/>
            <w:tcBorders>
              <w:tl2br w:val="nil"/>
              <w:tr2bl w:val="nil"/>
            </w:tcBorders>
            <w:vAlign w:val="center"/>
          </w:tcPr>
          <w:p w14:paraId="49DE9824">
            <w:pPr>
              <w:jc w:val="center"/>
              <w:rPr>
                <w:szCs w:val="21"/>
              </w:rPr>
            </w:pPr>
            <w:r>
              <w:rPr>
                <w:szCs w:val="21"/>
              </w:rPr>
              <w:t>硫酸盐</w:t>
            </w:r>
          </w:p>
        </w:tc>
        <w:tc>
          <w:tcPr>
            <w:tcW w:w="1815" w:type="pct"/>
            <w:tcBorders>
              <w:tl2br w:val="nil"/>
              <w:tr2bl w:val="nil"/>
            </w:tcBorders>
            <w:vAlign w:val="center"/>
          </w:tcPr>
          <w:p w14:paraId="7B7F6CE0">
            <w:pPr>
              <w:widowControl/>
              <w:jc w:val="left"/>
              <w:textAlignment w:val="center"/>
              <w:rPr>
                <w:szCs w:val="21"/>
              </w:rPr>
            </w:pPr>
            <w:r>
              <w:rPr>
                <w:rFonts w:hint="eastAsia"/>
                <w:szCs w:val="21"/>
              </w:rPr>
              <w:t>《生活饮用水标准检验方法 第5部分：无机非金属指标》GB/T 5750.5-2023</w:t>
            </w:r>
          </w:p>
          <w:p w14:paraId="6280B85F">
            <w:pPr>
              <w:widowControl/>
              <w:jc w:val="left"/>
              <w:textAlignment w:val="center"/>
              <w:rPr>
                <w:szCs w:val="21"/>
              </w:rPr>
            </w:pPr>
            <w:r>
              <w:rPr>
                <w:rFonts w:hint="eastAsia"/>
                <w:szCs w:val="21"/>
              </w:rPr>
              <w:t>4.3 铬酸钡分光光度法(热法)</w:t>
            </w:r>
          </w:p>
        </w:tc>
        <w:tc>
          <w:tcPr>
            <w:tcW w:w="1930" w:type="pct"/>
            <w:tcBorders>
              <w:tl2br w:val="nil"/>
              <w:tr2bl w:val="nil"/>
            </w:tcBorders>
            <w:vAlign w:val="center"/>
          </w:tcPr>
          <w:p w14:paraId="7F2DFD08">
            <w:pPr>
              <w:pStyle w:val="364"/>
              <w:jc w:val="left"/>
              <w:rPr>
                <w:rFonts w:ascii="Times New Roman" w:hAnsi="Times New Roman" w:cs="Times New Roman"/>
                <w:sz w:val="21"/>
                <w:szCs w:val="21"/>
              </w:rPr>
            </w:pPr>
            <w:r>
              <w:rPr>
                <w:rFonts w:ascii="Times New Roman" w:hAnsi="Times New Roman" w:cs="Times New Roman"/>
                <w:sz w:val="21"/>
                <w:szCs w:val="21"/>
              </w:rPr>
              <w:t>紫外可见分光光度计/T6新世纪型</w:t>
            </w:r>
            <w:r>
              <w:rPr>
                <w:rFonts w:hint="eastAsia" w:ascii="Times New Roman" w:hAnsi="Times New Roman" w:cs="Times New Roman"/>
                <w:sz w:val="21"/>
                <w:szCs w:val="21"/>
              </w:rPr>
              <w:t>/</w:t>
            </w:r>
            <w:r>
              <w:rPr>
                <w:rFonts w:ascii="Times New Roman" w:hAnsi="Times New Roman" w:cs="Times New Roman"/>
                <w:sz w:val="21"/>
                <w:szCs w:val="21"/>
              </w:rPr>
              <w:t>HBJC-YQ-019</w:t>
            </w:r>
          </w:p>
        </w:tc>
        <w:tc>
          <w:tcPr>
            <w:tcW w:w="608" w:type="pct"/>
            <w:tcBorders>
              <w:tl2br w:val="nil"/>
              <w:tr2bl w:val="nil"/>
            </w:tcBorders>
            <w:vAlign w:val="center"/>
          </w:tcPr>
          <w:p w14:paraId="22512B05">
            <w:pPr>
              <w:widowControl/>
              <w:jc w:val="center"/>
              <w:rPr>
                <w:szCs w:val="21"/>
              </w:rPr>
            </w:pPr>
            <w:r>
              <w:rPr>
                <w:rFonts w:hint="eastAsia"/>
                <w:szCs w:val="21"/>
              </w:rPr>
              <w:t>5</w:t>
            </w:r>
            <w:r>
              <w:rPr>
                <w:szCs w:val="21"/>
              </w:rPr>
              <w:t>mg/</w:t>
            </w:r>
            <w:r>
              <w:rPr>
                <w:rFonts w:hint="eastAsia"/>
                <w:szCs w:val="21"/>
              </w:rPr>
              <w:t>L</w:t>
            </w:r>
          </w:p>
        </w:tc>
      </w:tr>
      <w:tr w14:paraId="0B9D0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atLeast"/>
          <w:jc w:val="center"/>
        </w:trPr>
        <w:tc>
          <w:tcPr>
            <w:tcW w:w="647" w:type="pct"/>
            <w:tcBorders>
              <w:tl2br w:val="nil"/>
              <w:tr2bl w:val="nil"/>
            </w:tcBorders>
            <w:vAlign w:val="center"/>
          </w:tcPr>
          <w:p w14:paraId="66EA5AD7">
            <w:pPr>
              <w:jc w:val="center"/>
              <w:rPr>
                <w:szCs w:val="21"/>
              </w:rPr>
            </w:pPr>
            <w:r>
              <w:rPr>
                <w:szCs w:val="21"/>
              </w:rPr>
              <w:t>氯化物</w:t>
            </w:r>
          </w:p>
        </w:tc>
        <w:tc>
          <w:tcPr>
            <w:tcW w:w="1815" w:type="pct"/>
            <w:tcBorders>
              <w:tl2br w:val="nil"/>
              <w:tr2bl w:val="nil"/>
            </w:tcBorders>
            <w:vAlign w:val="center"/>
          </w:tcPr>
          <w:p w14:paraId="47ABD447">
            <w:pPr>
              <w:widowControl/>
              <w:jc w:val="left"/>
              <w:textAlignment w:val="center"/>
              <w:rPr>
                <w:szCs w:val="21"/>
              </w:rPr>
            </w:pPr>
            <w:r>
              <w:rPr>
                <w:rFonts w:hint="eastAsia"/>
                <w:szCs w:val="21"/>
              </w:rPr>
              <w:t>《生活饮用水标准检验方法 第5部分：无机非金属指标》GB/T 5750.5-2023</w:t>
            </w:r>
          </w:p>
          <w:p w14:paraId="25FB9065">
            <w:pPr>
              <w:widowControl/>
              <w:jc w:val="left"/>
              <w:textAlignment w:val="center"/>
              <w:rPr>
                <w:szCs w:val="21"/>
              </w:rPr>
            </w:pPr>
            <w:r>
              <w:rPr>
                <w:rFonts w:hint="eastAsia"/>
                <w:szCs w:val="21"/>
              </w:rPr>
              <w:t>5.1 硝酸银容量法</w:t>
            </w:r>
          </w:p>
        </w:tc>
        <w:tc>
          <w:tcPr>
            <w:tcW w:w="1930" w:type="pct"/>
            <w:tcBorders>
              <w:tl2br w:val="nil"/>
              <w:tr2bl w:val="nil"/>
            </w:tcBorders>
            <w:vAlign w:val="center"/>
          </w:tcPr>
          <w:p w14:paraId="3EDF3C0C">
            <w:pPr>
              <w:widowControl/>
              <w:rPr>
                <w:szCs w:val="21"/>
              </w:rPr>
            </w:pPr>
            <w:r>
              <w:rPr>
                <w:rFonts w:hint="eastAsia"/>
                <w:szCs w:val="21"/>
              </w:rPr>
              <w:t>酸式棕色滴定管25ml</w:t>
            </w:r>
          </w:p>
        </w:tc>
        <w:tc>
          <w:tcPr>
            <w:tcW w:w="608" w:type="pct"/>
            <w:tcBorders>
              <w:tl2br w:val="nil"/>
              <w:tr2bl w:val="nil"/>
            </w:tcBorders>
            <w:vAlign w:val="center"/>
          </w:tcPr>
          <w:p w14:paraId="150F6B88">
            <w:pPr>
              <w:jc w:val="center"/>
              <w:rPr>
                <w:szCs w:val="21"/>
              </w:rPr>
            </w:pPr>
            <w:r>
              <w:rPr>
                <w:rFonts w:hint="eastAsia"/>
                <w:szCs w:val="21"/>
              </w:rPr>
              <w:t>1.0</w:t>
            </w:r>
            <w:r>
              <w:rPr>
                <w:szCs w:val="21"/>
              </w:rPr>
              <w:t>mg/</w:t>
            </w:r>
            <w:r>
              <w:rPr>
                <w:rFonts w:hint="eastAsia"/>
                <w:szCs w:val="21"/>
              </w:rPr>
              <w:t>L</w:t>
            </w:r>
          </w:p>
        </w:tc>
      </w:tr>
      <w:tr w14:paraId="7566D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atLeast"/>
          <w:jc w:val="center"/>
        </w:trPr>
        <w:tc>
          <w:tcPr>
            <w:tcW w:w="647" w:type="pct"/>
            <w:tcBorders>
              <w:tl2br w:val="nil"/>
              <w:tr2bl w:val="nil"/>
            </w:tcBorders>
            <w:vAlign w:val="center"/>
          </w:tcPr>
          <w:p w14:paraId="22D70DA6">
            <w:pPr>
              <w:jc w:val="center"/>
              <w:rPr>
                <w:szCs w:val="21"/>
              </w:rPr>
            </w:pPr>
            <w:r>
              <w:rPr>
                <w:szCs w:val="21"/>
              </w:rPr>
              <w:t>铁</w:t>
            </w:r>
          </w:p>
        </w:tc>
        <w:tc>
          <w:tcPr>
            <w:tcW w:w="1815" w:type="pct"/>
            <w:tcBorders>
              <w:tl2br w:val="nil"/>
              <w:tr2bl w:val="nil"/>
            </w:tcBorders>
            <w:vAlign w:val="center"/>
          </w:tcPr>
          <w:p w14:paraId="2F336C8D">
            <w:pPr>
              <w:widowControl/>
              <w:jc w:val="left"/>
              <w:textAlignment w:val="center"/>
              <w:rPr>
                <w:szCs w:val="21"/>
              </w:rPr>
            </w:pPr>
            <w:r>
              <w:rPr>
                <w:rFonts w:hint="eastAsia"/>
                <w:szCs w:val="21"/>
              </w:rPr>
              <w:t>《水质 铁、锰的测定 火焰原子吸收分光光度法》</w:t>
            </w:r>
            <w:r>
              <w:rPr>
                <w:szCs w:val="21"/>
              </w:rPr>
              <w:t>GB</w:t>
            </w:r>
            <w:r>
              <w:rPr>
                <w:rFonts w:hint="eastAsia"/>
                <w:szCs w:val="21"/>
              </w:rPr>
              <w:t>/T</w:t>
            </w:r>
            <w:r>
              <w:rPr>
                <w:szCs w:val="21"/>
              </w:rPr>
              <w:t xml:space="preserve"> 11911-</w:t>
            </w:r>
            <w:r>
              <w:rPr>
                <w:rFonts w:hint="eastAsia"/>
                <w:szCs w:val="21"/>
              </w:rPr>
              <w:t>19</w:t>
            </w:r>
            <w:r>
              <w:rPr>
                <w:szCs w:val="21"/>
              </w:rPr>
              <w:t>89</w:t>
            </w:r>
          </w:p>
        </w:tc>
        <w:tc>
          <w:tcPr>
            <w:tcW w:w="1930" w:type="pct"/>
            <w:tcBorders>
              <w:tl2br w:val="nil"/>
              <w:tr2bl w:val="nil"/>
            </w:tcBorders>
            <w:vAlign w:val="center"/>
          </w:tcPr>
          <w:p w14:paraId="62D82F7E">
            <w:pPr>
              <w:jc w:val="left"/>
              <w:rPr>
                <w:szCs w:val="21"/>
              </w:rPr>
            </w:pPr>
            <w:r>
              <w:rPr>
                <w:szCs w:val="21"/>
              </w:rPr>
              <w:t>原子吸收分光光度计</w:t>
            </w:r>
            <w:r>
              <w:rPr>
                <w:rFonts w:hint="eastAsia"/>
                <w:szCs w:val="21"/>
              </w:rPr>
              <w:t>/</w:t>
            </w:r>
            <w:r>
              <w:rPr>
                <w:szCs w:val="21"/>
              </w:rPr>
              <w:t>AA-7003</w:t>
            </w:r>
            <w:r>
              <w:rPr>
                <w:rFonts w:hint="eastAsia"/>
                <w:szCs w:val="21"/>
              </w:rPr>
              <w:t>/</w:t>
            </w:r>
            <w:r>
              <w:rPr>
                <w:szCs w:val="21"/>
              </w:rPr>
              <w:t>HBJC-YQ-027</w:t>
            </w:r>
          </w:p>
        </w:tc>
        <w:tc>
          <w:tcPr>
            <w:tcW w:w="608" w:type="pct"/>
            <w:tcBorders>
              <w:tl2br w:val="nil"/>
              <w:tr2bl w:val="nil"/>
            </w:tcBorders>
            <w:vAlign w:val="center"/>
          </w:tcPr>
          <w:p w14:paraId="1AA2DF8D">
            <w:pPr>
              <w:widowControl/>
              <w:jc w:val="center"/>
              <w:rPr>
                <w:szCs w:val="21"/>
              </w:rPr>
            </w:pPr>
            <w:r>
              <w:rPr>
                <w:rFonts w:hint="eastAsia"/>
                <w:szCs w:val="21"/>
              </w:rPr>
              <w:t>0.03</w:t>
            </w:r>
            <w:r>
              <w:rPr>
                <w:szCs w:val="21"/>
              </w:rPr>
              <w:t>mg/L</w:t>
            </w:r>
          </w:p>
        </w:tc>
      </w:tr>
      <w:tr w14:paraId="2CC7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atLeast"/>
          <w:jc w:val="center"/>
        </w:trPr>
        <w:tc>
          <w:tcPr>
            <w:tcW w:w="647" w:type="pct"/>
            <w:tcBorders>
              <w:tl2br w:val="nil"/>
              <w:tr2bl w:val="nil"/>
            </w:tcBorders>
            <w:vAlign w:val="center"/>
          </w:tcPr>
          <w:p w14:paraId="047F2A70">
            <w:pPr>
              <w:jc w:val="center"/>
              <w:rPr>
                <w:szCs w:val="21"/>
              </w:rPr>
            </w:pPr>
            <w:r>
              <w:rPr>
                <w:szCs w:val="21"/>
              </w:rPr>
              <w:t>锰</w:t>
            </w:r>
          </w:p>
        </w:tc>
        <w:tc>
          <w:tcPr>
            <w:tcW w:w="1815" w:type="pct"/>
            <w:tcBorders>
              <w:tl2br w:val="nil"/>
              <w:tr2bl w:val="nil"/>
            </w:tcBorders>
            <w:vAlign w:val="center"/>
          </w:tcPr>
          <w:p w14:paraId="1D8BBA92">
            <w:pPr>
              <w:widowControl/>
              <w:jc w:val="left"/>
              <w:textAlignment w:val="center"/>
              <w:rPr>
                <w:szCs w:val="21"/>
              </w:rPr>
            </w:pPr>
            <w:r>
              <w:rPr>
                <w:rFonts w:hint="eastAsia"/>
                <w:szCs w:val="21"/>
              </w:rPr>
              <w:t>《水质 铁、锰的测定 火焰原子吸收分光光度法》</w:t>
            </w:r>
            <w:r>
              <w:rPr>
                <w:szCs w:val="21"/>
              </w:rPr>
              <w:t>GB</w:t>
            </w:r>
            <w:r>
              <w:rPr>
                <w:rFonts w:hint="eastAsia"/>
                <w:szCs w:val="21"/>
              </w:rPr>
              <w:t>/T</w:t>
            </w:r>
            <w:r>
              <w:rPr>
                <w:szCs w:val="21"/>
              </w:rPr>
              <w:t xml:space="preserve"> 11911-</w:t>
            </w:r>
            <w:r>
              <w:rPr>
                <w:rFonts w:hint="eastAsia"/>
                <w:szCs w:val="21"/>
              </w:rPr>
              <w:t>19</w:t>
            </w:r>
            <w:r>
              <w:rPr>
                <w:szCs w:val="21"/>
              </w:rPr>
              <w:t>89</w:t>
            </w:r>
          </w:p>
        </w:tc>
        <w:tc>
          <w:tcPr>
            <w:tcW w:w="1930" w:type="pct"/>
            <w:tcBorders>
              <w:tl2br w:val="nil"/>
              <w:tr2bl w:val="nil"/>
            </w:tcBorders>
            <w:vAlign w:val="center"/>
          </w:tcPr>
          <w:p w14:paraId="14812924">
            <w:pPr>
              <w:jc w:val="left"/>
              <w:rPr>
                <w:szCs w:val="21"/>
              </w:rPr>
            </w:pPr>
            <w:r>
              <w:rPr>
                <w:szCs w:val="21"/>
              </w:rPr>
              <w:t>原子吸收分光光度计</w:t>
            </w:r>
            <w:r>
              <w:rPr>
                <w:rFonts w:hint="eastAsia"/>
                <w:szCs w:val="21"/>
              </w:rPr>
              <w:t>/</w:t>
            </w:r>
            <w:r>
              <w:rPr>
                <w:szCs w:val="21"/>
              </w:rPr>
              <w:t>AA-7003</w:t>
            </w:r>
            <w:r>
              <w:rPr>
                <w:rFonts w:hint="eastAsia"/>
                <w:szCs w:val="21"/>
              </w:rPr>
              <w:t>/</w:t>
            </w:r>
            <w:r>
              <w:rPr>
                <w:szCs w:val="21"/>
              </w:rPr>
              <w:t>HBJC-YQ-027</w:t>
            </w:r>
          </w:p>
        </w:tc>
        <w:tc>
          <w:tcPr>
            <w:tcW w:w="608" w:type="pct"/>
            <w:tcBorders>
              <w:tl2br w:val="nil"/>
              <w:tr2bl w:val="nil"/>
            </w:tcBorders>
            <w:vAlign w:val="center"/>
          </w:tcPr>
          <w:p w14:paraId="3A140319">
            <w:pPr>
              <w:widowControl/>
              <w:jc w:val="center"/>
              <w:rPr>
                <w:szCs w:val="21"/>
              </w:rPr>
            </w:pPr>
            <w:r>
              <w:rPr>
                <w:rFonts w:hint="eastAsia"/>
                <w:szCs w:val="21"/>
              </w:rPr>
              <w:t>0.01</w:t>
            </w:r>
            <w:r>
              <w:rPr>
                <w:szCs w:val="21"/>
              </w:rPr>
              <w:t>mg/L</w:t>
            </w:r>
          </w:p>
        </w:tc>
      </w:tr>
      <w:tr w14:paraId="005AC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atLeast"/>
          <w:jc w:val="center"/>
        </w:trPr>
        <w:tc>
          <w:tcPr>
            <w:tcW w:w="647" w:type="pct"/>
            <w:tcBorders>
              <w:tl2br w:val="nil"/>
              <w:tr2bl w:val="nil"/>
            </w:tcBorders>
            <w:vAlign w:val="center"/>
          </w:tcPr>
          <w:p w14:paraId="05051347">
            <w:pPr>
              <w:jc w:val="center"/>
              <w:rPr>
                <w:szCs w:val="21"/>
              </w:rPr>
            </w:pPr>
            <w:r>
              <w:rPr>
                <w:szCs w:val="21"/>
              </w:rPr>
              <w:t>铜</w:t>
            </w:r>
          </w:p>
        </w:tc>
        <w:tc>
          <w:tcPr>
            <w:tcW w:w="1815" w:type="pct"/>
            <w:tcBorders>
              <w:tl2br w:val="nil"/>
              <w:tr2bl w:val="nil"/>
            </w:tcBorders>
            <w:vAlign w:val="center"/>
          </w:tcPr>
          <w:p w14:paraId="2EC14E61">
            <w:pPr>
              <w:widowControl/>
              <w:jc w:val="left"/>
              <w:textAlignment w:val="center"/>
              <w:rPr>
                <w:szCs w:val="21"/>
              </w:rPr>
            </w:pPr>
            <w:r>
              <w:rPr>
                <w:rFonts w:hint="eastAsia"/>
                <w:szCs w:val="21"/>
              </w:rPr>
              <w:t>《生活饮用水标准检验方法 第6部分：金属和类金属指标》GB/T 5750.6-2023</w:t>
            </w:r>
          </w:p>
          <w:p w14:paraId="48E8B2EF">
            <w:pPr>
              <w:widowControl/>
              <w:jc w:val="left"/>
              <w:textAlignment w:val="center"/>
              <w:rPr>
                <w:szCs w:val="21"/>
              </w:rPr>
            </w:pPr>
            <w:r>
              <w:rPr>
                <w:rFonts w:hint="eastAsia"/>
                <w:szCs w:val="21"/>
              </w:rPr>
              <w:t>7.1 无火焰原子吸收分光光度法</w:t>
            </w:r>
          </w:p>
        </w:tc>
        <w:tc>
          <w:tcPr>
            <w:tcW w:w="1930" w:type="pct"/>
            <w:tcBorders>
              <w:tl2br w:val="nil"/>
              <w:tr2bl w:val="nil"/>
            </w:tcBorders>
            <w:vAlign w:val="center"/>
          </w:tcPr>
          <w:p w14:paraId="2225508B">
            <w:pPr>
              <w:jc w:val="left"/>
              <w:rPr>
                <w:szCs w:val="21"/>
              </w:rPr>
            </w:pPr>
            <w:r>
              <w:rPr>
                <w:szCs w:val="21"/>
              </w:rPr>
              <w:t>原子吸收分光光度计</w:t>
            </w:r>
            <w:r>
              <w:rPr>
                <w:rFonts w:hint="eastAsia"/>
                <w:szCs w:val="21"/>
              </w:rPr>
              <w:t>/</w:t>
            </w:r>
            <w:r>
              <w:rPr>
                <w:szCs w:val="21"/>
              </w:rPr>
              <w:t>AA-7003</w:t>
            </w:r>
            <w:r>
              <w:rPr>
                <w:rFonts w:hint="eastAsia"/>
                <w:szCs w:val="21"/>
              </w:rPr>
              <w:t>/</w:t>
            </w:r>
            <w:r>
              <w:rPr>
                <w:szCs w:val="21"/>
              </w:rPr>
              <w:t>HBJC-YQ-027</w:t>
            </w:r>
          </w:p>
        </w:tc>
        <w:tc>
          <w:tcPr>
            <w:tcW w:w="608" w:type="pct"/>
            <w:tcBorders>
              <w:tl2br w:val="nil"/>
              <w:tr2bl w:val="nil"/>
            </w:tcBorders>
            <w:vAlign w:val="center"/>
          </w:tcPr>
          <w:p w14:paraId="0C8FB68C">
            <w:pPr>
              <w:widowControl/>
              <w:jc w:val="center"/>
              <w:rPr>
                <w:szCs w:val="21"/>
              </w:rPr>
            </w:pPr>
            <w:r>
              <w:rPr>
                <w:rFonts w:hint="eastAsia"/>
                <w:szCs w:val="21"/>
              </w:rPr>
              <w:t>5μ</w:t>
            </w:r>
            <w:r>
              <w:rPr>
                <w:szCs w:val="21"/>
              </w:rPr>
              <w:t>g</w:t>
            </w:r>
            <w:r>
              <w:rPr>
                <w:rFonts w:hint="eastAsia"/>
                <w:szCs w:val="21"/>
              </w:rPr>
              <w:t>/L</w:t>
            </w:r>
          </w:p>
        </w:tc>
      </w:tr>
      <w:tr w14:paraId="4F94B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96" w:hRule="atLeast"/>
          <w:jc w:val="center"/>
        </w:trPr>
        <w:tc>
          <w:tcPr>
            <w:tcW w:w="647" w:type="pct"/>
            <w:tcBorders>
              <w:tl2br w:val="nil"/>
              <w:tr2bl w:val="nil"/>
            </w:tcBorders>
            <w:vAlign w:val="center"/>
          </w:tcPr>
          <w:p w14:paraId="35C577C5">
            <w:pPr>
              <w:jc w:val="center"/>
              <w:rPr>
                <w:szCs w:val="21"/>
              </w:rPr>
            </w:pPr>
            <w:r>
              <w:rPr>
                <w:szCs w:val="21"/>
              </w:rPr>
              <w:t>锌</w:t>
            </w:r>
          </w:p>
        </w:tc>
        <w:tc>
          <w:tcPr>
            <w:tcW w:w="1815" w:type="pct"/>
            <w:tcBorders>
              <w:tl2br w:val="nil"/>
              <w:tr2bl w:val="nil"/>
            </w:tcBorders>
            <w:vAlign w:val="center"/>
          </w:tcPr>
          <w:p w14:paraId="73908E31">
            <w:pPr>
              <w:widowControl/>
              <w:jc w:val="left"/>
              <w:textAlignment w:val="center"/>
              <w:rPr>
                <w:szCs w:val="21"/>
              </w:rPr>
            </w:pPr>
            <w:r>
              <w:rPr>
                <w:szCs w:val="21"/>
              </w:rPr>
              <w:t>《水质 铜、锌、铅、镉的测定 原子吸收分光光度法》GB</w:t>
            </w:r>
            <w:r>
              <w:rPr>
                <w:rFonts w:hint="eastAsia"/>
                <w:szCs w:val="21"/>
              </w:rPr>
              <w:t>/T</w:t>
            </w:r>
            <w:r>
              <w:rPr>
                <w:szCs w:val="21"/>
              </w:rPr>
              <w:t xml:space="preserve"> 7475-</w:t>
            </w:r>
            <w:r>
              <w:rPr>
                <w:rFonts w:hint="eastAsia"/>
                <w:szCs w:val="21"/>
              </w:rPr>
              <w:t>19</w:t>
            </w:r>
            <w:r>
              <w:rPr>
                <w:szCs w:val="21"/>
              </w:rPr>
              <w:t>87</w:t>
            </w:r>
          </w:p>
        </w:tc>
        <w:tc>
          <w:tcPr>
            <w:tcW w:w="1930" w:type="pct"/>
            <w:tcBorders>
              <w:tl2br w:val="nil"/>
              <w:tr2bl w:val="nil"/>
            </w:tcBorders>
            <w:vAlign w:val="center"/>
          </w:tcPr>
          <w:p w14:paraId="0BABDCEC">
            <w:pPr>
              <w:jc w:val="left"/>
              <w:rPr>
                <w:szCs w:val="21"/>
              </w:rPr>
            </w:pPr>
            <w:r>
              <w:rPr>
                <w:szCs w:val="21"/>
              </w:rPr>
              <w:t>原子吸收分光光度计/AA-7003/HBJC-YQ-027</w:t>
            </w:r>
          </w:p>
        </w:tc>
        <w:tc>
          <w:tcPr>
            <w:tcW w:w="608" w:type="pct"/>
            <w:tcBorders>
              <w:tl2br w:val="nil"/>
              <w:tr2bl w:val="nil"/>
            </w:tcBorders>
            <w:vAlign w:val="center"/>
          </w:tcPr>
          <w:p w14:paraId="5B470B98">
            <w:pPr>
              <w:jc w:val="center"/>
              <w:rPr>
                <w:szCs w:val="21"/>
              </w:rPr>
            </w:pPr>
            <w:r>
              <w:rPr>
                <w:szCs w:val="21"/>
              </w:rPr>
              <w:t>0.05mg/L</w:t>
            </w:r>
          </w:p>
        </w:tc>
      </w:tr>
      <w:tr w14:paraId="4BAE0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atLeast"/>
          <w:jc w:val="center"/>
        </w:trPr>
        <w:tc>
          <w:tcPr>
            <w:tcW w:w="647" w:type="pct"/>
            <w:tcBorders>
              <w:tl2br w:val="nil"/>
              <w:tr2bl w:val="nil"/>
            </w:tcBorders>
            <w:vAlign w:val="center"/>
          </w:tcPr>
          <w:p w14:paraId="179BA548">
            <w:pPr>
              <w:jc w:val="center"/>
              <w:rPr>
                <w:szCs w:val="21"/>
              </w:rPr>
            </w:pPr>
            <w:r>
              <w:rPr>
                <w:szCs w:val="21"/>
              </w:rPr>
              <w:t>铝</w:t>
            </w:r>
          </w:p>
        </w:tc>
        <w:tc>
          <w:tcPr>
            <w:tcW w:w="1815" w:type="pct"/>
            <w:tcBorders>
              <w:tl2br w:val="nil"/>
              <w:tr2bl w:val="nil"/>
            </w:tcBorders>
            <w:vAlign w:val="center"/>
          </w:tcPr>
          <w:p w14:paraId="49208496">
            <w:pPr>
              <w:widowControl/>
              <w:jc w:val="left"/>
              <w:textAlignment w:val="center"/>
              <w:rPr>
                <w:szCs w:val="21"/>
              </w:rPr>
            </w:pPr>
            <w:r>
              <w:rPr>
                <w:rFonts w:hint="eastAsia"/>
                <w:szCs w:val="21"/>
              </w:rPr>
              <w:t>《生活饮用水标准检验方法 第6部分：金属和类金属指标》GB/T 5750.6-2023</w:t>
            </w:r>
          </w:p>
          <w:p w14:paraId="7F8B48A1">
            <w:pPr>
              <w:widowControl/>
              <w:jc w:val="left"/>
              <w:textAlignment w:val="center"/>
              <w:rPr>
                <w:szCs w:val="21"/>
              </w:rPr>
            </w:pPr>
            <w:r>
              <w:rPr>
                <w:rFonts w:hint="eastAsia"/>
                <w:szCs w:val="21"/>
              </w:rPr>
              <w:t>4.1 铬天青S分光光度法</w:t>
            </w:r>
          </w:p>
        </w:tc>
        <w:tc>
          <w:tcPr>
            <w:tcW w:w="1930" w:type="pct"/>
            <w:tcBorders>
              <w:tl2br w:val="nil"/>
              <w:tr2bl w:val="nil"/>
            </w:tcBorders>
            <w:vAlign w:val="center"/>
          </w:tcPr>
          <w:p w14:paraId="1D6E3609">
            <w:pPr>
              <w:jc w:val="left"/>
              <w:rPr>
                <w:szCs w:val="21"/>
              </w:rPr>
            </w:pPr>
            <w:r>
              <w:rPr>
                <w:szCs w:val="21"/>
              </w:rPr>
              <w:t>可见分光光度计/722N型/HBJC-YQ-0</w:t>
            </w:r>
            <w:r>
              <w:rPr>
                <w:rFonts w:hint="eastAsia"/>
                <w:szCs w:val="21"/>
              </w:rPr>
              <w:t>18</w:t>
            </w:r>
          </w:p>
        </w:tc>
        <w:tc>
          <w:tcPr>
            <w:tcW w:w="608" w:type="pct"/>
            <w:tcBorders>
              <w:tl2br w:val="nil"/>
              <w:tr2bl w:val="nil"/>
            </w:tcBorders>
            <w:vAlign w:val="center"/>
          </w:tcPr>
          <w:p w14:paraId="281BC054">
            <w:pPr>
              <w:widowControl/>
              <w:jc w:val="center"/>
              <w:rPr>
                <w:szCs w:val="21"/>
              </w:rPr>
            </w:pPr>
            <w:r>
              <w:rPr>
                <w:rFonts w:hint="eastAsia"/>
                <w:szCs w:val="21"/>
              </w:rPr>
              <w:t>0.008</w:t>
            </w:r>
            <w:r>
              <w:rPr>
                <w:szCs w:val="21"/>
              </w:rPr>
              <w:t>mg/L</w:t>
            </w:r>
          </w:p>
        </w:tc>
      </w:tr>
      <w:tr w14:paraId="1608A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82" w:hRule="atLeast"/>
          <w:jc w:val="center"/>
        </w:trPr>
        <w:tc>
          <w:tcPr>
            <w:tcW w:w="647" w:type="pct"/>
            <w:tcBorders>
              <w:tl2br w:val="nil"/>
              <w:tr2bl w:val="nil"/>
            </w:tcBorders>
            <w:vAlign w:val="center"/>
          </w:tcPr>
          <w:p w14:paraId="6F54C059">
            <w:pPr>
              <w:jc w:val="center"/>
              <w:rPr>
                <w:szCs w:val="21"/>
              </w:rPr>
            </w:pPr>
            <w:r>
              <w:rPr>
                <w:szCs w:val="21"/>
              </w:rPr>
              <w:t>挥发酚</w:t>
            </w:r>
          </w:p>
          <w:p w14:paraId="216403BB">
            <w:pPr>
              <w:jc w:val="center"/>
              <w:rPr>
                <w:szCs w:val="21"/>
              </w:rPr>
            </w:pPr>
            <w:r>
              <w:rPr>
                <w:szCs w:val="21"/>
              </w:rPr>
              <w:t>（以苯酚计）</w:t>
            </w:r>
          </w:p>
        </w:tc>
        <w:tc>
          <w:tcPr>
            <w:tcW w:w="1815" w:type="pct"/>
            <w:tcBorders>
              <w:tl2br w:val="nil"/>
              <w:tr2bl w:val="nil"/>
            </w:tcBorders>
            <w:vAlign w:val="center"/>
          </w:tcPr>
          <w:p w14:paraId="14EFD7E8">
            <w:pPr>
              <w:widowControl/>
              <w:jc w:val="left"/>
              <w:textAlignment w:val="center"/>
              <w:rPr>
                <w:szCs w:val="21"/>
              </w:rPr>
            </w:pPr>
            <w:r>
              <w:rPr>
                <w:szCs w:val="21"/>
              </w:rPr>
              <w:t>《水质 挥发酚的测定 4-氨基安替比林分光光度法》HJ 503-2009</w:t>
            </w:r>
          </w:p>
        </w:tc>
        <w:tc>
          <w:tcPr>
            <w:tcW w:w="1930" w:type="pct"/>
            <w:tcBorders>
              <w:tl2br w:val="nil"/>
              <w:tr2bl w:val="nil"/>
            </w:tcBorders>
            <w:vAlign w:val="center"/>
          </w:tcPr>
          <w:p w14:paraId="503A90E2">
            <w:pPr>
              <w:jc w:val="left"/>
              <w:rPr>
                <w:szCs w:val="21"/>
              </w:rPr>
            </w:pPr>
            <w:r>
              <w:rPr>
                <w:rFonts w:hint="eastAsia"/>
                <w:szCs w:val="21"/>
              </w:rPr>
              <w:t>紫外</w:t>
            </w:r>
            <w:r>
              <w:rPr>
                <w:szCs w:val="21"/>
              </w:rPr>
              <w:t>可见分光光度计/7</w:t>
            </w:r>
            <w:r>
              <w:rPr>
                <w:rFonts w:hint="eastAsia"/>
                <w:szCs w:val="21"/>
              </w:rPr>
              <w:t>52</w:t>
            </w:r>
            <w:r>
              <w:rPr>
                <w:szCs w:val="21"/>
              </w:rPr>
              <w:t>型/HBJC-YQ-</w:t>
            </w:r>
            <w:r>
              <w:rPr>
                <w:rFonts w:hint="eastAsia"/>
                <w:szCs w:val="21"/>
              </w:rPr>
              <w:t>210</w:t>
            </w:r>
          </w:p>
        </w:tc>
        <w:tc>
          <w:tcPr>
            <w:tcW w:w="608" w:type="pct"/>
            <w:tcBorders>
              <w:tl2br w:val="nil"/>
              <w:tr2bl w:val="nil"/>
            </w:tcBorders>
            <w:vAlign w:val="center"/>
          </w:tcPr>
          <w:p w14:paraId="71D51161">
            <w:pPr>
              <w:jc w:val="center"/>
              <w:rPr>
                <w:szCs w:val="21"/>
              </w:rPr>
            </w:pPr>
            <w:r>
              <w:rPr>
                <w:szCs w:val="21"/>
              </w:rPr>
              <w:t>0.0003mg/L</w:t>
            </w:r>
          </w:p>
        </w:tc>
      </w:tr>
      <w:tr w14:paraId="20831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764" w:hRule="atLeast"/>
          <w:jc w:val="center"/>
        </w:trPr>
        <w:tc>
          <w:tcPr>
            <w:tcW w:w="647" w:type="pct"/>
            <w:tcBorders>
              <w:tl2br w:val="nil"/>
              <w:tr2bl w:val="nil"/>
            </w:tcBorders>
            <w:vAlign w:val="center"/>
          </w:tcPr>
          <w:p w14:paraId="656BD451">
            <w:pPr>
              <w:jc w:val="center"/>
              <w:rPr>
                <w:szCs w:val="21"/>
              </w:rPr>
            </w:pPr>
            <w:r>
              <w:rPr>
                <w:rFonts w:hint="eastAsia"/>
                <w:szCs w:val="21"/>
              </w:rPr>
              <w:t>阴离子表面活性剂</w:t>
            </w:r>
          </w:p>
        </w:tc>
        <w:tc>
          <w:tcPr>
            <w:tcW w:w="1815" w:type="pct"/>
            <w:tcBorders>
              <w:tl2br w:val="nil"/>
              <w:tr2bl w:val="nil"/>
            </w:tcBorders>
            <w:vAlign w:val="center"/>
          </w:tcPr>
          <w:p w14:paraId="74BD24DA">
            <w:pPr>
              <w:widowControl/>
              <w:jc w:val="left"/>
              <w:textAlignment w:val="center"/>
              <w:rPr>
                <w:szCs w:val="21"/>
              </w:rPr>
            </w:pPr>
            <w:r>
              <w:rPr>
                <w:rFonts w:hint="eastAsia"/>
                <w:szCs w:val="21"/>
              </w:rPr>
              <w:t>《水质 阴离子表面活性剂的测定 亚甲蓝分光光度法》</w:t>
            </w:r>
            <w:r>
              <w:rPr>
                <w:szCs w:val="21"/>
              </w:rPr>
              <w:t>GB</w:t>
            </w:r>
            <w:r>
              <w:rPr>
                <w:rFonts w:hint="eastAsia"/>
                <w:szCs w:val="21"/>
              </w:rPr>
              <w:t xml:space="preserve">/T </w:t>
            </w:r>
            <w:r>
              <w:rPr>
                <w:szCs w:val="21"/>
              </w:rPr>
              <w:t>7494-</w:t>
            </w:r>
            <w:r>
              <w:rPr>
                <w:rFonts w:hint="eastAsia"/>
                <w:szCs w:val="21"/>
              </w:rPr>
              <w:t>19</w:t>
            </w:r>
            <w:r>
              <w:rPr>
                <w:szCs w:val="21"/>
              </w:rPr>
              <w:t>87</w:t>
            </w:r>
          </w:p>
        </w:tc>
        <w:tc>
          <w:tcPr>
            <w:tcW w:w="1930" w:type="pct"/>
            <w:tcBorders>
              <w:tl2br w:val="nil"/>
              <w:tr2bl w:val="nil"/>
            </w:tcBorders>
            <w:vAlign w:val="center"/>
          </w:tcPr>
          <w:p w14:paraId="173BC1F3">
            <w:pPr>
              <w:jc w:val="left"/>
              <w:rPr>
                <w:szCs w:val="21"/>
              </w:rPr>
            </w:pPr>
            <w:r>
              <w:rPr>
                <w:rFonts w:hint="eastAsia"/>
                <w:szCs w:val="21"/>
              </w:rPr>
              <w:t>紫外</w:t>
            </w:r>
            <w:r>
              <w:rPr>
                <w:szCs w:val="21"/>
              </w:rPr>
              <w:t>可见分光光度计/7</w:t>
            </w:r>
            <w:r>
              <w:rPr>
                <w:rFonts w:hint="eastAsia"/>
                <w:szCs w:val="21"/>
              </w:rPr>
              <w:t>52</w:t>
            </w:r>
            <w:r>
              <w:rPr>
                <w:szCs w:val="21"/>
              </w:rPr>
              <w:t>型/HBJC-YQ-</w:t>
            </w:r>
            <w:r>
              <w:rPr>
                <w:rFonts w:hint="eastAsia"/>
                <w:szCs w:val="21"/>
              </w:rPr>
              <w:t>210</w:t>
            </w:r>
          </w:p>
        </w:tc>
        <w:tc>
          <w:tcPr>
            <w:tcW w:w="608" w:type="pct"/>
            <w:tcBorders>
              <w:tl2br w:val="nil"/>
              <w:tr2bl w:val="nil"/>
            </w:tcBorders>
            <w:vAlign w:val="center"/>
          </w:tcPr>
          <w:p w14:paraId="6A8C3967">
            <w:pPr>
              <w:widowControl/>
              <w:jc w:val="center"/>
              <w:rPr>
                <w:szCs w:val="21"/>
              </w:rPr>
            </w:pPr>
            <w:r>
              <w:rPr>
                <w:szCs w:val="21"/>
              </w:rPr>
              <w:t>0.05mg/L</w:t>
            </w:r>
          </w:p>
        </w:tc>
      </w:tr>
      <w:tr w14:paraId="575F6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994" w:hRule="atLeast"/>
          <w:jc w:val="center"/>
        </w:trPr>
        <w:tc>
          <w:tcPr>
            <w:tcW w:w="647" w:type="pct"/>
            <w:tcBorders>
              <w:tl2br w:val="nil"/>
              <w:tr2bl w:val="nil"/>
            </w:tcBorders>
            <w:vAlign w:val="center"/>
          </w:tcPr>
          <w:p w14:paraId="5F5AB960">
            <w:pPr>
              <w:jc w:val="center"/>
              <w:rPr>
                <w:szCs w:val="21"/>
              </w:rPr>
            </w:pPr>
            <w:r>
              <w:rPr>
                <w:color w:val="000000"/>
                <w:kern w:val="0"/>
                <w:szCs w:val="21"/>
                <w:lang w:bidi="ar"/>
              </w:rPr>
              <w:t>高锰酸盐指数</w:t>
            </w:r>
          </w:p>
        </w:tc>
        <w:tc>
          <w:tcPr>
            <w:tcW w:w="1815" w:type="pct"/>
            <w:tcBorders>
              <w:tl2br w:val="nil"/>
              <w:tr2bl w:val="nil"/>
            </w:tcBorders>
            <w:vAlign w:val="center"/>
          </w:tcPr>
          <w:p w14:paraId="368685B9">
            <w:pPr>
              <w:widowControl/>
              <w:jc w:val="left"/>
              <w:textAlignment w:val="center"/>
              <w:rPr>
                <w:szCs w:val="21"/>
              </w:rPr>
            </w:pPr>
            <w:r>
              <w:rPr>
                <w:rFonts w:hint="eastAsia"/>
                <w:szCs w:val="21"/>
              </w:rPr>
              <w:t>《生活饮用水标准检验方法第7部 分：有机物综合指标》GB/T 5750.7-2023</w:t>
            </w:r>
          </w:p>
          <w:p w14:paraId="61C4C89F">
            <w:pPr>
              <w:widowControl/>
              <w:jc w:val="left"/>
              <w:textAlignment w:val="center"/>
              <w:rPr>
                <w:szCs w:val="21"/>
              </w:rPr>
            </w:pPr>
            <w:r>
              <w:rPr>
                <w:rFonts w:hint="eastAsia"/>
                <w:szCs w:val="21"/>
              </w:rPr>
              <w:t>4.1 酸性高锰酸钾滴定法</w:t>
            </w:r>
          </w:p>
        </w:tc>
        <w:tc>
          <w:tcPr>
            <w:tcW w:w="1930" w:type="pct"/>
            <w:tcBorders>
              <w:tl2br w:val="nil"/>
              <w:tr2bl w:val="nil"/>
            </w:tcBorders>
            <w:vAlign w:val="center"/>
          </w:tcPr>
          <w:p w14:paraId="5551615D">
            <w:pPr>
              <w:pStyle w:val="364"/>
              <w:jc w:val="left"/>
              <w:rPr>
                <w:rFonts w:ascii="Times New Roman" w:hAnsi="Times New Roman" w:cs="Times New Roman"/>
                <w:sz w:val="21"/>
                <w:szCs w:val="21"/>
              </w:rPr>
            </w:pPr>
            <w:r>
              <w:rPr>
                <w:rFonts w:hint="eastAsia" w:ascii="Times New Roman" w:hAnsi="Times New Roman" w:cs="Times New Roman"/>
                <w:sz w:val="21"/>
                <w:szCs w:val="21"/>
              </w:rPr>
              <w:t>酸式滴定管25.00mL</w:t>
            </w:r>
          </w:p>
          <w:p w14:paraId="2E111250">
            <w:pPr>
              <w:pStyle w:val="364"/>
              <w:jc w:val="left"/>
              <w:rPr>
                <w:rFonts w:ascii="Times New Roman" w:hAnsi="Times New Roman" w:cs="Times New Roman"/>
                <w:sz w:val="21"/>
                <w:szCs w:val="21"/>
              </w:rPr>
            </w:pPr>
            <w:r>
              <w:rPr>
                <w:rFonts w:hint="eastAsia" w:ascii="Times New Roman" w:hAnsi="Times New Roman" w:cs="Times New Roman"/>
                <w:sz w:val="21"/>
                <w:szCs w:val="21"/>
              </w:rPr>
              <w:t>恒温水浴锅/ZX-S24型/HBJC-YQ-010</w:t>
            </w:r>
          </w:p>
        </w:tc>
        <w:tc>
          <w:tcPr>
            <w:tcW w:w="608" w:type="pct"/>
            <w:tcBorders>
              <w:tl2br w:val="nil"/>
              <w:tr2bl w:val="nil"/>
            </w:tcBorders>
            <w:vAlign w:val="center"/>
          </w:tcPr>
          <w:p w14:paraId="5FF8659F">
            <w:pPr>
              <w:widowControl/>
              <w:jc w:val="center"/>
              <w:rPr>
                <w:szCs w:val="21"/>
              </w:rPr>
            </w:pPr>
            <w:r>
              <w:rPr>
                <w:rFonts w:hint="eastAsia"/>
                <w:szCs w:val="21"/>
              </w:rPr>
              <w:t>0.05</w:t>
            </w:r>
            <w:r>
              <w:rPr>
                <w:szCs w:val="21"/>
              </w:rPr>
              <w:t>mg/L</w:t>
            </w:r>
          </w:p>
        </w:tc>
      </w:tr>
      <w:tr w14:paraId="0903F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96" w:hRule="atLeast"/>
          <w:jc w:val="center"/>
        </w:trPr>
        <w:tc>
          <w:tcPr>
            <w:tcW w:w="647" w:type="pct"/>
            <w:tcBorders>
              <w:tl2br w:val="nil"/>
              <w:tr2bl w:val="nil"/>
            </w:tcBorders>
            <w:vAlign w:val="center"/>
          </w:tcPr>
          <w:p w14:paraId="02103C5C">
            <w:pPr>
              <w:jc w:val="center"/>
              <w:rPr>
                <w:szCs w:val="21"/>
              </w:rPr>
            </w:pPr>
            <w:r>
              <w:rPr>
                <w:szCs w:val="21"/>
              </w:rPr>
              <w:t>氨氮</w:t>
            </w:r>
          </w:p>
          <w:p w14:paraId="43E854E3">
            <w:pPr>
              <w:jc w:val="center"/>
              <w:rPr>
                <w:szCs w:val="21"/>
              </w:rPr>
            </w:pPr>
            <w:r>
              <w:rPr>
                <w:szCs w:val="21"/>
              </w:rPr>
              <w:t>（以N计）</w:t>
            </w:r>
          </w:p>
        </w:tc>
        <w:tc>
          <w:tcPr>
            <w:tcW w:w="1815" w:type="pct"/>
            <w:tcBorders>
              <w:tl2br w:val="nil"/>
              <w:tr2bl w:val="nil"/>
            </w:tcBorders>
            <w:vAlign w:val="center"/>
          </w:tcPr>
          <w:p w14:paraId="430D5C89">
            <w:pPr>
              <w:widowControl/>
              <w:jc w:val="left"/>
              <w:textAlignment w:val="center"/>
              <w:rPr>
                <w:szCs w:val="21"/>
              </w:rPr>
            </w:pPr>
            <w:r>
              <w:rPr>
                <w:rFonts w:hint="eastAsia"/>
                <w:szCs w:val="21"/>
              </w:rPr>
              <w:t>《水质 氨氮的测定 水杨酸分光光度法》HJ 536-2009</w:t>
            </w:r>
          </w:p>
        </w:tc>
        <w:tc>
          <w:tcPr>
            <w:tcW w:w="1930" w:type="pct"/>
            <w:tcBorders>
              <w:tl2br w:val="nil"/>
              <w:tr2bl w:val="nil"/>
            </w:tcBorders>
            <w:vAlign w:val="center"/>
          </w:tcPr>
          <w:p w14:paraId="72A3DCF7">
            <w:pPr>
              <w:jc w:val="left"/>
              <w:rPr>
                <w:szCs w:val="21"/>
              </w:rPr>
            </w:pPr>
            <w:r>
              <w:rPr>
                <w:szCs w:val="21"/>
              </w:rPr>
              <w:t>紫外可见分光光度计/T6新世纪型</w:t>
            </w:r>
            <w:r>
              <w:rPr>
                <w:rFonts w:hint="eastAsia"/>
                <w:szCs w:val="21"/>
              </w:rPr>
              <w:t>/</w:t>
            </w:r>
            <w:r>
              <w:rPr>
                <w:szCs w:val="21"/>
              </w:rPr>
              <w:t>HBJC-YQ-019</w:t>
            </w:r>
          </w:p>
        </w:tc>
        <w:tc>
          <w:tcPr>
            <w:tcW w:w="608" w:type="pct"/>
            <w:tcBorders>
              <w:tl2br w:val="nil"/>
              <w:tr2bl w:val="nil"/>
            </w:tcBorders>
            <w:vAlign w:val="center"/>
          </w:tcPr>
          <w:p w14:paraId="1360F0D6">
            <w:pPr>
              <w:widowControl/>
              <w:jc w:val="center"/>
              <w:rPr>
                <w:szCs w:val="21"/>
              </w:rPr>
            </w:pPr>
            <w:r>
              <w:rPr>
                <w:rFonts w:hint="eastAsia"/>
                <w:szCs w:val="21"/>
              </w:rPr>
              <w:t>0.004</w:t>
            </w:r>
            <w:r>
              <w:rPr>
                <w:szCs w:val="21"/>
              </w:rPr>
              <w:t>mg/L</w:t>
            </w:r>
          </w:p>
        </w:tc>
      </w:tr>
      <w:tr w14:paraId="6A103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723" w:hRule="atLeast"/>
          <w:jc w:val="center"/>
        </w:trPr>
        <w:tc>
          <w:tcPr>
            <w:tcW w:w="647" w:type="pct"/>
            <w:tcBorders>
              <w:tl2br w:val="nil"/>
              <w:tr2bl w:val="nil"/>
            </w:tcBorders>
            <w:vAlign w:val="center"/>
          </w:tcPr>
          <w:p w14:paraId="77B53915">
            <w:pPr>
              <w:jc w:val="center"/>
              <w:rPr>
                <w:szCs w:val="21"/>
              </w:rPr>
            </w:pPr>
            <w:r>
              <w:rPr>
                <w:szCs w:val="21"/>
              </w:rPr>
              <w:t>硫化物</w:t>
            </w:r>
          </w:p>
        </w:tc>
        <w:tc>
          <w:tcPr>
            <w:tcW w:w="1815" w:type="pct"/>
            <w:tcBorders>
              <w:tl2br w:val="nil"/>
              <w:tr2bl w:val="nil"/>
            </w:tcBorders>
            <w:vAlign w:val="center"/>
          </w:tcPr>
          <w:p w14:paraId="7E5BCF97">
            <w:pPr>
              <w:jc w:val="left"/>
              <w:rPr>
                <w:szCs w:val="21"/>
              </w:rPr>
            </w:pPr>
            <w:r>
              <w:rPr>
                <w:szCs w:val="21"/>
              </w:rPr>
              <w:t>《水质 硫化物的测定 亚甲基蓝分光光度法》HJ 1226-2021</w:t>
            </w:r>
          </w:p>
        </w:tc>
        <w:tc>
          <w:tcPr>
            <w:tcW w:w="1930" w:type="pct"/>
            <w:tcBorders>
              <w:tl2br w:val="nil"/>
              <w:tr2bl w:val="nil"/>
            </w:tcBorders>
            <w:vAlign w:val="center"/>
          </w:tcPr>
          <w:p w14:paraId="2337C287">
            <w:pPr>
              <w:jc w:val="left"/>
              <w:rPr>
                <w:szCs w:val="21"/>
              </w:rPr>
            </w:pPr>
            <w:r>
              <w:rPr>
                <w:szCs w:val="21"/>
              </w:rPr>
              <w:t>可见分光光度计/722N型/HBJC-YQ-0</w:t>
            </w:r>
            <w:r>
              <w:rPr>
                <w:rFonts w:hint="eastAsia"/>
                <w:szCs w:val="21"/>
              </w:rPr>
              <w:t>18</w:t>
            </w:r>
          </w:p>
        </w:tc>
        <w:tc>
          <w:tcPr>
            <w:tcW w:w="608" w:type="pct"/>
            <w:tcBorders>
              <w:tl2br w:val="nil"/>
              <w:tr2bl w:val="nil"/>
            </w:tcBorders>
            <w:vAlign w:val="center"/>
          </w:tcPr>
          <w:p w14:paraId="2D2E7376">
            <w:pPr>
              <w:widowControl/>
              <w:jc w:val="center"/>
              <w:rPr>
                <w:szCs w:val="21"/>
              </w:rPr>
            </w:pPr>
            <w:r>
              <w:rPr>
                <w:szCs w:val="21"/>
              </w:rPr>
              <w:t>0.0</w:t>
            </w:r>
            <w:r>
              <w:rPr>
                <w:rFonts w:hint="eastAsia"/>
                <w:szCs w:val="21"/>
              </w:rPr>
              <w:t>03</w:t>
            </w:r>
            <w:r>
              <w:rPr>
                <w:szCs w:val="21"/>
              </w:rPr>
              <w:t>mg/L</w:t>
            </w:r>
          </w:p>
        </w:tc>
      </w:tr>
      <w:tr w14:paraId="4535E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96" w:hRule="atLeast"/>
          <w:jc w:val="center"/>
        </w:trPr>
        <w:tc>
          <w:tcPr>
            <w:tcW w:w="647" w:type="pct"/>
            <w:tcBorders>
              <w:tl2br w:val="nil"/>
              <w:tr2bl w:val="nil"/>
            </w:tcBorders>
            <w:vAlign w:val="center"/>
          </w:tcPr>
          <w:p w14:paraId="0AD23257">
            <w:pPr>
              <w:jc w:val="center"/>
              <w:rPr>
                <w:szCs w:val="21"/>
              </w:rPr>
            </w:pPr>
            <w:r>
              <w:rPr>
                <w:szCs w:val="21"/>
              </w:rPr>
              <w:t>钠</w:t>
            </w:r>
          </w:p>
        </w:tc>
        <w:tc>
          <w:tcPr>
            <w:tcW w:w="1815" w:type="pct"/>
            <w:tcBorders>
              <w:tl2br w:val="nil"/>
              <w:tr2bl w:val="nil"/>
            </w:tcBorders>
            <w:vAlign w:val="center"/>
          </w:tcPr>
          <w:p w14:paraId="3CE1EBCD">
            <w:pPr>
              <w:widowControl/>
              <w:jc w:val="left"/>
              <w:rPr>
                <w:szCs w:val="21"/>
              </w:rPr>
            </w:pPr>
            <w:r>
              <w:rPr>
                <w:szCs w:val="21"/>
              </w:rPr>
              <w:t>《水质 钾和钠的测定 火焰原子吸收分光光度法》GB</w:t>
            </w:r>
            <w:r>
              <w:rPr>
                <w:rFonts w:hint="eastAsia"/>
                <w:szCs w:val="21"/>
              </w:rPr>
              <w:t>/T</w:t>
            </w:r>
            <w:r>
              <w:rPr>
                <w:szCs w:val="21"/>
              </w:rPr>
              <w:t xml:space="preserve"> 11904-</w:t>
            </w:r>
            <w:r>
              <w:rPr>
                <w:rFonts w:hint="eastAsia"/>
                <w:szCs w:val="21"/>
              </w:rPr>
              <w:t>19</w:t>
            </w:r>
            <w:r>
              <w:rPr>
                <w:szCs w:val="21"/>
              </w:rPr>
              <w:t>89</w:t>
            </w:r>
          </w:p>
        </w:tc>
        <w:tc>
          <w:tcPr>
            <w:tcW w:w="1930" w:type="pct"/>
            <w:tcBorders>
              <w:tl2br w:val="nil"/>
              <w:tr2bl w:val="nil"/>
            </w:tcBorders>
            <w:vAlign w:val="center"/>
          </w:tcPr>
          <w:p w14:paraId="421FFA27">
            <w:pPr>
              <w:jc w:val="left"/>
              <w:rPr>
                <w:szCs w:val="21"/>
              </w:rPr>
            </w:pPr>
            <w:r>
              <w:rPr>
                <w:szCs w:val="21"/>
              </w:rPr>
              <w:t>原子吸收分光光度计/AA-7003/HBJC-YQ-027</w:t>
            </w:r>
          </w:p>
        </w:tc>
        <w:tc>
          <w:tcPr>
            <w:tcW w:w="608" w:type="pct"/>
            <w:tcBorders>
              <w:tl2br w:val="nil"/>
              <w:tr2bl w:val="nil"/>
            </w:tcBorders>
            <w:vAlign w:val="center"/>
          </w:tcPr>
          <w:p w14:paraId="5FCC8C79">
            <w:pPr>
              <w:jc w:val="center"/>
              <w:rPr>
                <w:szCs w:val="21"/>
              </w:rPr>
            </w:pPr>
            <w:r>
              <w:rPr>
                <w:szCs w:val="21"/>
              </w:rPr>
              <w:t>0.0</w:t>
            </w:r>
            <w:r>
              <w:rPr>
                <w:rFonts w:hint="eastAsia"/>
                <w:szCs w:val="21"/>
              </w:rPr>
              <w:t>1</w:t>
            </w:r>
            <w:r>
              <w:rPr>
                <w:szCs w:val="21"/>
              </w:rPr>
              <w:t>mg/L</w:t>
            </w:r>
          </w:p>
        </w:tc>
      </w:tr>
      <w:tr w14:paraId="33840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atLeast"/>
          <w:jc w:val="center"/>
        </w:trPr>
        <w:tc>
          <w:tcPr>
            <w:tcW w:w="647" w:type="pct"/>
            <w:tcBorders>
              <w:tl2br w:val="nil"/>
              <w:tr2bl w:val="nil"/>
            </w:tcBorders>
            <w:vAlign w:val="center"/>
          </w:tcPr>
          <w:p w14:paraId="3F706A17">
            <w:pPr>
              <w:jc w:val="center"/>
              <w:rPr>
                <w:szCs w:val="21"/>
              </w:rPr>
            </w:pPr>
            <w:r>
              <w:rPr>
                <w:szCs w:val="21"/>
              </w:rPr>
              <w:t>总大肠</w:t>
            </w:r>
            <w:r>
              <w:rPr>
                <w:rFonts w:hint="eastAsia"/>
                <w:szCs w:val="21"/>
              </w:rPr>
              <w:t>菌群</w:t>
            </w:r>
          </w:p>
        </w:tc>
        <w:tc>
          <w:tcPr>
            <w:tcW w:w="1815" w:type="pct"/>
            <w:tcBorders>
              <w:tl2br w:val="nil"/>
              <w:tr2bl w:val="nil"/>
            </w:tcBorders>
            <w:vAlign w:val="center"/>
          </w:tcPr>
          <w:p w14:paraId="56A2C68D">
            <w:pPr>
              <w:rPr>
                <w:szCs w:val="21"/>
              </w:rPr>
            </w:pPr>
            <w:r>
              <w:rPr>
                <w:rFonts w:hint="eastAsia"/>
                <w:szCs w:val="21"/>
              </w:rPr>
              <w:t>《生活饮用水标准检验方法 第12部分：微生物指标》GB/T 5750.12-2023</w:t>
            </w:r>
          </w:p>
          <w:p w14:paraId="3DA7F307">
            <w:pPr>
              <w:rPr>
                <w:szCs w:val="21"/>
              </w:rPr>
            </w:pPr>
            <w:r>
              <w:rPr>
                <w:rFonts w:hint="eastAsia"/>
                <w:szCs w:val="21"/>
              </w:rPr>
              <w:t>5.1多管发酵法</w:t>
            </w:r>
          </w:p>
        </w:tc>
        <w:tc>
          <w:tcPr>
            <w:tcW w:w="1930" w:type="pct"/>
            <w:tcBorders>
              <w:tl2br w:val="nil"/>
              <w:tr2bl w:val="nil"/>
            </w:tcBorders>
            <w:vAlign w:val="center"/>
          </w:tcPr>
          <w:p w14:paraId="6F232B48">
            <w:pPr>
              <w:jc w:val="left"/>
              <w:rPr>
                <w:szCs w:val="21"/>
              </w:rPr>
            </w:pPr>
            <w:r>
              <w:rPr>
                <w:szCs w:val="21"/>
              </w:rPr>
              <w:t>生化培养箱/BPX-150B/HBJC-YQ-045</w:t>
            </w:r>
          </w:p>
          <w:p w14:paraId="33405DE5">
            <w:pPr>
              <w:jc w:val="left"/>
              <w:rPr>
                <w:szCs w:val="21"/>
              </w:rPr>
            </w:pPr>
            <w:r>
              <w:rPr>
                <w:szCs w:val="21"/>
              </w:rPr>
              <w:t>立式压力蒸汽灭菌器</w:t>
            </w:r>
          </w:p>
          <w:p w14:paraId="475EF408">
            <w:pPr>
              <w:jc w:val="left"/>
              <w:rPr>
                <w:szCs w:val="21"/>
              </w:rPr>
            </w:pPr>
            <w:r>
              <w:rPr>
                <w:szCs w:val="21"/>
              </w:rPr>
              <w:t>/BXM-30R型/HBJC-YQ-009</w:t>
            </w:r>
          </w:p>
        </w:tc>
        <w:tc>
          <w:tcPr>
            <w:tcW w:w="608" w:type="pct"/>
            <w:tcBorders>
              <w:tl2br w:val="nil"/>
              <w:tr2bl w:val="nil"/>
            </w:tcBorders>
            <w:vAlign w:val="center"/>
          </w:tcPr>
          <w:p w14:paraId="20C4A895">
            <w:pPr>
              <w:jc w:val="center"/>
              <w:rPr>
                <w:szCs w:val="21"/>
              </w:rPr>
            </w:pPr>
            <w:r>
              <w:rPr>
                <w:rFonts w:hint="eastAsia"/>
                <w:szCs w:val="21"/>
              </w:rPr>
              <w:t>/</w:t>
            </w:r>
          </w:p>
        </w:tc>
      </w:tr>
      <w:tr w14:paraId="17A5A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127" w:hRule="atLeast"/>
          <w:jc w:val="center"/>
        </w:trPr>
        <w:tc>
          <w:tcPr>
            <w:tcW w:w="647" w:type="pct"/>
            <w:tcBorders>
              <w:tl2br w:val="nil"/>
              <w:tr2bl w:val="nil"/>
            </w:tcBorders>
            <w:vAlign w:val="center"/>
          </w:tcPr>
          <w:p w14:paraId="6C463FC1">
            <w:pPr>
              <w:jc w:val="center"/>
              <w:rPr>
                <w:szCs w:val="21"/>
              </w:rPr>
            </w:pPr>
            <w:r>
              <w:rPr>
                <w:rFonts w:hint="eastAsia"/>
                <w:szCs w:val="21"/>
              </w:rPr>
              <w:t>菌落</w:t>
            </w:r>
            <w:r>
              <w:rPr>
                <w:szCs w:val="21"/>
              </w:rPr>
              <w:t>总数</w:t>
            </w:r>
          </w:p>
        </w:tc>
        <w:tc>
          <w:tcPr>
            <w:tcW w:w="1815" w:type="pct"/>
            <w:tcBorders>
              <w:tl2br w:val="nil"/>
              <w:tr2bl w:val="nil"/>
            </w:tcBorders>
            <w:vAlign w:val="center"/>
          </w:tcPr>
          <w:p w14:paraId="5E08C13A">
            <w:pPr>
              <w:jc w:val="left"/>
              <w:rPr>
                <w:szCs w:val="21"/>
              </w:rPr>
            </w:pPr>
            <w:r>
              <w:rPr>
                <w:szCs w:val="21"/>
              </w:rPr>
              <w:t>《生活饮用水标准检验方法 第12部分：微生物指标》GB/T 5750.12-2023</w:t>
            </w:r>
          </w:p>
          <w:p w14:paraId="10E9C07D">
            <w:pPr>
              <w:jc w:val="left"/>
              <w:rPr>
                <w:szCs w:val="21"/>
              </w:rPr>
            </w:pPr>
            <w:r>
              <w:rPr>
                <w:szCs w:val="21"/>
              </w:rPr>
              <w:t>4.1</w:t>
            </w:r>
            <w:r>
              <w:rPr>
                <w:rFonts w:hint="eastAsia"/>
                <w:szCs w:val="21"/>
              </w:rPr>
              <w:t>平皿计数法</w:t>
            </w:r>
          </w:p>
        </w:tc>
        <w:tc>
          <w:tcPr>
            <w:tcW w:w="1930" w:type="pct"/>
            <w:tcBorders>
              <w:tl2br w:val="nil"/>
              <w:tr2bl w:val="nil"/>
            </w:tcBorders>
            <w:vAlign w:val="center"/>
          </w:tcPr>
          <w:p w14:paraId="728A3CE5">
            <w:pPr>
              <w:jc w:val="left"/>
              <w:rPr>
                <w:szCs w:val="21"/>
              </w:rPr>
            </w:pPr>
            <w:r>
              <w:rPr>
                <w:szCs w:val="21"/>
              </w:rPr>
              <w:t>生化培养箱/BPX-150B/HBJC-YQ-045</w:t>
            </w:r>
          </w:p>
          <w:p w14:paraId="3C4F13F4">
            <w:pPr>
              <w:jc w:val="left"/>
              <w:rPr>
                <w:szCs w:val="21"/>
              </w:rPr>
            </w:pPr>
            <w:r>
              <w:rPr>
                <w:szCs w:val="21"/>
              </w:rPr>
              <w:t>立式压力蒸汽灭菌器</w:t>
            </w:r>
          </w:p>
          <w:p w14:paraId="40BD4DBC">
            <w:pPr>
              <w:jc w:val="left"/>
              <w:rPr>
                <w:szCs w:val="21"/>
              </w:rPr>
            </w:pPr>
            <w:r>
              <w:rPr>
                <w:szCs w:val="21"/>
              </w:rPr>
              <w:t>/BXM-30R型/HBJC-YQ-009</w:t>
            </w:r>
          </w:p>
        </w:tc>
        <w:tc>
          <w:tcPr>
            <w:tcW w:w="608" w:type="pct"/>
            <w:tcBorders>
              <w:tl2br w:val="nil"/>
              <w:tr2bl w:val="nil"/>
            </w:tcBorders>
            <w:vAlign w:val="center"/>
          </w:tcPr>
          <w:p w14:paraId="395BF3D3">
            <w:pPr>
              <w:jc w:val="center"/>
              <w:rPr>
                <w:szCs w:val="21"/>
              </w:rPr>
            </w:pPr>
            <w:r>
              <w:rPr>
                <w:szCs w:val="21"/>
              </w:rPr>
              <w:t>/</w:t>
            </w:r>
          </w:p>
        </w:tc>
      </w:tr>
      <w:tr w14:paraId="318B3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atLeast"/>
          <w:jc w:val="center"/>
        </w:trPr>
        <w:tc>
          <w:tcPr>
            <w:tcW w:w="647" w:type="pct"/>
            <w:tcBorders>
              <w:tl2br w:val="nil"/>
              <w:tr2bl w:val="nil"/>
            </w:tcBorders>
            <w:vAlign w:val="center"/>
          </w:tcPr>
          <w:p w14:paraId="490140DD">
            <w:pPr>
              <w:jc w:val="center"/>
              <w:rPr>
                <w:szCs w:val="21"/>
              </w:rPr>
            </w:pPr>
            <w:r>
              <w:rPr>
                <w:szCs w:val="21"/>
              </w:rPr>
              <w:t>亚硝酸盐</w:t>
            </w:r>
          </w:p>
          <w:p w14:paraId="502240AA">
            <w:pPr>
              <w:jc w:val="center"/>
              <w:rPr>
                <w:szCs w:val="21"/>
              </w:rPr>
            </w:pPr>
            <w:r>
              <w:rPr>
                <w:szCs w:val="21"/>
              </w:rPr>
              <w:t>（以N计）</w:t>
            </w:r>
          </w:p>
        </w:tc>
        <w:tc>
          <w:tcPr>
            <w:tcW w:w="1815" w:type="pct"/>
            <w:tcBorders>
              <w:tl2br w:val="nil"/>
              <w:tr2bl w:val="nil"/>
            </w:tcBorders>
            <w:vAlign w:val="center"/>
          </w:tcPr>
          <w:p w14:paraId="4D17A68E">
            <w:pPr>
              <w:widowControl/>
              <w:jc w:val="left"/>
              <w:rPr>
                <w:szCs w:val="21"/>
              </w:rPr>
            </w:pPr>
            <w:r>
              <w:rPr>
                <w:rFonts w:hint="eastAsia"/>
                <w:szCs w:val="21"/>
              </w:rPr>
              <w:t>《生活饮用水标准检验方法 第5部分：无机非金属指标》GB/T 5750.5-2023</w:t>
            </w:r>
          </w:p>
          <w:p w14:paraId="1F5D6589">
            <w:pPr>
              <w:widowControl/>
              <w:jc w:val="left"/>
              <w:rPr>
                <w:szCs w:val="21"/>
              </w:rPr>
            </w:pPr>
            <w:r>
              <w:rPr>
                <w:rFonts w:hint="eastAsia"/>
                <w:szCs w:val="21"/>
              </w:rPr>
              <w:t>12.1 重氮偶合分光光度法</w:t>
            </w:r>
          </w:p>
        </w:tc>
        <w:tc>
          <w:tcPr>
            <w:tcW w:w="1930" w:type="pct"/>
            <w:tcBorders>
              <w:tl2br w:val="nil"/>
              <w:tr2bl w:val="nil"/>
            </w:tcBorders>
            <w:vAlign w:val="center"/>
          </w:tcPr>
          <w:p w14:paraId="5D0D0B57">
            <w:pPr>
              <w:jc w:val="left"/>
              <w:rPr>
                <w:szCs w:val="21"/>
              </w:rPr>
            </w:pPr>
            <w:r>
              <w:rPr>
                <w:szCs w:val="21"/>
              </w:rPr>
              <w:t>紫外可见分光光度计/T6新世纪型</w:t>
            </w:r>
            <w:r>
              <w:rPr>
                <w:rFonts w:hint="eastAsia"/>
                <w:szCs w:val="21"/>
              </w:rPr>
              <w:t>/</w:t>
            </w:r>
            <w:r>
              <w:rPr>
                <w:szCs w:val="21"/>
              </w:rPr>
              <w:t>HBJC-YQ-019</w:t>
            </w:r>
          </w:p>
        </w:tc>
        <w:tc>
          <w:tcPr>
            <w:tcW w:w="608" w:type="pct"/>
            <w:tcBorders>
              <w:tl2br w:val="nil"/>
              <w:tr2bl w:val="nil"/>
            </w:tcBorders>
            <w:vAlign w:val="center"/>
          </w:tcPr>
          <w:p w14:paraId="5878E8E3">
            <w:pPr>
              <w:widowControl/>
              <w:jc w:val="center"/>
              <w:rPr>
                <w:szCs w:val="21"/>
              </w:rPr>
            </w:pPr>
            <w:r>
              <w:rPr>
                <w:rFonts w:hint="eastAsia"/>
                <w:szCs w:val="21"/>
              </w:rPr>
              <w:t>0.001</w:t>
            </w:r>
            <w:r>
              <w:rPr>
                <w:szCs w:val="21"/>
              </w:rPr>
              <w:t>mg/L</w:t>
            </w:r>
          </w:p>
        </w:tc>
      </w:tr>
      <w:tr w14:paraId="47F89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atLeast"/>
          <w:jc w:val="center"/>
        </w:trPr>
        <w:tc>
          <w:tcPr>
            <w:tcW w:w="647" w:type="pct"/>
            <w:tcBorders>
              <w:tl2br w:val="nil"/>
              <w:tr2bl w:val="nil"/>
            </w:tcBorders>
            <w:vAlign w:val="center"/>
          </w:tcPr>
          <w:p w14:paraId="44A214FB">
            <w:pPr>
              <w:jc w:val="center"/>
              <w:rPr>
                <w:szCs w:val="21"/>
              </w:rPr>
            </w:pPr>
            <w:r>
              <w:rPr>
                <w:szCs w:val="21"/>
              </w:rPr>
              <w:t>硝酸盐</w:t>
            </w:r>
          </w:p>
          <w:p w14:paraId="190BA944">
            <w:pPr>
              <w:jc w:val="center"/>
              <w:rPr>
                <w:szCs w:val="21"/>
              </w:rPr>
            </w:pPr>
            <w:r>
              <w:rPr>
                <w:szCs w:val="21"/>
              </w:rPr>
              <w:t>（以N计）</w:t>
            </w:r>
          </w:p>
        </w:tc>
        <w:tc>
          <w:tcPr>
            <w:tcW w:w="1815" w:type="pct"/>
            <w:tcBorders>
              <w:tl2br w:val="nil"/>
              <w:tr2bl w:val="nil"/>
            </w:tcBorders>
            <w:vAlign w:val="center"/>
          </w:tcPr>
          <w:p w14:paraId="6F696580">
            <w:pPr>
              <w:jc w:val="left"/>
              <w:rPr>
                <w:szCs w:val="21"/>
              </w:rPr>
            </w:pPr>
            <w:r>
              <w:rPr>
                <w:rFonts w:hint="eastAsia"/>
                <w:szCs w:val="21"/>
              </w:rPr>
              <w:t>《生活饮用水标准检验方法 第5部分：无机非金属指标》GB/T 5750.5-2023</w:t>
            </w:r>
          </w:p>
          <w:p w14:paraId="3967CA80">
            <w:pPr>
              <w:jc w:val="left"/>
              <w:rPr>
                <w:szCs w:val="21"/>
              </w:rPr>
            </w:pPr>
            <w:r>
              <w:rPr>
                <w:rFonts w:hint="eastAsia"/>
                <w:szCs w:val="21"/>
              </w:rPr>
              <w:t>8.2 紫外分光光度法</w:t>
            </w:r>
          </w:p>
        </w:tc>
        <w:tc>
          <w:tcPr>
            <w:tcW w:w="1930" w:type="pct"/>
            <w:tcBorders>
              <w:tl2br w:val="nil"/>
              <w:tr2bl w:val="nil"/>
            </w:tcBorders>
            <w:vAlign w:val="center"/>
          </w:tcPr>
          <w:p w14:paraId="5DD052A9">
            <w:pPr>
              <w:jc w:val="left"/>
              <w:rPr>
                <w:szCs w:val="21"/>
              </w:rPr>
            </w:pPr>
            <w:r>
              <w:rPr>
                <w:szCs w:val="21"/>
              </w:rPr>
              <w:t>紫外可见分光光度计/T6新世纪型</w:t>
            </w:r>
            <w:r>
              <w:rPr>
                <w:rFonts w:hint="eastAsia"/>
                <w:szCs w:val="21"/>
              </w:rPr>
              <w:t>/</w:t>
            </w:r>
            <w:r>
              <w:rPr>
                <w:szCs w:val="21"/>
              </w:rPr>
              <w:t>HBJC-YQ-019</w:t>
            </w:r>
          </w:p>
        </w:tc>
        <w:tc>
          <w:tcPr>
            <w:tcW w:w="608" w:type="pct"/>
            <w:tcBorders>
              <w:tl2br w:val="nil"/>
              <w:tr2bl w:val="nil"/>
            </w:tcBorders>
            <w:vAlign w:val="center"/>
          </w:tcPr>
          <w:p w14:paraId="1C000626">
            <w:pPr>
              <w:widowControl/>
              <w:jc w:val="center"/>
              <w:rPr>
                <w:szCs w:val="21"/>
              </w:rPr>
            </w:pPr>
            <w:r>
              <w:rPr>
                <w:rFonts w:hint="eastAsia"/>
                <w:szCs w:val="21"/>
              </w:rPr>
              <w:t>0.2</w:t>
            </w:r>
            <w:r>
              <w:rPr>
                <w:szCs w:val="21"/>
              </w:rPr>
              <w:t>mg/</w:t>
            </w:r>
            <w:r>
              <w:rPr>
                <w:rFonts w:hint="eastAsia"/>
                <w:szCs w:val="21"/>
              </w:rPr>
              <w:t>L</w:t>
            </w:r>
          </w:p>
        </w:tc>
      </w:tr>
      <w:tr w14:paraId="39DCD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068" w:hRule="atLeast"/>
          <w:jc w:val="center"/>
        </w:trPr>
        <w:tc>
          <w:tcPr>
            <w:tcW w:w="647" w:type="pct"/>
            <w:tcBorders>
              <w:tl2br w:val="nil"/>
              <w:tr2bl w:val="nil"/>
            </w:tcBorders>
            <w:vAlign w:val="center"/>
          </w:tcPr>
          <w:p w14:paraId="25D5473A">
            <w:pPr>
              <w:jc w:val="center"/>
              <w:rPr>
                <w:szCs w:val="21"/>
              </w:rPr>
            </w:pPr>
            <w:r>
              <w:rPr>
                <w:szCs w:val="21"/>
              </w:rPr>
              <w:t>氰化物</w:t>
            </w:r>
          </w:p>
        </w:tc>
        <w:tc>
          <w:tcPr>
            <w:tcW w:w="1815" w:type="pct"/>
            <w:tcBorders>
              <w:tl2br w:val="nil"/>
              <w:tr2bl w:val="nil"/>
            </w:tcBorders>
            <w:vAlign w:val="center"/>
          </w:tcPr>
          <w:p w14:paraId="021A4820">
            <w:pPr>
              <w:jc w:val="left"/>
              <w:rPr>
                <w:szCs w:val="21"/>
              </w:rPr>
            </w:pPr>
            <w:r>
              <w:rPr>
                <w:rFonts w:hint="eastAsia"/>
                <w:szCs w:val="21"/>
              </w:rPr>
              <w:t>《生活饮用水标准检验方法 第5部分：无机非金属指标》GB/T 5750.5-2023</w:t>
            </w:r>
          </w:p>
          <w:p w14:paraId="454DB51D">
            <w:pPr>
              <w:jc w:val="left"/>
              <w:rPr>
                <w:szCs w:val="21"/>
              </w:rPr>
            </w:pPr>
            <w:r>
              <w:rPr>
                <w:rFonts w:hint="eastAsia"/>
                <w:szCs w:val="21"/>
              </w:rPr>
              <w:t>7.2 异烟酸-巴比妥酸分光光度法</w:t>
            </w:r>
          </w:p>
        </w:tc>
        <w:tc>
          <w:tcPr>
            <w:tcW w:w="1930" w:type="pct"/>
            <w:tcBorders>
              <w:tl2br w:val="nil"/>
              <w:tr2bl w:val="nil"/>
            </w:tcBorders>
            <w:vAlign w:val="center"/>
          </w:tcPr>
          <w:p w14:paraId="5129E9EF">
            <w:pPr>
              <w:jc w:val="left"/>
              <w:rPr>
                <w:szCs w:val="21"/>
              </w:rPr>
            </w:pPr>
            <w:r>
              <w:rPr>
                <w:szCs w:val="21"/>
              </w:rPr>
              <w:t>可见分光光度计/722N型/HBJC-YQ-</w:t>
            </w:r>
            <w:r>
              <w:rPr>
                <w:rFonts w:hint="eastAsia"/>
                <w:szCs w:val="21"/>
              </w:rPr>
              <w:t>018</w:t>
            </w:r>
          </w:p>
        </w:tc>
        <w:tc>
          <w:tcPr>
            <w:tcW w:w="608" w:type="pct"/>
            <w:tcBorders>
              <w:tl2br w:val="nil"/>
              <w:tr2bl w:val="nil"/>
            </w:tcBorders>
            <w:vAlign w:val="center"/>
          </w:tcPr>
          <w:p w14:paraId="500062D8">
            <w:pPr>
              <w:jc w:val="center"/>
              <w:rPr>
                <w:szCs w:val="21"/>
              </w:rPr>
            </w:pPr>
            <w:r>
              <w:rPr>
                <w:rFonts w:hint="eastAsia"/>
                <w:szCs w:val="21"/>
              </w:rPr>
              <w:t>0.002</w:t>
            </w:r>
            <w:r>
              <w:rPr>
                <w:szCs w:val="21"/>
              </w:rPr>
              <w:t>mg/L</w:t>
            </w:r>
          </w:p>
        </w:tc>
      </w:tr>
      <w:tr w14:paraId="213ED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744" w:hRule="atLeast"/>
          <w:jc w:val="center"/>
        </w:trPr>
        <w:tc>
          <w:tcPr>
            <w:tcW w:w="647" w:type="pct"/>
            <w:tcBorders>
              <w:tl2br w:val="nil"/>
              <w:tr2bl w:val="nil"/>
            </w:tcBorders>
            <w:vAlign w:val="center"/>
          </w:tcPr>
          <w:p w14:paraId="69237F5C">
            <w:pPr>
              <w:jc w:val="center"/>
              <w:rPr>
                <w:szCs w:val="21"/>
              </w:rPr>
            </w:pPr>
            <w:r>
              <w:rPr>
                <w:szCs w:val="21"/>
              </w:rPr>
              <w:t>氟化物</w:t>
            </w:r>
          </w:p>
        </w:tc>
        <w:tc>
          <w:tcPr>
            <w:tcW w:w="1815" w:type="pct"/>
            <w:tcBorders>
              <w:tl2br w:val="nil"/>
              <w:tr2bl w:val="nil"/>
            </w:tcBorders>
            <w:vAlign w:val="center"/>
          </w:tcPr>
          <w:p w14:paraId="11D9CDD5">
            <w:pPr>
              <w:jc w:val="left"/>
              <w:rPr>
                <w:szCs w:val="21"/>
              </w:rPr>
            </w:pPr>
            <w:r>
              <w:rPr>
                <w:rFonts w:hint="eastAsia"/>
                <w:szCs w:val="21"/>
              </w:rPr>
              <w:t>《水质 氟化物的测定 离子选择电极法》GB/T 7484-1987</w:t>
            </w:r>
          </w:p>
        </w:tc>
        <w:tc>
          <w:tcPr>
            <w:tcW w:w="1930" w:type="pct"/>
            <w:tcBorders>
              <w:tl2br w:val="nil"/>
              <w:tr2bl w:val="nil"/>
            </w:tcBorders>
            <w:vAlign w:val="center"/>
          </w:tcPr>
          <w:p w14:paraId="6BBA1CF3">
            <w:pPr>
              <w:jc w:val="left"/>
              <w:rPr>
                <w:szCs w:val="21"/>
              </w:rPr>
            </w:pPr>
            <w:r>
              <w:rPr>
                <w:szCs w:val="21"/>
              </w:rPr>
              <w:t>离子计</w:t>
            </w:r>
            <w:r>
              <w:rPr>
                <w:rFonts w:hint="eastAsia"/>
                <w:szCs w:val="21"/>
              </w:rPr>
              <w:t>/</w:t>
            </w:r>
            <w:r>
              <w:rPr>
                <w:szCs w:val="21"/>
              </w:rPr>
              <w:t>PXSJ-216F</w:t>
            </w:r>
          </w:p>
          <w:p w14:paraId="5DF5756F">
            <w:pPr>
              <w:jc w:val="left"/>
              <w:rPr>
                <w:szCs w:val="21"/>
              </w:rPr>
            </w:pPr>
            <w:r>
              <w:rPr>
                <w:rFonts w:hint="eastAsia"/>
                <w:szCs w:val="21"/>
              </w:rPr>
              <w:t>/</w:t>
            </w:r>
            <w:r>
              <w:rPr>
                <w:szCs w:val="21"/>
              </w:rPr>
              <w:t>HBJC-YQ-065</w:t>
            </w:r>
          </w:p>
        </w:tc>
        <w:tc>
          <w:tcPr>
            <w:tcW w:w="608" w:type="pct"/>
            <w:tcBorders>
              <w:tl2br w:val="nil"/>
              <w:tr2bl w:val="nil"/>
            </w:tcBorders>
            <w:vAlign w:val="center"/>
          </w:tcPr>
          <w:p w14:paraId="2CA7178A">
            <w:pPr>
              <w:widowControl/>
              <w:jc w:val="center"/>
              <w:rPr>
                <w:szCs w:val="21"/>
              </w:rPr>
            </w:pPr>
            <w:r>
              <w:rPr>
                <w:rFonts w:hint="eastAsia"/>
                <w:szCs w:val="21"/>
              </w:rPr>
              <w:t>0.2</w:t>
            </w:r>
            <w:r>
              <w:rPr>
                <w:szCs w:val="21"/>
              </w:rPr>
              <w:t>mg/</w:t>
            </w:r>
            <w:r>
              <w:rPr>
                <w:rFonts w:hint="eastAsia"/>
                <w:szCs w:val="21"/>
              </w:rPr>
              <w:t>L</w:t>
            </w:r>
          </w:p>
        </w:tc>
      </w:tr>
      <w:tr w14:paraId="74A09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atLeast"/>
          <w:jc w:val="center"/>
        </w:trPr>
        <w:tc>
          <w:tcPr>
            <w:tcW w:w="647" w:type="pct"/>
            <w:tcBorders>
              <w:tl2br w:val="nil"/>
              <w:tr2bl w:val="nil"/>
            </w:tcBorders>
            <w:vAlign w:val="center"/>
          </w:tcPr>
          <w:p w14:paraId="0300EE5E">
            <w:pPr>
              <w:jc w:val="center"/>
              <w:rPr>
                <w:szCs w:val="21"/>
              </w:rPr>
            </w:pPr>
            <w:r>
              <w:rPr>
                <w:rFonts w:hint="eastAsia"/>
                <w:szCs w:val="21"/>
              </w:rPr>
              <w:t>碘化物</w:t>
            </w:r>
          </w:p>
        </w:tc>
        <w:tc>
          <w:tcPr>
            <w:tcW w:w="1815" w:type="pct"/>
            <w:tcBorders>
              <w:tl2br w:val="nil"/>
              <w:tr2bl w:val="nil"/>
            </w:tcBorders>
            <w:vAlign w:val="center"/>
          </w:tcPr>
          <w:p w14:paraId="55C544CB">
            <w:pPr>
              <w:jc w:val="left"/>
              <w:rPr>
                <w:szCs w:val="21"/>
              </w:rPr>
            </w:pPr>
            <w:r>
              <w:rPr>
                <w:rFonts w:hint="eastAsia"/>
                <w:szCs w:val="21"/>
              </w:rPr>
              <w:t>《地下水质分析方法 第56部分：碘化物的测定 淀粉分光光度法》DZ/T 0064.56-2021</w:t>
            </w:r>
          </w:p>
        </w:tc>
        <w:tc>
          <w:tcPr>
            <w:tcW w:w="1930" w:type="pct"/>
            <w:tcBorders>
              <w:tl2br w:val="nil"/>
              <w:tr2bl w:val="nil"/>
            </w:tcBorders>
            <w:vAlign w:val="center"/>
          </w:tcPr>
          <w:p w14:paraId="0BED05E1">
            <w:pPr>
              <w:jc w:val="left"/>
              <w:rPr>
                <w:szCs w:val="21"/>
              </w:rPr>
            </w:pPr>
            <w:r>
              <w:rPr>
                <w:szCs w:val="21"/>
              </w:rPr>
              <w:t>可见分光光度计/722N型/HBJC-YQ-</w:t>
            </w:r>
            <w:r>
              <w:rPr>
                <w:rFonts w:hint="eastAsia"/>
                <w:szCs w:val="21"/>
              </w:rPr>
              <w:t>018</w:t>
            </w:r>
          </w:p>
        </w:tc>
        <w:tc>
          <w:tcPr>
            <w:tcW w:w="608" w:type="pct"/>
            <w:tcBorders>
              <w:tl2br w:val="nil"/>
              <w:tr2bl w:val="nil"/>
            </w:tcBorders>
            <w:vAlign w:val="center"/>
          </w:tcPr>
          <w:p w14:paraId="1F0742F6">
            <w:pPr>
              <w:widowControl/>
              <w:jc w:val="center"/>
              <w:rPr>
                <w:szCs w:val="21"/>
              </w:rPr>
            </w:pPr>
            <w:r>
              <w:rPr>
                <w:rFonts w:hint="eastAsia"/>
                <w:szCs w:val="21"/>
              </w:rPr>
              <w:t>0.0</w:t>
            </w:r>
            <w:r>
              <w:rPr>
                <w:szCs w:val="21"/>
              </w:rPr>
              <w:t>25mg/L</w:t>
            </w:r>
          </w:p>
        </w:tc>
      </w:tr>
      <w:tr w14:paraId="79A53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atLeast"/>
          <w:jc w:val="center"/>
        </w:trPr>
        <w:tc>
          <w:tcPr>
            <w:tcW w:w="647" w:type="pct"/>
            <w:tcBorders>
              <w:tl2br w:val="nil"/>
              <w:tr2bl w:val="nil"/>
            </w:tcBorders>
            <w:vAlign w:val="center"/>
          </w:tcPr>
          <w:p w14:paraId="4EC1A937">
            <w:pPr>
              <w:jc w:val="center"/>
              <w:rPr>
                <w:szCs w:val="21"/>
              </w:rPr>
            </w:pPr>
            <w:r>
              <w:rPr>
                <w:szCs w:val="21"/>
              </w:rPr>
              <w:t>汞</w:t>
            </w:r>
          </w:p>
        </w:tc>
        <w:tc>
          <w:tcPr>
            <w:tcW w:w="1815" w:type="pct"/>
            <w:tcBorders>
              <w:tl2br w:val="nil"/>
              <w:tr2bl w:val="nil"/>
            </w:tcBorders>
            <w:vAlign w:val="center"/>
          </w:tcPr>
          <w:p w14:paraId="768592FF">
            <w:pPr>
              <w:widowControl/>
              <w:jc w:val="left"/>
              <w:rPr>
                <w:szCs w:val="21"/>
              </w:rPr>
            </w:pPr>
            <w:r>
              <w:rPr>
                <w:szCs w:val="21"/>
              </w:rPr>
              <w:t>《水质汞、砷、硒、铋和锑的测定 原子荧光法》HJ 694-2014</w:t>
            </w:r>
          </w:p>
        </w:tc>
        <w:tc>
          <w:tcPr>
            <w:tcW w:w="1930" w:type="pct"/>
            <w:tcBorders>
              <w:tl2br w:val="nil"/>
              <w:tr2bl w:val="nil"/>
            </w:tcBorders>
            <w:vAlign w:val="center"/>
          </w:tcPr>
          <w:p w14:paraId="7D652FAD">
            <w:pPr>
              <w:jc w:val="left"/>
              <w:rPr>
                <w:szCs w:val="21"/>
              </w:rPr>
            </w:pPr>
            <w:r>
              <w:rPr>
                <w:szCs w:val="21"/>
              </w:rPr>
              <w:t>双道氢化物-原子荧光光度计/AF-7500B/HBJC-YQ-026</w:t>
            </w:r>
          </w:p>
        </w:tc>
        <w:tc>
          <w:tcPr>
            <w:tcW w:w="608" w:type="pct"/>
            <w:tcBorders>
              <w:tl2br w:val="nil"/>
              <w:tr2bl w:val="nil"/>
            </w:tcBorders>
            <w:vAlign w:val="center"/>
          </w:tcPr>
          <w:p w14:paraId="2DE3078B">
            <w:pPr>
              <w:widowControl/>
              <w:jc w:val="center"/>
              <w:rPr>
                <w:szCs w:val="21"/>
              </w:rPr>
            </w:pPr>
            <w:r>
              <w:rPr>
                <w:szCs w:val="21"/>
              </w:rPr>
              <w:t>0.04μg/L</w:t>
            </w:r>
          </w:p>
        </w:tc>
      </w:tr>
      <w:tr w14:paraId="5CE94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atLeast"/>
          <w:jc w:val="center"/>
        </w:trPr>
        <w:tc>
          <w:tcPr>
            <w:tcW w:w="647" w:type="pct"/>
            <w:tcBorders>
              <w:tl2br w:val="nil"/>
              <w:tr2bl w:val="nil"/>
            </w:tcBorders>
            <w:vAlign w:val="center"/>
          </w:tcPr>
          <w:p w14:paraId="52506D04">
            <w:pPr>
              <w:jc w:val="center"/>
              <w:rPr>
                <w:szCs w:val="21"/>
              </w:rPr>
            </w:pPr>
            <w:r>
              <w:rPr>
                <w:szCs w:val="21"/>
              </w:rPr>
              <w:t>砷</w:t>
            </w:r>
          </w:p>
        </w:tc>
        <w:tc>
          <w:tcPr>
            <w:tcW w:w="1815" w:type="pct"/>
            <w:tcBorders>
              <w:tl2br w:val="nil"/>
              <w:tr2bl w:val="nil"/>
            </w:tcBorders>
            <w:vAlign w:val="center"/>
          </w:tcPr>
          <w:p w14:paraId="7273222B">
            <w:pPr>
              <w:widowControl/>
              <w:jc w:val="left"/>
              <w:rPr>
                <w:szCs w:val="21"/>
              </w:rPr>
            </w:pPr>
            <w:r>
              <w:rPr>
                <w:szCs w:val="21"/>
              </w:rPr>
              <w:t>《水质汞、砷、硒、铋和锑的测定 原子荧光法》HJ 694-2014</w:t>
            </w:r>
          </w:p>
        </w:tc>
        <w:tc>
          <w:tcPr>
            <w:tcW w:w="1930" w:type="pct"/>
            <w:tcBorders>
              <w:tl2br w:val="nil"/>
              <w:tr2bl w:val="nil"/>
            </w:tcBorders>
            <w:vAlign w:val="center"/>
          </w:tcPr>
          <w:p w14:paraId="45F2C528">
            <w:pPr>
              <w:jc w:val="left"/>
              <w:rPr>
                <w:szCs w:val="21"/>
              </w:rPr>
            </w:pPr>
            <w:r>
              <w:rPr>
                <w:szCs w:val="21"/>
              </w:rPr>
              <w:t>双道氢化物-原子荧光光度计/AF-7500B/HBJC-YQ-026</w:t>
            </w:r>
          </w:p>
        </w:tc>
        <w:tc>
          <w:tcPr>
            <w:tcW w:w="608" w:type="pct"/>
            <w:tcBorders>
              <w:tl2br w:val="nil"/>
              <w:tr2bl w:val="nil"/>
            </w:tcBorders>
            <w:vAlign w:val="center"/>
          </w:tcPr>
          <w:p w14:paraId="0D825AFD">
            <w:pPr>
              <w:widowControl/>
              <w:jc w:val="center"/>
              <w:rPr>
                <w:szCs w:val="21"/>
              </w:rPr>
            </w:pPr>
            <w:r>
              <w:rPr>
                <w:szCs w:val="21"/>
              </w:rPr>
              <w:t>0.3μg/L</w:t>
            </w:r>
          </w:p>
        </w:tc>
      </w:tr>
      <w:tr w14:paraId="15F76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atLeast"/>
          <w:jc w:val="center"/>
        </w:trPr>
        <w:tc>
          <w:tcPr>
            <w:tcW w:w="647" w:type="pct"/>
            <w:tcBorders>
              <w:tl2br w:val="nil"/>
              <w:tr2bl w:val="nil"/>
            </w:tcBorders>
            <w:vAlign w:val="center"/>
          </w:tcPr>
          <w:p w14:paraId="7D160074">
            <w:pPr>
              <w:jc w:val="center"/>
              <w:rPr>
                <w:szCs w:val="21"/>
              </w:rPr>
            </w:pPr>
            <w:r>
              <w:rPr>
                <w:rFonts w:hint="eastAsia"/>
                <w:szCs w:val="21"/>
              </w:rPr>
              <w:t>硒</w:t>
            </w:r>
          </w:p>
        </w:tc>
        <w:tc>
          <w:tcPr>
            <w:tcW w:w="1815" w:type="pct"/>
            <w:tcBorders>
              <w:tl2br w:val="nil"/>
              <w:tr2bl w:val="nil"/>
            </w:tcBorders>
            <w:vAlign w:val="center"/>
          </w:tcPr>
          <w:p w14:paraId="501C5B86">
            <w:pPr>
              <w:jc w:val="left"/>
              <w:rPr>
                <w:szCs w:val="21"/>
              </w:rPr>
            </w:pPr>
            <w:r>
              <w:rPr>
                <w:szCs w:val="21"/>
              </w:rPr>
              <w:t>《水质汞、砷、硒、铋和锑的测定 原子荧光法》HJ 694-2014</w:t>
            </w:r>
          </w:p>
        </w:tc>
        <w:tc>
          <w:tcPr>
            <w:tcW w:w="1930" w:type="pct"/>
            <w:tcBorders>
              <w:tl2br w:val="nil"/>
              <w:tr2bl w:val="nil"/>
            </w:tcBorders>
            <w:vAlign w:val="center"/>
          </w:tcPr>
          <w:p w14:paraId="6AF00768">
            <w:pPr>
              <w:jc w:val="left"/>
              <w:rPr>
                <w:szCs w:val="21"/>
              </w:rPr>
            </w:pPr>
            <w:r>
              <w:rPr>
                <w:szCs w:val="21"/>
              </w:rPr>
              <w:t>双道氢化物-原子荧光光度计/AF-7500B/HBJC-YQ-026</w:t>
            </w:r>
          </w:p>
        </w:tc>
        <w:tc>
          <w:tcPr>
            <w:tcW w:w="608" w:type="pct"/>
            <w:tcBorders>
              <w:tl2br w:val="nil"/>
              <w:tr2bl w:val="nil"/>
            </w:tcBorders>
            <w:vAlign w:val="center"/>
          </w:tcPr>
          <w:p w14:paraId="155917EC">
            <w:pPr>
              <w:widowControl/>
              <w:jc w:val="center"/>
              <w:rPr>
                <w:szCs w:val="21"/>
              </w:rPr>
            </w:pPr>
            <w:r>
              <w:rPr>
                <w:szCs w:val="21"/>
              </w:rPr>
              <w:t>0.4μg/L</w:t>
            </w:r>
          </w:p>
        </w:tc>
      </w:tr>
      <w:tr w14:paraId="712E6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atLeast"/>
          <w:jc w:val="center"/>
        </w:trPr>
        <w:tc>
          <w:tcPr>
            <w:tcW w:w="647" w:type="pct"/>
            <w:vAlign w:val="center"/>
          </w:tcPr>
          <w:p w14:paraId="4EEB31B4">
            <w:pPr>
              <w:jc w:val="center"/>
              <w:rPr>
                <w:szCs w:val="21"/>
              </w:rPr>
            </w:pPr>
            <w:r>
              <w:rPr>
                <w:szCs w:val="21"/>
              </w:rPr>
              <w:t>镉</w:t>
            </w:r>
          </w:p>
        </w:tc>
        <w:tc>
          <w:tcPr>
            <w:tcW w:w="1815" w:type="pct"/>
            <w:vAlign w:val="center"/>
          </w:tcPr>
          <w:p w14:paraId="2FDEABC5">
            <w:pPr>
              <w:widowControl/>
              <w:jc w:val="left"/>
              <w:rPr>
                <w:szCs w:val="21"/>
              </w:rPr>
            </w:pPr>
            <w:r>
              <w:rPr>
                <w:rFonts w:hint="eastAsia"/>
                <w:szCs w:val="21"/>
              </w:rPr>
              <w:t>《生活饮用水标准检验方法 第6部分：金属和类金属指标》GB/T 5750.6-2023</w:t>
            </w:r>
          </w:p>
          <w:p w14:paraId="0C707531">
            <w:pPr>
              <w:widowControl/>
              <w:jc w:val="left"/>
              <w:rPr>
                <w:szCs w:val="21"/>
              </w:rPr>
            </w:pPr>
            <w:r>
              <w:rPr>
                <w:rFonts w:hint="eastAsia"/>
                <w:szCs w:val="21"/>
              </w:rPr>
              <w:t>12.1 无火焰原子吸收分光光度法</w:t>
            </w:r>
          </w:p>
        </w:tc>
        <w:tc>
          <w:tcPr>
            <w:tcW w:w="1930" w:type="pct"/>
            <w:vAlign w:val="center"/>
          </w:tcPr>
          <w:p w14:paraId="514C9D5C">
            <w:pPr>
              <w:jc w:val="left"/>
              <w:rPr>
                <w:szCs w:val="21"/>
              </w:rPr>
            </w:pPr>
            <w:r>
              <w:rPr>
                <w:szCs w:val="21"/>
              </w:rPr>
              <w:t>原子吸收分光光度计/AA-7003/HBJC-YQ-027</w:t>
            </w:r>
          </w:p>
        </w:tc>
        <w:tc>
          <w:tcPr>
            <w:tcW w:w="608" w:type="pct"/>
            <w:vAlign w:val="center"/>
          </w:tcPr>
          <w:p w14:paraId="033DB3FC">
            <w:pPr>
              <w:widowControl/>
              <w:jc w:val="center"/>
              <w:rPr>
                <w:szCs w:val="21"/>
              </w:rPr>
            </w:pPr>
            <w:r>
              <w:rPr>
                <w:rFonts w:hint="eastAsia"/>
                <w:szCs w:val="21"/>
              </w:rPr>
              <w:t>0.5μ</w:t>
            </w:r>
            <w:r>
              <w:rPr>
                <w:szCs w:val="21"/>
              </w:rPr>
              <w:t>g/L</w:t>
            </w:r>
          </w:p>
        </w:tc>
      </w:tr>
      <w:tr w14:paraId="2F79A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atLeast"/>
          <w:jc w:val="center"/>
        </w:trPr>
        <w:tc>
          <w:tcPr>
            <w:tcW w:w="647" w:type="pct"/>
            <w:vAlign w:val="center"/>
          </w:tcPr>
          <w:p w14:paraId="1CBFDF39">
            <w:pPr>
              <w:jc w:val="center"/>
              <w:rPr>
                <w:szCs w:val="21"/>
              </w:rPr>
            </w:pPr>
            <w:r>
              <w:rPr>
                <w:szCs w:val="21"/>
              </w:rPr>
              <w:t>六价铬</w:t>
            </w:r>
          </w:p>
        </w:tc>
        <w:tc>
          <w:tcPr>
            <w:tcW w:w="1815" w:type="pct"/>
            <w:vAlign w:val="center"/>
          </w:tcPr>
          <w:p w14:paraId="07E34CE0">
            <w:pPr>
              <w:widowControl/>
              <w:jc w:val="left"/>
              <w:rPr>
                <w:szCs w:val="21"/>
              </w:rPr>
            </w:pPr>
            <w:r>
              <w:rPr>
                <w:rFonts w:hint="eastAsia"/>
                <w:szCs w:val="21"/>
              </w:rPr>
              <w:t>《生活饮用水标准检验方法 第6部分：金属和类金属指标》GB/T 5750.6-2023</w:t>
            </w:r>
          </w:p>
          <w:p w14:paraId="3608E592">
            <w:pPr>
              <w:widowControl/>
              <w:jc w:val="left"/>
              <w:rPr>
                <w:szCs w:val="21"/>
              </w:rPr>
            </w:pPr>
            <w:r>
              <w:rPr>
                <w:rFonts w:hint="eastAsia"/>
                <w:szCs w:val="21"/>
              </w:rPr>
              <w:t>13.1二苯碳酰二肼分光光度法</w:t>
            </w:r>
          </w:p>
        </w:tc>
        <w:tc>
          <w:tcPr>
            <w:tcW w:w="1930" w:type="pct"/>
            <w:vAlign w:val="center"/>
          </w:tcPr>
          <w:p w14:paraId="0E5BF4B9">
            <w:pPr>
              <w:jc w:val="left"/>
              <w:rPr>
                <w:szCs w:val="21"/>
              </w:rPr>
            </w:pPr>
            <w:r>
              <w:rPr>
                <w:szCs w:val="21"/>
              </w:rPr>
              <w:t>可见分光光度计/722N型/HBJC-YQ-</w:t>
            </w:r>
            <w:r>
              <w:rPr>
                <w:rFonts w:hint="eastAsia"/>
                <w:szCs w:val="21"/>
              </w:rPr>
              <w:t>207</w:t>
            </w:r>
          </w:p>
        </w:tc>
        <w:tc>
          <w:tcPr>
            <w:tcW w:w="608" w:type="pct"/>
            <w:vAlign w:val="center"/>
          </w:tcPr>
          <w:p w14:paraId="78C81926">
            <w:pPr>
              <w:widowControl/>
              <w:jc w:val="center"/>
              <w:rPr>
                <w:szCs w:val="21"/>
              </w:rPr>
            </w:pPr>
            <w:r>
              <w:rPr>
                <w:szCs w:val="21"/>
              </w:rPr>
              <w:t>0.004mg/L</w:t>
            </w:r>
          </w:p>
        </w:tc>
      </w:tr>
      <w:tr w14:paraId="48512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atLeast"/>
          <w:jc w:val="center"/>
        </w:trPr>
        <w:tc>
          <w:tcPr>
            <w:tcW w:w="647" w:type="pct"/>
            <w:vAlign w:val="center"/>
          </w:tcPr>
          <w:p w14:paraId="69E096FE">
            <w:pPr>
              <w:jc w:val="center"/>
              <w:rPr>
                <w:szCs w:val="21"/>
              </w:rPr>
            </w:pPr>
            <w:r>
              <w:rPr>
                <w:szCs w:val="21"/>
              </w:rPr>
              <w:t>铅</w:t>
            </w:r>
          </w:p>
        </w:tc>
        <w:tc>
          <w:tcPr>
            <w:tcW w:w="1815" w:type="pct"/>
            <w:vAlign w:val="center"/>
          </w:tcPr>
          <w:p w14:paraId="680D8DCD">
            <w:pPr>
              <w:widowControl/>
              <w:jc w:val="left"/>
              <w:rPr>
                <w:szCs w:val="21"/>
              </w:rPr>
            </w:pPr>
            <w:r>
              <w:rPr>
                <w:rFonts w:hint="eastAsia"/>
                <w:szCs w:val="21"/>
              </w:rPr>
              <w:t>《生活饮用水标准检验方法 第6部分：金属和类金属指标》GB/T 5750.6-2023</w:t>
            </w:r>
          </w:p>
          <w:p w14:paraId="6B05D127">
            <w:pPr>
              <w:widowControl/>
              <w:jc w:val="left"/>
              <w:rPr>
                <w:szCs w:val="21"/>
              </w:rPr>
            </w:pPr>
            <w:r>
              <w:rPr>
                <w:rFonts w:hint="eastAsia"/>
                <w:szCs w:val="21"/>
              </w:rPr>
              <w:t>14.1无火焰原子吸收分光光度法</w:t>
            </w:r>
          </w:p>
        </w:tc>
        <w:tc>
          <w:tcPr>
            <w:tcW w:w="1930" w:type="pct"/>
            <w:vAlign w:val="center"/>
          </w:tcPr>
          <w:p w14:paraId="5935C3A5">
            <w:pPr>
              <w:jc w:val="left"/>
              <w:rPr>
                <w:szCs w:val="21"/>
              </w:rPr>
            </w:pPr>
            <w:r>
              <w:rPr>
                <w:szCs w:val="21"/>
              </w:rPr>
              <w:t>原子吸收分光光度计</w:t>
            </w:r>
            <w:r>
              <w:rPr>
                <w:rFonts w:hint="eastAsia"/>
                <w:szCs w:val="21"/>
              </w:rPr>
              <w:t>/</w:t>
            </w:r>
            <w:r>
              <w:rPr>
                <w:szCs w:val="21"/>
              </w:rPr>
              <w:t>AA-7003</w:t>
            </w:r>
            <w:r>
              <w:rPr>
                <w:rFonts w:hint="eastAsia"/>
                <w:szCs w:val="21"/>
              </w:rPr>
              <w:t>/</w:t>
            </w:r>
            <w:r>
              <w:rPr>
                <w:szCs w:val="21"/>
              </w:rPr>
              <w:t>HBJC-YQ-027</w:t>
            </w:r>
          </w:p>
        </w:tc>
        <w:tc>
          <w:tcPr>
            <w:tcW w:w="608" w:type="pct"/>
            <w:vAlign w:val="center"/>
          </w:tcPr>
          <w:p w14:paraId="7E9F8228">
            <w:pPr>
              <w:widowControl/>
              <w:jc w:val="center"/>
              <w:rPr>
                <w:szCs w:val="21"/>
              </w:rPr>
            </w:pPr>
            <w:r>
              <w:rPr>
                <w:rFonts w:hint="eastAsia"/>
                <w:szCs w:val="21"/>
              </w:rPr>
              <w:t>2.5μ</w:t>
            </w:r>
            <w:r>
              <w:rPr>
                <w:szCs w:val="21"/>
              </w:rPr>
              <w:t>g</w:t>
            </w:r>
            <w:r>
              <w:rPr>
                <w:rFonts w:hint="eastAsia"/>
                <w:szCs w:val="21"/>
              </w:rPr>
              <w:t>/L</w:t>
            </w:r>
          </w:p>
        </w:tc>
      </w:tr>
      <w:tr w14:paraId="6D778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67" w:hRule="atLeast"/>
          <w:jc w:val="center"/>
        </w:trPr>
        <w:tc>
          <w:tcPr>
            <w:tcW w:w="647" w:type="pct"/>
            <w:vAlign w:val="center"/>
          </w:tcPr>
          <w:p w14:paraId="6BDE19F1">
            <w:pPr>
              <w:jc w:val="center"/>
              <w:rPr>
                <w:szCs w:val="21"/>
              </w:rPr>
            </w:pPr>
            <w:r>
              <w:rPr>
                <w:szCs w:val="21"/>
              </w:rPr>
              <w:t>三氯甲烷</w:t>
            </w:r>
          </w:p>
        </w:tc>
        <w:tc>
          <w:tcPr>
            <w:tcW w:w="1815" w:type="pct"/>
            <w:vMerge w:val="restart"/>
            <w:vAlign w:val="center"/>
          </w:tcPr>
          <w:p w14:paraId="42961083">
            <w:pPr>
              <w:jc w:val="left"/>
              <w:rPr>
                <w:szCs w:val="21"/>
              </w:rPr>
            </w:pPr>
            <w:r>
              <w:rPr>
                <w:szCs w:val="21"/>
              </w:rPr>
              <w:t>《水质 挥发性有机物的测定 吹扫捕集/气相色谱-质谱法》 HJ 639-2012</w:t>
            </w:r>
          </w:p>
        </w:tc>
        <w:tc>
          <w:tcPr>
            <w:tcW w:w="1930" w:type="pct"/>
            <w:vMerge w:val="restart"/>
            <w:vAlign w:val="center"/>
          </w:tcPr>
          <w:p w14:paraId="1204430A">
            <w:pPr>
              <w:pStyle w:val="364"/>
              <w:jc w:val="left"/>
              <w:rPr>
                <w:rFonts w:ascii="Times New Roman" w:hAnsi="Times New Roman" w:cs="Times New Roman"/>
                <w:sz w:val="21"/>
                <w:szCs w:val="21"/>
              </w:rPr>
            </w:pPr>
            <w:r>
              <w:rPr>
                <w:rFonts w:ascii="Times New Roman" w:hAnsi="Times New Roman" w:cs="Times New Roman"/>
                <w:sz w:val="21"/>
                <w:szCs w:val="21"/>
              </w:rPr>
              <w:t>气相色谱-质谱联用仪/A91Plus-AMD10/HBJC-YQ-082</w:t>
            </w:r>
          </w:p>
          <w:p w14:paraId="488C9B1E">
            <w:pPr>
              <w:jc w:val="left"/>
              <w:rPr>
                <w:szCs w:val="21"/>
              </w:rPr>
            </w:pPr>
            <w:r>
              <w:rPr>
                <w:szCs w:val="21"/>
              </w:rPr>
              <w:t>全自动吹扫捕集装置/PT-7900D/HBJC-YQ-083</w:t>
            </w:r>
          </w:p>
        </w:tc>
        <w:tc>
          <w:tcPr>
            <w:tcW w:w="608" w:type="pct"/>
            <w:vAlign w:val="center"/>
          </w:tcPr>
          <w:p w14:paraId="5527A87C">
            <w:pPr>
              <w:widowControl/>
              <w:jc w:val="center"/>
              <w:rPr>
                <w:szCs w:val="21"/>
              </w:rPr>
            </w:pPr>
            <w:r>
              <w:rPr>
                <w:szCs w:val="21"/>
              </w:rPr>
              <w:t>1.4μg/L</w:t>
            </w:r>
          </w:p>
        </w:tc>
      </w:tr>
      <w:tr w14:paraId="4848C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67" w:hRule="atLeast"/>
          <w:jc w:val="center"/>
        </w:trPr>
        <w:tc>
          <w:tcPr>
            <w:tcW w:w="647" w:type="pct"/>
            <w:vAlign w:val="center"/>
          </w:tcPr>
          <w:p w14:paraId="1E90EC2D">
            <w:pPr>
              <w:jc w:val="center"/>
              <w:rPr>
                <w:szCs w:val="21"/>
              </w:rPr>
            </w:pPr>
            <w:r>
              <w:rPr>
                <w:szCs w:val="21"/>
              </w:rPr>
              <w:t>四氯化碳</w:t>
            </w:r>
          </w:p>
        </w:tc>
        <w:tc>
          <w:tcPr>
            <w:tcW w:w="1815" w:type="pct"/>
            <w:vMerge w:val="continue"/>
            <w:vAlign w:val="center"/>
          </w:tcPr>
          <w:p w14:paraId="38C14C65">
            <w:pPr>
              <w:jc w:val="left"/>
              <w:rPr>
                <w:szCs w:val="21"/>
              </w:rPr>
            </w:pPr>
          </w:p>
        </w:tc>
        <w:tc>
          <w:tcPr>
            <w:tcW w:w="1930" w:type="pct"/>
            <w:vMerge w:val="continue"/>
            <w:vAlign w:val="center"/>
          </w:tcPr>
          <w:p w14:paraId="6A9C948F">
            <w:pPr>
              <w:jc w:val="left"/>
              <w:rPr>
                <w:szCs w:val="21"/>
              </w:rPr>
            </w:pPr>
          </w:p>
        </w:tc>
        <w:tc>
          <w:tcPr>
            <w:tcW w:w="608" w:type="pct"/>
            <w:vAlign w:val="center"/>
          </w:tcPr>
          <w:p w14:paraId="13FC11EF">
            <w:pPr>
              <w:widowControl/>
              <w:jc w:val="center"/>
              <w:rPr>
                <w:szCs w:val="21"/>
              </w:rPr>
            </w:pPr>
            <w:r>
              <w:rPr>
                <w:szCs w:val="21"/>
              </w:rPr>
              <w:t>1.5μg/L</w:t>
            </w:r>
          </w:p>
        </w:tc>
      </w:tr>
      <w:tr w14:paraId="6D9BD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67" w:hRule="atLeast"/>
          <w:jc w:val="center"/>
        </w:trPr>
        <w:tc>
          <w:tcPr>
            <w:tcW w:w="647" w:type="pct"/>
            <w:vAlign w:val="center"/>
          </w:tcPr>
          <w:p w14:paraId="2BB1DB83">
            <w:pPr>
              <w:jc w:val="center"/>
              <w:rPr>
                <w:szCs w:val="21"/>
              </w:rPr>
            </w:pPr>
            <w:r>
              <w:rPr>
                <w:szCs w:val="21"/>
              </w:rPr>
              <w:t>苯</w:t>
            </w:r>
          </w:p>
        </w:tc>
        <w:tc>
          <w:tcPr>
            <w:tcW w:w="1815" w:type="pct"/>
            <w:vMerge w:val="continue"/>
            <w:vAlign w:val="center"/>
          </w:tcPr>
          <w:p w14:paraId="613EF72C">
            <w:pPr>
              <w:jc w:val="left"/>
              <w:rPr>
                <w:szCs w:val="21"/>
              </w:rPr>
            </w:pPr>
          </w:p>
        </w:tc>
        <w:tc>
          <w:tcPr>
            <w:tcW w:w="1930" w:type="pct"/>
            <w:vMerge w:val="continue"/>
            <w:vAlign w:val="center"/>
          </w:tcPr>
          <w:p w14:paraId="479D30DF">
            <w:pPr>
              <w:jc w:val="left"/>
              <w:rPr>
                <w:szCs w:val="21"/>
              </w:rPr>
            </w:pPr>
          </w:p>
        </w:tc>
        <w:tc>
          <w:tcPr>
            <w:tcW w:w="608" w:type="pct"/>
            <w:vAlign w:val="center"/>
          </w:tcPr>
          <w:p w14:paraId="7468A556">
            <w:pPr>
              <w:widowControl/>
              <w:jc w:val="center"/>
              <w:rPr>
                <w:szCs w:val="21"/>
              </w:rPr>
            </w:pPr>
            <w:r>
              <w:rPr>
                <w:szCs w:val="21"/>
              </w:rPr>
              <w:t>1.4μg/L</w:t>
            </w:r>
          </w:p>
        </w:tc>
      </w:tr>
      <w:tr w14:paraId="4E659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67" w:hRule="atLeast"/>
          <w:jc w:val="center"/>
        </w:trPr>
        <w:tc>
          <w:tcPr>
            <w:tcW w:w="647" w:type="pct"/>
            <w:vAlign w:val="center"/>
          </w:tcPr>
          <w:p w14:paraId="0F45DEC0">
            <w:pPr>
              <w:jc w:val="center"/>
              <w:rPr>
                <w:szCs w:val="21"/>
              </w:rPr>
            </w:pPr>
            <w:r>
              <w:rPr>
                <w:szCs w:val="21"/>
              </w:rPr>
              <w:t>甲苯</w:t>
            </w:r>
          </w:p>
        </w:tc>
        <w:tc>
          <w:tcPr>
            <w:tcW w:w="1815" w:type="pct"/>
            <w:vMerge w:val="continue"/>
            <w:vAlign w:val="center"/>
          </w:tcPr>
          <w:p w14:paraId="067F19D6">
            <w:pPr>
              <w:jc w:val="left"/>
              <w:rPr>
                <w:szCs w:val="21"/>
              </w:rPr>
            </w:pPr>
          </w:p>
        </w:tc>
        <w:tc>
          <w:tcPr>
            <w:tcW w:w="1930" w:type="pct"/>
            <w:vMerge w:val="continue"/>
            <w:vAlign w:val="center"/>
          </w:tcPr>
          <w:p w14:paraId="550ECF0D">
            <w:pPr>
              <w:jc w:val="left"/>
              <w:rPr>
                <w:szCs w:val="21"/>
              </w:rPr>
            </w:pPr>
          </w:p>
        </w:tc>
        <w:tc>
          <w:tcPr>
            <w:tcW w:w="608" w:type="pct"/>
            <w:vAlign w:val="center"/>
          </w:tcPr>
          <w:p w14:paraId="342A1B49">
            <w:pPr>
              <w:widowControl/>
              <w:jc w:val="center"/>
              <w:rPr>
                <w:szCs w:val="21"/>
              </w:rPr>
            </w:pPr>
            <w:r>
              <w:rPr>
                <w:szCs w:val="21"/>
              </w:rPr>
              <w:t>1.4μg/L</w:t>
            </w:r>
          </w:p>
        </w:tc>
      </w:tr>
      <w:tr w14:paraId="4D5FB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814" w:hRule="atLeast"/>
          <w:jc w:val="center"/>
        </w:trPr>
        <w:tc>
          <w:tcPr>
            <w:tcW w:w="647" w:type="pct"/>
            <w:vAlign w:val="center"/>
          </w:tcPr>
          <w:p w14:paraId="2AB0907C">
            <w:pPr>
              <w:adjustRightInd w:val="0"/>
              <w:snapToGrid w:val="0"/>
              <w:jc w:val="center"/>
              <w:rPr>
                <w:szCs w:val="21"/>
              </w:rPr>
            </w:pPr>
            <w:r>
              <w:rPr>
                <w:rFonts w:hint="eastAsia"/>
                <w:szCs w:val="21"/>
              </w:rPr>
              <w:t>石油类</w:t>
            </w:r>
          </w:p>
        </w:tc>
        <w:tc>
          <w:tcPr>
            <w:tcW w:w="1815" w:type="pct"/>
            <w:vAlign w:val="center"/>
          </w:tcPr>
          <w:p w14:paraId="52A3A46F">
            <w:pPr>
              <w:widowControl/>
              <w:jc w:val="left"/>
              <w:rPr>
                <w:szCs w:val="21"/>
              </w:rPr>
            </w:pPr>
            <w:r>
              <w:rPr>
                <w:rFonts w:hint="eastAsia"/>
                <w:szCs w:val="21"/>
              </w:rPr>
              <w:t>《水质 石油类的测定 紫外分光光度法（试行）》HJ970-2018</w:t>
            </w:r>
          </w:p>
        </w:tc>
        <w:tc>
          <w:tcPr>
            <w:tcW w:w="1930" w:type="pct"/>
            <w:vAlign w:val="center"/>
          </w:tcPr>
          <w:p w14:paraId="6AE829C9">
            <w:pPr>
              <w:jc w:val="left"/>
              <w:rPr>
                <w:szCs w:val="21"/>
              </w:rPr>
            </w:pPr>
            <w:r>
              <w:rPr>
                <w:szCs w:val="21"/>
              </w:rPr>
              <w:t>紫外可见分光光度计/</w:t>
            </w:r>
            <w:r>
              <w:rPr>
                <w:rFonts w:hint="eastAsia"/>
                <w:szCs w:val="21"/>
              </w:rPr>
              <w:t>752</w:t>
            </w:r>
            <w:r>
              <w:rPr>
                <w:szCs w:val="21"/>
              </w:rPr>
              <w:t>型</w:t>
            </w:r>
            <w:r>
              <w:rPr>
                <w:rFonts w:hint="eastAsia"/>
                <w:szCs w:val="21"/>
              </w:rPr>
              <w:t>/</w:t>
            </w:r>
            <w:r>
              <w:rPr>
                <w:szCs w:val="21"/>
              </w:rPr>
              <w:t>HBJC-YQ-</w:t>
            </w:r>
            <w:r>
              <w:rPr>
                <w:rFonts w:hint="eastAsia"/>
                <w:szCs w:val="21"/>
              </w:rPr>
              <w:t>210</w:t>
            </w:r>
          </w:p>
        </w:tc>
        <w:tc>
          <w:tcPr>
            <w:tcW w:w="608" w:type="pct"/>
            <w:vAlign w:val="center"/>
          </w:tcPr>
          <w:p w14:paraId="679800B3">
            <w:pPr>
              <w:widowControl/>
              <w:jc w:val="center"/>
              <w:rPr>
                <w:szCs w:val="21"/>
              </w:rPr>
            </w:pPr>
            <w:r>
              <w:rPr>
                <w:rFonts w:hint="eastAsia"/>
                <w:szCs w:val="21"/>
              </w:rPr>
              <w:t>0.01</w:t>
            </w:r>
            <w:r>
              <w:rPr>
                <w:szCs w:val="21"/>
              </w:rPr>
              <w:t>mg/L</w:t>
            </w:r>
          </w:p>
        </w:tc>
      </w:tr>
      <w:tr w14:paraId="402DE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atLeast"/>
          <w:jc w:val="center"/>
        </w:trPr>
        <w:tc>
          <w:tcPr>
            <w:tcW w:w="647" w:type="pct"/>
            <w:vAlign w:val="center"/>
          </w:tcPr>
          <w:p w14:paraId="6BE781C4">
            <w:pPr>
              <w:adjustRightInd w:val="0"/>
              <w:snapToGrid w:val="0"/>
              <w:jc w:val="center"/>
              <w:rPr>
                <w:color w:val="000000"/>
                <w:kern w:val="0"/>
                <w:szCs w:val="21"/>
              </w:rPr>
            </w:pPr>
            <w:r>
              <w:rPr>
                <w:szCs w:val="21"/>
              </w:rPr>
              <w:t>钾</w:t>
            </w:r>
          </w:p>
        </w:tc>
        <w:tc>
          <w:tcPr>
            <w:tcW w:w="1815" w:type="pct"/>
            <w:vAlign w:val="center"/>
          </w:tcPr>
          <w:p w14:paraId="2B6A1F2F">
            <w:pPr>
              <w:widowControl/>
              <w:jc w:val="left"/>
              <w:rPr>
                <w:szCs w:val="21"/>
              </w:rPr>
            </w:pPr>
            <w:r>
              <w:rPr>
                <w:szCs w:val="21"/>
              </w:rPr>
              <w:t>《水质 钾和钠的测定 火焰原子吸收分光光度法》GB/T 11904-1989</w:t>
            </w:r>
          </w:p>
        </w:tc>
        <w:tc>
          <w:tcPr>
            <w:tcW w:w="1930" w:type="pct"/>
            <w:vAlign w:val="center"/>
          </w:tcPr>
          <w:p w14:paraId="213B25F8">
            <w:pPr>
              <w:jc w:val="left"/>
              <w:rPr>
                <w:szCs w:val="21"/>
              </w:rPr>
            </w:pPr>
            <w:r>
              <w:rPr>
                <w:szCs w:val="21"/>
              </w:rPr>
              <w:t>原子吸收分光光度计/AA-7003/HBJC-YQ-027</w:t>
            </w:r>
          </w:p>
        </w:tc>
        <w:tc>
          <w:tcPr>
            <w:tcW w:w="608" w:type="pct"/>
            <w:vAlign w:val="center"/>
          </w:tcPr>
          <w:p w14:paraId="752C510A">
            <w:pPr>
              <w:widowControl/>
              <w:jc w:val="center"/>
              <w:rPr>
                <w:szCs w:val="21"/>
              </w:rPr>
            </w:pPr>
            <w:r>
              <w:rPr>
                <w:szCs w:val="21"/>
              </w:rPr>
              <w:t>0.05mg/L</w:t>
            </w:r>
          </w:p>
        </w:tc>
      </w:tr>
      <w:tr w14:paraId="433D3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068" w:hRule="atLeast"/>
          <w:jc w:val="center"/>
        </w:trPr>
        <w:tc>
          <w:tcPr>
            <w:tcW w:w="647" w:type="pct"/>
            <w:vAlign w:val="center"/>
          </w:tcPr>
          <w:p w14:paraId="3BA1ADF9">
            <w:pPr>
              <w:jc w:val="center"/>
              <w:rPr>
                <w:color w:val="000000"/>
                <w:kern w:val="0"/>
                <w:szCs w:val="21"/>
              </w:rPr>
            </w:pPr>
            <w:r>
              <w:rPr>
                <w:color w:val="000000"/>
                <w:kern w:val="0"/>
                <w:szCs w:val="21"/>
              </w:rPr>
              <w:t>钙</w:t>
            </w:r>
          </w:p>
        </w:tc>
        <w:tc>
          <w:tcPr>
            <w:tcW w:w="1815" w:type="pct"/>
            <w:vAlign w:val="center"/>
          </w:tcPr>
          <w:p w14:paraId="449C0B04">
            <w:pPr>
              <w:jc w:val="left"/>
              <w:rPr>
                <w:color w:val="000000"/>
                <w:kern w:val="0"/>
                <w:szCs w:val="21"/>
              </w:rPr>
            </w:pPr>
            <w:r>
              <w:rPr>
                <w:color w:val="000000"/>
                <w:kern w:val="0"/>
                <w:szCs w:val="21"/>
              </w:rPr>
              <w:t>《地下水质分析方法 第13部分：钙量的测定 乙二胺四乙酸二钠滴定法》DZ/T 0064.13-2021</w:t>
            </w:r>
          </w:p>
        </w:tc>
        <w:tc>
          <w:tcPr>
            <w:tcW w:w="1930" w:type="pct"/>
            <w:vAlign w:val="center"/>
          </w:tcPr>
          <w:p w14:paraId="315F5EF6">
            <w:pPr>
              <w:widowControl/>
              <w:jc w:val="left"/>
              <w:rPr>
                <w:szCs w:val="21"/>
              </w:rPr>
            </w:pPr>
            <w:r>
              <w:rPr>
                <w:szCs w:val="21"/>
              </w:rPr>
              <w:t>滴定管25mL</w:t>
            </w:r>
          </w:p>
        </w:tc>
        <w:tc>
          <w:tcPr>
            <w:tcW w:w="608" w:type="pct"/>
            <w:vAlign w:val="center"/>
          </w:tcPr>
          <w:p w14:paraId="32CADA49">
            <w:pPr>
              <w:widowControl/>
              <w:jc w:val="center"/>
              <w:rPr>
                <w:szCs w:val="21"/>
              </w:rPr>
            </w:pPr>
            <w:r>
              <w:rPr>
                <w:rFonts w:hint="eastAsia"/>
                <w:szCs w:val="21"/>
              </w:rPr>
              <w:t>定量限</w:t>
            </w:r>
          </w:p>
          <w:p w14:paraId="2B24F0F9">
            <w:pPr>
              <w:widowControl/>
              <w:jc w:val="center"/>
              <w:rPr>
                <w:szCs w:val="21"/>
              </w:rPr>
            </w:pPr>
            <w:r>
              <w:rPr>
                <w:szCs w:val="21"/>
              </w:rPr>
              <w:t>4mg/L</w:t>
            </w:r>
          </w:p>
        </w:tc>
      </w:tr>
      <w:tr w14:paraId="14D10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atLeast"/>
          <w:jc w:val="center"/>
        </w:trPr>
        <w:tc>
          <w:tcPr>
            <w:tcW w:w="647" w:type="pct"/>
            <w:vAlign w:val="center"/>
          </w:tcPr>
          <w:p w14:paraId="1F03BDBB">
            <w:pPr>
              <w:jc w:val="center"/>
              <w:rPr>
                <w:color w:val="000000"/>
                <w:kern w:val="0"/>
                <w:szCs w:val="21"/>
              </w:rPr>
            </w:pPr>
            <w:r>
              <w:rPr>
                <w:color w:val="000000"/>
                <w:kern w:val="0"/>
                <w:szCs w:val="21"/>
              </w:rPr>
              <w:t>镁</w:t>
            </w:r>
          </w:p>
        </w:tc>
        <w:tc>
          <w:tcPr>
            <w:tcW w:w="1815" w:type="pct"/>
            <w:vAlign w:val="center"/>
          </w:tcPr>
          <w:p w14:paraId="6D926A93">
            <w:pPr>
              <w:jc w:val="left"/>
              <w:rPr>
                <w:color w:val="000000"/>
                <w:kern w:val="0"/>
                <w:szCs w:val="21"/>
              </w:rPr>
            </w:pPr>
            <w:r>
              <w:rPr>
                <w:color w:val="000000"/>
                <w:kern w:val="0"/>
                <w:szCs w:val="21"/>
              </w:rPr>
              <w:t>《地下水质分析方法 第14部分：镁量的测定 乙二胺四乙酸二钠滴定法》DZ/T 0064.14-2021</w:t>
            </w:r>
          </w:p>
        </w:tc>
        <w:tc>
          <w:tcPr>
            <w:tcW w:w="1930" w:type="pct"/>
            <w:vAlign w:val="center"/>
          </w:tcPr>
          <w:p w14:paraId="250F79B9">
            <w:pPr>
              <w:widowControl/>
              <w:jc w:val="left"/>
              <w:rPr>
                <w:szCs w:val="21"/>
              </w:rPr>
            </w:pPr>
            <w:r>
              <w:rPr>
                <w:szCs w:val="21"/>
              </w:rPr>
              <w:t>滴定管25mL</w:t>
            </w:r>
          </w:p>
        </w:tc>
        <w:tc>
          <w:tcPr>
            <w:tcW w:w="608" w:type="pct"/>
            <w:vAlign w:val="center"/>
          </w:tcPr>
          <w:p w14:paraId="5DBD6C79">
            <w:pPr>
              <w:widowControl/>
              <w:jc w:val="center"/>
              <w:rPr>
                <w:szCs w:val="21"/>
              </w:rPr>
            </w:pPr>
            <w:r>
              <w:rPr>
                <w:rFonts w:hint="eastAsia"/>
                <w:szCs w:val="21"/>
              </w:rPr>
              <w:t>定量限</w:t>
            </w:r>
          </w:p>
          <w:p w14:paraId="46F7359F">
            <w:pPr>
              <w:widowControl/>
              <w:jc w:val="center"/>
              <w:rPr>
                <w:szCs w:val="21"/>
              </w:rPr>
            </w:pPr>
            <w:r>
              <w:rPr>
                <w:szCs w:val="21"/>
              </w:rPr>
              <w:t>3mg/L</w:t>
            </w:r>
          </w:p>
        </w:tc>
      </w:tr>
      <w:tr w14:paraId="07A91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104" w:hRule="atLeast"/>
          <w:jc w:val="center"/>
        </w:trPr>
        <w:tc>
          <w:tcPr>
            <w:tcW w:w="647" w:type="pct"/>
            <w:vAlign w:val="center"/>
          </w:tcPr>
          <w:p w14:paraId="315AF938">
            <w:pPr>
              <w:jc w:val="center"/>
              <w:rPr>
                <w:szCs w:val="21"/>
              </w:rPr>
            </w:pPr>
            <w:r>
              <w:rPr>
                <w:szCs w:val="21"/>
              </w:rPr>
              <w:t>碱度</w:t>
            </w:r>
          </w:p>
          <w:p w14:paraId="0A179CB5">
            <w:pPr>
              <w:jc w:val="center"/>
              <w:rPr>
                <w:szCs w:val="21"/>
              </w:rPr>
            </w:pPr>
            <w:r>
              <w:rPr>
                <w:szCs w:val="21"/>
              </w:rPr>
              <w:t>（以CO</w:t>
            </w:r>
            <w:r>
              <w:rPr>
                <w:szCs w:val="21"/>
                <w:vertAlign w:val="subscript"/>
              </w:rPr>
              <w:t>3</w:t>
            </w:r>
            <w:r>
              <w:rPr>
                <w:szCs w:val="21"/>
                <w:vertAlign w:val="superscript"/>
              </w:rPr>
              <w:t>2-</w:t>
            </w:r>
            <w:r>
              <w:rPr>
                <w:szCs w:val="21"/>
              </w:rPr>
              <w:t>计）</w:t>
            </w:r>
          </w:p>
        </w:tc>
        <w:tc>
          <w:tcPr>
            <w:tcW w:w="1815" w:type="pct"/>
            <w:vAlign w:val="center"/>
          </w:tcPr>
          <w:p w14:paraId="46E38A8B">
            <w:pPr>
              <w:widowControl/>
              <w:jc w:val="left"/>
              <w:textAlignment w:val="center"/>
              <w:rPr>
                <w:szCs w:val="21"/>
              </w:rPr>
            </w:pPr>
            <w:r>
              <w:rPr>
                <w:rFonts w:hint="eastAsia"/>
                <w:szCs w:val="21"/>
              </w:rPr>
              <w:t>《地下水质分析方法 第</w:t>
            </w:r>
            <w:r>
              <w:rPr>
                <w:szCs w:val="21"/>
              </w:rPr>
              <w:t>49</w:t>
            </w:r>
            <w:r>
              <w:rPr>
                <w:rFonts w:hint="eastAsia"/>
                <w:szCs w:val="21"/>
              </w:rPr>
              <w:t xml:space="preserve">部分：碳酸根、重碳酸根和氢氧根离子的测定 滴定法》 </w:t>
            </w:r>
            <w:r>
              <w:rPr>
                <w:szCs w:val="21"/>
              </w:rPr>
              <w:t>DZ/T 0064.49-2021</w:t>
            </w:r>
          </w:p>
        </w:tc>
        <w:tc>
          <w:tcPr>
            <w:tcW w:w="1930" w:type="pct"/>
            <w:vAlign w:val="center"/>
          </w:tcPr>
          <w:p w14:paraId="2246D894">
            <w:pPr>
              <w:rPr>
                <w:szCs w:val="21"/>
              </w:rPr>
            </w:pPr>
            <w:r>
              <w:rPr>
                <w:rFonts w:hint="eastAsia"/>
                <w:szCs w:val="21"/>
              </w:rPr>
              <w:t>酸式滴定管50mL</w:t>
            </w:r>
          </w:p>
        </w:tc>
        <w:tc>
          <w:tcPr>
            <w:tcW w:w="608" w:type="pct"/>
            <w:vAlign w:val="center"/>
          </w:tcPr>
          <w:p w14:paraId="12EF76B1">
            <w:pPr>
              <w:jc w:val="center"/>
              <w:rPr>
                <w:szCs w:val="21"/>
              </w:rPr>
            </w:pPr>
            <w:r>
              <w:rPr>
                <w:rFonts w:hint="eastAsia"/>
                <w:szCs w:val="21"/>
              </w:rPr>
              <w:t>1</w:t>
            </w:r>
            <w:r>
              <w:rPr>
                <w:szCs w:val="21"/>
              </w:rPr>
              <w:t>mg/L</w:t>
            </w:r>
          </w:p>
        </w:tc>
      </w:tr>
      <w:tr w14:paraId="0F796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054" w:hRule="atLeast"/>
          <w:jc w:val="center"/>
        </w:trPr>
        <w:tc>
          <w:tcPr>
            <w:tcW w:w="647" w:type="pct"/>
            <w:vAlign w:val="center"/>
          </w:tcPr>
          <w:p w14:paraId="7DFEF395">
            <w:pPr>
              <w:jc w:val="center"/>
              <w:rPr>
                <w:szCs w:val="21"/>
              </w:rPr>
            </w:pPr>
            <w:r>
              <w:rPr>
                <w:szCs w:val="21"/>
              </w:rPr>
              <w:t>碱度</w:t>
            </w:r>
          </w:p>
          <w:p w14:paraId="38D38980">
            <w:pPr>
              <w:jc w:val="center"/>
              <w:rPr>
                <w:szCs w:val="21"/>
              </w:rPr>
            </w:pPr>
            <w:r>
              <w:rPr>
                <w:szCs w:val="21"/>
              </w:rPr>
              <w:t>（以HCO</w:t>
            </w:r>
            <w:r>
              <w:rPr>
                <w:szCs w:val="21"/>
                <w:vertAlign w:val="subscript"/>
              </w:rPr>
              <w:t>3</w:t>
            </w:r>
            <w:r>
              <w:rPr>
                <w:szCs w:val="21"/>
                <w:vertAlign w:val="superscript"/>
              </w:rPr>
              <w:t>-</w:t>
            </w:r>
            <w:r>
              <w:rPr>
                <w:szCs w:val="21"/>
              </w:rPr>
              <w:t>计）</w:t>
            </w:r>
          </w:p>
        </w:tc>
        <w:tc>
          <w:tcPr>
            <w:tcW w:w="1815" w:type="pct"/>
            <w:vAlign w:val="center"/>
          </w:tcPr>
          <w:p w14:paraId="264EBC68">
            <w:pPr>
              <w:widowControl/>
              <w:jc w:val="left"/>
              <w:textAlignment w:val="center"/>
              <w:rPr>
                <w:szCs w:val="21"/>
              </w:rPr>
            </w:pPr>
            <w:r>
              <w:rPr>
                <w:rFonts w:hint="eastAsia"/>
                <w:szCs w:val="21"/>
              </w:rPr>
              <w:t>《地下水质分析方法 第</w:t>
            </w:r>
            <w:r>
              <w:rPr>
                <w:szCs w:val="21"/>
              </w:rPr>
              <w:t>49</w:t>
            </w:r>
            <w:r>
              <w:rPr>
                <w:rFonts w:hint="eastAsia"/>
                <w:szCs w:val="21"/>
              </w:rPr>
              <w:t xml:space="preserve">部分：碳酸根、重碳酸根和氢氧根离子的测定 滴定法》 </w:t>
            </w:r>
            <w:r>
              <w:rPr>
                <w:szCs w:val="21"/>
              </w:rPr>
              <w:t>DZ/T 0064.49-2021</w:t>
            </w:r>
          </w:p>
        </w:tc>
        <w:tc>
          <w:tcPr>
            <w:tcW w:w="1930" w:type="pct"/>
            <w:vAlign w:val="center"/>
          </w:tcPr>
          <w:p w14:paraId="359EB182">
            <w:pPr>
              <w:jc w:val="left"/>
              <w:rPr>
                <w:szCs w:val="21"/>
              </w:rPr>
            </w:pPr>
            <w:r>
              <w:rPr>
                <w:rFonts w:hint="eastAsia"/>
                <w:szCs w:val="21"/>
              </w:rPr>
              <w:t>酸式滴定管50mL</w:t>
            </w:r>
          </w:p>
        </w:tc>
        <w:tc>
          <w:tcPr>
            <w:tcW w:w="608" w:type="pct"/>
            <w:vAlign w:val="center"/>
          </w:tcPr>
          <w:p w14:paraId="240C85E5">
            <w:pPr>
              <w:jc w:val="center"/>
              <w:rPr>
                <w:szCs w:val="21"/>
              </w:rPr>
            </w:pPr>
            <w:r>
              <w:rPr>
                <w:rFonts w:hint="eastAsia"/>
                <w:szCs w:val="21"/>
              </w:rPr>
              <w:t>1</w:t>
            </w:r>
            <w:r>
              <w:rPr>
                <w:szCs w:val="21"/>
              </w:rPr>
              <w:t>mg/L</w:t>
            </w:r>
          </w:p>
        </w:tc>
      </w:tr>
    </w:tbl>
    <w:p w14:paraId="208E45FA">
      <w:pPr>
        <w:pStyle w:val="85"/>
        <w:ind w:firstLine="480"/>
        <w:rPr>
          <w:kern w:val="0"/>
        </w:rPr>
      </w:pPr>
      <w:r>
        <w:rPr>
          <w:rFonts w:hint="eastAsia"/>
          <w:kern w:val="0"/>
        </w:rPr>
        <w:t>（5）评价方法</w:t>
      </w:r>
    </w:p>
    <w:p w14:paraId="0D1F4890">
      <w:pPr>
        <w:pStyle w:val="85"/>
        <w:ind w:firstLine="480"/>
        <w:rPr>
          <w:kern w:val="0"/>
        </w:rPr>
      </w:pPr>
      <w:r>
        <w:rPr>
          <w:rFonts w:hint="eastAsia"/>
          <w:kern w:val="0"/>
        </w:rPr>
        <w:t>1）采用单因子标准指数法，其计算公式为：</w:t>
      </w:r>
    </w:p>
    <w:p w14:paraId="042F6D65">
      <w:pPr>
        <w:pStyle w:val="85"/>
        <w:spacing w:line="240" w:lineRule="auto"/>
        <w:ind w:firstLine="0" w:firstLineChars="0"/>
        <w:jc w:val="center"/>
        <w:rPr>
          <w:kern w:val="0"/>
        </w:rPr>
      </w:pPr>
      <w:r>
        <w:rPr>
          <w:kern w:val="0"/>
        </w:rPr>
        <w:object>
          <v:shape id="_x0000_i1025" o:spt="75" type="#_x0000_t75" style="height:36pt;width:43.5pt;" o:ole="t" filled="f" o:preferrelative="t" stroked="f" coordsize="21600,21600">
            <v:path/>
            <v:fill on="f" focussize="0,0"/>
            <v:stroke on="f" joinstyle="miter"/>
            <v:imagedata r:id="rId21" o:title=""/>
            <o:lock v:ext="edit" aspectratio="t"/>
            <w10:wrap type="none"/>
            <w10:anchorlock/>
          </v:shape>
          <o:OLEObject Type="Embed" ProgID="Equation.3" ShapeID="_x0000_i1025" DrawAspect="Content" ObjectID="_1468075725" r:id="rId20">
            <o:LockedField>false</o:LockedField>
          </o:OLEObject>
        </w:object>
      </w:r>
    </w:p>
    <w:p w14:paraId="2A846E32">
      <w:pPr>
        <w:pStyle w:val="85"/>
        <w:ind w:firstLine="480"/>
        <w:rPr>
          <w:kern w:val="0"/>
        </w:rPr>
      </w:pPr>
      <w:r>
        <w:rPr>
          <w:rFonts w:hint="eastAsia"/>
          <w:kern w:val="0"/>
        </w:rPr>
        <w:t>式中：</w:t>
      </w:r>
      <w:r>
        <w:rPr>
          <w:kern w:val="0"/>
        </w:rPr>
        <w:t>P</w:t>
      </w:r>
      <w:r>
        <w:rPr>
          <w:kern w:val="0"/>
          <w:vertAlign w:val="subscript"/>
        </w:rPr>
        <w:t>i</w:t>
      </w:r>
      <w:r>
        <w:rPr>
          <w:kern w:val="0"/>
        </w:rPr>
        <w:t>—i</w:t>
      </w:r>
      <w:r>
        <w:rPr>
          <w:rFonts w:hint="eastAsia"/>
          <w:kern w:val="0"/>
        </w:rPr>
        <w:t>因子标准指数；</w:t>
      </w:r>
    </w:p>
    <w:p w14:paraId="358437FA">
      <w:pPr>
        <w:pStyle w:val="85"/>
        <w:ind w:firstLine="480"/>
        <w:rPr>
          <w:kern w:val="0"/>
        </w:rPr>
      </w:pPr>
      <w:r>
        <w:rPr>
          <w:kern w:val="0"/>
        </w:rPr>
        <w:t>C</w:t>
      </w:r>
      <w:r>
        <w:rPr>
          <w:kern w:val="0"/>
          <w:vertAlign w:val="subscript"/>
        </w:rPr>
        <w:t>i</w:t>
      </w:r>
      <w:r>
        <w:rPr>
          <w:kern w:val="0"/>
        </w:rPr>
        <w:t>—i</w:t>
      </w:r>
      <w:r>
        <w:rPr>
          <w:rFonts w:hint="eastAsia"/>
          <w:kern w:val="0"/>
        </w:rPr>
        <w:t>因子监测浓度，</w:t>
      </w:r>
      <w:r>
        <w:rPr>
          <w:kern w:val="0"/>
        </w:rPr>
        <w:t>mg/L</w:t>
      </w:r>
      <w:r>
        <w:rPr>
          <w:rFonts w:hint="eastAsia"/>
          <w:kern w:val="0"/>
        </w:rPr>
        <w:t>；</w:t>
      </w:r>
    </w:p>
    <w:p w14:paraId="2C64340F">
      <w:pPr>
        <w:pStyle w:val="85"/>
        <w:ind w:firstLine="480"/>
        <w:rPr>
          <w:kern w:val="0"/>
        </w:rPr>
      </w:pPr>
      <w:r>
        <w:rPr>
          <w:kern w:val="0"/>
        </w:rPr>
        <w:t>C</w:t>
      </w:r>
      <w:r>
        <w:rPr>
          <w:kern w:val="0"/>
          <w:vertAlign w:val="subscript"/>
        </w:rPr>
        <w:t>Oi</w:t>
      </w:r>
      <w:r>
        <w:rPr>
          <w:kern w:val="0"/>
        </w:rPr>
        <w:t>—i</w:t>
      </w:r>
      <w:r>
        <w:rPr>
          <w:rFonts w:hint="eastAsia"/>
          <w:kern w:val="0"/>
        </w:rPr>
        <w:t>因子质量标准，</w:t>
      </w:r>
      <w:r>
        <w:rPr>
          <w:kern w:val="0"/>
        </w:rPr>
        <w:t>mg/L</w:t>
      </w:r>
      <w:r>
        <w:rPr>
          <w:rFonts w:hint="eastAsia"/>
          <w:kern w:val="0"/>
        </w:rPr>
        <w:t>。</w:t>
      </w:r>
    </w:p>
    <w:p w14:paraId="1B2DECCE">
      <w:pPr>
        <w:pStyle w:val="85"/>
        <w:ind w:firstLine="480"/>
        <w:rPr>
          <w:kern w:val="0"/>
        </w:rPr>
      </w:pPr>
      <w:r>
        <w:rPr>
          <w:rFonts w:hint="eastAsia"/>
          <w:kern w:val="0"/>
        </w:rPr>
        <w:t>2）对于</w:t>
      </w:r>
      <w:r>
        <w:rPr>
          <w:kern w:val="0"/>
        </w:rPr>
        <w:t>pH</w:t>
      </w:r>
      <w:r>
        <w:rPr>
          <w:rFonts w:hint="eastAsia"/>
          <w:kern w:val="0"/>
        </w:rPr>
        <w:t>值，评价公式为：</w:t>
      </w:r>
    </w:p>
    <w:p w14:paraId="4BE26E02">
      <w:pPr>
        <w:pStyle w:val="85"/>
        <w:ind w:firstLine="480"/>
        <w:rPr>
          <w:kern w:val="0"/>
        </w:rPr>
      </w:pPr>
      <w:r>
        <w:rPr>
          <w:kern w:val="0"/>
        </w:rPr>
        <w:t>P</w:t>
      </w:r>
      <w:r>
        <w:rPr>
          <w:kern w:val="0"/>
          <w:vertAlign w:val="subscript"/>
        </w:rPr>
        <w:t>pH</w:t>
      </w:r>
      <w:r>
        <w:rPr>
          <w:kern w:val="0"/>
        </w:rPr>
        <w:t>=(7.0-pH</w:t>
      </w:r>
      <w:r>
        <w:rPr>
          <w:kern w:val="0"/>
          <w:vertAlign w:val="subscript"/>
        </w:rPr>
        <w:t>i</w:t>
      </w:r>
      <w:r>
        <w:rPr>
          <w:kern w:val="0"/>
        </w:rPr>
        <w:t>)/(7.0-pH</w:t>
      </w:r>
      <w:r>
        <w:rPr>
          <w:kern w:val="0"/>
          <w:vertAlign w:val="subscript"/>
        </w:rPr>
        <w:t>sd</w:t>
      </w:r>
      <w:r>
        <w:rPr>
          <w:kern w:val="0"/>
        </w:rPr>
        <w:t>)(pH</w:t>
      </w:r>
      <w:r>
        <w:rPr>
          <w:kern w:val="0"/>
          <w:vertAlign w:val="subscript"/>
        </w:rPr>
        <w:t>i</w:t>
      </w:r>
      <w:r>
        <w:rPr>
          <w:rFonts w:hint="eastAsia"/>
          <w:kern w:val="0"/>
        </w:rPr>
        <w:t>≤</w:t>
      </w:r>
      <w:r>
        <w:rPr>
          <w:kern w:val="0"/>
        </w:rPr>
        <w:t>7.0)</w:t>
      </w:r>
    </w:p>
    <w:p w14:paraId="48A30E07">
      <w:pPr>
        <w:pStyle w:val="85"/>
        <w:ind w:firstLine="480"/>
        <w:rPr>
          <w:kern w:val="0"/>
        </w:rPr>
      </w:pPr>
      <w:r>
        <w:rPr>
          <w:kern w:val="0"/>
        </w:rPr>
        <w:t>P</w:t>
      </w:r>
      <w:r>
        <w:rPr>
          <w:kern w:val="0"/>
          <w:vertAlign w:val="subscript"/>
        </w:rPr>
        <w:t>pH</w:t>
      </w:r>
      <w:r>
        <w:rPr>
          <w:kern w:val="0"/>
        </w:rPr>
        <w:t>=(pH</w:t>
      </w:r>
      <w:r>
        <w:rPr>
          <w:kern w:val="0"/>
          <w:vertAlign w:val="subscript"/>
        </w:rPr>
        <w:t>i</w:t>
      </w:r>
      <w:r>
        <w:rPr>
          <w:kern w:val="0"/>
        </w:rPr>
        <w:t>-7.0)/(pH</w:t>
      </w:r>
      <w:r>
        <w:rPr>
          <w:kern w:val="0"/>
          <w:vertAlign w:val="subscript"/>
        </w:rPr>
        <w:t>su</w:t>
      </w:r>
      <w:r>
        <w:rPr>
          <w:kern w:val="0"/>
        </w:rPr>
        <w:t>-7.0)(pH</w:t>
      </w:r>
      <w:r>
        <w:rPr>
          <w:kern w:val="0"/>
          <w:vertAlign w:val="subscript"/>
        </w:rPr>
        <w:t>i</w:t>
      </w:r>
      <w:r>
        <w:rPr>
          <w:kern w:val="0"/>
        </w:rPr>
        <w:t>&gt;7.0)</w:t>
      </w:r>
    </w:p>
    <w:p w14:paraId="325E1170">
      <w:pPr>
        <w:pStyle w:val="85"/>
        <w:ind w:firstLine="480"/>
        <w:rPr>
          <w:kern w:val="0"/>
        </w:rPr>
      </w:pPr>
      <w:r>
        <w:rPr>
          <w:rFonts w:hint="eastAsia"/>
          <w:kern w:val="0"/>
        </w:rPr>
        <w:t>式中：</w:t>
      </w:r>
      <w:r>
        <w:rPr>
          <w:kern w:val="0"/>
        </w:rPr>
        <w:t>P</w:t>
      </w:r>
      <w:r>
        <w:rPr>
          <w:kern w:val="0"/>
          <w:vertAlign w:val="subscript"/>
        </w:rPr>
        <w:t>pH</w:t>
      </w:r>
      <w:r>
        <w:rPr>
          <w:kern w:val="0"/>
        </w:rPr>
        <w:t>—i</w:t>
      </w:r>
      <w:r>
        <w:rPr>
          <w:rFonts w:hint="eastAsia"/>
          <w:kern w:val="0"/>
        </w:rPr>
        <w:t>监测点的</w:t>
      </w:r>
      <w:r>
        <w:rPr>
          <w:kern w:val="0"/>
        </w:rPr>
        <w:t>pH</w:t>
      </w:r>
      <w:r>
        <w:rPr>
          <w:rFonts w:hint="eastAsia"/>
          <w:kern w:val="0"/>
        </w:rPr>
        <w:t>评价指数；</w:t>
      </w:r>
    </w:p>
    <w:p w14:paraId="5DCFC8EE">
      <w:pPr>
        <w:pStyle w:val="85"/>
        <w:ind w:firstLine="480"/>
        <w:rPr>
          <w:kern w:val="0"/>
        </w:rPr>
      </w:pPr>
      <w:r>
        <w:rPr>
          <w:kern w:val="0"/>
        </w:rPr>
        <w:t>pH</w:t>
      </w:r>
      <w:r>
        <w:rPr>
          <w:kern w:val="0"/>
          <w:vertAlign w:val="subscript"/>
        </w:rPr>
        <w:t>i</w:t>
      </w:r>
      <w:r>
        <w:rPr>
          <w:kern w:val="0"/>
        </w:rPr>
        <w:t>—i</w:t>
      </w:r>
      <w:r>
        <w:rPr>
          <w:rFonts w:hint="eastAsia"/>
          <w:kern w:val="0"/>
        </w:rPr>
        <w:t>监测点的水样</w:t>
      </w:r>
      <w:r>
        <w:rPr>
          <w:kern w:val="0"/>
        </w:rPr>
        <w:t>pH</w:t>
      </w:r>
      <w:r>
        <w:rPr>
          <w:rFonts w:hint="eastAsia"/>
          <w:kern w:val="0"/>
        </w:rPr>
        <w:t>监测值；</w:t>
      </w:r>
    </w:p>
    <w:p w14:paraId="075C4B19">
      <w:pPr>
        <w:pStyle w:val="85"/>
        <w:ind w:firstLine="480"/>
        <w:rPr>
          <w:kern w:val="0"/>
        </w:rPr>
      </w:pPr>
      <w:r>
        <w:rPr>
          <w:kern w:val="0"/>
        </w:rPr>
        <w:t>pH</w:t>
      </w:r>
      <w:r>
        <w:rPr>
          <w:kern w:val="0"/>
          <w:vertAlign w:val="subscript"/>
        </w:rPr>
        <w:t>sd</w:t>
      </w:r>
      <w:r>
        <w:rPr>
          <w:kern w:val="0"/>
        </w:rPr>
        <w:t>—</w:t>
      </w:r>
      <w:r>
        <w:rPr>
          <w:rFonts w:hint="eastAsia"/>
          <w:kern w:val="0"/>
        </w:rPr>
        <w:t>评价标准值的下限值；</w:t>
      </w:r>
    </w:p>
    <w:p w14:paraId="7AB9C27D">
      <w:pPr>
        <w:pStyle w:val="85"/>
        <w:ind w:firstLine="480"/>
        <w:rPr>
          <w:kern w:val="0"/>
        </w:rPr>
      </w:pPr>
      <w:r>
        <w:rPr>
          <w:kern w:val="0"/>
        </w:rPr>
        <w:t>pH</w:t>
      </w:r>
      <w:r>
        <w:rPr>
          <w:kern w:val="0"/>
          <w:vertAlign w:val="subscript"/>
        </w:rPr>
        <w:t>su</w:t>
      </w:r>
      <w:r>
        <w:rPr>
          <w:kern w:val="0"/>
        </w:rPr>
        <w:t>—</w:t>
      </w:r>
      <w:r>
        <w:rPr>
          <w:rFonts w:hint="eastAsia"/>
          <w:kern w:val="0"/>
        </w:rPr>
        <w:t>评价标准值的上限值。</w:t>
      </w:r>
    </w:p>
    <w:p w14:paraId="27A672F2">
      <w:pPr>
        <w:pStyle w:val="85"/>
        <w:ind w:firstLine="480"/>
        <w:rPr>
          <w:kern w:val="0"/>
        </w:rPr>
      </w:pPr>
      <w:r>
        <w:rPr>
          <w:rFonts w:hint="eastAsia"/>
          <w:kern w:val="0"/>
        </w:rPr>
        <w:t>（6）评价标准</w:t>
      </w:r>
    </w:p>
    <w:p w14:paraId="37946EE1">
      <w:pPr>
        <w:pStyle w:val="85"/>
        <w:ind w:firstLine="480"/>
        <w:rPr>
          <w:kern w:val="0"/>
        </w:rPr>
      </w:pPr>
      <w:r>
        <w:rPr>
          <w:rFonts w:hint="eastAsia"/>
          <w:kern w:val="0"/>
        </w:rPr>
        <w:t>采用《地下水质量标准》(GB/T14848-2017)Ⅲ类标准进行。</w:t>
      </w:r>
    </w:p>
    <w:p w14:paraId="3436C6DA">
      <w:pPr>
        <w:pStyle w:val="85"/>
        <w:ind w:firstLine="480"/>
        <w:rPr>
          <w:kern w:val="0"/>
        </w:rPr>
      </w:pPr>
      <w:r>
        <w:rPr>
          <w:rFonts w:hint="eastAsia"/>
          <w:kern w:val="0"/>
        </w:rPr>
        <w:t>（7）监测结果及评价</w:t>
      </w:r>
    </w:p>
    <w:p w14:paraId="34776626">
      <w:pPr>
        <w:pStyle w:val="85"/>
        <w:ind w:firstLine="480"/>
        <w:rPr>
          <w:kern w:val="0"/>
        </w:rPr>
      </w:pPr>
      <w:r>
        <w:rPr>
          <w:rFonts w:hint="eastAsia"/>
          <w:kern w:val="0"/>
        </w:rPr>
        <w:t>地下水现状监测与评价结果见</w:t>
      </w:r>
      <w:r>
        <w:rPr>
          <w:kern w:val="0"/>
        </w:rPr>
        <w:fldChar w:fldCharType="begin"/>
      </w:r>
      <w:r>
        <w:rPr>
          <w:kern w:val="0"/>
        </w:rPr>
        <w:instrText xml:space="preserve"> </w:instrText>
      </w:r>
      <w:r>
        <w:rPr>
          <w:rFonts w:hint="eastAsia"/>
          <w:kern w:val="0"/>
        </w:rPr>
        <w:instrText xml:space="preserve">REF _Ref129531648 \h</w:instrText>
      </w:r>
      <w:r>
        <w:rPr>
          <w:kern w:val="0"/>
        </w:rPr>
        <w:instrText xml:space="preserve">  \* MERGEFORMAT </w:instrText>
      </w:r>
      <w:r>
        <w:rPr>
          <w:kern w:val="0"/>
        </w:rPr>
        <w:fldChar w:fldCharType="separate"/>
      </w:r>
      <w:r>
        <w:rPr>
          <w:kern w:val="0"/>
        </w:rPr>
        <w:t>表3</w:t>
      </w:r>
      <w:r>
        <w:rPr>
          <w:kern w:val="0"/>
        </w:rPr>
        <w:noBreakHyphen/>
      </w:r>
      <w:r>
        <w:rPr>
          <w:kern w:val="0"/>
        </w:rPr>
        <w:t>8</w:t>
      </w:r>
      <w:r>
        <w:rPr>
          <w:kern w:val="0"/>
        </w:rPr>
        <w:fldChar w:fldCharType="end"/>
      </w:r>
      <w:r>
        <w:rPr>
          <w:rFonts w:hint="eastAsia"/>
          <w:kern w:val="0"/>
        </w:rPr>
        <w:t>、</w:t>
      </w:r>
      <w:r>
        <w:rPr>
          <w:kern w:val="0"/>
        </w:rPr>
        <w:fldChar w:fldCharType="begin"/>
      </w:r>
      <w:r>
        <w:rPr>
          <w:kern w:val="0"/>
        </w:rPr>
        <w:instrText xml:space="preserve"> </w:instrText>
      </w:r>
      <w:r>
        <w:rPr>
          <w:rFonts w:hint="eastAsia"/>
          <w:kern w:val="0"/>
        </w:rPr>
        <w:instrText xml:space="preserve">REF _Ref129532055 \h</w:instrText>
      </w:r>
      <w:r>
        <w:rPr>
          <w:kern w:val="0"/>
        </w:rPr>
        <w:instrText xml:space="preserve">  \* MERGEFORMAT </w:instrText>
      </w:r>
      <w:r>
        <w:rPr>
          <w:kern w:val="0"/>
        </w:rPr>
        <w:fldChar w:fldCharType="separate"/>
      </w:r>
      <w:r>
        <w:rPr>
          <w:kern w:val="0"/>
        </w:rPr>
        <w:t>表3</w:t>
      </w:r>
      <w:r>
        <w:rPr>
          <w:kern w:val="0"/>
        </w:rPr>
        <w:noBreakHyphen/>
      </w:r>
      <w:r>
        <w:rPr>
          <w:kern w:val="0"/>
        </w:rPr>
        <w:t>9</w:t>
      </w:r>
      <w:r>
        <w:rPr>
          <w:kern w:val="0"/>
        </w:rPr>
        <w:fldChar w:fldCharType="end"/>
      </w:r>
      <w:r>
        <w:rPr>
          <w:rFonts w:hint="eastAsia"/>
          <w:kern w:val="0"/>
        </w:rPr>
        <w:t>。</w:t>
      </w:r>
    </w:p>
    <w:p w14:paraId="577D82CC">
      <w:pPr>
        <w:jc w:val="center"/>
        <w:rPr>
          <w:rFonts w:eastAsia="黑体"/>
          <w:bCs/>
          <w:kern w:val="0"/>
          <w:szCs w:val="21"/>
          <w:lang w:val="zh-CN"/>
        </w:rPr>
      </w:pPr>
      <w:bookmarkStart w:id="106" w:name="_Ref129531648"/>
      <w:r>
        <w:rPr>
          <w:kern w:val="0"/>
          <w:sz w:val="24"/>
        </w:rPr>
        <w:t>表</w:t>
      </w:r>
      <w:r>
        <w:rPr>
          <w:kern w:val="0"/>
          <w:sz w:val="24"/>
        </w:rPr>
        <w:fldChar w:fldCharType="begin"/>
      </w:r>
      <w:r>
        <w:rPr>
          <w:kern w:val="0"/>
          <w:sz w:val="24"/>
        </w:rPr>
        <w:instrText xml:space="preserve"> STYLEREF 1 \s </w:instrText>
      </w:r>
      <w:r>
        <w:rPr>
          <w:kern w:val="0"/>
          <w:sz w:val="24"/>
        </w:rPr>
        <w:fldChar w:fldCharType="separate"/>
      </w:r>
      <w:r>
        <w:rPr>
          <w:kern w:val="0"/>
          <w:sz w:val="24"/>
        </w:rPr>
        <w:t>3</w:t>
      </w:r>
      <w:r>
        <w:rPr>
          <w:kern w:val="0"/>
          <w:sz w:val="24"/>
        </w:rPr>
        <w:fldChar w:fldCharType="end"/>
      </w:r>
      <w:r>
        <w:rPr>
          <w:kern w:val="0"/>
          <w:sz w:val="24"/>
        </w:rPr>
        <w:noBreakHyphen/>
      </w:r>
      <w:r>
        <w:rPr>
          <w:kern w:val="0"/>
          <w:sz w:val="24"/>
        </w:rPr>
        <w:fldChar w:fldCharType="begin"/>
      </w:r>
      <w:r>
        <w:rPr>
          <w:kern w:val="0"/>
          <w:sz w:val="24"/>
        </w:rPr>
        <w:instrText xml:space="preserve"> SEQ 表 \* ARABIC \s 1 </w:instrText>
      </w:r>
      <w:r>
        <w:rPr>
          <w:kern w:val="0"/>
          <w:sz w:val="24"/>
        </w:rPr>
        <w:fldChar w:fldCharType="separate"/>
      </w:r>
      <w:r>
        <w:rPr>
          <w:kern w:val="0"/>
          <w:sz w:val="24"/>
        </w:rPr>
        <w:t>8</w:t>
      </w:r>
      <w:r>
        <w:rPr>
          <w:kern w:val="0"/>
          <w:sz w:val="24"/>
        </w:rPr>
        <w:fldChar w:fldCharType="end"/>
      </w:r>
      <w:bookmarkEnd w:id="106"/>
      <w:r>
        <w:rPr>
          <w:kern w:val="0"/>
          <w:sz w:val="24"/>
        </w:rPr>
        <w:t xml:space="preserve"> </w:t>
      </w:r>
      <w:r>
        <w:rPr>
          <w:rFonts w:hint="eastAsia" w:eastAsia="黑体"/>
          <w:bCs/>
          <w:kern w:val="0"/>
          <w:sz w:val="24"/>
          <w:szCs w:val="32"/>
          <w:lang w:val="zh-CN"/>
        </w:rPr>
        <w:t xml:space="preserve"> 地下水现状监测及评价结果一览表  </w:t>
      </w:r>
      <w:r>
        <w:rPr>
          <w:rFonts w:hint="eastAsia" w:eastAsia="黑体"/>
          <w:bCs/>
          <w:kern w:val="0"/>
          <w:szCs w:val="21"/>
          <w:lang w:val="zh-CN"/>
        </w:rPr>
        <w:t>单位：mg/L（pH无量纲）</w:t>
      </w:r>
    </w:p>
    <w:tbl>
      <w:tblPr>
        <w:tblStyle w:val="6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4"/>
        <w:gridCol w:w="1595"/>
        <w:gridCol w:w="1110"/>
        <w:gridCol w:w="1433"/>
        <w:gridCol w:w="1433"/>
        <w:gridCol w:w="1433"/>
      </w:tblGrid>
      <w:tr w14:paraId="244EA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0" w:type="pct"/>
            <w:gridSpan w:val="3"/>
            <w:vMerge w:val="restart"/>
            <w:shd w:val="clear" w:color="auto" w:fill="auto"/>
            <w:vAlign w:val="center"/>
          </w:tcPr>
          <w:p w14:paraId="4B4AAD47">
            <w:pPr>
              <w:widowControl/>
              <w:jc w:val="center"/>
              <w:rPr>
                <w:rFonts w:eastAsiaTheme="minorEastAsia"/>
                <w:kern w:val="0"/>
                <w:szCs w:val="21"/>
              </w:rPr>
            </w:pPr>
            <w:r>
              <w:rPr>
                <w:rFonts w:eastAsiaTheme="minorEastAsia"/>
                <w:kern w:val="0"/>
                <w:szCs w:val="21"/>
              </w:rPr>
              <w:t>项目</w:t>
            </w:r>
          </w:p>
        </w:tc>
        <w:tc>
          <w:tcPr>
            <w:tcW w:w="2520" w:type="pct"/>
            <w:gridSpan w:val="3"/>
            <w:shd w:val="clear" w:color="auto" w:fill="auto"/>
            <w:vAlign w:val="center"/>
          </w:tcPr>
          <w:p w14:paraId="73F09CB6">
            <w:pPr>
              <w:widowControl/>
              <w:jc w:val="center"/>
              <w:rPr>
                <w:rFonts w:eastAsiaTheme="minorEastAsia"/>
                <w:kern w:val="0"/>
                <w:szCs w:val="21"/>
              </w:rPr>
            </w:pPr>
            <w:r>
              <w:rPr>
                <w:rFonts w:eastAsiaTheme="minorEastAsia"/>
                <w:kern w:val="0"/>
                <w:szCs w:val="21"/>
              </w:rPr>
              <w:t>采样日期：2025.4.14日</w:t>
            </w:r>
          </w:p>
        </w:tc>
      </w:tr>
      <w:tr w14:paraId="6F680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0" w:type="pct"/>
            <w:gridSpan w:val="3"/>
            <w:vMerge w:val="continue"/>
            <w:vAlign w:val="center"/>
          </w:tcPr>
          <w:p w14:paraId="777EEBA5">
            <w:pPr>
              <w:widowControl/>
              <w:jc w:val="center"/>
              <w:rPr>
                <w:rFonts w:eastAsiaTheme="minorEastAsia"/>
                <w:kern w:val="0"/>
                <w:szCs w:val="21"/>
              </w:rPr>
            </w:pPr>
          </w:p>
        </w:tc>
        <w:tc>
          <w:tcPr>
            <w:tcW w:w="2520" w:type="pct"/>
            <w:gridSpan w:val="3"/>
            <w:shd w:val="clear" w:color="auto" w:fill="auto"/>
            <w:vAlign w:val="center"/>
          </w:tcPr>
          <w:p w14:paraId="69F680E9">
            <w:pPr>
              <w:widowControl/>
              <w:jc w:val="center"/>
              <w:rPr>
                <w:rFonts w:eastAsiaTheme="minorEastAsia"/>
                <w:kern w:val="0"/>
                <w:szCs w:val="21"/>
              </w:rPr>
            </w:pPr>
            <w:r>
              <w:rPr>
                <w:rFonts w:eastAsiaTheme="minorEastAsia"/>
                <w:kern w:val="0"/>
                <w:szCs w:val="21"/>
              </w:rPr>
              <w:t>检测结果</w:t>
            </w:r>
          </w:p>
        </w:tc>
      </w:tr>
      <w:tr w14:paraId="416C4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0" w:type="pct"/>
            <w:gridSpan w:val="3"/>
            <w:vMerge w:val="continue"/>
            <w:vAlign w:val="center"/>
          </w:tcPr>
          <w:p w14:paraId="03E83D64">
            <w:pPr>
              <w:widowControl/>
              <w:jc w:val="center"/>
              <w:rPr>
                <w:rFonts w:eastAsiaTheme="minorEastAsia"/>
                <w:kern w:val="0"/>
                <w:szCs w:val="21"/>
              </w:rPr>
            </w:pPr>
          </w:p>
        </w:tc>
        <w:tc>
          <w:tcPr>
            <w:tcW w:w="840" w:type="pct"/>
            <w:shd w:val="clear" w:color="auto" w:fill="auto"/>
            <w:vAlign w:val="center"/>
          </w:tcPr>
          <w:p w14:paraId="03AD508E">
            <w:pPr>
              <w:widowControl/>
              <w:jc w:val="center"/>
              <w:rPr>
                <w:rFonts w:eastAsiaTheme="minorEastAsia"/>
                <w:kern w:val="0"/>
                <w:szCs w:val="21"/>
              </w:rPr>
            </w:pPr>
            <w:r>
              <w:rPr>
                <w:rFonts w:eastAsiaTheme="minorEastAsia"/>
                <w:kern w:val="0"/>
                <w:szCs w:val="21"/>
              </w:rPr>
              <w:t>Q1</w:t>
            </w:r>
          </w:p>
          <w:p w14:paraId="7F87E7C9">
            <w:pPr>
              <w:jc w:val="center"/>
              <w:rPr>
                <w:rFonts w:eastAsiaTheme="minorEastAsia"/>
                <w:kern w:val="0"/>
                <w:szCs w:val="21"/>
              </w:rPr>
            </w:pPr>
            <w:r>
              <w:rPr>
                <w:rFonts w:eastAsiaTheme="minorEastAsia"/>
                <w:kern w:val="0"/>
                <w:szCs w:val="21"/>
              </w:rPr>
              <w:t>（潜水）</w:t>
            </w:r>
          </w:p>
        </w:tc>
        <w:tc>
          <w:tcPr>
            <w:tcW w:w="840" w:type="pct"/>
            <w:shd w:val="clear" w:color="auto" w:fill="auto"/>
            <w:vAlign w:val="center"/>
          </w:tcPr>
          <w:p w14:paraId="1BD40EA5">
            <w:pPr>
              <w:widowControl/>
              <w:jc w:val="center"/>
              <w:rPr>
                <w:rFonts w:eastAsiaTheme="minorEastAsia"/>
                <w:kern w:val="0"/>
                <w:szCs w:val="21"/>
              </w:rPr>
            </w:pPr>
            <w:r>
              <w:rPr>
                <w:rFonts w:eastAsiaTheme="minorEastAsia"/>
                <w:kern w:val="0"/>
                <w:szCs w:val="21"/>
              </w:rPr>
              <w:t>Q2（潜水）</w:t>
            </w:r>
          </w:p>
        </w:tc>
        <w:tc>
          <w:tcPr>
            <w:tcW w:w="840" w:type="pct"/>
            <w:shd w:val="clear" w:color="auto" w:fill="auto"/>
            <w:vAlign w:val="center"/>
          </w:tcPr>
          <w:p w14:paraId="314296E6">
            <w:pPr>
              <w:widowControl/>
              <w:jc w:val="center"/>
              <w:rPr>
                <w:rFonts w:eastAsiaTheme="minorEastAsia"/>
                <w:kern w:val="0"/>
                <w:szCs w:val="21"/>
              </w:rPr>
            </w:pPr>
            <w:r>
              <w:rPr>
                <w:rFonts w:eastAsiaTheme="minorEastAsia"/>
                <w:kern w:val="0"/>
                <w:szCs w:val="21"/>
              </w:rPr>
              <w:t>Q3（潜水）</w:t>
            </w:r>
          </w:p>
        </w:tc>
      </w:tr>
      <w:tr w14:paraId="08532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restart"/>
            <w:shd w:val="clear" w:color="auto" w:fill="auto"/>
            <w:vAlign w:val="center"/>
          </w:tcPr>
          <w:p w14:paraId="1C6AD43F">
            <w:pPr>
              <w:widowControl/>
              <w:jc w:val="center"/>
              <w:rPr>
                <w:rFonts w:eastAsiaTheme="minorEastAsia"/>
                <w:kern w:val="0"/>
                <w:szCs w:val="21"/>
              </w:rPr>
            </w:pPr>
            <w:r>
              <w:rPr>
                <w:rFonts w:eastAsiaTheme="minorEastAsia"/>
                <w:kern w:val="0"/>
                <w:szCs w:val="21"/>
              </w:rPr>
              <w:t>色度</w:t>
            </w:r>
          </w:p>
        </w:tc>
        <w:tc>
          <w:tcPr>
            <w:tcW w:w="935" w:type="pct"/>
            <w:shd w:val="clear" w:color="auto" w:fill="auto"/>
            <w:vAlign w:val="center"/>
          </w:tcPr>
          <w:p w14:paraId="495D3A32">
            <w:pPr>
              <w:widowControl/>
              <w:jc w:val="center"/>
              <w:rPr>
                <w:rFonts w:eastAsiaTheme="minorEastAsia"/>
                <w:kern w:val="0"/>
                <w:szCs w:val="21"/>
              </w:rPr>
            </w:pPr>
            <w:r>
              <w:rPr>
                <w:rFonts w:eastAsiaTheme="minorEastAsia"/>
                <w:kern w:val="0"/>
                <w:szCs w:val="21"/>
              </w:rPr>
              <w:t>标准值</w:t>
            </w:r>
          </w:p>
        </w:tc>
        <w:tc>
          <w:tcPr>
            <w:tcW w:w="651" w:type="pct"/>
            <w:shd w:val="clear" w:color="auto" w:fill="auto"/>
            <w:vAlign w:val="center"/>
          </w:tcPr>
          <w:p w14:paraId="188E6AAE">
            <w:pPr>
              <w:widowControl/>
              <w:jc w:val="center"/>
              <w:rPr>
                <w:rFonts w:eastAsiaTheme="minorEastAsia"/>
                <w:kern w:val="0"/>
                <w:szCs w:val="21"/>
              </w:rPr>
            </w:pPr>
            <w:r>
              <w:rPr>
                <w:rFonts w:eastAsiaTheme="minorEastAsia"/>
                <w:kern w:val="0"/>
                <w:szCs w:val="21"/>
              </w:rPr>
              <w:t>监测值</w:t>
            </w:r>
          </w:p>
        </w:tc>
        <w:tc>
          <w:tcPr>
            <w:tcW w:w="840" w:type="pct"/>
            <w:shd w:val="clear" w:color="auto" w:fill="auto"/>
            <w:vAlign w:val="center"/>
          </w:tcPr>
          <w:p w14:paraId="2A9F58DF">
            <w:pPr>
              <w:widowControl/>
              <w:jc w:val="center"/>
              <w:rPr>
                <w:rFonts w:eastAsiaTheme="minorEastAsia"/>
                <w:kern w:val="0"/>
                <w:szCs w:val="21"/>
              </w:rPr>
            </w:pPr>
            <w:r>
              <w:rPr>
                <w:rFonts w:eastAsiaTheme="minorEastAsia"/>
                <w:kern w:val="0"/>
                <w:szCs w:val="21"/>
              </w:rPr>
              <w:t>5L</w:t>
            </w:r>
          </w:p>
        </w:tc>
        <w:tc>
          <w:tcPr>
            <w:tcW w:w="840" w:type="pct"/>
            <w:shd w:val="clear" w:color="auto" w:fill="auto"/>
            <w:vAlign w:val="center"/>
          </w:tcPr>
          <w:p w14:paraId="3E213DAD">
            <w:pPr>
              <w:widowControl/>
              <w:jc w:val="center"/>
              <w:rPr>
                <w:rFonts w:eastAsiaTheme="minorEastAsia"/>
                <w:kern w:val="0"/>
                <w:szCs w:val="21"/>
              </w:rPr>
            </w:pPr>
            <w:r>
              <w:rPr>
                <w:rFonts w:eastAsiaTheme="minorEastAsia"/>
                <w:kern w:val="0"/>
                <w:szCs w:val="21"/>
              </w:rPr>
              <w:t>5L</w:t>
            </w:r>
          </w:p>
        </w:tc>
        <w:tc>
          <w:tcPr>
            <w:tcW w:w="840" w:type="pct"/>
            <w:shd w:val="clear" w:color="auto" w:fill="auto"/>
            <w:vAlign w:val="center"/>
          </w:tcPr>
          <w:p w14:paraId="1C47E772">
            <w:pPr>
              <w:widowControl/>
              <w:jc w:val="center"/>
              <w:rPr>
                <w:rFonts w:eastAsiaTheme="minorEastAsia"/>
                <w:kern w:val="0"/>
                <w:szCs w:val="21"/>
              </w:rPr>
            </w:pPr>
            <w:r>
              <w:rPr>
                <w:rFonts w:eastAsiaTheme="minorEastAsia"/>
                <w:kern w:val="0"/>
                <w:szCs w:val="21"/>
              </w:rPr>
              <w:t>5L</w:t>
            </w:r>
          </w:p>
        </w:tc>
      </w:tr>
      <w:tr w14:paraId="4F7EA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7A1BF3BB">
            <w:pPr>
              <w:widowControl/>
              <w:jc w:val="center"/>
              <w:rPr>
                <w:rFonts w:eastAsiaTheme="minorEastAsia"/>
                <w:kern w:val="0"/>
                <w:szCs w:val="21"/>
              </w:rPr>
            </w:pPr>
          </w:p>
        </w:tc>
        <w:tc>
          <w:tcPr>
            <w:tcW w:w="935" w:type="pct"/>
            <w:vMerge w:val="restart"/>
            <w:shd w:val="clear" w:color="auto" w:fill="auto"/>
            <w:vAlign w:val="center"/>
          </w:tcPr>
          <w:p w14:paraId="1D6242CC">
            <w:pPr>
              <w:widowControl/>
              <w:jc w:val="center"/>
              <w:rPr>
                <w:rFonts w:eastAsiaTheme="minorEastAsia"/>
                <w:kern w:val="0"/>
                <w:szCs w:val="21"/>
              </w:rPr>
            </w:pPr>
            <w:r>
              <w:rPr>
                <w:rFonts w:eastAsiaTheme="minorEastAsia"/>
                <w:kern w:val="0"/>
                <w:szCs w:val="21"/>
              </w:rPr>
              <w:t>15</w:t>
            </w:r>
          </w:p>
        </w:tc>
        <w:tc>
          <w:tcPr>
            <w:tcW w:w="651" w:type="pct"/>
            <w:shd w:val="clear" w:color="auto" w:fill="auto"/>
            <w:vAlign w:val="center"/>
          </w:tcPr>
          <w:p w14:paraId="5DA95B4F">
            <w:pPr>
              <w:widowControl/>
              <w:jc w:val="center"/>
              <w:rPr>
                <w:rFonts w:eastAsiaTheme="minorEastAsia"/>
                <w:kern w:val="0"/>
                <w:szCs w:val="21"/>
              </w:rPr>
            </w:pPr>
            <w:r>
              <w:rPr>
                <w:rFonts w:eastAsiaTheme="minorEastAsia"/>
                <w:kern w:val="0"/>
                <w:szCs w:val="21"/>
              </w:rPr>
              <w:t>标准指数</w:t>
            </w:r>
          </w:p>
        </w:tc>
        <w:tc>
          <w:tcPr>
            <w:tcW w:w="840" w:type="pct"/>
            <w:shd w:val="clear" w:color="auto" w:fill="auto"/>
            <w:vAlign w:val="center"/>
          </w:tcPr>
          <w:p w14:paraId="4520BF50">
            <w:pPr>
              <w:widowControl/>
              <w:jc w:val="center"/>
              <w:rPr>
                <w:rFonts w:eastAsiaTheme="minorEastAsia"/>
                <w:kern w:val="0"/>
                <w:szCs w:val="21"/>
              </w:rPr>
            </w:pPr>
            <w:r>
              <w:rPr>
                <w:rFonts w:eastAsiaTheme="minorEastAsia"/>
                <w:kern w:val="0"/>
                <w:szCs w:val="21"/>
              </w:rPr>
              <w:t>—</w:t>
            </w:r>
          </w:p>
        </w:tc>
        <w:tc>
          <w:tcPr>
            <w:tcW w:w="840" w:type="pct"/>
            <w:shd w:val="clear" w:color="auto" w:fill="auto"/>
            <w:vAlign w:val="center"/>
          </w:tcPr>
          <w:p w14:paraId="14584332">
            <w:pPr>
              <w:widowControl/>
              <w:jc w:val="center"/>
              <w:rPr>
                <w:rFonts w:eastAsiaTheme="minorEastAsia"/>
                <w:kern w:val="0"/>
                <w:szCs w:val="21"/>
              </w:rPr>
            </w:pPr>
            <w:r>
              <w:rPr>
                <w:rFonts w:eastAsiaTheme="minorEastAsia"/>
                <w:kern w:val="0"/>
                <w:szCs w:val="21"/>
              </w:rPr>
              <w:t>—</w:t>
            </w:r>
          </w:p>
        </w:tc>
        <w:tc>
          <w:tcPr>
            <w:tcW w:w="840" w:type="pct"/>
            <w:shd w:val="clear" w:color="auto" w:fill="auto"/>
            <w:vAlign w:val="center"/>
          </w:tcPr>
          <w:p w14:paraId="1916948E">
            <w:pPr>
              <w:widowControl/>
              <w:jc w:val="center"/>
              <w:rPr>
                <w:rFonts w:eastAsiaTheme="minorEastAsia"/>
                <w:kern w:val="0"/>
                <w:szCs w:val="21"/>
              </w:rPr>
            </w:pPr>
            <w:r>
              <w:rPr>
                <w:rFonts w:eastAsiaTheme="minorEastAsia"/>
                <w:kern w:val="0"/>
                <w:szCs w:val="21"/>
              </w:rPr>
              <w:t>—</w:t>
            </w:r>
          </w:p>
        </w:tc>
      </w:tr>
      <w:tr w14:paraId="40D94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49EFD70B">
            <w:pPr>
              <w:widowControl/>
              <w:jc w:val="center"/>
              <w:rPr>
                <w:rFonts w:eastAsiaTheme="minorEastAsia"/>
                <w:kern w:val="0"/>
                <w:szCs w:val="21"/>
              </w:rPr>
            </w:pPr>
          </w:p>
        </w:tc>
        <w:tc>
          <w:tcPr>
            <w:tcW w:w="935" w:type="pct"/>
            <w:vMerge w:val="continue"/>
            <w:vAlign w:val="center"/>
          </w:tcPr>
          <w:p w14:paraId="11199C43">
            <w:pPr>
              <w:widowControl/>
              <w:jc w:val="center"/>
              <w:rPr>
                <w:rFonts w:eastAsiaTheme="minorEastAsia"/>
                <w:kern w:val="0"/>
                <w:szCs w:val="21"/>
              </w:rPr>
            </w:pPr>
          </w:p>
        </w:tc>
        <w:tc>
          <w:tcPr>
            <w:tcW w:w="651" w:type="pct"/>
            <w:shd w:val="clear" w:color="auto" w:fill="auto"/>
            <w:vAlign w:val="center"/>
          </w:tcPr>
          <w:p w14:paraId="1E8C72F6">
            <w:pPr>
              <w:widowControl/>
              <w:jc w:val="center"/>
              <w:rPr>
                <w:rFonts w:eastAsiaTheme="minorEastAsia"/>
                <w:kern w:val="0"/>
                <w:szCs w:val="21"/>
              </w:rPr>
            </w:pPr>
            <w:r>
              <w:rPr>
                <w:rFonts w:eastAsiaTheme="minorEastAsia"/>
                <w:kern w:val="0"/>
                <w:szCs w:val="21"/>
              </w:rPr>
              <w:t>评价结果</w:t>
            </w:r>
          </w:p>
        </w:tc>
        <w:tc>
          <w:tcPr>
            <w:tcW w:w="840" w:type="pct"/>
            <w:shd w:val="clear" w:color="auto" w:fill="auto"/>
            <w:vAlign w:val="center"/>
          </w:tcPr>
          <w:p w14:paraId="0D22F8D3">
            <w:pPr>
              <w:widowControl/>
              <w:jc w:val="center"/>
              <w:rPr>
                <w:rFonts w:eastAsiaTheme="minorEastAsia"/>
                <w:kern w:val="0"/>
                <w:szCs w:val="21"/>
              </w:rPr>
            </w:pPr>
            <w:r>
              <w:rPr>
                <w:rFonts w:eastAsiaTheme="minorEastAsia"/>
                <w:kern w:val="0"/>
                <w:szCs w:val="21"/>
              </w:rPr>
              <w:t>达标</w:t>
            </w:r>
          </w:p>
        </w:tc>
        <w:tc>
          <w:tcPr>
            <w:tcW w:w="840" w:type="pct"/>
            <w:shd w:val="clear" w:color="auto" w:fill="auto"/>
            <w:vAlign w:val="center"/>
          </w:tcPr>
          <w:p w14:paraId="11B065A3">
            <w:pPr>
              <w:widowControl/>
              <w:jc w:val="center"/>
              <w:rPr>
                <w:rFonts w:eastAsiaTheme="minorEastAsia"/>
                <w:kern w:val="0"/>
                <w:szCs w:val="21"/>
              </w:rPr>
            </w:pPr>
            <w:r>
              <w:rPr>
                <w:rFonts w:eastAsiaTheme="minorEastAsia"/>
                <w:kern w:val="0"/>
                <w:szCs w:val="21"/>
              </w:rPr>
              <w:t>达标</w:t>
            </w:r>
          </w:p>
        </w:tc>
        <w:tc>
          <w:tcPr>
            <w:tcW w:w="840" w:type="pct"/>
            <w:shd w:val="clear" w:color="auto" w:fill="auto"/>
            <w:vAlign w:val="center"/>
          </w:tcPr>
          <w:p w14:paraId="3737CD6C">
            <w:pPr>
              <w:widowControl/>
              <w:jc w:val="center"/>
              <w:rPr>
                <w:rFonts w:eastAsiaTheme="minorEastAsia"/>
                <w:kern w:val="0"/>
                <w:szCs w:val="21"/>
              </w:rPr>
            </w:pPr>
            <w:r>
              <w:rPr>
                <w:rFonts w:eastAsiaTheme="minorEastAsia"/>
                <w:kern w:val="0"/>
                <w:szCs w:val="21"/>
              </w:rPr>
              <w:t>达标</w:t>
            </w:r>
          </w:p>
        </w:tc>
      </w:tr>
      <w:tr w14:paraId="5F1FA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restart"/>
            <w:shd w:val="clear" w:color="auto" w:fill="auto"/>
            <w:vAlign w:val="center"/>
          </w:tcPr>
          <w:p w14:paraId="6AFBC07F">
            <w:pPr>
              <w:widowControl/>
              <w:jc w:val="center"/>
              <w:rPr>
                <w:rFonts w:eastAsiaTheme="minorEastAsia"/>
                <w:kern w:val="0"/>
                <w:szCs w:val="21"/>
              </w:rPr>
            </w:pPr>
            <w:r>
              <w:rPr>
                <w:rFonts w:eastAsiaTheme="minorEastAsia"/>
                <w:kern w:val="0"/>
                <w:szCs w:val="21"/>
              </w:rPr>
              <w:t>嗅和味</w:t>
            </w:r>
          </w:p>
        </w:tc>
        <w:tc>
          <w:tcPr>
            <w:tcW w:w="935" w:type="pct"/>
            <w:shd w:val="clear" w:color="auto" w:fill="auto"/>
            <w:vAlign w:val="center"/>
          </w:tcPr>
          <w:p w14:paraId="5714C32B">
            <w:pPr>
              <w:widowControl/>
              <w:jc w:val="center"/>
              <w:rPr>
                <w:rFonts w:eastAsiaTheme="minorEastAsia"/>
                <w:kern w:val="0"/>
                <w:szCs w:val="21"/>
              </w:rPr>
            </w:pPr>
            <w:r>
              <w:rPr>
                <w:rFonts w:eastAsiaTheme="minorEastAsia"/>
                <w:kern w:val="0"/>
                <w:szCs w:val="21"/>
              </w:rPr>
              <w:t>标准值</w:t>
            </w:r>
          </w:p>
        </w:tc>
        <w:tc>
          <w:tcPr>
            <w:tcW w:w="651" w:type="pct"/>
            <w:shd w:val="clear" w:color="auto" w:fill="auto"/>
            <w:vAlign w:val="center"/>
          </w:tcPr>
          <w:p w14:paraId="52902C5A">
            <w:pPr>
              <w:widowControl/>
              <w:jc w:val="center"/>
              <w:rPr>
                <w:rFonts w:eastAsiaTheme="minorEastAsia"/>
                <w:kern w:val="0"/>
                <w:szCs w:val="21"/>
              </w:rPr>
            </w:pPr>
            <w:r>
              <w:rPr>
                <w:rFonts w:eastAsiaTheme="minorEastAsia"/>
                <w:kern w:val="0"/>
                <w:szCs w:val="21"/>
              </w:rPr>
              <w:t>监测值</w:t>
            </w:r>
          </w:p>
        </w:tc>
        <w:tc>
          <w:tcPr>
            <w:tcW w:w="840" w:type="pct"/>
            <w:shd w:val="clear" w:color="auto" w:fill="auto"/>
            <w:vAlign w:val="center"/>
          </w:tcPr>
          <w:p w14:paraId="00024979">
            <w:pPr>
              <w:widowControl/>
              <w:jc w:val="center"/>
              <w:rPr>
                <w:rFonts w:eastAsiaTheme="minorEastAsia"/>
                <w:kern w:val="0"/>
                <w:szCs w:val="21"/>
              </w:rPr>
            </w:pPr>
            <w:r>
              <w:rPr>
                <w:rFonts w:eastAsiaTheme="minorEastAsia"/>
                <w:kern w:val="0"/>
                <w:szCs w:val="21"/>
              </w:rPr>
              <w:t>无</w:t>
            </w:r>
          </w:p>
        </w:tc>
        <w:tc>
          <w:tcPr>
            <w:tcW w:w="840" w:type="pct"/>
            <w:shd w:val="clear" w:color="auto" w:fill="auto"/>
            <w:vAlign w:val="center"/>
          </w:tcPr>
          <w:p w14:paraId="72C95316">
            <w:pPr>
              <w:widowControl/>
              <w:jc w:val="center"/>
              <w:rPr>
                <w:rFonts w:eastAsiaTheme="minorEastAsia"/>
                <w:kern w:val="0"/>
                <w:szCs w:val="21"/>
              </w:rPr>
            </w:pPr>
            <w:r>
              <w:rPr>
                <w:rFonts w:eastAsiaTheme="minorEastAsia"/>
                <w:kern w:val="0"/>
                <w:szCs w:val="21"/>
              </w:rPr>
              <w:t>无</w:t>
            </w:r>
          </w:p>
        </w:tc>
        <w:tc>
          <w:tcPr>
            <w:tcW w:w="840" w:type="pct"/>
            <w:shd w:val="clear" w:color="auto" w:fill="auto"/>
            <w:vAlign w:val="center"/>
          </w:tcPr>
          <w:p w14:paraId="308572AC">
            <w:pPr>
              <w:widowControl/>
              <w:jc w:val="center"/>
              <w:rPr>
                <w:rFonts w:eastAsiaTheme="minorEastAsia"/>
                <w:kern w:val="0"/>
                <w:szCs w:val="21"/>
              </w:rPr>
            </w:pPr>
            <w:r>
              <w:rPr>
                <w:rFonts w:eastAsiaTheme="minorEastAsia"/>
                <w:kern w:val="0"/>
                <w:szCs w:val="21"/>
              </w:rPr>
              <w:t>无</w:t>
            </w:r>
          </w:p>
        </w:tc>
      </w:tr>
      <w:tr w14:paraId="0EB8E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5D1049D2">
            <w:pPr>
              <w:widowControl/>
              <w:jc w:val="center"/>
              <w:rPr>
                <w:rFonts w:eastAsiaTheme="minorEastAsia"/>
                <w:kern w:val="0"/>
                <w:szCs w:val="21"/>
              </w:rPr>
            </w:pPr>
          </w:p>
        </w:tc>
        <w:tc>
          <w:tcPr>
            <w:tcW w:w="935" w:type="pct"/>
            <w:vMerge w:val="restart"/>
            <w:shd w:val="clear" w:color="auto" w:fill="auto"/>
            <w:vAlign w:val="center"/>
          </w:tcPr>
          <w:p w14:paraId="54ECDAA6">
            <w:pPr>
              <w:widowControl/>
              <w:jc w:val="center"/>
              <w:rPr>
                <w:rFonts w:eastAsiaTheme="minorEastAsia"/>
                <w:kern w:val="0"/>
                <w:szCs w:val="21"/>
              </w:rPr>
            </w:pPr>
            <w:r>
              <w:rPr>
                <w:rFonts w:eastAsiaTheme="minorEastAsia"/>
                <w:kern w:val="0"/>
                <w:szCs w:val="21"/>
              </w:rPr>
              <w:t>无</w:t>
            </w:r>
          </w:p>
        </w:tc>
        <w:tc>
          <w:tcPr>
            <w:tcW w:w="651" w:type="pct"/>
            <w:shd w:val="clear" w:color="auto" w:fill="auto"/>
            <w:vAlign w:val="center"/>
          </w:tcPr>
          <w:p w14:paraId="1D8CF896">
            <w:pPr>
              <w:widowControl/>
              <w:jc w:val="center"/>
              <w:rPr>
                <w:rFonts w:eastAsiaTheme="minorEastAsia"/>
                <w:kern w:val="0"/>
                <w:szCs w:val="21"/>
              </w:rPr>
            </w:pPr>
            <w:r>
              <w:rPr>
                <w:rFonts w:eastAsiaTheme="minorEastAsia"/>
                <w:kern w:val="0"/>
                <w:szCs w:val="21"/>
              </w:rPr>
              <w:t>标准指数</w:t>
            </w:r>
          </w:p>
        </w:tc>
        <w:tc>
          <w:tcPr>
            <w:tcW w:w="840" w:type="pct"/>
            <w:shd w:val="clear" w:color="auto" w:fill="auto"/>
            <w:vAlign w:val="center"/>
          </w:tcPr>
          <w:p w14:paraId="442943A5">
            <w:pPr>
              <w:widowControl/>
              <w:jc w:val="center"/>
              <w:rPr>
                <w:rFonts w:eastAsiaTheme="minorEastAsia"/>
                <w:kern w:val="0"/>
                <w:szCs w:val="21"/>
              </w:rPr>
            </w:pPr>
            <w:r>
              <w:rPr>
                <w:rFonts w:eastAsiaTheme="minorEastAsia"/>
                <w:kern w:val="0"/>
                <w:szCs w:val="21"/>
              </w:rPr>
              <w:t>—</w:t>
            </w:r>
          </w:p>
        </w:tc>
        <w:tc>
          <w:tcPr>
            <w:tcW w:w="840" w:type="pct"/>
            <w:shd w:val="clear" w:color="auto" w:fill="auto"/>
            <w:vAlign w:val="center"/>
          </w:tcPr>
          <w:p w14:paraId="7E14F0C5">
            <w:pPr>
              <w:widowControl/>
              <w:jc w:val="center"/>
              <w:rPr>
                <w:rFonts w:eastAsiaTheme="minorEastAsia"/>
                <w:kern w:val="0"/>
                <w:szCs w:val="21"/>
              </w:rPr>
            </w:pPr>
            <w:r>
              <w:rPr>
                <w:rFonts w:eastAsiaTheme="minorEastAsia"/>
                <w:kern w:val="0"/>
                <w:szCs w:val="21"/>
              </w:rPr>
              <w:t>—</w:t>
            </w:r>
          </w:p>
        </w:tc>
        <w:tc>
          <w:tcPr>
            <w:tcW w:w="840" w:type="pct"/>
            <w:shd w:val="clear" w:color="auto" w:fill="auto"/>
            <w:vAlign w:val="center"/>
          </w:tcPr>
          <w:p w14:paraId="0465C1FC">
            <w:pPr>
              <w:widowControl/>
              <w:jc w:val="center"/>
              <w:rPr>
                <w:rFonts w:eastAsiaTheme="minorEastAsia"/>
                <w:kern w:val="0"/>
                <w:szCs w:val="21"/>
              </w:rPr>
            </w:pPr>
            <w:r>
              <w:rPr>
                <w:rFonts w:eastAsiaTheme="minorEastAsia"/>
                <w:kern w:val="0"/>
                <w:szCs w:val="21"/>
              </w:rPr>
              <w:t>—</w:t>
            </w:r>
          </w:p>
        </w:tc>
      </w:tr>
      <w:tr w14:paraId="39E6F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65AE9547">
            <w:pPr>
              <w:widowControl/>
              <w:jc w:val="center"/>
              <w:rPr>
                <w:rFonts w:eastAsiaTheme="minorEastAsia"/>
                <w:kern w:val="0"/>
                <w:szCs w:val="21"/>
              </w:rPr>
            </w:pPr>
          </w:p>
        </w:tc>
        <w:tc>
          <w:tcPr>
            <w:tcW w:w="935" w:type="pct"/>
            <w:vMerge w:val="continue"/>
            <w:vAlign w:val="center"/>
          </w:tcPr>
          <w:p w14:paraId="75A1B914">
            <w:pPr>
              <w:widowControl/>
              <w:jc w:val="center"/>
              <w:rPr>
                <w:rFonts w:eastAsiaTheme="minorEastAsia"/>
                <w:kern w:val="0"/>
                <w:szCs w:val="21"/>
              </w:rPr>
            </w:pPr>
          </w:p>
        </w:tc>
        <w:tc>
          <w:tcPr>
            <w:tcW w:w="651" w:type="pct"/>
            <w:shd w:val="clear" w:color="auto" w:fill="auto"/>
            <w:vAlign w:val="center"/>
          </w:tcPr>
          <w:p w14:paraId="584630DF">
            <w:pPr>
              <w:widowControl/>
              <w:jc w:val="center"/>
              <w:rPr>
                <w:rFonts w:eastAsiaTheme="minorEastAsia"/>
                <w:kern w:val="0"/>
                <w:szCs w:val="21"/>
              </w:rPr>
            </w:pPr>
            <w:r>
              <w:rPr>
                <w:rFonts w:eastAsiaTheme="minorEastAsia"/>
                <w:kern w:val="0"/>
                <w:szCs w:val="21"/>
              </w:rPr>
              <w:t>评价结果</w:t>
            </w:r>
          </w:p>
        </w:tc>
        <w:tc>
          <w:tcPr>
            <w:tcW w:w="840" w:type="pct"/>
            <w:shd w:val="clear" w:color="auto" w:fill="auto"/>
            <w:vAlign w:val="center"/>
          </w:tcPr>
          <w:p w14:paraId="17CDB78D">
            <w:pPr>
              <w:widowControl/>
              <w:jc w:val="center"/>
              <w:rPr>
                <w:rFonts w:eastAsiaTheme="minorEastAsia"/>
                <w:kern w:val="0"/>
                <w:szCs w:val="21"/>
              </w:rPr>
            </w:pPr>
            <w:r>
              <w:rPr>
                <w:rFonts w:eastAsiaTheme="minorEastAsia"/>
                <w:kern w:val="0"/>
                <w:szCs w:val="21"/>
              </w:rPr>
              <w:t>达标</w:t>
            </w:r>
          </w:p>
        </w:tc>
        <w:tc>
          <w:tcPr>
            <w:tcW w:w="840" w:type="pct"/>
            <w:shd w:val="clear" w:color="auto" w:fill="auto"/>
            <w:vAlign w:val="center"/>
          </w:tcPr>
          <w:p w14:paraId="4A075C36">
            <w:pPr>
              <w:widowControl/>
              <w:jc w:val="center"/>
              <w:rPr>
                <w:rFonts w:eastAsiaTheme="minorEastAsia"/>
                <w:kern w:val="0"/>
                <w:szCs w:val="21"/>
              </w:rPr>
            </w:pPr>
            <w:r>
              <w:rPr>
                <w:rFonts w:eastAsiaTheme="minorEastAsia"/>
                <w:kern w:val="0"/>
                <w:szCs w:val="21"/>
              </w:rPr>
              <w:t>达标</w:t>
            </w:r>
          </w:p>
        </w:tc>
        <w:tc>
          <w:tcPr>
            <w:tcW w:w="840" w:type="pct"/>
            <w:shd w:val="clear" w:color="auto" w:fill="auto"/>
            <w:vAlign w:val="center"/>
          </w:tcPr>
          <w:p w14:paraId="1769621B">
            <w:pPr>
              <w:widowControl/>
              <w:jc w:val="center"/>
              <w:rPr>
                <w:rFonts w:eastAsiaTheme="minorEastAsia"/>
                <w:kern w:val="0"/>
                <w:szCs w:val="21"/>
              </w:rPr>
            </w:pPr>
            <w:r>
              <w:rPr>
                <w:rFonts w:eastAsiaTheme="minorEastAsia"/>
                <w:kern w:val="0"/>
                <w:szCs w:val="21"/>
              </w:rPr>
              <w:t>达标</w:t>
            </w:r>
          </w:p>
        </w:tc>
      </w:tr>
      <w:tr w14:paraId="61DE8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restart"/>
            <w:shd w:val="clear" w:color="auto" w:fill="auto"/>
            <w:vAlign w:val="center"/>
          </w:tcPr>
          <w:p w14:paraId="6C29E374">
            <w:pPr>
              <w:widowControl/>
              <w:jc w:val="center"/>
              <w:rPr>
                <w:rFonts w:eastAsiaTheme="minorEastAsia"/>
                <w:kern w:val="0"/>
                <w:szCs w:val="21"/>
              </w:rPr>
            </w:pPr>
            <w:r>
              <w:rPr>
                <w:rFonts w:eastAsiaTheme="minorEastAsia"/>
                <w:kern w:val="0"/>
                <w:szCs w:val="21"/>
              </w:rPr>
              <w:t>浊度</w:t>
            </w:r>
          </w:p>
        </w:tc>
        <w:tc>
          <w:tcPr>
            <w:tcW w:w="935" w:type="pct"/>
            <w:shd w:val="clear" w:color="auto" w:fill="auto"/>
            <w:vAlign w:val="center"/>
          </w:tcPr>
          <w:p w14:paraId="1E07D719">
            <w:pPr>
              <w:widowControl/>
              <w:jc w:val="center"/>
              <w:rPr>
                <w:rFonts w:eastAsiaTheme="minorEastAsia"/>
                <w:kern w:val="0"/>
                <w:szCs w:val="21"/>
              </w:rPr>
            </w:pPr>
            <w:r>
              <w:rPr>
                <w:rFonts w:eastAsiaTheme="minorEastAsia"/>
                <w:kern w:val="0"/>
                <w:szCs w:val="21"/>
              </w:rPr>
              <w:t>标准值</w:t>
            </w:r>
          </w:p>
        </w:tc>
        <w:tc>
          <w:tcPr>
            <w:tcW w:w="651" w:type="pct"/>
            <w:shd w:val="clear" w:color="auto" w:fill="auto"/>
            <w:vAlign w:val="center"/>
          </w:tcPr>
          <w:p w14:paraId="2DD39A99">
            <w:pPr>
              <w:widowControl/>
              <w:jc w:val="center"/>
              <w:rPr>
                <w:rFonts w:eastAsiaTheme="minorEastAsia"/>
                <w:kern w:val="0"/>
                <w:szCs w:val="21"/>
              </w:rPr>
            </w:pPr>
            <w:r>
              <w:rPr>
                <w:rFonts w:eastAsiaTheme="minorEastAsia"/>
                <w:kern w:val="0"/>
                <w:szCs w:val="21"/>
              </w:rPr>
              <w:t>监测值</w:t>
            </w:r>
          </w:p>
        </w:tc>
        <w:tc>
          <w:tcPr>
            <w:tcW w:w="840" w:type="pct"/>
            <w:shd w:val="clear" w:color="auto" w:fill="auto"/>
            <w:vAlign w:val="center"/>
          </w:tcPr>
          <w:p w14:paraId="29DEA21F">
            <w:pPr>
              <w:widowControl/>
              <w:jc w:val="center"/>
              <w:rPr>
                <w:rFonts w:eastAsiaTheme="minorEastAsia"/>
                <w:kern w:val="0"/>
                <w:szCs w:val="21"/>
              </w:rPr>
            </w:pPr>
            <w:r>
              <w:rPr>
                <w:rFonts w:eastAsiaTheme="minorEastAsia"/>
                <w:color w:val="000000"/>
                <w:kern w:val="0"/>
                <w:szCs w:val="21"/>
              </w:rPr>
              <w:t>0.8</w:t>
            </w:r>
          </w:p>
        </w:tc>
        <w:tc>
          <w:tcPr>
            <w:tcW w:w="840" w:type="pct"/>
            <w:shd w:val="clear" w:color="auto" w:fill="auto"/>
            <w:vAlign w:val="center"/>
          </w:tcPr>
          <w:p w14:paraId="5CFE3E20">
            <w:pPr>
              <w:widowControl/>
              <w:jc w:val="center"/>
              <w:rPr>
                <w:rFonts w:eastAsiaTheme="minorEastAsia"/>
                <w:kern w:val="0"/>
                <w:szCs w:val="21"/>
              </w:rPr>
            </w:pPr>
            <w:r>
              <w:rPr>
                <w:rFonts w:eastAsiaTheme="minorEastAsia"/>
                <w:color w:val="000000"/>
                <w:kern w:val="0"/>
                <w:szCs w:val="21"/>
              </w:rPr>
              <w:t>1.8</w:t>
            </w:r>
          </w:p>
        </w:tc>
        <w:tc>
          <w:tcPr>
            <w:tcW w:w="840" w:type="pct"/>
            <w:shd w:val="clear" w:color="auto" w:fill="auto"/>
            <w:vAlign w:val="center"/>
          </w:tcPr>
          <w:p w14:paraId="20A23AAD">
            <w:pPr>
              <w:widowControl/>
              <w:jc w:val="center"/>
              <w:rPr>
                <w:rFonts w:eastAsiaTheme="minorEastAsia"/>
                <w:kern w:val="0"/>
                <w:szCs w:val="21"/>
              </w:rPr>
            </w:pPr>
            <w:r>
              <w:rPr>
                <w:rFonts w:eastAsiaTheme="minorEastAsia"/>
                <w:color w:val="000000"/>
                <w:kern w:val="0"/>
                <w:szCs w:val="21"/>
              </w:rPr>
              <w:t>0.9</w:t>
            </w:r>
          </w:p>
        </w:tc>
      </w:tr>
      <w:tr w14:paraId="23C8A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2FE5A616">
            <w:pPr>
              <w:widowControl/>
              <w:jc w:val="center"/>
              <w:rPr>
                <w:rFonts w:eastAsiaTheme="minorEastAsia"/>
                <w:kern w:val="0"/>
                <w:szCs w:val="21"/>
              </w:rPr>
            </w:pPr>
          </w:p>
        </w:tc>
        <w:tc>
          <w:tcPr>
            <w:tcW w:w="935" w:type="pct"/>
            <w:vMerge w:val="restart"/>
            <w:shd w:val="clear" w:color="auto" w:fill="auto"/>
            <w:vAlign w:val="center"/>
          </w:tcPr>
          <w:p w14:paraId="182173C2">
            <w:pPr>
              <w:widowControl/>
              <w:jc w:val="center"/>
              <w:rPr>
                <w:rFonts w:eastAsiaTheme="minorEastAsia"/>
                <w:kern w:val="0"/>
                <w:szCs w:val="21"/>
              </w:rPr>
            </w:pPr>
            <w:r>
              <w:rPr>
                <w:rFonts w:eastAsiaTheme="minorEastAsia"/>
                <w:kern w:val="0"/>
                <w:szCs w:val="21"/>
              </w:rPr>
              <w:t>3NTU</w:t>
            </w:r>
          </w:p>
        </w:tc>
        <w:tc>
          <w:tcPr>
            <w:tcW w:w="651" w:type="pct"/>
            <w:shd w:val="clear" w:color="auto" w:fill="auto"/>
            <w:vAlign w:val="center"/>
          </w:tcPr>
          <w:p w14:paraId="5662A42E">
            <w:pPr>
              <w:widowControl/>
              <w:jc w:val="center"/>
              <w:rPr>
                <w:rFonts w:eastAsiaTheme="minorEastAsia"/>
                <w:kern w:val="0"/>
                <w:szCs w:val="21"/>
              </w:rPr>
            </w:pPr>
            <w:r>
              <w:rPr>
                <w:rFonts w:eastAsiaTheme="minorEastAsia"/>
                <w:kern w:val="0"/>
                <w:szCs w:val="21"/>
              </w:rPr>
              <w:t>标准指数</w:t>
            </w:r>
          </w:p>
        </w:tc>
        <w:tc>
          <w:tcPr>
            <w:tcW w:w="840" w:type="pct"/>
            <w:shd w:val="clear" w:color="auto" w:fill="auto"/>
            <w:vAlign w:val="center"/>
          </w:tcPr>
          <w:p w14:paraId="21415639">
            <w:pPr>
              <w:widowControl/>
              <w:jc w:val="center"/>
              <w:rPr>
                <w:rFonts w:eastAsiaTheme="minorEastAsia"/>
                <w:kern w:val="0"/>
                <w:szCs w:val="21"/>
              </w:rPr>
            </w:pPr>
            <w:r>
              <w:rPr>
                <w:rFonts w:eastAsiaTheme="minorEastAsia"/>
                <w:color w:val="000000"/>
                <w:kern w:val="0"/>
                <w:szCs w:val="21"/>
              </w:rPr>
              <w:t>0.27</w:t>
            </w:r>
          </w:p>
        </w:tc>
        <w:tc>
          <w:tcPr>
            <w:tcW w:w="840" w:type="pct"/>
            <w:shd w:val="clear" w:color="auto" w:fill="auto"/>
            <w:vAlign w:val="center"/>
          </w:tcPr>
          <w:p w14:paraId="6295968E">
            <w:pPr>
              <w:widowControl/>
              <w:jc w:val="center"/>
              <w:rPr>
                <w:rFonts w:eastAsiaTheme="minorEastAsia"/>
                <w:kern w:val="0"/>
                <w:szCs w:val="21"/>
              </w:rPr>
            </w:pPr>
            <w:r>
              <w:rPr>
                <w:rFonts w:eastAsiaTheme="minorEastAsia"/>
                <w:color w:val="000000"/>
                <w:kern w:val="0"/>
                <w:szCs w:val="21"/>
              </w:rPr>
              <w:t>0.60</w:t>
            </w:r>
          </w:p>
        </w:tc>
        <w:tc>
          <w:tcPr>
            <w:tcW w:w="840" w:type="pct"/>
            <w:shd w:val="clear" w:color="auto" w:fill="auto"/>
            <w:vAlign w:val="center"/>
          </w:tcPr>
          <w:p w14:paraId="1FBDBB3A">
            <w:pPr>
              <w:widowControl/>
              <w:jc w:val="center"/>
              <w:rPr>
                <w:rFonts w:eastAsiaTheme="minorEastAsia"/>
                <w:kern w:val="0"/>
                <w:szCs w:val="21"/>
              </w:rPr>
            </w:pPr>
            <w:r>
              <w:rPr>
                <w:rFonts w:eastAsiaTheme="minorEastAsia"/>
                <w:color w:val="000000"/>
                <w:kern w:val="0"/>
                <w:szCs w:val="21"/>
              </w:rPr>
              <w:t>0.30</w:t>
            </w:r>
          </w:p>
        </w:tc>
      </w:tr>
      <w:tr w14:paraId="42E5E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63DDBBF4">
            <w:pPr>
              <w:widowControl/>
              <w:jc w:val="center"/>
              <w:rPr>
                <w:rFonts w:eastAsiaTheme="minorEastAsia"/>
                <w:kern w:val="0"/>
                <w:szCs w:val="21"/>
              </w:rPr>
            </w:pPr>
          </w:p>
        </w:tc>
        <w:tc>
          <w:tcPr>
            <w:tcW w:w="935" w:type="pct"/>
            <w:vMerge w:val="continue"/>
            <w:vAlign w:val="center"/>
          </w:tcPr>
          <w:p w14:paraId="4C806F95">
            <w:pPr>
              <w:widowControl/>
              <w:jc w:val="center"/>
              <w:rPr>
                <w:rFonts w:eastAsiaTheme="minorEastAsia"/>
                <w:kern w:val="0"/>
                <w:szCs w:val="21"/>
              </w:rPr>
            </w:pPr>
          </w:p>
        </w:tc>
        <w:tc>
          <w:tcPr>
            <w:tcW w:w="651" w:type="pct"/>
            <w:shd w:val="clear" w:color="auto" w:fill="auto"/>
            <w:vAlign w:val="center"/>
          </w:tcPr>
          <w:p w14:paraId="76458F34">
            <w:pPr>
              <w:widowControl/>
              <w:jc w:val="center"/>
              <w:rPr>
                <w:rFonts w:eastAsiaTheme="minorEastAsia"/>
                <w:kern w:val="0"/>
                <w:szCs w:val="21"/>
              </w:rPr>
            </w:pPr>
            <w:r>
              <w:rPr>
                <w:rFonts w:eastAsiaTheme="minorEastAsia"/>
                <w:kern w:val="0"/>
                <w:szCs w:val="21"/>
              </w:rPr>
              <w:t>评价结果</w:t>
            </w:r>
          </w:p>
        </w:tc>
        <w:tc>
          <w:tcPr>
            <w:tcW w:w="840" w:type="pct"/>
            <w:shd w:val="clear" w:color="auto" w:fill="auto"/>
            <w:vAlign w:val="center"/>
          </w:tcPr>
          <w:p w14:paraId="6593A331">
            <w:pPr>
              <w:widowControl/>
              <w:jc w:val="center"/>
              <w:rPr>
                <w:rFonts w:eastAsiaTheme="minorEastAsia"/>
                <w:kern w:val="0"/>
                <w:szCs w:val="21"/>
              </w:rPr>
            </w:pPr>
            <w:r>
              <w:rPr>
                <w:rFonts w:eastAsiaTheme="minorEastAsia"/>
                <w:kern w:val="0"/>
                <w:szCs w:val="21"/>
              </w:rPr>
              <w:t>达标</w:t>
            </w:r>
          </w:p>
        </w:tc>
        <w:tc>
          <w:tcPr>
            <w:tcW w:w="840" w:type="pct"/>
            <w:shd w:val="clear" w:color="auto" w:fill="auto"/>
            <w:vAlign w:val="center"/>
          </w:tcPr>
          <w:p w14:paraId="6BE87ED1">
            <w:pPr>
              <w:widowControl/>
              <w:jc w:val="center"/>
              <w:rPr>
                <w:rFonts w:eastAsiaTheme="minorEastAsia"/>
                <w:kern w:val="0"/>
                <w:szCs w:val="21"/>
              </w:rPr>
            </w:pPr>
            <w:r>
              <w:rPr>
                <w:rFonts w:eastAsiaTheme="minorEastAsia"/>
                <w:kern w:val="0"/>
                <w:szCs w:val="21"/>
              </w:rPr>
              <w:t>达标</w:t>
            </w:r>
          </w:p>
        </w:tc>
        <w:tc>
          <w:tcPr>
            <w:tcW w:w="840" w:type="pct"/>
            <w:shd w:val="clear" w:color="auto" w:fill="auto"/>
            <w:vAlign w:val="center"/>
          </w:tcPr>
          <w:p w14:paraId="515606F8">
            <w:pPr>
              <w:widowControl/>
              <w:jc w:val="center"/>
              <w:rPr>
                <w:rFonts w:eastAsiaTheme="minorEastAsia"/>
                <w:kern w:val="0"/>
                <w:szCs w:val="21"/>
              </w:rPr>
            </w:pPr>
            <w:r>
              <w:rPr>
                <w:rFonts w:eastAsiaTheme="minorEastAsia"/>
                <w:kern w:val="0"/>
                <w:szCs w:val="21"/>
              </w:rPr>
              <w:t>达标</w:t>
            </w:r>
          </w:p>
        </w:tc>
      </w:tr>
      <w:tr w14:paraId="2FFBA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restart"/>
            <w:shd w:val="clear" w:color="auto" w:fill="auto"/>
            <w:vAlign w:val="center"/>
          </w:tcPr>
          <w:p w14:paraId="083191BF">
            <w:pPr>
              <w:widowControl/>
              <w:jc w:val="center"/>
              <w:rPr>
                <w:rFonts w:eastAsiaTheme="minorEastAsia"/>
                <w:kern w:val="0"/>
                <w:szCs w:val="21"/>
              </w:rPr>
            </w:pPr>
            <w:r>
              <w:rPr>
                <w:rFonts w:eastAsiaTheme="minorEastAsia"/>
                <w:kern w:val="0"/>
                <w:szCs w:val="21"/>
              </w:rPr>
              <w:t>肉眼可见物</w:t>
            </w:r>
          </w:p>
        </w:tc>
        <w:tc>
          <w:tcPr>
            <w:tcW w:w="935" w:type="pct"/>
            <w:shd w:val="clear" w:color="auto" w:fill="auto"/>
            <w:vAlign w:val="center"/>
          </w:tcPr>
          <w:p w14:paraId="70B10149">
            <w:pPr>
              <w:widowControl/>
              <w:jc w:val="center"/>
              <w:rPr>
                <w:rFonts w:eastAsiaTheme="minorEastAsia"/>
                <w:kern w:val="0"/>
                <w:szCs w:val="21"/>
              </w:rPr>
            </w:pPr>
            <w:r>
              <w:rPr>
                <w:rFonts w:eastAsiaTheme="minorEastAsia"/>
                <w:kern w:val="0"/>
                <w:szCs w:val="21"/>
              </w:rPr>
              <w:t>标准值</w:t>
            </w:r>
          </w:p>
        </w:tc>
        <w:tc>
          <w:tcPr>
            <w:tcW w:w="651" w:type="pct"/>
            <w:shd w:val="clear" w:color="auto" w:fill="auto"/>
            <w:vAlign w:val="center"/>
          </w:tcPr>
          <w:p w14:paraId="518B3080">
            <w:pPr>
              <w:widowControl/>
              <w:jc w:val="center"/>
              <w:rPr>
                <w:rFonts w:eastAsiaTheme="minorEastAsia"/>
                <w:kern w:val="0"/>
                <w:szCs w:val="21"/>
              </w:rPr>
            </w:pPr>
            <w:r>
              <w:rPr>
                <w:rFonts w:eastAsiaTheme="minorEastAsia"/>
                <w:kern w:val="0"/>
                <w:szCs w:val="21"/>
              </w:rPr>
              <w:t>监测值</w:t>
            </w:r>
          </w:p>
        </w:tc>
        <w:tc>
          <w:tcPr>
            <w:tcW w:w="840" w:type="pct"/>
            <w:shd w:val="clear" w:color="auto" w:fill="auto"/>
            <w:vAlign w:val="center"/>
          </w:tcPr>
          <w:p w14:paraId="63D07664">
            <w:pPr>
              <w:widowControl/>
              <w:jc w:val="center"/>
              <w:rPr>
                <w:rFonts w:eastAsiaTheme="minorEastAsia"/>
                <w:kern w:val="0"/>
                <w:szCs w:val="21"/>
              </w:rPr>
            </w:pPr>
            <w:r>
              <w:rPr>
                <w:rFonts w:eastAsiaTheme="minorEastAsia"/>
                <w:kern w:val="0"/>
                <w:szCs w:val="21"/>
              </w:rPr>
              <w:t>无</w:t>
            </w:r>
          </w:p>
        </w:tc>
        <w:tc>
          <w:tcPr>
            <w:tcW w:w="840" w:type="pct"/>
            <w:shd w:val="clear" w:color="auto" w:fill="auto"/>
            <w:vAlign w:val="center"/>
          </w:tcPr>
          <w:p w14:paraId="4F5AB6A4">
            <w:pPr>
              <w:widowControl/>
              <w:jc w:val="center"/>
              <w:rPr>
                <w:rFonts w:eastAsiaTheme="minorEastAsia"/>
                <w:kern w:val="0"/>
                <w:szCs w:val="21"/>
              </w:rPr>
            </w:pPr>
            <w:r>
              <w:rPr>
                <w:rFonts w:eastAsiaTheme="minorEastAsia"/>
                <w:kern w:val="0"/>
                <w:szCs w:val="21"/>
              </w:rPr>
              <w:t>无</w:t>
            </w:r>
          </w:p>
        </w:tc>
        <w:tc>
          <w:tcPr>
            <w:tcW w:w="840" w:type="pct"/>
            <w:shd w:val="clear" w:color="auto" w:fill="auto"/>
            <w:vAlign w:val="center"/>
          </w:tcPr>
          <w:p w14:paraId="661D8306">
            <w:pPr>
              <w:widowControl/>
              <w:jc w:val="center"/>
              <w:rPr>
                <w:rFonts w:eastAsiaTheme="minorEastAsia"/>
                <w:kern w:val="0"/>
                <w:szCs w:val="21"/>
              </w:rPr>
            </w:pPr>
            <w:r>
              <w:rPr>
                <w:rFonts w:eastAsiaTheme="minorEastAsia"/>
                <w:kern w:val="0"/>
                <w:szCs w:val="21"/>
              </w:rPr>
              <w:t>无</w:t>
            </w:r>
          </w:p>
        </w:tc>
      </w:tr>
      <w:tr w14:paraId="68291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657A75FA">
            <w:pPr>
              <w:widowControl/>
              <w:jc w:val="center"/>
              <w:rPr>
                <w:rFonts w:eastAsiaTheme="minorEastAsia"/>
                <w:kern w:val="0"/>
                <w:szCs w:val="21"/>
              </w:rPr>
            </w:pPr>
          </w:p>
        </w:tc>
        <w:tc>
          <w:tcPr>
            <w:tcW w:w="935" w:type="pct"/>
            <w:vMerge w:val="restart"/>
            <w:shd w:val="clear" w:color="auto" w:fill="auto"/>
            <w:vAlign w:val="center"/>
          </w:tcPr>
          <w:p w14:paraId="260CF4BA">
            <w:pPr>
              <w:widowControl/>
              <w:jc w:val="center"/>
              <w:rPr>
                <w:rFonts w:eastAsiaTheme="minorEastAsia"/>
                <w:kern w:val="0"/>
                <w:szCs w:val="21"/>
              </w:rPr>
            </w:pPr>
            <w:r>
              <w:rPr>
                <w:rFonts w:eastAsiaTheme="minorEastAsia"/>
                <w:kern w:val="0"/>
                <w:szCs w:val="21"/>
              </w:rPr>
              <w:t>无</w:t>
            </w:r>
          </w:p>
        </w:tc>
        <w:tc>
          <w:tcPr>
            <w:tcW w:w="651" w:type="pct"/>
            <w:shd w:val="clear" w:color="auto" w:fill="auto"/>
            <w:vAlign w:val="center"/>
          </w:tcPr>
          <w:p w14:paraId="5A15558A">
            <w:pPr>
              <w:widowControl/>
              <w:jc w:val="center"/>
              <w:rPr>
                <w:rFonts w:eastAsiaTheme="minorEastAsia"/>
                <w:kern w:val="0"/>
                <w:szCs w:val="21"/>
              </w:rPr>
            </w:pPr>
            <w:r>
              <w:rPr>
                <w:rFonts w:eastAsiaTheme="minorEastAsia"/>
                <w:kern w:val="0"/>
                <w:szCs w:val="21"/>
              </w:rPr>
              <w:t>标准指数</w:t>
            </w:r>
          </w:p>
        </w:tc>
        <w:tc>
          <w:tcPr>
            <w:tcW w:w="840" w:type="pct"/>
            <w:shd w:val="clear" w:color="auto" w:fill="auto"/>
            <w:vAlign w:val="center"/>
          </w:tcPr>
          <w:p w14:paraId="7F7F8464">
            <w:pPr>
              <w:widowControl/>
              <w:jc w:val="center"/>
              <w:rPr>
                <w:rFonts w:eastAsiaTheme="minorEastAsia"/>
                <w:kern w:val="0"/>
                <w:szCs w:val="21"/>
              </w:rPr>
            </w:pPr>
            <w:r>
              <w:rPr>
                <w:rFonts w:eastAsiaTheme="minorEastAsia"/>
                <w:kern w:val="0"/>
                <w:szCs w:val="21"/>
              </w:rPr>
              <w:t>—</w:t>
            </w:r>
          </w:p>
        </w:tc>
        <w:tc>
          <w:tcPr>
            <w:tcW w:w="840" w:type="pct"/>
            <w:shd w:val="clear" w:color="auto" w:fill="auto"/>
            <w:vAlign w:val="center"/>
          </w:tcPr>
          <w:p w14:paraId="5A06FACB">
            <w:pPr>
              <w:widowControl/>
              <w:jc w:val="center"/>
              <w:rPr>
                <w:rFonts w:eastAsiaTheme="minorEastAsia"/>
                <w:kern w:val="0"/>
                <w:szCs w:val="21"/>
              </w:rPr>
            </w:pPr>
            <w:r>
              <w:rPr>
                <w:rFonts w:eastAsiaTheme="minorEastAsia"/>
                <w:kern w:val="0"/>
                <w:szCs w:val="21"/>
              </w:rPr>
              <w:t>—</w:t>
            </w:r>
          </w:p>
        </w:tc>
        <w:tc>
          <w:tcPr>
            <w:tcW w:w="840" w:type="pct"/>
            <w:shd w:val="clear" w:color="auto" w:fill="auto"/>
            <w:vAlign w:val="center"/>
          </w:tcPr>
          <w:p w14:paraId="58D0315C">
            <w:pPr>
              <w:widowControl/>
              <w:jc w:val="center"/>
              <w:rPr>
                <w:rFonts w:eastAsiaTheme="minorEastAsia"/>
                <w:kern w:val="0"/>
                <w:szCs w:val="21"/>
              </w:rPr>
            </w:pPr>
            <w:r>
              <w:rPr>
                <w:rFonts w:eastAsiaTheme="minorEastAsia"/>
                <w:kern w:val="0"/>
                <w:szCs w:val="21"/>
              </w:rPr>
              <w:t>—</w:t>
            </w:r>
          </w:p>
        </w:tc>
      </w:tr>
      <w:tr w14:paraId="386FF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0BD8A749">
            <w:pPr>
              <w:widowControl/>
              <w:jc w:val="center"/>
              <w:rPr>
                <w:rFonts w:eastAsiaTheme="minorEastAsia"/>
                <w:kern w:val="0"/>
                <w:szCs w:val="21"/>
              </w:rPr>
            </w:pPr>
          </w:p>
        </w:tc>
        <w:tc>
          <w:tcPr>
            <w:tcW w:w="935" w:type="pct"/>
            <w:vMerge w:val="continue"/>
            <w:vAlign w:val="center"/>
          </w:tcPr>
          <w:p w14:paraId="11965119">
            <w:pPr>
              <w:widowControl/>
              <w:jc w:val="center"/>
              <w:rPr>
                <w:rFonts w:eastAsiaTheme="minorEastAsia"/>
                <w:kern w:val="0"/>
                <w:szCs w:val="21"/>
              </w:rPr>
            </w:pPr>
          </w:p>
        </w:tc>
        <w:tc>
          <w:tcPr>
            <w:tcW w:w="651" w:type="pct"/>
            <w:shd w:val="clear" w:color="auto" w:fill="auto"/>
            <w:vAlign w:val="center"/>
          </w:tcPr>
          <w:p w14:paraId="4EB1DAB0">
            <w:pPr>
              <w:widowControl/>
              <w:jc w:val="center"/>
              <w:rPr>
                <w:rFonts w:eastAsiaTheme="minorEastAsia"/>
                <w:kern w:val="0"/>
                <w:szCs w:val="21"/>
              </w:rPr>
            </w:pPr>
            <w:r>
              <w:rPr>
                <w:rFonts w:eastAsiaTheme="minorEastAsia"/>
                <w:kern w:val="0"/>
                <w:szCs w:val="21"/>
              </w:rPr>
              <w:t>评价结果</w:t>
            </w:r>
          </w:p>
        </w:tc>
        <w:tc>
          <w:tcPr>
            <w:tcW w:w="840" w:type="pct"/>
            <w:shd w:val="clear" w:color="auto" w:fill="auto"/>
            <w:vAlign w:val="center"/>
          </w:tcPr>
          <w:p w14:paraId="181F6B08">
            <w:pPr>
              <w:widowControl/>
              <w:jc w:val="center"/>
              <w:rPr>
                <w:rFonts w:eastAsiaTheme="minorEastAsia"/>
                <w:kern w:val="0"/>
                <w:szCs w:val="21"/>
              </w:rPr>
            </w:pPr>
            <w:r>
              <w:rPr>
                <w:rFonts w:eastAsiaTheme="minorEastAsia"/>
                <w:kern w:val="0"/>
                <w:szCs w:val="21"/>
              </w:rPr>
              <w:t>达标</w:t>
            </w:r>
          </w:p>
        </w:tc>
        <w:tc>
          <w:tcPr>
            <w:tcW w:w="840" w:type="pct"/>
            <w:shd w:val="clear" w:color="auto" w:fill="auto"/>
            <w:vAlign w:val="center"/>
          </w:tcPr>
          <w:p w14:paraId="0859C443">
            <w:pPr>
              <w:widowControl/>
              <w:jc w:val="center"/>
              <w:rPr>
                <w:rFonts w:eastAsiaTheme="minorEastAsia"/>
                <w:kern w:val="0"/>
                <w:szCs w:val="21"/>
              </w:rPr>
            </w:pPr>
            <w:r>
              <w:rPr>
                <w:rFonts w:eastAsiaTheme="minorEastAsia"/>
                <w:kern w:val="0"/>
                <w:szCs w:val="21"/>
              </w:rPr>
              <w:t>达标</w:t>
            </w:r>
          </w:p>
        </w:tc>
        <w:tc>
          <w:tcPr>
            <w:tcW w:w="840" w:type="pct"/>
            <w:shd w:val="clear" w:color="auto" w:fill="auto"/>
            <w:vAlign w:val="center"/>
          </w:tcPr>
          <w:p w14:paraId="76CAF436">
            <w:pPr>
              <w:widowControl/>
              <w:jc w:val="center"/>
              <w:rPr>
                <w:rFonts w:eastAsiaTheme="minorEastAsia"/>
                <w:kern w:val="0"/>
                <w:szCs w:val="21"/>
              </w:rPr>
            </w:pPr>
            <w:r>
              <w:rPr>
                <w:rFonts w:eastAsiaTheme="minorEastAsia"/>
                <w:kern w:val="0"/>
                <w:szCs w:val="21"/>
              </w:rPr>
              <w:t>达标</w:t>
            </w:r>
          </w:p>
        </w:tc>
      </w:tr>
      <w:tr w14:paraId="4BA6C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restart"/>
            <w:shd w:val="clear" w:color="auto" w:fill="auto"/>
            <w:vAlign w:val="center"/>
          </w:tcPr>
          <w:p w14:paraId="39E202EA">
            <w:pPr>
              <w:widowControl/>
              <w:jc w:val="center"/>
              <w:rPr>
                <w:rFonts w:eastAsiaTheme="minorEastAsia"/>
                <w:kern w:val="0"/>
                <w:szCs w:val="21"/>
              </w:rPr>
            </w:pPr>
            <w:r>
              <w:rPr>
                <w:rFonts w:eastAsiaTheme="minorEastAsia"/>
                <w:kern w:val="0"/>
                <w:szCs w:val="21"/>
              </w:rPr>
              <w:t>pH值</w:t>
            </w:r>
          </w:p>
        </w:tc>
        <w:tc>
          <w:tcPr>
            <w:tcW w:w="935" w:type="pct"/>
            <w:shd w:val="clear" w:color="auto" w:fill="auto"/>
            <w:vAlign w:val="center"/>
          </w:tcPr>
          <w:p w14:paraId="2E9690EB">
            <w:pPr>
              <w:widowControl/>
              <w:jc w:val="center"/>
              <w:rPr>
                <w:rFonts w:eastAsiaTheme="minorEastAsia"/>
                <w:kern w:val="0"/>
                <w:szCs w:val="21"/>
              </w:rPr>
            </w:pPr>
            <w:r>
              <w:rPr>
                <w:rFonts w:eastAsiaTheme="minorEastAsia"/>
                <w:kern w:val="0"/>
                <w:szCs w:val="21"/>
              </w:rPr>
              <w:t>标准值</w:t>
            </w:r>
          </w:p>
        </w:tc>
        <w:tc>
          <w:tcPr>
            <w:tcW w:w="651" w:type="pct"/>
            <w:shd w:val="clear" w:color="auto" w:fill="auto"/>
            <w:vAlign w:val="center"/>
          </w:tcPr>
          <w:p w14:paraId="61424CE7">
            <w:pPr>
              <w:widowControl/>
              <w:jc w:val="center"/>
              <w:rPr>
                <w:rFonts w:eastAsiaTheme="minorEastAsia"/>
                <w:kern w:val="0"/>
                <w:szCs w:val="21"/>
              </w:rPr>
            </w:pPr>
            <w:r>
              <w:rPr>
                <w:rFonts w:eastAsiaTheme="minorEastAsia"/>
                <w:kern w:val="0"/>
                <w:szCs w:val="21"/>
              </w:rPr>
              <w:t>监测值</w:t>
            </w:r>
          </w:p>
        </w:tc>
        <w:tc>
          <w:tcPr>
            <w:tcW w:w="840" w:type="pct"/>
            <w:shd w:val="clear" w:color="auto" w:fill="auto"/>
            <w:vAlign w:val="center"/>
          </w:tcPr>
          <w:p w14:paraId="478D2956">
            <w:pPr>
              <w:widowControl/>
              <w:jc w:val="center"/>
              <w:rPr>
                <w:rFonts w:eastAsiaTheme="minorEastAsia"/>
                <w:kern w:val="0"/>
                <w:szCs w:val="21"/>
              </w:rPr>
            </w:pPr>
            <w:r>
              <w:rPr>
                <w:rFonts w:eastAsiaTheme="minorEastAsia"/>
                <w:color w:val="000000"/>
                <w:kern w:val="0"/>
                <w:szCs w:val="21"/>
              </w:rPr>
              <w:t>7.5</w:t>
            </w:r>
          </w:p>
        </w:tc>
        <w:tc>
          <w:tcPr>
            <w:tcW w:w="840" w:type="pct"/>
            <w:shd w:val="clear" w:color="auto" w:fill="auto"/>
            <w:vAlign w:val="center"/>
          </w:tcPr>
          <w:p w14:paraId="0D77A5E8">
            <w:pPr>
              <w:widowControl/>
              <w:jc w:val="center"/>
              <w:rPr>
                <w:rFonts w:eastAsiaTheme="minorEastAsia"/>
                <w:kern w:val="0"/>
                <w:szCs w:val="21"/>
              </w:rPr>
            </w:pPr>
            <w:r>
              <w:rPr>
                <w:rFonts w:eastAsiaTheme="minorEastAsia"/>
                <w:color w:val="000000"/>
                <w:kern w:val="0"/>
                <w:szCs w:val="21"/>
              </w:rPr>
              <w:t>7.7</w:t>
            </w:r>
          </w:p>
        </w:tc>
        <w:tc>
          <w:tcPr>
            <w:tcW w:w="840" w:type="pct"/>
            <w:shd w:val="clear" w:color="auto" w:fill="auto"/>
            <w:vAlign w:val="center"/>
          </w:tcPr>
          <w:p w14:paraId="42246AB5">
            <w:pPr>
              <w:widowControl/>
              <w:jc w:val="center"/>
              <w:rPr>
                <w:rFonts w:eastAsiaTheme="minorEastAsia"/>
                <w:kern w:val="0"/>
                <w:szCs w:val="21"/>
              </w:rPr>
            </w:pPr>
            <w:r>
              <w:rPr>
                <w:rFonts w:eastAsiaTheme="minorEastAsia"/>
                <w:color w:val="000000"/>
                <w:kern w:val="0"/>
                <w:szCs w:val="21"/>
              </w:rPr>
              <w:t>7.8</w:t>
            </w:r>
          </w:p>
        </w:tc>
      </w:tr>
      <w:tr w14:paraId="69697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5860FCA9">
            <w:pPr>
              <w:widowControl/>
              <w:jc w:val="center"/>
              <w:rPr>
                <w:rFonts w:eastAsiaTheme="minorEastAsia"/>
                <w:kern w:val="0"/>
                <w:szCs w:val="21"/>
              </w:rPr>
            </w:pPr>
          </w:p>
        </w:tc>
        <w:tc>
          <w:tcPr>
            <w:tcW w:w="935" w:type="pct"/>
            <w:vMerge w:val="restart"/>
            <w:shd w:val="clear" w:color="auto" w:fill="auto"/>
            <w:vAlign w:val="center"/>
          </w:tcPr>
          <w:p w14:paraId="1BC9C2AD">
            <w:pPr>
              <w:widowControl/>
              <w:jc w:val="center"/>
              <w:rPr>
                <w:rFonts w:eastAsiaTheme="minorEastAsia"/>
                <w:kern w:val="0"/>
                <w:szCs w:val="21"/>
              </w:rPr>
            </w:pPr>
            <w:r>
              <w:rPr>
                <w:rFonts w:eastAsiaTheme="minorEastAsia"/>
                <w:kern w:val="0"/>
                <w:szCs w:val="21"/>
              </w:rPr>
              <w:t>6.5~8.5</w:t>
            </w:r>
          </w:p>
        </w:tc>
        <w:tc>
          <w:tcPr>
            <w:tcW w:w="651" w:type="pct"/>
            <w:shd w:val="clear" w:color="auto" w:fill="auto"/>
            <w:vAlign w:val="center"/>
          </w:tcPr>
          <w:p w14:paraId="263E342D">
            <w:pPr>
              <w:widowControl/>
              <w:jc w:val="center"/>
              <w:rPr>
                <w:rFonts w:eastAsiaTheme="minorEastAsia"/>
                <w:kern w:val="0"/>
                <w:szCs w:val="21"/>
              </w:rPr>
            </w:pPr>
            <w:r>
              <w:rPr>
                <w:rFonts w:eastAsiaTheme="minorEastAsia"/>
                <w:kern w:val="0"/>
                <w:szCs w:val="21"/>
              </w:rPr>
              <w:t>标准指数</w:t>
            </w:r>
          </w:p>
        </w:tc>
        <w:tc>
          <w:tcPr>
            <w:tcW w:w="840" w:type="pct"/>
            <w:shd w:val="clear" w:color="auto" w:fill="auto"/>
            <w:vAlign w:val="center"/>
          </w:tcPr>
          <w:p w14:paraId="3B646735">
            <w:pPr>
              <w:widowControl/>
              <w:jc w:val="center"/>
              <w:rPr>
                <w:rFonts w:eastAsiaTheme="minorEastAsia"/>
                <w:kern w:val="0"/>
                <w:szCs w:val="21"/>
              </w:rPr>
            </w:pPr>
            <w:r>
              <w:rPr>
                <w:rFonts w:eastAsiaTheme="minorEastAsia"/>
                <w:color w:val="000000"/>
                <w:kern w:val="0"/>
                <w:szCs w:val="21"/>
              </w:rPr>
              <w:t>0.33</w:t>
            </w:r>
          </w:p>
        </w:tc>
        <w:tc>
          <w:tcPr>
            <w:tcW w:w="840" w:type="pct"/>
            <w:shd w:val="clear" w:color="auto" w:fill="auto"/>
            <w:vAlign w:val="center"/>
          </w:tcPr>
          <w:p w14:paraId="15D83353">
            <w:pPr>
              <w:widowControl/>
              <w:jc w:val="center"/>
              <w:rPr>
                <w:rFonts w:eastAsiaTheme="minorEastAsia"/>
                <w:kern w:val="0"/>
                <w:szCs w:val="21"/>
              </w:rPr>
            </w:pPr>
            <w:r>
              <w:rPr>
                <w:rFonts w:eastAsiaTheme="minorEastAsia"/>
                <w:color w:val="000000"/>
                <w:kern w:val="0"/>
                <w:szCs w:val="21"/>
              </w:rPr>
              <w:t>0.47</w:t>
            </w:r>
          </w:p>
        </w:tc>
        <w:tc>
          <w:tcPr>
            <w:tcW w:w="840" w:type="pct"/>
            <w:shd w:val="clear" w:color="auto" w:fill="auto"/>
            <w:vAlign w:val="center"/>
          </w:tcPr>
          <w:p w14:paraId="2235AD2E">
            <w:pPr>
              <w:widowControl/>
              <w:jc w:val="center"/>
              <w:rPr>
                <w:rFonts w:eastAsiaTheme="minorEastAsia"/>
                <w:kern w:val="0"/>
                <w:szCs w:val="21"/>
              </w:rPr>
            </w:pPr>
            <w:r>
              <w:rPr>
                <w:rFonts w:eastAsiaTheme="minorEastAsia"/>
                <w:color w:val="000000"/>
                <w:kern w:val="0"/>
                <w:szCs w:val="21"/>
              </w:rPr>
              <w:t>0.53</w:t>
            </w:r>
          </w:p>
        </w:tc>
      </w:tr>
      <w:tr w14:paraId="43E35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0D5CFFA5">
            <w:pPr>
              <w:widowControl/>
              <w:jc w:val="center"/>
              <w:rPr>
                <w:rFonts w:eastAsiaTheme="minorEastAsia"/>
                <w:kern w:val="0"/>
                <w:szCs w:val="21"/>
              </w:rPr>
            </w:pPr>
          </w:p>
        </w:tc>
        <w:tc>
          <w:tcPr>
            <w:tcW w:w="935" w:type="pct"/>
            <w:vMerge w:val="continue"/>
            <w:vAlign w:val="center"/>
          </w:tcPr>
          <w:p w14:paraId="43C80C12">
            <w:pPr>
              <w:widowControl/>
              <w:jc w:val="center"/>
              <w:rPr>
                <w:rFonts w:eastAsiaTheme="minorEastAsia"/>
                <w:kern w:val="0"/>
                <w:szCs w:val="21"/>
              </w:rPr>
            </w:pPr>
          </w:p>
        </w:tc>
        <w:tc>
          <w:tcPr>
            <w:tcW w:w="651" w:type="pct"/>
            <w:shd w:val="clear" w:color="auto" w:fill="auto"/>
            <w:vAlign w:val="center"/>
          </w:tcPr>
          <w:p w14:paraId="6C83F20B">
            <w:pPr>
              <w:widowControl/>
              <w:jc w:val="center"/>
              <w:rPr>
                <w:rFonts w:eastAsiaTheme="minorEastAsia"/>
                <w:kern w:val="0"/>
                <w:szCs w:val="21"/>
              </w:rPr>
            </w:pPr>
            <w:r>
              <w:rPr>
                <w:rFonts w:eastAsiaTheme="minorEastAsia"/>
                <w:kern w:val="0"/>
                <w:szCs w:val="21"/>
              </w:rPr>
              <w:t>评价结果</w:t>
            </w:r>
          </w:p>
        </w:tc>
        <w:tc>
          <w:tcPr>
            <w:tcW w:w="840" w:type="pct"/>
            <w:shd w:val="clear" w:color="auto" w:fill="auto"/>
            <w:vAlign w:val="center"/>
          </w:tcPr>
          <w:p w14:paraId="1CE9723B">
            <w:pPr>
              <w:widowControl/>
              <w:jc w:val="center"/>
              <w:rPr>
                <w:rFonts w:eastAsiaTheme="minorEastAsia"/>
                <w:kern w:val="0"/>
                <w:szCs w:val="21"/>
              </w:rPr>
            </w:pPr>
            <w:r>
              <w:rPr>
                <w:rFonts w:eastAsiaTheme="minorEastAsia"/>
                <w:kern w:val="0"/>
                <w:szCs w:val="21"/>
              </w:rPr>
              <w:t>达标</w:t>
            </w:r>
          </w:p>
        </w:tc>
        <w:tc>
          <w:tcPr>
            <w:tcW w:w="840" w:type="pct"/>
            <w:shd w:val="clear" w:color="auto" w:fill="auto"/>
            <w:vAlign w:val="center"/>
          </w:tcPr>
          <w:p w14:paraId="42CFFA01">
            <w:pPr>
              <w:widowControl/>
              <w:jc w:val="center"/>
              <w:rPr>
                <w:rFonts w:eastAsiaTheme="minorEastAsia"/>
                <w:kern w:val="0"/>
                <w:szCs w:val="21"/>
              </w:rPr>
            </w:pPr>
            <w:r>
              <w:rPr>
                <w:rFonts w:eastAsiaTheme="minorEastAsia"/>
                <w:kern w:val="0"/>
                <w:szCs w:val="21"/>
              </w:rPr>
              <w:t>达标</w:t>
            </w:r>
          </w:p>
        </w:tc>
        <w:tc>
          <w:tcPr>
            <w:tcW w:w="840" w:type="pct"/>
            <w:shd w:val="clear" w:color="auto" w:fill="auto"/>
            <w:vAlign w:val="center"/>
          </w:tcPr>
          <w:p w14:paraId="3FB6D786">
            <w:pPr>
              <w:widowControl/>
              <w:jc w:val="center"/>
              <w:rPr>
                <w:rFonts w:eastAsiaTheme="minorEastAsia"/>
                <w:kern w:val="0"/>
                <w:szCs w:val="21"/>
              </w:rPr>
            </w:pPr>
            <w:r>
              <w:rPr>
                <w:rFonts w:eastAsiaTheme="minorEastAsia"/>
                <w:kern w:val="0"/>
                <w:szCs w:val="21"/>
              </w:rPr>
              <w:t>达标</w:t>
            </w:r>
          </w:p>
        </w:tc>
      </w:tr>
      <w:tr w14:paraId="62448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restart"/>
            <w:shd w:val="clear" w:color="auto" w:fill="auto"/>
            <w:vAlign w:val="center"/>
          </w:tcPr>
          <w:p w14:paraId="03FE3504">
            <w:pPr>
              <w:widowControl/>
              <w:jc w:val="center"/>
              <w:rPr>
                <w:rFonts w:eastAsiaTheme="minorEastAsia"/>
                <w:kern w:val="0"/>
                <w:szCs w:val="21"/>
              </w:rPr>
            </w:pPr>
            <w:r>
              <w:rPr>
                <w:rFonts w:eastAsiaTheme="minorEastAsia"/>
                <w:kern w:val="0"/>
                <w:szCs w:val="21"/>
              </w:rPr>
              <w:t>总硬度（以CaCO</w:t>
            </w:r>
            <w:r>
              <w:rPr>
                <w:rFonts w:eastAsiaTheme="minorEastAsia"/>
                <w:kern w:val="0"/>
                <w:szCs w:val="21"/>
                <w:vertAlign w:val="subscript"/>
              </w:rPr>
              <w:t>3</w:t>
            </w:r>
            <w:r>
              <w:rPr>
                <w:rFonts w:eastAsiaTheme="minorEastAsia"/>
                <w:kern w:val="0"/>
                <w:szCs w:val="21"/>
              </w:rPr>
              <w:t>计）</w:t>
            </w:r>
          </w:p>
        </w:tc>
        <w:tc>
          <w:tcPr>
            <w:tcW w:w="935" w:type="pct"/>
            <w:shd w:val="clear" w:color="auto" w:fill="auto"/>
            <w:vAlign w:val="center"/>
          </w:tcPr>
          <w:p w14:paraId="4A449259">
            <w:pPr>
              <w:widowControl/>
              <w:jc w:val="center"/>
              <w:rPr>
                <w:rFonts w:eastAsiaTheme="minorEastAsia"/>
                <w:kern w:val="0"/>
                <w:szCs w:val="21"/>
              </w:rPr>
            </w:pPr>
            <w:r>
              <w:rPr>
                <w:rFonts w:eastAsiaTheme="minorEastAsia"/>
                <w:kern w:val="0"/>
                <w:szCs w:val="21"/>
              </w:rPr>
              <w:t>标准值</w:t>
            </w:r>
          </w:p>
        </w:tc>
        <w:tc>
          <w:tcPr>
            <w:tcW w:w="651" w:type="pct"/>
            <w:shd w:val="clear" w:color="auto" w:fill="auto"/>
            <w:vAlign w:val="center"/>
          </w:tcPr>
          <w:p w14:paraId="43AF4D81">
            <w:pPr>
              <w:widowControl/>
              <w:jc w:val="center"/>
              <w:rPr>
                <w:rFonts w:eastAsiaTheme="minorEastAsia"/>
                <w:kern w:val="0"/>
                <w:szCs w:val="21"/>
              </w:rPr>
            </w:pPr>
            <w:r>
              <w:rPr>
                <w:rFonts w:eastAsiaTheme="minorEastAsia"/>
                <w:kern w:val="0"/>
                <w:szCs w:val="21"/>
              </w:rPr>
              <w:t>监测值</w:t>
            </w:r>
          </w:p>
        </w:tc>
        <w:tc>
          <w:tcPr>
            <w:tcW w:w="840" w:type="pct"/>
            <w:shd w:val="clear" w:color="auto" w:fill="auto"/>
            <w:vAlign w:val="center"/>
          </w:tcPr>
          <w:p w14:paraId="373D1A4A">
            <w:pPr>
              <w:widowControl/>
              <w:jc w:val="center"/>
              <w:rPr>
                <w:rFonts w:eastAsiaTheme="minorEastAsia"/>
                <w:kern w:val="0"/>
                <w:szCs w:val="21"/>
              </w:rPr>
            </w:pPr>
            <w:r>
              <w:rPr>
                <w:rFonts w:eastAsiaTheme="minorEastAsia"/>
                <w:color w:val="000000"/>
                <w:kern w:val="0"/>
                <w:szCs w:val="21"/>
              </w:rPr>
              <w:t>397</w:t>
            </w:r>
          </w:p>
        </w:tc>
        <w:tc>
          <w:tcPr>
            <w:tcW w:w="840" w:type="pct"/>
            <w:shd w:val="clear" w:color="auto" w:fill="auto"/>
            <w:vAlign w:val="center"/>
          </w:tcPr>
          <w:p w14:paraId="3E266D36">
            <w:pPr>
              <w:widowControl/>
              <w:jc w:val="center"/>
              <w:rPr>
                <w:rFonts w:eastAsiaTheme="minorEastAsia"/>
                <w:kern w:val="0"/>
                <w:szCs w:val="21"/>
              </w:rPr>
            </w:pPr>
            <w:r>
              <w:rPr>
                <w:rFonts w:eastAsiaTheme="minorEastAsia"/>
                <w:color w:val="000000"/>
                <w:kern w:val="0"/>
                <w:szCs w:val="21"/>
              </w:rPr>
              <w:t>385</w:t>
            </w:r>
          </w:p>
        </w:tc>
        <w:tc>
          <w:tcPr>
            <w:tcW w:w="840" w:type="pct"/>
            <w:shd w:val="clear" w:color="auto" w:fill="auto"/>
            <w:vAlign w:val="center"/>
          </w:tcPr>
          <w:p w14:paraId="633892C5">
            <w:pPr>
              <w:widowControl/>
              <w:jc w:val="center"/>
              <w:rPr>
                <w:rFonts w:eastAsiaTheme="minorEastAsia"/>
                <w:kern w:val="0"/>
                <w:szCs w:val="21"/>
              </w:rPr>
            </w:pPr>
            <w:r>
              <w:rPr>
                <w:rFonts w:eastAsiaTheme="minorEastAsia"/>
                <w:color w:val="000000"/>
                <w:kern w:val="0"/>
                <w:szCs w:val="21"/>
              </w:rPr>
              <w:t>342</w:t>
            </w:r>
          </w:p>
        </w:tc>
      </w:tr>
      <w:tr w14:paraId="2961E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7AF91E64">
            <w:pPr>
              <w:widowControl/>
              <w:jc w:val="center"/>
              <w:rPr>
                <w:rFonts w:eastAsiaTheme="minorEastAsia"/>
                <w:kern w:val="0"/>
                <w:szCs w:val="21"/>
              </w:rPr>
            </w:pPr>
          </w:p>
        </w:tc>
        <w:tc>
          <w:tcPr>
            <w:tcW w:w="935" w:type="pct"/>
            <w:vMerge w:val="restart"/>
            <w:shd w:val="clear" w:color="auto" w:fill="auto"/>
            <w:vAlign w:val="center"/>
          </w:tcPr>
          <w:p w14:paraId="420FCD2D">
            <w:pPr>
              <w:widowControl/>
              <w:jc w:val="center"/>
              <w:rPr>
                <w:rFonts w:eastAsiaTheme="minorEastAsia"/>
                <w:kern w:val="0"/>
                <w:szCs w:val="21"/>
              </w:rPr>
            </w:pPr>
            <w:r>
              <w:rPr>
                <w:rFonts w:eastAsiaTheme="minorEastAsia"/>
                <w:kern w:val="0"/>
                <w:szCs w:val="21"/>
              </w:rPr>
              <w:t>450mg/L</w:t>
            </w:r>
          </w:p>
        </w:tc>
        <w:tc>
          <w:tcPr>
            <w:tcW w:w="651" w:type="pct"/>
            <w:shd w:val="clear" w:color="auto" w:fill="auto"/>
            <w:vAlign w:val="center"/>
          </w:tcPr>
          <w:p w14:paraId="733F1215">
            <w:pPr>
              <w:widowControl/>
              <w:jc w:val="center"/>
              <w:rPr>
                <w:rFonts w:eastAsiaTheme="minorEastAsia"/>
                <w:kern w:val="0"/>
                <w:szCs w:val="21"/>
              </w:rPr>
            </w:pPr>
            <w:r>
              <w:rPr>
                <w:rFonts w:eastAsiaTheme="minorEastAsia"/>
                <w:kern w:val="0"/>
                <w:szCs w:val="21"/>
              </w:rPr>
              <w:t>标准指数</w:t>
            </w:r>
          </w:p>
        </w:tc>
        <w:tc>
          <w:tcPr>
            <w:tcW w:w="840" w:type="pct"/>
            <w:shd w:val="clear" w:color="auto" w:fill="auto"/>
            <w:vAlign w:val="center"/>
          </w:tcPr>
          <w:p w14:paraId="55A5AE8E">
            <w:pPr>
              <w:widowControl/>
              <w:jc w:val="center"/>
              <w:rPr>
                <w:rFonts w:eastAsiaTheme="minorEastAsia"/>
                <w:kern w:val="0"/>
                <w:szCs w:val="21"/>
              </w:rPr>
            </w:pPr>
            <w:r>
              <w:rPr>
                <w:rFonts w:eastAsiaTheme="minorEastAsia"/>
                <w:color w:val="000000"/>
                <w:kern w:val="0"/>
                <w:szCs w:val="21"/>
              </w:rPr>
              <w:t>0.88</w:t>
            </w:r>
          </w:p>
        </w:tc>
        <w:tc>
          <w:tcPr>
            <w:tcW w:w="840" w:type="pct"/>
            <w:shd w:val="clear" w:color="auto" w:fill="auto"/>
            <w:vAlign w:val="center"/>
          </w:tcPr>
          <w:p w14:paraId="50267266">
            <w:pPr>
              <w:widowControl/>
              <w:jc w:val="center"/>
              <w:rPr>
                <w:rFonts w:eastAsiaTheme="minorEastAsia"/>
                <w:kern w:val="0"/>
                <w:szCs w:val="21"/>
              </w:rPr>
            </w:pPr>
            <w:r>
              <w:rPr>
                <w:rFonts w:eastAsiaTheme="minorEastAsia"/>
                <w:color w:val="000000"/>
                <w:kern w:val="0"/>
                <w:szCs w:val="21"/>
              </w:rPr>
              <w:t>0.86</w:t>
            </w:r>
          </w:p>
        </w:tc>
        <w:tc>
          <w:tcPr>
            <w:tcW w:w="840" w:type="pct"/>
            <w:shd w:val="clear" w:color="auto" w:fill="auto"/>
            <w:vAlign w:val="center"/>
          </w:tcPr>
          <w:p w14:paraId="6DFF93B6">
            <w:pPr>
              <w:widowControl/>
              <w:jc w:val="center"/>
              <w:rPr>
                <w:rFonts w:eastAsiaTheme="minorEastAsia"/>
                <w:kern w:val="0"/>
                <w:szCs w:val="21"/>
              </w:rPr>
            </w:pPr>
            <w:r>
              <w:rPr>
                <w:rFonts w:eastAsiaTheme="minorEastAsia"/>
                <w:color w:val="000000"/>
                <w:kern w:val="0"/>
                <w:szCs w:val="21"/>
              </w:rPr>
              <w:t>0.76</w:t>
            </w:r>
          </w:p>
        </w:tc>
      </w:tr>
      <w:tr w14:paraId="3CB83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2B204666">
            <w:pPr>
              <w:widowControl/>
              <w:jc w:val="center"/>
              <w:rPr>
                <w:rFonts w:eastAsiaTheme="minorEastAsia"/>
                <w:kern w:val="0"/>
                <w:szCs w:val="21"/>
              </w:rPr>
            </w:pPr>
          </w:p>
        </w:tc>
        <w:tc>
          <w:tcPr>
            <w:tcW w:w="935" w:type="pct"/>
            <w:vMerge w:val="continue"/>
            <w:vAlign w:val="center"/>
          </w:tcPr>
          <w:p w14:paraId="10397CA1">
            <w:pPr>
              <w:widowControl/>
              <w:jc w:val="center"/>
              <w:rPr>
                <w:rFonts w:eastAsiaTheme="minorEastAsia"/>
                <w:kern w:val="0"/>
                <w:szCs w:val="21"/>
              </w:rPr>
            </w:pPr>
          </w:p>
        </w:tc>
        <w:tc>
          <w:tcPr>
            <w:tcW w:w="651" w:type="pct"/>
            <w:shd w:val="clear" w:color="auto" w:fill="auto"/>
            <w:vAlign w:val="center"/>
          </w:tcPr>
          <w:p w14:paraId="086EE5DA">
            <w:pPr>
              <w:widowControl/>
              <w:jc w:val="center"/>
              <w:rPr>
                <w:rFonts w:eastAsiaTheme="minorEastAsia"/>
                <w:kern w:val="0"/>
                <w:szCs w:val="21"/>
              </w:rPr>
            </w:pPr>
            <w:r>
              <w:rPr>
                <w:rFonts w:eastAsiaTheme="minorEastAsia"/>
                <w:kern w:val="0"/>
                <w:szCs w:val="21"/>
              </w:rPr>
              <w:t>评价结果</w:t>
            </w:r>
          </w:p>
        </w:tc>
        <w:tc>
          <w:tcPr>
            <w:tcW w:w="840" w:type="pct"/>
            <w:shd w:val="clear" w:color="auto" w:fill="auto"/>
            <w:vAlign w:val="center"/>
          </w:tcPr>
          <w:p w14:paraId="21747E41">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0D1C393A">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0ECC2B58">
            <w:pPr>
              <w:widowControl/>
              <w:jc w:val="center"/>
              <w:rPr>
                <w:rFonts w:eastAsiaTheme="minorEastAsia"/>
                <w:kern w:val="0"/>
                <w:szCs w:val="21"/>
              </w:rPr>
            </w:pPr>
            <w:r>
              <w:rPr>
                <w:rFonts w:eastAsiaTheme="minorEastAsia"/>
                <w:color w:val="000000"/>
                <w:kern w:val="0"/>
                <w:szCs w:val="21"/>
              </w:rPr>
              <w:t>达标</w:t>
            </w:r>
          </w:p>
        </w:tc>
      </w:tr>
      <w:tr w14:paraId="2046D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restart"/>
            <w:shd w:val="clear" w:color="auto" w:fill="auto"/>
            <w:vAlign w:val="center"/>
          </w:tcPr>
          <w:p w14:paraId="01CF8388">
            <w:pPr>
              <w:widowControl/>
              <w:jc w:val="center"/>
              <w:rPr>
                <w:rFonts w:eastAsiaTheme="minorEastAsia"/>
                <w:kern w:val="0"/>
                <w:szCs w:val="21"/>
              </w:rPr>
            </w:pPr>
            <w:r>
              <w:rPr>
                <w:rFonts w:eastAsiaTheme="minorEastAsia"/>
                <w:kern w:val="0"/>
                <w:szCs w:val="21"/>
              </w:rPr>
              <w:t>溶解性总固体</w:t>
            </w:r>
          </w:p>
        </w:tc>
        <w:tc>
          <w:tcPr>
            <w:tcW w:w="935" w:type="pct"/>
            <w:shd w:val="clear" w:color="auto" w:fill="auto"/>
            <w:vAlign w:val="center"/>
          </w:tcPr>
          <w:p w14:paraId="10F5BC12">
            <w:pPr>
              <w:widowControl/>
              <w:jc w:val="center"/>
              <w:rPr>
                <w:rFonts w:eastAsiaTheme="minorEastAsia"/>
                <w:kern w:val="0"/>
                <w:szCs w:val="21"/>
              </w:rPr>
            </w:pPr>
            <w:r>
              <w:rPr>
                <w:rFonts w:eastAsiaTheme="minorEastAsia"/>
                <w:kern w:val="0"/>
                <w:szCs w:val="21"/>
              </w:rPr>
              <w:t>标准值</w:t>
            </w:r>
          </w:p>
        </w:tc>
        <w:tc>
          <w:tcPr>
            <w:tcW w:w="651" w:type="pct"/>
            <w:shd w:val="clear" w:color="auto" w:fill="auto"/>
            <w:vAlign w:val="center"/>
          </w:tcPr>
          <w:p w14:paraId="3E3CB2D7">
            <w:pPr>
              <w:widowControl/>
              <w:jc w:val="center"/>
              <w:rPr>
                <w:rFonts w:eastAsiaTheme="minorEastAsia"/>
                <w:kern w:val="0"/>
                <w:szCs w:val="21"/>
              </w:rPr>
            </w:pPr>
            <w:r>
              <w:rPr>
                <w:rFonts w:eastAsiaTheme="minorEastAsia"/>
                <w:kern w:val="0"/>
                <w:szCs w:val="21"/>
              </w:rPr>
              <w:t>监测值</w:t>
            </w:r>
          </w:p>
        </w:tc>
        <w:tc>
          <w:tcPr>
            <w:tcW w:w="840" w:type="pct"/>
            <w:shd w:val="clear" w:color="auto" w:fill="auto"/>
            <w:vAlign w:val="center"/>
          </w:tcPr>
          <w:p w14:paraId="39A5CAB5">
            <w:pPr>
              <w:widowControl/>
              <w:jc w:val="center"/>
              <w:rPr>
                <w:rFonts w:eastAsiaTheme="minorEastAsia"/>
                <w:kern w:val="0"/>
                <w:szCs w:val="21"/>
              </w:rPr>
            </w:pPr>
            <w:r>
              <w:rPr>
                <w:rFonts w:eastAsiaTheme="minorEastAsia"/>
                <w:color w:val="000000"/>
                <w:kern w:val="0"/>
                <w:szCs w:val="21"/>
              </w:rPr>
              <w:t>626</w:t>
            </w:r>
          </w:p>
        </w:tc>
        <w:tc>
          <w:tcPr>
            <w:tcW w:w="840" w:type="pct"/>
            <w:shd w:val="clear" w:color="auto" w:fill="auto"/>
            <w:vAlign w:val="center"/>
          </w:tcPr>
          <w:p w14:paraId="285E4B1C">
            <w:pPr>
              <w:widowControl/>
              <w:jc w:val="center"/>
              <w:rPr>
                <w:rFonts w:eastAsiaTheme="minorEastAsia"/>
                <w:kern w:val="0"/>
                <w:szCs w:val="21"/>
              </w:rPr>
            </w:pPr>
            <w:r>
              <w:rPr>
                <w:rFonts w:eastAsiaTheme="minorEastAsia"/>
                <w:color w:val="000000"/>
                <w:kern w:val="0"/>
                <w:szCs w:val="21"/>
              </w:rPr>
              <w:t>587</w:t>
            </w:r>
          </w:p>
        </w:tc>
        <w:tc>
          <w:tcPr>
            <w:tcW w:w="840" w:type="pct"/>
            <w:shd w:val="clear" w:color="auto" w:fill="auto"/>
            <w:vAlign w:val="center"/>
          </w:tcPr>
          <w:p w14:paraId="44744458">
            <w:pPr>
              <w:widowControl/>
              <w:jc w:val="center"/>
              <w:rPr>
                <w:rFonts w:eastAsiaTheme="minorEastAsia"/>
                <w:kern w:val="0"/>
                <w:szCs w:val="21"/>
              </w:rPr>
            </w:pPr>
            <w:r>
              <w:rPr>
                <w:rFonts w:eastAsiaTheme="minorEastAsia"/>
                <w:color w:val="000000"/>
                <w:kern w:val="0"/>
                <w:szCs w:val="21"/>
              </w:rPr>
              <w:t>588</w:t>
            </w:r>
          </w:p>
        </w:tc>
      </w:tr>
      <w:tr w14:paraId="6177F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58FE289C">
            <w:pPr>
              <w:widowControl/>
              <w:jc w:val="center"/>
              <w:rPr>
                <w:rFonts w:eastAsiaTheme="minorEastAsia"/>
                <w:kern w:val="0"/>
                <w:szCs w:val="21"/>
              </w:rPr>
            </w:pPr>
          </w:p>
        </w:tc>
        <w:tc>
          <w:tcPr>
            <w:tcW w:w="935" w:type="pct"/>
            <w:vMerge w:val="restart"/>
            <w:shd w:val="clear" w:color="auto" w:fill="auto"/>
            <w:vAlign w:val="center"/>
          </w:tcPr>
          <w:p w14:paraId="2968E14F">
            <w:pPr>
              <w:widowControl/>
              <w:jc w:val="center"/>
              <w:rPr>
                <w:rFonts w:eastAsiaTheme="minorEastAsia"/>
                <w:kern w:val="0"/>
                <w:szCs w:val="21"/>
              </w:rPr>
            </w:pPr>
            <w:r>
              <w:rPr>
                <w:rFonts w:eastAsiaTheme="minorEastAsia"/>
                <w:kern w:val="0"/>
                <w:szCs w:val="21"/>
              </w:rPr>
              <w:t>1000mg/L</w:t>
            </w:r>
          </w:p>
        </w:tc>
        <w:tc>
          <w:tcPr>
            <w:tcW w:w="651" w:type="pct"/>
            <w:shd w:val="clear" w:color="auto" w:fill="auto"/>
            <w:vAlign w:val="center"/>
          </w:tcPr>
          <w:p w14:paraId="3798581C">
            <w:pPr>
              <w:widowControl/>
              <w:jc w:val="center"/>
              <w:rPr>
                <w:rFonts w:eastAsiaTheme="minorEastAsia"/>
                <w:kern w:val="0"/>
                <w:szCs w:val="21"/>
              </w:rPr>
            </w:pPr>
            <w:r>
              <w:rPr>
                <w:rFonts w:eastAsiaTheme="minorEastAsia"/>
                <w:kern w:val="0"/>
                <w:szCs w:val="21"/>
              </w:rPr>
              <w:t>标准指数</w:t>
            </w:r>
          </w:p>
        </w:tc>
        <w:tc>
          <w:tcPr>
            <w:tcW w:w="840" w:type="pct"/>
            <w:shd w:val="clear" w:color="auto" w:fill="auto"/>
            <w:vAlign w:val="center"/>
          </w:tcPr>
          <w:p w14:paraId="6A78FDCA">
            <w:pPr>
              <w:widowControl/>
              <w:jc w:val="center"/>
              <w:rPr>
                <w:rFonts w:eastAsiaTheme="minorEastAsia"/>
                <w:kern w:val="0"/>
                <w:szCs w:val="21"/>
              </w:rPr>
            </w:pPr>
            <w:r>
              <w:rPr>
                <w:rFonts w:eastAsiaTheme="minorEastAsia"/>
                <w:color w:val="000000"/>
                <w:kern w:val="0"/>
                <w:szCs w:val="21"/>
              </w:rPr>
              <w:t>0.63</w:t>
            </w:r>
          </w:p>
        </w:tc>
        <w:tc>
          <w:tcPr>
            <w:tcW w:w="840" w:type="pct"/>
            <w:shd w:val="clear" w:color="auto" w:fill="auto"/>
            <w:vAlign w:val="center"/>
          </w:tcPr>
          <w:p w14:paraId="3EAD237F">
            <w:pPr>
              <w:widowControl/>
              <w:jc w:val="center"/>
              <w:rPr>
                <w:rFonts w:eastAsiaTheme="minorEastAsia"/>
                <w:kern w:val="0"/>
                <w:szCs w:val="21"/>
              </w:rPr>
            </w:pPr>
            <w:r>
              <w:rPr>
                <w:rFonts w:eastAsiaTheme="minorEastAsia"/>
                <w:color w:val="000000"/>
                <w:kern w:val="0"/>
                <w:szCs w:val="21"/>
              </w:rPr>
              <w:t>0.59</w:t>
            </w:r>
          </w:p>
        </w:tc>
        <w:tc>
          <w:tcPr>
            <w:tcW w:w="840" w:type="pct"/>
            <w:shd w:val="clear" w:color="auto" w:fill="auto"/>
            <w:vAlign w:val="center"/>
          </w:tcPr>
          <w:p w14:paraId="1337954F">
            <w:pPr>
              <w:widowControl/>
              <w:jc w:val="center"/>
              <w:rPr>
                <w:rFonts w:eastAsiaTheme="minorEastAsia"/>
                <w:kern w:val="0"/>
                <w:szCs w:val="21"/>
              </w:rPr>
            </w:pPr>
            <w:r>
              <w:rPr>
                <w:rFonts w:eastAsiaTheme="minorEastAsia"/>
                <w:color w:val="000000"/>
                <w:kern w:val="0"/>
                <w:szCs w:val="21"/>
              </w:rPr>
              <w:t>0.59</w:t>
            </w:r>
          </w:p>
        </w:tc>
      </w:tr>
      <w:tr w14:paraId="14E32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52392E8C">
            <w:pPr>
              <w:widowControl/>
              <w:jc w:val="center"/>
              <w:rPr>
                <w:rFonts w:eastAsiaTheme="minorEastAsia"/>
                <w:kern w:val="0"/>
                <w:szCs w:val="21"/>
              </w:rPr>
            </w:pPr>
          </w:p>
        </w:tc>
        <w:tc>
          <w:tcPr>
            <w:tcW w:w="935" w:type="pct"/>
            <w:vMerge w:val="continue"/>
            <w:vAlign w:val="center"/>
          </w:tcPr>
          <w:p w14:paraId="76BB8FB7">
            <w:pPr>
              <w:widowControl/>
              <w:jc w:val="center"/>
              <w:rPr>
                <w:rFonts w:eastAsiaTheme="minorEastAsia"/>
                <w:kern w:val="0"/>
                <w:szCs w:val="21"/>
              </w:rPr>
            </w:pPr>
          </w:p>
        </w:tc>
        <w:tc>
          <w:tcPr>
            <w:tcW w:w="651" w:type="pct"/>
            <w:shd w:val="clear" w:color="auto" w:fill="auto"/>
            <w:vAlign w:val="center"/>
          </w:tcPr>
          <w:p w14:paraId="14855E0A">
            <w:pPr>
              <w:widowControl/>
              <w:jc w:val="center"/>
              <w:rPr>
                <w:rFonts w:eastAsiaTheme="minorEastAsia"/>
                <w:kern w:val="0"/>
                <w:szCs w:val="21"/>
              </w:rPr>
            </w:pPr>
            <w:r>
              <w:rPr>
                <w:rFonts w:eastAsiaTheme="minorEastAsia"/>
                <w:kern w:val="0"/>
                <w:szCs w:val="21"/>
              </w:rPr>
              <w:t>评价结果</w:t>
            </w:r>
          </w:p>
        </w:tc>
        <w:tc>
          <w:tcPr>
            <w:tcW w:w="840" w:type="pct"/>
            <w:shd w:val="clear" w:color="auto" w:fill="auto"/>
            <w:vAlign w:val="center"/>
          </w:tcPr>
          <w:p w14:paraId="5B75512A">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3EB7A68D">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267D5773">
            <w:pPr>
              <w:widowControl/>
              <w:jc w:val="center"/>
              <w:rPr>
                <w:rFonts w:eastAsiaTheme="minorEastAsia"/>
                <w:kern w:val="0"/>
                <w:szCs w:val="21"/>
              </w:rPr>
            </w:pPr>
            <w:r>
              <w:rPr>
                <w:rFonts w:eastAsiaTheme="minorEastAsia"/>
                <w:color w:val="000000"/>
                <w:kern w:val="0"/>
                <w:szCs w:val="21"/>
              </w:rPr>
              <w:t>达标</w:t>
            </w:r>
          </w:p>
        </w:tc>
      </w:tr>
      <w:tr w14:paraId="4A633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restart"/>
            <w:shd w:val="clear" w:color="auto" w:fill="auto"/>
            <w:vAlign w:val="center"/>
          </w:tcPr>
          <w:p w14:paraId="69204FD7">
            <w:pPr>
              <w:widowControl/>
              <w:jc w:val="center"/>
              <w:rPr>
                <w:rFonts w:eastAsiaTheme="minorEastAsia"/>
                <w:kern w:val="0"/>
                <w:szCs w:val="21"/>
              </w:rPr>
            </w:pPr>
            <w:r>
              <w:rPr>
                <w:rFonts w:eastAsiaTheme="minorEastAsia"/>
                <w:kern w:val="0"/>
                <w:szCs w:val="21"/>
              </w:rPr>
              <w:t>铁</w:t>
            </w:r>
          </w:p>
        </w:tc>
        <w:tc>
          <w:tcPr>
            <w:tcW w:w="935" w:type="pct"/>
            <w:shd w:val="clear" w:color="auto" w:fill="auto"/>
            <w:vAlign w:val="center"/>
          </w:tcPr>
          <w:p w14:paraId="17A3EB9C">
            <w:pPr>
              <w:widowControl/>
              <w:jc w:val="center"/>
              <w:rPr>
                <w:rFonts w:eastAsiaTheme="minorEastAsia"/>
                <w:kern w:val="0"/>
                <w:szCs w:val="21"/>
              </w:rPr>
            </w:pPr>
            <w:r>
              <w:rPr>
                <w:rFonts w:eastAsiaTheme="minorEastAsia"/>
                <w:kern w:val="0"/>
                <w:szCs w:val="21"/>
              </w:rPr>
              <w:t>标准值</w:t>
            </w:r>
          </w:p>
        </w:tc>
        <w:tc>
          <w:tcPr>
            <w:tcW w:w="651" w:type="pct"/>
            <w:shd w:val="clear" w:color="auto" w:fill="auto"/>
            <w:vAlign w:val="center"/>
          </w:tcPr>
          <w:p w14:paraId="069286DC">
            <w:pPr>
              <w:widowControl/>
              <w:jc w:val="center"/>
              <w:rPr>
                <w:rFonts w:eastAsiaTheme="minorEastAsia"/>
                <w:kern w:val="0"/>
                <w:szCs w:val="21"/>
              </w:rPr>
            </w:pPr>
            <w:r>
              <w:rPr>
                <w:rFonts w:eastAsiaTheme="minorEastAsia"/>
                <w:kern w:val="0"/>
                <w:szCs w:val="21"/>
              </w:rPr>
              <w:t>监测值</w:t>
            </w:r>
          </w:p>
        </w:tc>
        <w:tc>
          <w:tcPr>
            <w:tcW w:w="840" w:type="pct"/>
            <w:shd w:val="clear" w:color="auto" w:fill="auto"/>
            <w:vAlign w:val="center"/>
          </w:tcPr>
          <w:p w14:paraId="3E4C4877">
            <w:pPr>
              <w:widowControl/>
              <w:jc w:val="center"/>
              <w:rPr>
                <w:rFonts w:eastAsiaTheme="minorEastAsia"/>
                <w:kern w:val="0"/>
                <w:szCs w:val="21"/>
              </w:rPr>
            </w:pPr>
            <w:r>
              <w:rPr>
                <w:rFonts w:eastAsiaTheme="minorEastAsia"/>
                <w:color w:val="000000"/>
                <w:kern w:val="0"/>
                <w:szCs w:val="21"/>
              </w:rPr>
              <w:t>0.03L</w:t>
            </w:r>
          </w:p>
        </w:tc>
        <w:tc>
          <w:tcPr>
            <w:tcW w:w="840" w:type="pct"/>
            <w:shd w:val="clear" w:color="auto" w:fill="auto"/>
            <w:vAlign w:val="center"/>
          </w:tcPr>
          <w:p w14:paraId="0F84CCF5">
            <w:pPr>
              <w:widowControl/>
              <w:jc w:val="center"/>
              <w:rPr>
                <w:rFonts w:eastAsiaTheme="minorEastAsia"/>
                <w:kern w:val="0"/>
                <w:szCs w:val="21"/>
              </w:rPr>
            </w:pPr>
            <w:r>
              <w:rPr>
                <w:rFonts w:eastAsiaTheme="minorEastAsia"/>
                <w:color w:val="000000"/>
                <w:kern w:val="0"/>
                <w:szCs w:val="21"/>
              </w:rPr>
              <w:t>0.03L</w:t>
            </w:r>
          </w:p>
        </w:tc>
        <w:tc>
          <w:tcPr>
            <w:tcW w:w="840" w:type="pct"/>
            <w:shd w:val="clear" w:color="auto" w:fill="auto"/>
            <w:vAlign w:val="center"/>
          </w:tcPr>
          <w:p w14:paraId="74B790AB">
            <w:pPr>
              <w:widowControl/>
              <w:jc w:val="center"/>
              <w:rPr>
                <w:rFonts w:eastAsiaTheme="minorEastAsia"/>
                <w:kern w:val="0"/>
                <w:szCs w:val="21"/>
              </w:rPr>
            </w:pPr>
            <w:r>
              <w:rPr>
                <w:rFonts w:eastAsiaTheme="minorEastAsia"/>
                <w:color w:val="000000"/>
                <w:kern w:val="0"/>
                <w:szCs w:val="21"/>
              </w:rPr>
              <w:t>0.03L</w:t>
            </w:r>
          </w:p>
        </w:tc>
      </w:tr>
      <w:tr w14:paraId="3C56D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5AC44F52">
            <w:pPr>
              <w:widowControl/>
              <w:jc w:val="center"/>
              <w:rPr>
                <w:rFonts w:eastAsiaTheme="minorEastAsia"/>
                <w:kern w:val="0"/>
                <w:szCs w:val="21"/>
              </w:rPr>
            </w:pPr>
          </w:p>
        </w:tc>
        <w:tc>
          <w:tcPr>
            <w:tcW w:w="935" w:type="pct"/>
            <w:vMerge w:val="restart"/>
            <w:shd w:val="clear" w:color="auto" w:fill="auto"/>
            <w:vAlign w:val="center"/>
          </w:tcPr>
          <w:p w14:paraId="3823D415">
            <w:pPr>
              <w:widowControl/>
              <w:jc w:val="center"/>
              <w:rPr>
                <w:rFonts w:eastAsiaTheme="minorEastAsia"/>
                <w:kern w:val="0"/>
                <w:szCs w:val="21"/>
              </w:rPr>
            </w:pPr>
            <w:r>
              <w:rPr>
                <w:rFonts w:eastAsiaTheme="minorEastAsia"/>
                <w:kern w:val="0"/>
                <w:szCs w:val="21"/>
              </w:rPr>
              <w:t>0.3mg/L</w:t>
            </w:r>
          </w:p>
        </w:tc>
        <w:tc>
          <w:tcPr>
            <w:tcW w:w="651" w:type="pct"/>
            <w:shd w:val="clear" w:color="auto" w:fill="auto"/>
            <w:vAlign w:val="center"/>
          </w:tcPr>
          <w:p w14:paraId="518BF48E">
            <w:pPr>
              <w:widowControl/>
              <w:jc w:val="center"/>
              <w:rPr>
                <w:rFonts w:eastAsiaTheme="minorEastAsia"/>
                <w:kern w:val="0"/>
                <w:szCs w:val="21"/>
              </w:rPr>
            </w:pPr>
            <w:r>
              <w:rPr>
                <w:rFonts w:eastAsiaTheme="minorEastAsia"/>
                <w:kern w:val="0"/>
                <w:szCs w:val="21"/>
              </w:rPr>
              <w:t>标准指数</w:t>
            </w:r>
          </w:p>
        </w:tc>
        <w:tc>
          <w:tcPr>
            <w:tcW w:w="840" w:type="pct"/>
            <w:shd w:val="clear" w:color="auto" w:fill="auto"/>
            <w:vAlign w:val="center"/>
          </w:tcPr>
          <w:p w14:paraId="0131DE01">
            <w:pPr>
              <w:widowControl/>
              <w:jc w:val="center"/>
              <w:rPr>
                <w:rFonts w:eastAsiaTheme="minorEastAsia"/>
                <w:kern w:val="0"/>
                <w:szCs w:val="21"/>
              </w:rPr>
            </w:pPr>
            <w:r>
              <w:rPr>
                <w:rFonts w:eastAsiaTheme="minorEastAsia"/>
                <w:color w:val="000000"/>
                <w:kern w:val="0"/>
                <w:szCs w:val="21"/>
              </w:rPr>
              <w:t>—</w:t>
            </w:r>
          </w:p>
        </w:tc>
        <w:tc>
          <w:tcPr>
            <w:tcW w:w="840" w:type="pct"/>
            <w:shd w:val="clear" w:color="auto" w:fill="auto"/>
            <w:vAlign w:val="center"/>
          </w:tcPr>
          <w:p w14:paraId="711E8DD9">
            <w:pPr>
              <w:widowControl/>
              <w:jc w:val="center"/>
              <w:rPr>
                <w:rFonts w:eastAsiaTheme="minorEastAsia"/>
                <w:kern w:val="0"/>
                <w:szCs w:val="21"/>
              </w:rPr>
            </w:pPr>
            <w:r>
              <w:rPr>
                <w:rFonts w:eastAsiaTheme="minorEastAsia"/>
                <w:color w:val="000000"/>
                <w:kern w:val="0"/>
                <w:szCs w:val="21"/>
              </w:rPr>
              <w:t>—</w:t>
            </w:r>
          </w:p>
        </w:tc>
        <w:tc>
          <w:tcPr>
            <w:tcW w:w="840" w:type="pct"/>
            <w:shd w:val="clear" w:color="auto" w:fill="auto"/>
            <w:vAlign w:val="center"/>
          </w:tcPr>
          <w:p w14:paraId="3C34B498">
            <w:pPr>
              <w:widowControl/>
              <w:jc w:val="center"/>
              <w:rPr>
                <w:rFonts w:eastAsiaTheme="minorEastAsia"/>
                <w:kern w:val="0"/>
                <w:szCs w:val="21"/>
              </w:rPr>
            </w:pPr>
            <w:r>
              <w:rPr>
                <w:rFonts w:eastAsiaTheme="minorEastAsia"/>
                <w:color w:val="000000"/>
                <w:kern w:val="0"/>
                <w:szCs w:val="21"/>
              </w:rPr>
              <w:t>—</w:t>
            </w:r>
          </w:p>
        </w:tc>
      </w:tr>
      <w:tr w14:paraId="4DCEC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6A299D47">
            <w:pPr>
              <w:widowControl/>
              <w:jc w:val="center"/>
              <w:rPr>
                <w:rFonts w:eastAsiaTheme="minorEastAsia"/>
                <w:kern w:val="0"/>
                <w:szCs w:val="21"/>
              </w:rPr>
            </w:pPr>
          </w:p>
        </w:tc>
        <w:tc>
          <w:tcPr>
            <w:tcW w:w="935" w:type="pct"/>
            <w:vMerge w:val="continue"/>
            <w:vAlign w:val="center"/>
          </w:tcPr>
          <w:p w14:paraId="5983A1FB">
            <w:pPr>
              <w:widowControl/>
              <w:jc w:val="center"/>
              <w:rPr>
                <w:rFonts w:eastAsiaTheme="minorEastAsia"/>
                <w:kern w:val="0"/>
                <w:szCs w:val="21"/>
              </w:rPr>
            </w:pPr>
          </w:p>
        </w:tc>
        <w:tc>
          <w:tcPr>
            <w:tcW w:w="651" w:type="pct"/>
            <w:shd w:val="clear" w:color="auto" w:fill="auto"/>
            <w:vAlign w:val="center"/>
          </w:tcPr>
          <w:p w14:paraId="29E9F752">
            <w:pPr>
              <w:widowControl/>
              <w:jc w:val="center"/>
              <w:rPr>
                <w:rFonts w:eastAsiaTheme="minorEastAsia"/>
                <w:kern w:val="0"/>
                <w:szCs w:val="21"/>
              </w:rPr>
            </w:pPr>
            <w:r>
              <w:rPr>
                <w:rFonts w:eastAsiaTheme="minorEastAsia"/>
                <w:kern w:val="0"/>
                <w:szCs w:val="21"/>
              </w:rPr>
              <w:t>评价结果</w:t>
            </w:r>
          </w:p>
        </w:tc>
        <w:tc>
          <w:tcPr>
            <w:tcW w:w="840" w:type="pct"/>
            <w:shd w:val="clear" w:color="auto" w:fill="auto"/>
            <w:vAlign w:val="center"/>
          </w:tcPr>
          <w:p w14:paraId="0FC1D62A">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1A41C6C7">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687378A3">
            <w:pPr>
              <w:widowControl/>
              <w:jc w:val="center"/>
              <w:rPr>
                <w:rFonts w:eastAsiaTheme="minorEastAsia"/>
                <w:kern w:val="0"/>
                <w:szCs w:val="21"/>
              </w:rPr>
            </w:pPr>
            <w:r>
              <w:rPr>
                <w:rFonts w:eastAsiaTheme="minorEastAsia"/>
                <w:color w:val="000000"/>
                <w:kern w:val="0"/>
                <w:szCs w:val="21"/>
              </w:rPr>
              <w:t>达标</w:t>
            </w:r>
          </w:p>
        </w:tc>
      </w:tr>
      <w:tr w14:paraId="557BF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restart"/>
            <w:shd w:val="clear" w:color="auto" w:fill="auto"/>
            <w:vAlign w:val="center"/>
          </w:tcPr>
          <w:p w14:paraId="109FC3A1">
            <w:pPr>
              <w:widowControl/>
              <w:jc w:val="center"/>
              <w:rPr>
                <w:rFonts w:eastAsiaTheme="minorEastAsia"/>
                <w:kern w:val="0"/>
                <w:szCs w:val="21"/>
              </w:rPr>
            </w:pPr>
            <w:r>
              <w:rPr>
                <w:rFonts w:eastAsiaTheme="minorEastAsia"/>
                <w:kern w:val="0"/>
                <w:szCs w:val="21"/>
              </w:rPr>
              <w:t>锰</w:t>
            </w:r>
          </w:p>
        </w:tc>
        <w:tc>
          <w:tcPr>
            <w:tcW w:w="935" w:type="pct"/>
            <w:shd w:val="clear" w:color="auto" w:fill="auto"/>
            <w:vAlign w:val="center"/>
          </w:tcPr>
          <w:p w14:paraId="5C20C483">
            <w:pPr>
              <w:widowControl/>
              <w:jc w:val="center"/>
              <w:rPr>
                <w:rFonts w:eastAsiaTheme="minorEastAsia"/>
                <w:kern w:val="0"/>
                <w:szCs w:val="21"/>
              </w:rPr>
            </w:pPr>
            <w:r>
              <w:rPr>
                <w:rFonts w:eastAsiaTheme="minorEastAsia"/>
                <w:kern w:val="0"/>
                <w:szCs w:val="21"/>
              </w:rPr>
              <w:t>标准值</w:t>
            </w:r>
          </w:p>
        </w:tc>
        <w:tc>
          <w:tcPr>
            <w:tcW w:w="651" w:type="pct"/>
            <w:shd w:val="clear" w:color="auto" w:fill="auto"/>
            <w:vAlign w:val="center"/>
          </w:tcPr>
          <w:p w14:paraId="701FCB4D">
            <w:pPr>
              <w:widowControl/>
              <w:jc w:val="center"/>
              <w:rPr>
                <w:rFonts w:eastAsiaTheme="minorEastAsia"/>
                <w:kern w:val="0"/>
                <w:szCs w:val="21"/>
              </w:rPr>
            </w:pPr>
            <w:r>
              <w:rPr>
                <w:rFonts w:eastAsiaTheme="minorEastAsia"/>
                <w:kern w:val="0"/>
                <w:szCs w:val="21"/>
              </w:rPr>
              <w:t>监测值</w:t>
            </w:r>
          </w:p>
        </w:tc>
        <w:tc>
          <w:tcPr>
            <w:tcW w:w="840" w:type="pct"/>
            <w:shd w:val="clear" w:color="auto" w:fill="auto"/>
            <w:vAlign w:val="center"/>
          </w:tcPr>
          <w:p w14:paraId="0EC73087">
            <w:pPr>
              <w:widowControl/>
              <w:jc w:val="center"/>
              <w:rPr>
                <w:rFonts w:eastAsiaTheme="minorEastAsia"/>
                <w:kern w:val="0"/>
                <w:szCs w:val="21"/>
              </w:rPr>
            </w:pPr>
            <w:r>
              <w:rPr>
                <w:rFonts w:eastAsiaTheme="minorEastAsia"/>
                <w:color w:val="000000"/>
                <w:kern w:val="0"/>
                <w:szCs w:val="21"/>
              </w:rPr>
              <w:t>0.01L</w:t>
            </w:r>
          </w:p>
        </w:tc>
        <w:tc>
          <w:tcPr>
            <w:tcW w:w="840" w:type="pct"/>
            <w:shd w:val="clear" w:color="auto" w:fill="auto"/>
            <w:vAlign w:val="center"/>
          </w:tcPr>
          <w:p w14:paraId="0A9D5FB9">
            <w:pPr>
              <w:widowControl/>
              <w:jc w:val="center"/>
              <w:rPr>
                <w:rFonts w:eastAsiaTheme="minorEastAsia"/>
                <w:kern w:val="0"/>
                <w:szCs w:val="21"/>
              </w:rPr>
            </w:pPr>
            <w:r>
              <w:rPr>
                <w:rFonts w:eastAsiaTheme="minorEastAsia"/>
                <w:color w:val="000000"/>
                <w:kern w:val="0"/>
                <w:szCs w:val="21"/>
              </w:rPr>
              <w:t>0.01L</w:t>
            </w:r>
          </w:p>
        </w:tc>
        <w:tc>
          <w:tcPr>
            <w:tcW w:w="840" w:type="pct"/>
            <w:shd w:val="clear" w:color="auto" w:fill="auto"/>
            <w:vAlign w:val="center"/>
          </w:tcPr>
          <w:p w14:paraId="526DE3EB">
            <w:pPr>
              <w:widowControl/>
              <w:jc w:val="center"/>
              <w:rPr>
                <w:rFonts w:eastAsiaTheme="minorEastAsia"/>
                <w:kern w:val="0"/>
                <w:szCs w:val="21"/>
              </w:rPr>
            </w:pPr>
            <w:r>
              <w:rPr>
                <w:rFonts w:eastAsiaTheme="minorEastAsia"/>
                <w:color w:val="000000"/>
                <w:kern w:val="0"/>
                <w:szCs w:val="21"/>
              </w:rPr>
              <w:t>0.01L</w:t>
            </w:r>
          </w:p>
        </w:tc>
      </w:tr>
      <w:tr w14:paraId="64A82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11037230">
            <w:pPr>
              <w:widowControl/>
              <w:jc w:val="center"/>
              <w:rPr>
                <w:rFonts w:eastAsiaTheme="minorEastAsia"/>
                <w:kern w:val="0"/>
                <w:szCs w:val="21"/>
              </w:rPr>
            </w:pPr>
          </w:p>
        </w:tc>
        <w:tc>
          <w:tcPr>
            <w:tcW w:w="935" w:type="pct"/>
            <w:vMerge w:val="restart"/>
            <w:shd w:val="clear" w:color="auto" w:fill="auto"/>
            <w:vAlign w:val="center"/>
          </w:tcPr>
          <w:p w14:paraId="4C4050A3">
            <w:pPr>
              <w:widowControl/>
              <w:jc w:val="center"/>
              <w:rPr>
                <w:rFonts w:eastAsiaTheme="minorEastAsia"/>
                <w:kern w:val="0"/>
                <w:szCs w:val="21"/>
              </w:rPr>
            </w:pPr>
            <w:r>
              <w:rPr>
                <w:rFonts w:eastAsiaTheme="minorEastAsia"/>
                <w:kern w:val="0"/>
                <w:szCs w:val="21"/>
              </w:rPr>
              <w:t>0.1mg/L</w:t>
            </w:r>
          </w:p>
        </w:tc>
        <w:tc>
          <w:tcPr>
            <w:tcW w:w="651" w:type="pct"/>
            <w:shd w:val="clear" w:color="auto" w:fill="auto"/>
            <w:vAlign w:val="center"/>
          </w:tcPr>
          <w:p w14:paraId="5A6255B4">
            <w:pPr>
              <w:widowControl/>
              <w:jc w:val="center"/>
              <w:rPr>
                <w:rFonts w:eastAsiaTheme="minorEastAsia"/>
                <w:kern w:val="0"/>
                <w:szCs w:val="21"/>
              </w:rPr>
            </w:pPr>
            <w:r>
              <w:rPr>
                <w:rFonts w:eastAsiaTheme="minorEastAsia"/>
                <w:kern w:val="0"/>
                <w:szCs w:val="21"/>
              </w:rPr>
              <w:t>标准指数</w:t>
            </w:r>
          </w:p>
        </w:tc>
        <w:tc>
          <w:tcPr>
            <w:tcW w:w="840" w:type="pct"/>
            <w:shd w:val="clear" w:color="auto" w:fill="auto"/>
            <w:vAlign w:val="center"/>
          </w:tcPr>
          <w:p w14:paraId="097EC817">
            <w:pPr>
              <w:widowControl/>
              <w:jc w:val="center"/>
              <w:rPr>
                <w:rFonts w:eastAsiaTheme="minorEastAsia"/>
                <w:kern w:val="0"/>
                <w:szCs w:val="21"/>
              </w:rPr>
            </w:pPr>
            <w:r>
              <w:rPr>
                <w:rFonts w:eastAsiaTheme="minorEastAsia"/>
                <w:color w:val="000000"/>
                <w:kern w:val="0"/>
                <w:szCs w:val="21"/>
              </w:rPr>
              <w:t>—</w:t>
            </w:r>
          </w:p>
        </w:tc>
        <w:tc>
          <w:tcPr>
            <w:tcW w:w="840" w:type="pct"/>
            <w:shd w:val="clear" w:color="auto" w:fill="auto"/>
            <w:vAlign w:val="center"/>
          </w:tcPr>
          <w:p w14:paraId="5FCECAD5">
            <w:pPr>
              <w:widowControl/>
              <w:jc w:val="center"/>
              <w:rPr>
                <w:rFonts w:eastAsiaTheme="minorEastAsia"/>
                <w:kern w:val="0"/>
                <w:szCs w:val="21"/>
              </w:rPr>
            </w:pPr>
            <w:r>
              <w:rPr>
                <w:rFonts w:eastAsiaTheme="minorEastAsia"/>
                <w:color w:val="000000"/>
                <w:kern w:val="0"/>
                <w:szCs w:val="21"/>
              </w:rPr>
              <w:t>—</w:t>
            </w:r>
          </w:p>
        </w:tc>
        <w:tc>
          <w:tcPr>
            <w:tcW w:w="840" w:type="pct"/>
            <w:shd w:val="clear" w:color="auto" w:fill="auto"/>
            <w:vAlign w:val="center"/>
          </w:tcPr>
          <w:p w14:paraId="1B483B3A">
            <w:pPr>
              <w:widowControl/>
              <w:jc w:val="center"/>
              <w:rPr>
                <w:rFonts w:eastAsiaTheme="minorEastAsia"/>
                <w:kern w:val="0"/>
                <w:szCs w:val="21"/>
              </w:rPr>
            </w:pPr>
            <w:r>
              <w:rPr>
                <w:rFonts w:eastAsiaTheme="minorEastAsia"/>
                <w:color w:val="000000"/>
                <w:kern w:val="0"/>
                <w:szCs w:val="21"/>
              </w:rPr>
              <w:t>—</w:t>
            </w:r>
          </w:p>
        </w:tc>
      </w:tr>
      <w:tr w14:paraId="3E435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20F965D6">
            <w:pPr>
              <w:widowControl/>
              <w:jc w:val="center"/>
              <w:rPr>
                <w:rFonts w:eastAsiaTheme="minorEastAsia"/>
                <w:kern w:val="0"/>
                <w:szCs w:val="21"/>
              </w:rPr>
            </w:pPr>
          </w:p>
        </w:tc>
        <w:tc>
          <w:tcPr>
            <w:tcW w:w="935" w:type="pct"/>
            <w:vMerge w:val="continue"/>
            <w:vAlign w:val="center"/>
          </w:tcPr>
          <w:p w14:paraId="1AC47AF1">
            <w:pPr>
              <w:widowControl/>
              <w:jc w:val="center"/>
              <w:rPr>
                <w:rFonts w:eastAsiaTheme="minorEastAsia"/>
                <w:kern w:val="0"/>
                <w:szCs w:val="21"/>
              </w:rPr>
            </w:pPr>
          </w:p>
        </w:tc>
        <w:tc>
          <w:tcPr>
            <w:tcW w:w="651" w:type="pct"/>
            <w:shd w:val="clear" w:color="auto" w:fill="auto"/>
            <w:vAlign w:val="center"/>
          </w:tcPr>
          <w:p w14:paraId="7EAD2BDD">
            <w:pPr>
              <w:widowControl/>
              <w:jc w:val="center"/>
              <w:rPr>
                <w:rFonts w:eastAsiaTheme="minorEastAsia"/>
                <w:kern w:val="0"/>
                <w:szCs w:val="21"/>
              </w:rPr>
            </w:pPr>
            <w:r>
              <w:rPr>
                <w:rFonts w:eastAsiaTheme="minorEastAsia"/>
                <w:kern w:val="0"/>
                <w:szCs w:val="21"/>
              </w:rPr>
              <w:t>评价结果</w:t>
            </w:r>
          </w:p>
        </w:tc>
        <w:tc>
          <w:tcPr>
            <w:tcW w:w="840" w:type="pct"/>
            <w:shd w:val="clear" w:color="auto" w:fill="auto"/>
            <w:vAlign w:val="center"/>
          </w:tcPr>
          <w:p w14:paraId="5478C5F4">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384F0778">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4ADE5AAA">
            <w:pPr>
              <w:widowControl/>
              <w:jc w:val="center"/>
              <w:rPr>
                <w:rFonts w:eastAsiaTheme="minorEastAsia"/>
                <w:kern w:val="0"/>
                <w:szCs w:val="21"/>
              </w:rPr>
            </w:pPr>
            <w:r>
              <w:rPr>
                <w:rFonts w:eastAsiaTheme="minorEastAsia"/>
                <w:color w:val="000000"/>
                <w:kern w:val="0"/>
                <w:szCs w:val="21"/>
              </w:rPr>
              <w:t>达标</w:t>
            </w:r>
          </w:p>
        </w:tc>
      </w:tr>
      <w:tr w14:paraId="77D86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restart"/>
            <w:shd w:val="clear" w:color="auto" w:fill="auto"/>
            <w:vAlign w:val="center"/>
          </w:tcPr>
          <w:p w14:paraId="3964B628">
            <w:pPr>
              <w:widowControl/>
              <w:jc w:val="center"/>
              <w:rPr>
                <w:rFonts w:eastAsiaTheme="minorEastAsia"/>
                <w:kern w:val="0"/>
                <w:szCs w:val="21"/>
              </w:rPr>
            </w:pPr>
            <w:r>
              <w:rPr>
                <w:rFonts w:eastAsiaTheme="minorEastAsia"/>
                <w:kern w:val="0"/>
                <w:szCs w:val="21"/>
              </w:rPr>
              <w:t>铜</w:t>
            </w:r>
          </w:p>
        </w:tc>
        <w:tc>
          <w:tcPr>
            <w:tcW w:w="935" w:type="pct"/>
            <w:shd w:val="clear" w:color="auto" w:fill="auto"/>
            <w:vAlign w:val="center"/>
          </w:tcPr>
          <w:p w14:paraId="67ACEAE7">
            <w:pPr>
              <w:widowControl/>
              <w:jc w:val="center"/>
              <w:rPr>
                <w:rFonts w:eastAsiaTheme="minorEastAsia"/>
                <w:kern w:val="0"/>
                <w:szCs w:val="21"/>
              </w:rPr>
            </w:pPr>
            <w:r>
              <w:rPr>
                <w:rFonts w:eastAsiaTheme="minorEastAsia"/>
                <w:kern w:val="0"/>
                <w:szCs w:val="21"/>
              </w:rPr>
              <w:t>标准值</w:t>
            </w:r>
          </w:p>
        </w:tc>
        <w:tc>
          <w:tcPr>
            <w:tcW w:w="651" w:type="pct"/>
            <w:shd w:val="clear" w:color="auto" w:fill="auto"/>
            <w:vAlign w:val="center"/>
          </w:tcPr>
          <w:p w14:paraId="6FBC9FF8">
            <w:pPr>
              <w:widowControl/>
              <w:jc w:val="center"/>
              <w:rPr>
                <w:rFonts w:eastAsiaTheme="minorEastAsia"/>
                <w:kern w:val="0"/>
                <w:szCs w:val="21"/>
              </w:rPr>
            </w:pPr>
            <w:r>
              <w:rPr>
                <w:rFonts w:eastAsiaTheme="minorEastAsia"/>
                <w:kern w:val="0"/>
                <w:szCs w:val="21"/>
              </w:rPr>
              <w:t>监测值</w:t>
            </w:r>
          </w:p>
        </w:tc>
        <w:tc>
          <w:tcPr>
            <w:tcW w:w="840" w:type="pct"/>
            <w:shd w:val="clear" w:color="auto" w:fill="auto"/>
            <w:vAlign w:val="center"/>
          </w:tcPr>
          <w:p w14:paraId="3251D732">
            <w:pPr>
              <w:widowControl/>
              <w:jc w:val="center"/>
              <w:rPr>
                <w:rFonts w:eastAsiaTheme="minorEastAsia"/>
                <w:kern w:val="0"/>
                <w:szCs w:val="21"/>
              </w:rPr>
            </w:pPr>
            <w:r>
              <w:rPr>
                <w:rFonts w:eastAsiaTheme="minorEastAsia"/>
                <w:color w:val="000000"/>
                <w:kern w:val="0"/>
                <w:szCs w:val="21"/>
              </w:rPr>
              <w:t>5Lμg/L</w:t>
            </w:r>
          </w:p>
        </w:tc>
        <w:tc>
          <w:tcPr>
            <w:tcW w:w="840" w:type="pct"/>
            <w:shd w:val="clear" w:color="auto" w:fill="auto"/>
            <w:vAlign w:val="center"/>
          </w:tcPr>
          <w:p w14:paraId="08B95470">
            <w:pPr>
              <w:widowControl/>
              <w:jc w:val="center"/>
              <w:rPr>
                <w:rFonts w:eastAsiaTheme="minorEastAsia"/>
                <w:kern w:val="0"/>
                <w:szCs w:val="21"/>
              </w:rPr>
            </w:pPr>
            <w:r>
              <w:rPr>
                <w:rFonts w:eastAsiaTheme="minorEastAsia"/>
                <w:color w:val="000000"/>
                <w:kern w:val="0"/>
                <w:szCs w:val="21"/>
              </w:rPr>
              <w:t>5Lμg/L</w:t>
            </w:r>
          </w:p>
        </w:tc>
        <w:tc>
          <w:tcPr>
            <w:tcW w:w="840" w:type="pct"/>
            <w:shd w:val="clear" w:color="auto" w:fill="auto"/>
            <w:vAlign w:val="center"/>
          </w:tcPr>
          <w:p w14:paraId="48E8F3CD">
            <w:pPr>
              <w:widowControl/>
              <w:jc w:val="center"/>
              <w:rPr>
                <w:rFonts w:eastAsiaTheme="minorEastAsia"/>
                <w:kern w:val="0"/>
                <w:szCs w:val="21"/>
              </w:rPr>
            </w:pPr>
            <w:r>
              <w:rPr>
                <w:rFonts w:eastAsiaTheme="minorEastAsia"/>
                <w:color w:val="000000"/>
                <w:kern w:val="0"/>
                <w:szCs w:val="21"/>
              </w:rPr>
              <w:t>5Lμg/L</w:t>
            </w:r>
          </w:p>
        </w:tc>
      </w:tr>
      <w:tr w14:paraId="45489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45495AF7">
            <w:pPr>
              <w:widowControl/>
              <w:jc w:val="center"/>
              <w:rPr>
                <w:rFonts w:eastAsiaTheme="minorEastAsia"/>
                <w:kern w:val="0"/>
                <w:szCs w:val="21"/>
              </w:rPr>
            </w:pPr>
          </w:p>
        </w:tc>
        <w:tc>
          <w:tcPr>
            <w:tcW w:w="935" w:type="pct"/>
            <w:vMerge w:val="restart"/>
            <w:shd w:val="clear" w:color="auto" w:fill="auto"/>
            <w:vAlign w:val="center"/>
          </w:tcPr>
          <w:p w14:paraId="2A33872E">
            <w:pPr>
              <w:widowControl/>
              <w:jc w:val="center"/>
              <w:rPr>
                <w:rFonts w:eastAsiaTheme="minorEastAsia"/>
                <w:kern w:val="0"/>
                <w:szCs w:val="21"/>
              </w:rPr>
            </w:pPr>
            <w:r>
              <w:rPr>
                <w:rFonts w:eastAsiaTheme="minorEastAsia"/>
                <w:kern w:val="0"/>
                <w:szCs w:val="21"/>
              </w:rPr>
              <w:t>1mg/L</w:t>
            </w:r>
          </w:p>
        </w:tc>
        <w:tc>
          <w:tcPr>
            <w:tcW w:w="651" w:type="pct"/>
            <w:shd w:val="clear" w:color="auto" w:fill="auto"/>
            <w:vAlign w:val="center"/>
          </w:tcPr>
          <w:p w14:paraId="15D5B433">
            <w:pPr>
              <w:widowControl/>
              <w:jc w:val="center"/>
              <w:rPr>
                <w:rFonts w:eastAsiaTheme="minorEastAsia"/>
                <w:kern w:val="0"/>
                <w:szCs w:val="21"/>
              </w:rPr>
            </w:pPr>
            <w:r>
              <w:rPr>
                <w:rFonts w:eastAsiaTheme="minorEastAsia"/>
                <w:kern w:val="0"/>
                <w:szCs w:val="21"/>
              </w:rPr>
              <w:t>标准指数</w:t>
            </w:r>
          </w:p>
        </w:tc>
        <w:tc>
          <w:tcPr>
            <w:tcW w:w="840" w:type="pct"/>
            <w:shd w:val="clear" w:color="auto" w:fill="auto"/>
            <w:vAlign w:val="center"/>
          </w:tcPr>
          <w:p w14:paraId="426EBCC1">
            <w:pPr>
              <w:widowControl/>
              <w:jc w:val="center"/>
              <w:rPr>
                <w:rFonts w:eastAsiaTheme="minorEastAsia"/>
                <w:kern w:val="0"/>
                <w:szCs w:val="21"/>
              </w:rPr>
            </w:pPr>
            <w:r>
              <w:rPr>
                <w:rFonts w:eastAsiaTheme="minorEastAsia"/>
                <w:color w:val="000000"/>
                <w:kern w:val="0"/>
                <w:szCs w:val="21"/>
              </w:rPr>
              <w:t>—</w:t>
            </w:r>
          </w:p>
        </w:tc>
        <w:tc>
          <w:tcPr>
            <w:tcW w:w="840" w:type="pct"/>
            <w:shd w:val="clear" w:color="auto" w:fill="auto"/>
            <w:vAlign w:val="center"/>
          </w:tcPr>
          <w:p w14:paraId="2D4C02BE">
            <w:pPr>
              <w:widowControl/>
              <w:jc w:val="center"/>
              <w:rPr>
                <w:rFonts w:eastAsiaTheme="minorEastAsia"/>
                <w:kern w:val="0"/>
                <w:szCs w:val="21"/>
              </w:rPr>
            </w:pPr>
            <w:r>
              <w:rPr>
                <w:rFonts w:eastAsiaTheme="minorEastAsia"/>
                <w:color w:val="000000"/>
                <w:kern w:val="0"/>
                <w:szCs w:val="21"/>
              </w:rPr>
              <w:t>—</w:t>
            </w:r>
          </w:p>
        </w:tc>
        <w:tc>
          <w:tcPr>
            <w:tcW w:w="840" w:type="pct"/>
            <w:shd w:val="clear" w:color="auto" w:fill="auto"/>
            <w:vAlign w:val="center"/>
          </w:tcPr>
          <w:p w14:paraId="58120991">
            <w:pPr>
              <w:widowControl/>
              <w:jc w:val="center"/>
              <w:rPr>
                <w:rFonts w:eastAsiaTheme="minorEastAsia"/>
                <w:kern w:val="0"/>
                <w:szCs w:val="21"/>
              </w:rPr>
            </w:pPr>
            <w:r>
              <w:rPr>
                <w:rFonts w:eastAsiaTheme="minorEastAsia"/>
                <w:color w:val="000000"/>
                <w:kern w:val="0"/>
                <w:szCs w:val="21"/>
              </w:rPr>
              <w:t>—</w:t>
            </w:r>
          </w:p>
        </w:tc>
      </w:tr>
      <w:tr w14:paraId="7FA50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0D9D5B00">
            <w:pPr>
              <w:widowControl/>
              <w:jc w:val="center"/>
              <w:rPr>
                <w:rFonts w:eastAsiaTheme="minorEastAsia"/>
                <w:kern w:val="0"/>
                <w:szCs w:val="21"/>
              </w:rPr>
            </w:pPr>
          </w:p>
        </w:tc>
        <w:tc>
          <w:tcPr>
            <w:tcW w:w="935" w:type="pct"/>
            <w:vMerge w:val="continue"/>
            <w:vAlign w:val="center"/>
          </w:tcPr>
          <w:p w14:paraId="68B8B5E3">
            <w:pPr>
              <w:widowControl/>
              <w:jc w:val="center"/>
              <w:rPr>
                <w:rFonts w:eastAsiaTheme="minorEastAsia"/>
                <w:kern w:val="0"/>
                <w:szCs w:val="21"/>
              </w:rPr>
            </w:pPr>
          </w:p>
        </w:tc>
        <w:tc>
          <w:tcPr>
            <w:tcW w:w="651" w:type="pct"/>
            <w:shd w:val="clear" w:color="auto" w:fill="auto"/>
            <w:vAlign w:val="center"/>
          </w:tcPr>
          <w:p w14:paraId="1126A9B9">
            <w:pPr>
              <w:widowControl/>
              <w:jc w:val="center"/>
              <w:rPr>
                <w:rFonts w:eastAsiaTheme="minorEastAsia"/>
                <w:kern w:val="0"/>
                <w:szCs w:val="21"/>
              </w:rPr>
            </w:pPr>
            <w:r>
              <w:rPr>
                <w:rFonts w:eastAsiaTheme="minorEastAsia"/>
                <w:kern w:val="0"/>
                <w:szCs w:val="21"/>
              </w:rPr>
              <w:t>评价结果</w:t>
            </w:r>
          </w:p>
        </w:tc>
        <w:tc>
          <w:tcPr>
            <w:tcW w:w="840" w:type="pct"/>
            <w:shd w:val="clear" w:color="auto" w:fill="auto"/>
            <w:vAlign w:val="center"/>
          </w:tcPr>
          <w:p w14:paraId="1349D309">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1231B5EC">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181CD450">
            <w:pPr>
              <w:widowControl/>
              <w:jc w:val="center"/>
              <w:rPr>
                <w:rFonts w:eastAsiaTheme="minorEastAsia"/>
                <w:kern w:val="0"/>
                <w:szCs w:val="21"/>
              </w:rPr>
            </w:pPr>
            <w:r>
              <w:rPr>
                <w:rFonts w:eastAsiaTheme="minorEastAsia"/>
                <w:color w:val="000000"/>
                <w:kern w:val="0"/>
                <w:szCs w:val="21"/>
              </w:rPr>
              <w:t>达标</w:t>
            </w:r>
          </w:p>
        </w:tc>
      </w:tr>
      <w:tr w14:paraId="1812C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restart"/>
            <w:shd w:val="clear" w:color="auto" w:fill="auto"/>
            <w:vAlign w:val="center"/>
          </w:tcPr>
          <w:p w14:paraId="79D24C54">
            <w:pPr>
              <w:widowControl/>
              <w:jc w:val="center"/>
              <w:rPr>
                <w:rFonts w:eastAsiaTheme="minorEastAsia"/>
                <w:kern w:val="0"/>
                <w:szCs w:val="21"/>
              </w:rPr>
            </w:pPr>
            <w:r>
              <w:rPr>
                <w:rFonts w:eastAsiaTheme="minorEastAsia"/>
                <w:kern w:val="0"/>
                <w:szCs w:val="21"/>
              </w:rPr>
              <w:t>锌</w:t>
            </w:r>
          </w:p>
        </w:tc>
        <w:tc>
          <w:tcPr>
            <w:tcW w:w="935" w:type="pct"/>
            <w:shd w:val="clear" w:color="auto" w:fill="auto"/>
            <w:vAlign w:val="center"/>
          </w:tcPr>
          <w:p w14:paraId="13C7351E">
            <w:pPr>
              <w:widowControl/>
              <w:jc w:val="center"/>
              <w:rPr>
                <w:rFonts w:eastAsiaTheme="minorEastAsia"/>
                <w:kern w:val="0"/>
                <w:szCs w:val="21"/>
              </w:rPr>
            </w:pPr>
            <w:r>
              <w:rPr>
                <w:rFonts w:eastAsiaTheme="minorEastAsia"/>
                <w:kern w:val="0"/>
                <w:szCs w:val="21"/>
              </w:rPr>
              <w:t>标准值</w:t>
            </w:r>
          </w:p>
        </w:tc>
        <w:tc>
          <w:tcPr>
            <w:tcW w:w="651" w:type="pct"/>
            <w:shd w:val="clear" w:color="auto" w:fill="auto"/>
            <w:vAlign w:val="center"/>
          </w:tcPr>
          <w:p w14:paraId="5C4D8A73">
            <w:pPr>
              <w:widowControl/>
              <w:jc w:val="center"/>
              <w:rPr>
                <w:rFonts w:eastAsiaTheme="minorEastAsia"/>
                <w:kern w:val="0"/>
                <w:szCs w:val="21"/>
              </w:rPr>
            </w:pPr>
            <w:r>
              <w:rPr>
                <w:rFonts w:eastAsiaTheme="minorEastAsia"/>
                <w:kern w:val="0"/>
                <w:szCs w:val="21"/>
              </w:rPr>
              <w:t>监测值</w:t>
            </w:r>
          </w:p>
        </w:tc>
        <w:tc>
          <w:tcPr>
            <w:tcW w:w="840" w:type="pct"/>
            <w:shd w:val="clear" w:color="auto" w:fill="auto"/>
            <w:vAlign w:val="center"/>
          </w:tcPr>
          <w:p w14:paraId="25C553B7">
            <w:pPr>
              <w:widowControl/>
              <w:jc w:val="center"/>
              <w:rPr>
                <w:rFonts w:eastAsiaTheme="minorEastAsia"/>
                <w:kern w:val="0"/>
                <w:szCs w:val="21"/>
              </w:rPr>
            </w:pPr>
            <w:r>
              <w:rPr>
                <w:rFonts w:eastAsiaTheme="minorEastAsia"/>
                <w:color w:val="000000"/>
                <w:kern w:val="0"/>
                <w:szCs w:val="21"/>
              </w:rPr>
              <w:t>0.05L</w:t>
            </w:r>
          </w:p>
        </w:tc>
        <w:tc>
          <w:tcPr>
            <w:tcW w:w="840" w:type="pct"/>
            <w:shd w:val="clear" w:color="auto" w:fill="auto"/>
            <w:vAlign w:val="center"/>
          </w:tcPr>
          <w:p w14:paraId="1E296993">
            <w:pPr>
              <w:widowControl/>
              <w:jc w:val="center"/>
              <w:rPr>
                <w:rFonts w:eastAsiaTheme="minorEastAsia"/>
                <w:kern w:val="0"/>
                <w:szCs w:val="21"/>
              </w:rPr>
            </w:pPr>
            <w:r>
              <w:rPr>
                <w:rFonts w:eastAsiaTheme="minorEastAsia"/>
                <w:color w:val="000000"/>
                <w:kern w:val="0"/>
                <w:szCs w:val="21"/>
              </w:rPr>
              <w:t>0.05L</w:t>
            </w:r>
          </w:p>
        </w:tc>
        <w:tc>
          <w:tcPr>
            <w:tcW w:w="840" w:type="pct"/>
            <w:shd w:val="clear" w:color="auto" w:fill="auto"/>
            <w:vAlign w:val="center"/>
          </w:tcPr>
          <w:p w14:paraId="35C3FAEE">
            <w:pPr>
              <w:widowControl/>
              <w:jc w:val="center"/>
              <w:rPr>
                <w:rFonts w:eastAsiaTheme="minorEastAsia"/>
                <w:kern w:val="0"/>
                <w:szCs w:val="21"/>
              </w:rPr>
            </w:pPr>
            <w:r>
              <w:rPr>
                <w:rFonts w:eastAsiaTheme="minorEastAsia"/>
                <w:color w:val="000000"/>
                <w:kern w:val="0"/>
                <w:szCs w:val="21"/>
              </w:rPr>
              <w:t>0.05L</w:t>
            </w:r>
          </w:p>
        </w:tc>
      </w:tr>
      <w:tr w14:paraId="637D3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22F87C32">
            <w:pPr>
              <w:widowControl/>
              <w:jc w:val="center"/>
              <w:rPr>
                <w:rFonts w:eastAsiaTheme="minorEastAsia"/>
                <w:kern w:val="0"/>
                <w:szCs w:val="21"/>
              </w:rPr>
            </w:pPr>
          </w:p>
        </w:tc>
        <w:tc>
          <w:tcPr>
            <w:tcW w:w="935" w:type="pct"/>
            <w:vMerge w:val="restart"/>
            <w:shd w:val="clear" w:color="auto" w:fill="auto"/>
            <w:vAlign w:val="center"/>
          </w:tcPr>
          <w:p w14:paraId="31C15099">
            <w:pPr>
              <w:widowControl/>
              <w:jc w:val="center"/>
              <w:rPr>
                <w:rFonts w:eastAsiaTheme="minorEastAsia"/>
                <w:kern w:val="0"/>
                <w:szCs w:val="21"/>
              </w:rPr>
            </w:pPr>
            <w:r>
              <w:rPr>
                <w:rFonts w:eastAsiaTheme="minorEastAsia"/>
                <w:kern w:val="0"/>
                <w:szCs w:val="21"/>
              </w:rPr>
              <w:t>1mg/L</w:t>
            </w:r>
          </w:p>
        </w:tc>
        <w:tc>
          <w:tcPr>
            <w:tcW w:w="651" w:type="pct"/>
            <w:shd w:val="clear" w:color="auto" w:fill="auto"/>
            <w:vAlign w:val="center"/>
          </w:tcPr>
          <w:p w14:paraId="603DCD87">
            <w:pPr>
              <w:widowControl/>
              <w:jc w:val="center"/>
              <w:rPr>
                <w:rFonts w:eastAsiaTheme="minorEastAsia"/>
                <w:kern w:val="0"/>
                <w:szCs w:val="21"/>
              </w:rPr>
            </w:pPr>
            <w:r>
              <w:rPr>
                <w:rFonts w:eastAsiaTheme="minorEastAsia"/>
                <w:kern w:val="0"/>
                <w:szCs w:val="21"/>
              </w:rPr>
              <w:t>标准指数</w:t>
            </w:r>
          </w:p>
        </w:tc>
        <w:tc>
          <w:tcPr>
            <w:tcW w:w="840" w:type="pct"/>
            <w:shd w:val="clear" w:color="auto" w:fill="auto"/>
            <w:vAlign w:val="center"/>
          </w:tcPr>
          <w:p w14:paraId="3E02ACFA">
            <w:pPr>
              <w:widowControl/>
              <w:jc w:val="center"/>
              <w:rPr>
                <w:rFonts w:eastAsiaTheme="minorEastAsia"/>
                <w:kern w:val="0"/>
                <w:szCs w:val="21"/>
              </w:rPr>
            </w:pPr>
            <w:r>
              <w:rPr>
                <w:rFonts w:eastAsiaTheme="minorEastAsia"/>
                <w:color w:val="000000"/>
                <w:kern w:val="0"/>
                <w:szCs w:val="21"/>
              </w:rPr>
              <w:t>—</w:t>
            </w:r>
          </w:p>
        </w:tc>
        <w:tc>
          <w:tcPr>
            <w:tcW w:w="840" w:type="pct"/>
            <w:shd w:val="clear" w:color="auto" w:fill="auto"/>
            <w:vAlign w:val="center"/>
          </w:tcPr>
          <w:p w14:paraId="07B2D31B">
            <w:pPr>
              <w:widowControl/>
              <w:jc w:val="center"/>
              <w:rPr>
                <w:rFonts w:eastAsiaTheme="minorEastAsia"/>
                <w:kern w:val="0"/>
                <w:szCs w:val="21"/>
              </w:rPr>
            </w:pPr>
            <w:r>
              <w:rPr>
                <w:rFonts w:eastAsiaTheme="minorEastAsia"/>
                <w:color w:val="000000"/>
                <w:kern w:val="0"/>
                <w:szCs w:val="21"/>
              </w:rPr>
              <w:t>—</w:t>
            </w:r>
          </w:p>
        </w:tc>
        <w:tc>
          <w:tcPr>
            <w:tcW w:w="840" w:type="pct"/>
            <w:shd w:val="clear" w:color="auto" w:fill="auto"/>
            <w:vAlign w:val="center"/>
          </w:tcPr>
          <w:p w14:paraId="725975F1">
            <w:pPr>
              <w:widowControl/>
              <w:jc w:val="center"/>
              <w:rPr>
                <w:rFonts w:eastAsiaTheme="minorEastAsia"/>
                <w:kern w:val="0"/>
                <w:szCs w:val="21"/>
              </w:rPr>
            </w:pPr>
            <w:r>
              <w:rPr>
                <w:rFonts w:eastAsiaTheme="minorEastAsia"/>
                <w:color w:val="000000"/>
                <w:kern w:val="0"/>
                <w:szCs w:val="21"/>
              </w:rPr>
              <w:t>—</w:t>
            </w:r>
          </w:p>
        </w:tc>
      </w:tr>
      <w:tr w14:paraId="6E15C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55509D59">
            <w:pPr>
              <w:widowControl/>
              <w:jc w:val="center"/>
              <w:rPr>
                <w:rFonts w:eastAsiaTheme="minorEastAsia"/>
                <w:kern w:val="0"/>
                <w:szCs w:val="21"/>
              </w:rPr>
            </w:pPr>
          </w:p>
        </w:tc>
        <w:tc>
          <w:tcPr>
            <w:tcW w:w="935" w:type="pct"/>
            <w:vMerge w:val="continue"/>
            <w:vAlign w:val="center"/>
          </w:tcPr>
          <w:p w14:paraId="10B14D2E">
            <w:pPr>
              <w:widowControl/>
              <w:jc w:val="center"/>
              <w:rPr>
                <w:rFonts w:eastAsiaTheme="minorEastAsia"/>
                <w:kern w:val="0"/>
                <w:szCs w:val="21"/>
              </w:rPr>
            </w:pPr>
          </w:p>
        </w:tc>
        <w:tc>
          <w:tcPr>
            <w:tcW w:w="651" w:type="pct"/>
            <w:shd w:val="clear" w:color="auto" w:fill="auto"/>
            <w:vAlign w:val="center"/>
          </w:tcPr>
          <w:p w14:paraId="7CEA9C1F">
            <w:pPr>
              <w:widowControl/>
              <w:jc w:val="center"/>
              <w:rPr>
                <w:rFonts w:eastAsiaTheme="minorEastAsia"/>
                <w:kern w:val="0"/>
                <w:szCs w:val="21"/>
              </w:rPr>
            </w:pPr>
            <w:r>
              <w:rPr>
                <w:rFonts w:eastAsiaTheme="minorEastAsia"/>
                <w:kern w:val="0"/>
                <w:szCs w:val="21"/>
              </w:rPr>
              <w:t>评价结果</w:t>
            </w:r>
          </w:p>
        </w:tc>
        <w:tc>
          <w:tcPr>
            <w:tcW w:w="840" w:type="pct"/>
            <w:shd w:val="clear" w:color="auto" w:fill="auto"/>
            <w:vAlign w:val="center"/>
          </w:tcPr>
          <w:p w14:paraId="4F745D3A">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3E295F99">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54454F24">
            <w:pPr>
              <w:widowControl/>
              <w:jc w:val="center"/>
              <w:rPr>
                <w:rFonts w:eastAsiaTheme="minorEastAsia"/>
                <w:kern w:val="0"/>
                <w:szCs w:val="21"/>
              </w:rPr>
            </w:pPr>
            <w:r>
              <w:rPr>
                <w:rFonts w:eastAsiaTheme="minorEastAsia"/>
                <w:color w:val="000000"/>
                <w:kern w:val="0"/>
                <w:szCs w:val="21"/>
              </w:rPr>
              <w:t>达标</w:t>
            </w:r>
          </w:p>
        </w:tc>
      </w:tr>
      <w:tr w14:paraId="32E57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restart"/>
            <w:shd w:val="clear" w:color="auto" w:fill="auto"/>
            <w:vAlign w:val="center"/>
          </w:tcPr>
          <w:p w14:paraId="5477CC7C">
            <w:pPr>
              <w:widowControl/>
              <w:jc w:val="center"/>
              <w:rPr>
                <w:rFonts w:eastAsiaTheme="minorEastAsia"/>
                <w:kern w:val="0"/>
                <w:szCs w:val="21"/>
              </w:rPr>
            </w:pPr>
            <w:r>
              <w:rPr>
                <w:rFonts w:eastAsiaTheme="minorEastAsia"/>
                <w:kern w:val="0"/>
                <w:szCs w:val="21"/>
              </w:rPr>
              <w:t>铝</w:t>
            </w:r>
          </w:p>
        </w:tc>
        <w:tc>
          <w:tcPr>
            <w:tcW w:w="935" w:type="pct"/>
            <w:shd w:val="clear" w:color="auto" w:fill="auto"/>
            <w:vAlign w:val="center"/>
          </w:tcPr>
          <w:p w14:paraId="12EC9C1F">
            <w:pPr>
              <w:widowControl/>
              <w:jc w:val="center"/>
              <w:rPr>
                <w:rFonts w:eastAsiaTheme="minorEastAsia"/>
                <w:kern w:val="0"/>
                <w:szCs w:val="21"/>
              </w:rPr>
            </w:pPr>
            <w:r>
              <w:rPr>
                <w:rFonts w:eastAsiaTheme="minorEastAsia"/>
                <w:kern w:val="0"/>
                <w:szCs w:val="21"/>
              </w:rPr>
              <w:t>标准值</w:t>
            </w:r>
          </w:p>
        </w:tc>
        <w:tc>
          <w:tcPr>
            <w:tcW w:w="651" w:type="pct"/>
            <w:shd w:val="clear" w:color="auto" w:fill="auto"/>
            <w:vAlign w:val="center"/>
          </w:tcPr>
          <w:p w14:paraId="1A2E1A65">
            <w:pPr>
              <w:widowControl/>
              <w:jc w:val="center"/>
              <w:rPr>
                <w:rFonts w:eastAsiaTheme="minorEastAsia"/>
                <w:kern w:val="0"/>
                <w:szCs w:val="21"/>
              </w:rPr>
            </w:pPr>
            <w:r>
              <w:rPr>
                <w:rFonts w:eastAsiaTheme="minorEastAsia"/>
                <w:kern w:val="0"/>
                <w:szCs w:val="21"/>
              </w:rPr>
              <w:t>监测值</w:t>
            </w:r>
          </w:p>
        </w:tc>
        <w:tc>
          <w:tcPr>
            <w:tcW w:w="840" w:type="pct"/>
            <w:shd w:val="clear" w:color="auto" w:fill="auto"/>
            <w:vAlign w:val="center"/>
          </w:tcPr>
          <w:p w14:paraId="75B752F4">
            <w:pPr>
              <w:widowControl/>
              <w:jc w:val="center"/>
              <w:rPr>
                <w:rFonts w:eastAsiaTheme="minorEastAsia"/>
                <w:kern w:val="0"/>
                <w:szCs w:val="21"/>
              </w:rPr>
            </w:pPr>
            <w:r>
              <w:rPr>
                <w:rFonts w:eastAsiaTheme="minorEastAsia"/>
                <w:color w:val="000000"/>
                <w:kern w:val="0"/>
                <w:szCs w:val="21"/>
              </w:rPr>
              <w:t>0.008L</w:t>
            </w:r>
          </w:p>
        </w:tc>
        <w:tc>
          <w:tcPr>
            <w:tcW w:w="840" w:type="pct"/>
            <w:shd w:val="clear" w:color="auto" w:fill="auto"/>
            <w:vAlign w:val="center"/>
          </w:tcPr>
          <w:p w14:paraId="14F658AC">
            <w:pPr>
              <w:widowControl/>
              <w:jc w:val="center"/>
              <w:rPr>
                <w:rFonts w:eastAsiaTheme="minorEastAsia"/>
                <w:kern w:val="0"/>
                <w:szCs w:val="21"/>
              </w:rPr>
            </w:pPr>
            <w:r>
              <w:rPr>
                <w:rFonts w:eastAsiaTheme="minorEastAsia"/>
                <w:color w:val="000000"/>
                <w:kern w:val="0"/>
                <w:szCs w:val="21"/>
              </w:rPr>
              <w:t>0.008L</w:t>
            </w:r>
          </w:p>
        </w:tc>
        <w:tc>
          <w:tcPr>
            <w:tcW w:w="840" w:type="pct"/>
            <w:shd w:val="clear" w:color="auto" w:fill="auto"/>
            <w:vAlign w:val="center"/>
          </w:tcPr>
          <w:p w14:paraId="49B4860A">
            <w:pPr>
              <w:widowControl/>
              <w:jc w:val="center"/>
              <w:rPr>
                <w:rFonts w:eastAsiaTheme="minorEastAsia"/>
                <w:kern w:val="0"/>
                <w:szCs w:val="21"/>
              </w:rPr>
            </w:pPr>
            <w:r>
              <w:rPr>
                <w:rFonts w:eastAsiaTheme="minorEastAsia"/>
                <w:color w:val="000000"/>
                <w:kern w:val="0"/>
                <w:szCs w:val="21"/>
              </w:rPr>
              <w:t>0.008L</w:t>
            </w:r>
          </w:p>
        </w:tc>
      </w:tr>
      <w:tr w14:paraId="6DA3B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29619BBF">
            <w:pPr>
              <w:widowControl/>
              <w:jc w:val="center"/>
              <w:rPr>
                <w:rFonts w:eastAsiaTheme="minorEastAsia"/>
                <w:kern w:val="0"/>
                <w:szCs w:val="21"/>
              </w:rPr>
            </w:pPr>
          </w:p>
        </w:tc>
        <w:tc>
          <w:tcPr>
            <w:tcW w:w="935" w:type="pct"/>
            <w:vMerge w:val="restart"/>
            <w:shd w:val="clear" w:color="auto" w:fill="auto"/>
            <w:vAlign w:val="center"/>
          </w:tcPr>
          <w:p w14:paraId="20A0C96D">
            <w:pPr>
              <w:widowControl/>
              <w:jc w:val="center"/>
              <w:rPr>
                <w:rFonts w:eastAsiaTheme="minorEastAsia"/>
                <w:kern w:val="0"/>
                <w:szCs w:val="21"/>
              </w:rPr>
            </w:pPr>
            <w:r>
              <w:rPr>
                <w:rFonts w:eastAsiaTheme="minorEastAsia"/>
                <w:kern w:val="0"/>
                <w:szCs w:val="21"/>
              </w:rPr>
              <w:t>0.2mg/L</w:t>
            </w:r>
          </w:p>
        </w:tc>
        <w:tc>
          <w:tcPr>
            <w:tcW w:w="651" w:type="pct"/>
            <w:shd w:val="clear" w:color="auto" w:fill="auto"/>
            <w:vAlign w:val="center"/>
          </w:tcPr>
          <w:p w14:paraId="535C28AC">
            <w:pPr>
              <w:widowControl/>
              <w:jc w:val="center"/>
              <w:rPr>
                <w:rFonts w:eastAsiaTheme="minorEastAsia"/>
                <w:kern w:val="0"/>
                <w:szCs w:val="21"/>
              </w:rPr>
            </w:pPr>
            <w:r>
              <w:rPr>
                <w:rFonts w:eastAsiaTheme="minorEastAsia"/>
                <w:kern w:val="0"/>
                <w:szCs w:val="21"/>
              </w:rPr>
              <w:t>标准指数</w:t>
            </w:r>
          </w:p>
        </w:tc>
        <w:tc>
          <w:tcPr>
            <w:tcW w:w="840" w:type="pct"/>
            <w:shd w:val="clear" w:color="auto" w:fill="auto"/>
            <w:vAlign w:val="center"/>
          </w:tcPr>
          <w:p w14:paraId="119132AB">
            <w:pPr>
              <w:widowControl/>
              <w:jc w:val="center"/>
              <w:rPr>
                <w:rFonts w:eastAsiaTheme="minorEastAsia"/>
                <w:kern w:val="0"/>
                <w:szCs w:val="21"/>
              </w:rPr>
            </w:pPr>
            <w:r>
              <w:rPr>
                <w:rFonts w:eastAsiaTheme="minorEastAsia"/>
                <w:color w:val="000000"/>
                <w:kern w:val="0"/>
                <w:szCs w:val="21"/>
              </w:rPr>
              <w:t>—</w:t>
            </w:r>
          </w:p>
        </w:tc>
        <w:tc>
          <w:tcPr>
            <w:tcW w:w="840" w:type="pct"/>
            <w:shd w:val="clear" w:color="auto" w:fill="auto"/>
            <w:vAlign w:val="center"/>
          </w:tcPr>
          <w:p w14:paraId="0A5177FB">
            <w:pPr>
              <w:widowControl/>
              <w:jc w:val="center"/>
              <w:rPr>
                <w:rFonts w:eastAsiaTheme="minorEastAsia"/>
                <w:kern w:val="0"/>
                <w:szCs w:val="21"/>
              </w:rPr>
            </w:pPr>
            <w:r>
              <w:rPr>
                <w:rFonts w:eastAsiaTheme="minorEastAsia"/>
                <w:color w:val="000000"/>
                <w:kern w:val="0"/>
                <w:szCs w:val="21"/>
              </w:rPr>
              <w:t>—</w:t>
            </w:r>
          </w:p>
        </w:tc>
        <w:tc>
          <w:tcPr>
            <w:tcW w:w="840" w:type="pct"/>
            <w:shd w:val="clear" w:color="auto" w:fill="auto"/>
            <w:vAlign w:val="center"/>
          </w:tcPr>
          <w:p w14:paraId="727491F3">
            <w:pPr>
              <w:widowControl/>
              <w:jc w:val="center"/>
              <w:rPr>
                <w:rFonts w:eastAsiaTheme="minorEastAsia"/>
                <w:kern w:val="0"/>
                <w:szCs w:val="21"/>
              </w:rPr>
            </w:pPr>
            <w:r>
              <w:rPr>
                <w:rFonts w:eastAsiaTheme="minorEastAsia"/>
                <w:color w:val="000000"/>
                <w:kern w:val="0"/>
                <w:szCs w:val="21"/>
              </w:rPr>
              <w:t>—</w:t>
            </w:r>
          </w:p>
        </w:tc>
      </w:tr>
      <w:tr w14:paraId="015DB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3CEB0EC0">
            <w:pPr>
              <w:widowControl/>
              <w:jc w:val="center"/>
              <w:rPr>
                <w:rFonts w:eastAsiaTheme="minorEastAsia"/>
                <w:kern w:val="0"/>
                <w:szCs w:val="21"/>
              </w:rPr>
            </w:pPr>
          </w:p>
        </w:tc>
        <w:tc>
          <w:tcPr>
            <w:tcW w:w="935" w:type="pct"/>
            <w:vMerge w:val="continue"/>
            <w:vAlign w:val="center"/>
          </w:tcPr>
          <w:p w14:paraId="20A1B165">
            <w:pPr>
              <w:widowControl/>
              <w:jc w:val="center"/>
              <w:rPr>
                <w:rFonts w:eastAsiaTheme="minorEastAsia"/>
                <w:kern w:val="0"/>
                <w:szCs w:val="21"/>
              </w:rPr>
            </w:pPr>
          </w:p>
        </w:tc>
        <w:tc>
          <w:tcPr>
            <w:tcW w:w="651" w:type="pct"/>
            <w:shd w:val="clear" w:color="auto" w:fill="auto"/>
            <w:vAlign w:val="center"/>
          </w:tcPr>
          <w:p w14:paraId="761F3AC4">
            <w:pPr>
              <w:widowControl/>
              <w:jc w:val="center"/>
              <w:rPr>
                <w:rFonts w:eastAsiaTheme="minorEastAsia"/>
                <w:kern w:val="0"/>
                <w:szCs w:val="21"/>
              </w:rPr>
            </w:pPr>
            <w:r>
              <w:rPr>
                <w:rFonts w:eastAsiaTheme="minorEastAsia"/>
                <w:kern w:val="0"/>
                <w:szCs w:val="21"/>
              </w:rPr>
              <w:t>评价结果</w:t>
            </w:r>
          </w:p>
        </w:tc>
        <w:tc>
          <w:tcPr>
            <w:tcW w:w="840" w:type="pct"/>
            <w:shd w:val="clear" w:color="auto" w:fill="auto"/>
            <w:vAlign w:val="center"/>
          </w:tcPr>
          <w:p w14:paraId="271E718F">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55F73445">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079D1330">
            <w:pPr>
              <w:widowControl/>
              <w:jc w:val="center"/>
              <w:rPr>
                <w:rFonts w:eastAsiaTheme="minorEastAsia"/>
                <w:kern w:val="0"/>
                <w:szCs w:val="21"/>
              </w:rPr>
            </w:pPr>
            <w:r>
              <w:rPr>
                <w:rFonts w:eastAsiaTheme="minorEastAsia"/>
                <w:color w:val="000000"/>
                <w:kern w:val="0"/>
                <w:szCs w:val="21"/>
              </w:rPr>
              <w:t>达标</w:t>
            </w:r>
          </w:p>
        </w:tc>
      </w:tr>
      <w:tr w14:paraId="59E91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restart"/>
            <w:shd w:val="clear" w:color="auto" w:fill="auto"/>
            <w:vAlign w:val="center"/>
          </w:tcPr>
          <w:p w14:paraId="03F0AF79">
            <w:pPr>
              <w:widowControl/>
              <w:jc w:val="center"/>
              <w:rPr>
                <w:rFonts w:eastAsiaTheme="minorEastAsia"/>
                <w:kern w:val="0"/>
                <w:szCs w:val="21"/>
              </w:rPr>
            </w:pPr>
            <w:r>
              <w:rPr>
                <w:rFonts w:eastAsiaTheme="minorEastAsia"/>
                <w:kern w:val="0"/>
                <w:szCs w:val="21"/>
              </w:rPr>
              <w:t>钠</w:t>
            </w:r>
          </w:p>
        </w:tc>
        <w:tc>
          <w:tcPr>
            <w:tcW w:w="935" w:type="pct"/>
            <w:shd w:val="clear" w:color="auto" w:fill="auto"/>
            <w:vAlign w:val="center"/>
          </w:tcPr>
          <w:p w14:paraId="43885E9E">
            <w:pPr>
              <w:widowControl/>
              <w:jc w:val="center"/>
              <w:rPr>
                <w:rFonts w:eastAsiaTheme="minorEastAsia"/>
                <w:kern w:val="0"/>
                <w:szCs w:val="21"/>
              </w:rPr>
            </w:pPr>
            <w:r>
              <w:rPr>
                <w:rFonts w:eastAsiaTheme="minorEastAsia"/>
                <w:kern w:val="0"/>
                <w:szCs w:val="21"/>
              </w:rPr>
              <w:t>标准值</w:t>
            </w:r>
          </w:p>
        </w:tc>
        <w:tc>
          <w:tcPr>
            <w:tcW w:w="651" w:type="pct"/>
            <w:shd w:val="clear" w:color="auto" w:fill="auto"/>
            <w:vAlign w:val="center"/>
          </w:tcPr>
          <w:p w14:paraId="61A2B86F">
            <w:pPr>
              <w:widowControl/>
              <w:jc w:val="center"/>
              <w:rPr>
                <w:rFonts w:eastAsiaTheme="minorEastAsia"/>
                <w:kern w:val="0"/>
                <w:szCs w:val="21"/>
              </w:rPr>
            </w:pPr>
            <w:r>
              <w:rPr>
                <w:rFonts w:eastAsiaTheme="minorEastAsia"/>
                <w:kern w:val="0"/>
                <w:szCs w:val="21"/>
              </w:rPr>
              <w:t>监测值</w:t>
            </w:r>
          </w:p>
        </w:tc>
        <w:tc>
          <w:tcPr>
            <w:tcW w:w="840" w:type="pct"/>
            <w:shd w:val="clear" w:color="auto" w:fill="auto"/>
            <w:vAlign w:val="center"/>
          </w:tcPr>
          <w:p w14:paraId="3A8A5D88">
            <w:pPr>
              <w:widowControl/>
              <w:jc w:val="center"/>
              <w:rPr>
                <w:rFonts w:eastAsiaTheme="minorEastAsia"/>
                <w:kern w:val="0"/>
                <w:szCs w:val="21"/>
              </w:rPr>
            </w:pPr>
            <w:r>
              <w:rPr>
                <w:rFonts w:eastAsiaTheme="minorEastAsia"/>
                <w:color w:val="000000"/>
                <w:kern w:val="0"/>
                <w:szCs w:val="21"/>
              </w:rPr>
              <w:t>23.7</w:t>
            </w:r>
          </w:p>
        </w:tc>
        <w:tc>
          <w:tcPr>
            <w:tcW w:w="840" w:type="pct"/>
            <w:shd w:val="clear" w:color="auto" w:fill="auto"/>
            <w:vAlign w:val="center"/>
          </w:tcPr>
          <w:p w14:paraId="6932F0C3">
            <w:pPr>
              <w:widowControl/>
              <w:jc w:val="center"/>
              <w:rPr>
                <w:rFonts w:eastAsiaTheme="minorEastAsia"/>
                <w:kern w:val="0"/>
                <w:szCs w:val="21"/>
              </w:rPr>
            </w:pPr>
            <w:r>
              <w:rPr>
                <w:rFonts w:eastAsiaTheme="minorEastAsia"/>
                <w:color w:val="000000"/>
                <w:kern w:val="0"/>
                <w:szCs w:val="21"/>
              </w:rPr>
              <w:t>20.2</w:t>
            </w:r>
          </w:p>
        </w:tc>
        <w:tc>
          <w:tcPr>
            <w:tcW w:w="840" w:type="pct"/>
            <w:shd w:val="clear" w:color="auto" w:fill="auto"/>
            <w:vAlign w:val="center"/>
          </w:tcPr>
          <w:p w14:paraId="624B582E">
            <w:pPr>
              <w:widowControl/>
              <w:jc w:val="center"/>
              <w:rPr>
                <w:rFonts w:eastAsiaTheme="minorEastAsia"/>
                <w:kern w:val="0"/>
                <w:szCs w:val="21"/>
              </w:rPr>
            </w:pPr>
            <w:r>
              <w:rPr>
                <w:rFonts w:eastAsiaTheme="minorEastAsia"/>
                <w:color w:val="000000"/>
                <w:kern w:val="0"/>
                <w:szCs w:val="21"/>
              </w:rPr>
              <w:t>20.8</w:t>
            </w:r>
          </w:p>
        </w:tc>
      </w:tr>
      <w:tr w14:paraId="09B35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5DB56331">
            <w:pPr>
              <w:widowControl/>
              <w:jc w:val="center"/>
              <w:rPr>
                <w:rFonts w:eastAsiaTheme="minorEastAsia"/>
                <w:kern w:val="0"/>
                <w:szCs w:val="21"/>
              </w:rPr>
            </w:pPr>
          </w:p>
        </w:tc>
        <w:tc>
          <w:tcPr>
            <w:tcW w:w="935" w:type="pct"/>
            <w:vMerge w:val="restart"/>
            <w:shd w:val="clear" w:color="auto" w:fill="auto"/>
            <w:vAlign w:val="center"/>
          </w:tcPr>
          <w:p w14:paraId="12AB33A8">
            <w:pPr>
              <w:widowControl/>
              <w:jc w:val="center"/>
              <w:rPr>
                <w:rFonts w:eastAsiaTheme="minorEastAsia"/>
                <w:kern w:val="0"/>
                <w:szCs w:val="21"/>
              </w:rPr>
            </w:pPr>
            <w:r>
              <w:rPr>
                <w:rFonts w:eastAsiaTheme="minorEastAsia"/>
                <w:kern w:val="0"/>
                <w:szCs w:val="21"/>
              </w:rPr>
              <w:t>200 mg/L</w:t>
            </w:r>
          </w:p>
        </w:tc>
        <w:tc>
          <w:tcPr>
            <w:tcW w:w="651" w:type="pct"/>
            <w:shd w:val="clear" w:color="auto" w:fill="auto"/>
            <w:vAlign w:val="center"/>
          </w:tcPr>
          <w:p w14:paraId="4CE97A3D">
            <w:pPr>
              <w:widowControl/>
              <w:jc w:val="center"/>
              <w:rPr>
                <w:rFonts w:eastAsiaTheme="minorEastAsia"/>
                <w:kern w:val="0"/>
                <w:szCs w:val="21"/>
              </w:rPr>
            </w:pPr>
            <w:r>
              <w:rPr>
                <w:rFonts w:eastAsiaTheme="minorEastAsia"/>
                <w:kern w:val="0"/>
                <w:szCs w:val="21"/>
              </w:rPr>
              <w:t>标准指数</w:t>
            </w:r>
          </w:p>
        </w:tc>
        <w:tc>
          <w:tcPr>
            <w:tcW w:w="840" w:type="pct"/>
            <w:shd w:val="clear" w:color="auto" w:fill="auto"/>
            <w:vAlign w:val="center"/>
          </w:tcPr>
          <w:p w14:paraId="34035791">
            <w:pPr>
              <w:widowControl/>
              <w:jc w:val="center"/>
              <w:rPr>
                <w:rFonts w:eastAsiaTheme="minorEastAsia"/>
                <w:kern w:val="0"/>
                <w:szCs w:val="21"/>
              </w:rPr>
            </w:pPr>
            <w:r>
              <w:rPr>
                <w:rFonts w:eastAsiaTheme="minorEastAsia"/>
                <w:color w:val="000000"/>
                <w:kern w:val="0"/>
                <w:szCs w:val="21"/>
              </w:rPr>
              <w:t>0.12</w:t>
            </w:r>
          </w:p>
        </w:tc>
        <w:tc>
          <w:tcPr>
            <w:tcW w:w="840" w:type="pct"/>
            <w:shd w:val="clear" w:color="auto" w:fill="auto"/>
            <w:vAlign w:val="center"/>
          </w:tcPr>
          <w:p w14:paraId="7F43349B">
            <w:pPr>
              <w:widowControl/>
              <w:jc w:val="center"/>
              <w:rPr>
                <w:rFonts w:eastAsiaTheme="minorEastAsia"/>
                <w:kern w:val="0"/>
                <w:szCs w:val="21"/>
              </w:rPr>
            </w:pPr>
            <w:r>
              <w:rPr>
                <w:rFonts w:eastAsiaTheme="minorEastAsia"/>
                <w:color w:val="000000"/>
                <w:kern w:val="0"/>
                <w:szCs w:val="21"/>
              </w:rPr>
              <w:t>0.10</w:t>
            </w:r>
          </w:p>
        </w:tc>
        <w:tc>
          <w:tcPr>
            <w:tcW w:w="840" w:type="pct"/>
            <w:shd w:val="clear" w:color="auto" w:fill="auto"/>
            <w:vAlign w:val="center"/>
          </w:tcPr>
          <w:p w14:paraId="504623D5">
            <w:pPr>
              <w:widowControl/>
              <w:jc w:val="center"/>
              <w:rPr>
                <w:rFonts w:eastAsiaTheme="minorEastAsia"/>
                <w:kern w:val="0"/>
                <w:szCs w:val="21"/>
              </w:rPr>
            </w:pPr>
            <w:r>
              <w:rPr>
                <w:rFonts w:eastAsiaTheme="minorEastAsia"/>
                <w:color w:val="000000"/>
                <w:kern w:val="0"/>
                <w:szCs w:val="21"/>
              </w:rPr>
              <w:t>0.10</w:t>
            </w:r>
          </w:p>
        </w:tc>
      </w:tr>
      <w:tr w14:paraId="305FD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40123E56">
            <w:pPr>
              <w:widowControl/>
              <w:jc w:val="center"/>
              <w:rPr>
                <w:rFonts w:eastAsiaTheme="minorEastAsia"/>
                <w:kern w:val="0"/>
                <w:szCs w:val="21"/>
              </w:rPr>
            </w:pPr>
          </w:p>
        </w:tc>
        <w:tc>
          <w:tcPr>
            <w:tcW w:w="935" w:type="pct"/>
            <w:vMerge w:val="continue"/>
            <w:vAlign w:val="center"/>
          </w:tcPr>
          <w:p w14:paraId="16EE4841">
            <w:pPr>
              <w:widowControl/>
              <w:jc w:val="center"/>
              <w:rPr>
                <w:rFonts w:eastAsiaTheme="minorEastAsia"/>
                <w:kern w:val="0"/>
                <w:szCs w:val="21"/>
              </w:rPr>
            </w:pPr>
          </w:p>
        </w:tc>
        <w:tc>
          <w:tcPr>
            <w:tcW w:w="651" w:type="pct"/>
            <w:shd w:val="clear" w:color="auto" w:fill="auto"/>
            <w:vAlign w:val="center"/>
          </w:tcPr>
          <w:p w14:paraId="4E56A560">
            <w:pPr>
              <w:widowControl/>
              <w:jc w:val="center"/>
              <w:rPr>
                <w:rFonts w:eastAsiaTheme="minorEastAsia"/>
                <w:kern w:val="0"/>
                <w:szCs w:val="21"/>
              </w:rPr>
            </w:pPr>
            <w:r>
              <w:rPr>
                <w:rFonts w:eastAsiaTheme="minorEastAsia"/>
                <w:kern w:val="0"/>
                <w:szCs w:val="21"/>
              </w:rPr>
              <w:t>评价结果</w:t>
            </w:r>
          </w:p>
        </w:tc>
        <w:tc>
          <w:tcPr>
            <w:tcW w:w="840" w:type="pct"/>
            <w:shd w:val="clear" w:color="auto" w:fill="auto"/>
            <w:vAlign w:val="center"/>
          </w:tcPr>
          <w:p w14:paraId="6D1343D1">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171D9101">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64509260">
            <w:pPr>
              <w:widowControl/>
              <w:jc w:val="center"/>
              <w:rPr>
                <w:rFonts w:eastAsiaTheme="minorEastAsia"/>
                <w:kern w:val="0"/>
                <w:szCs w:val="21"/>
              </w:rPr>
            </w:pPr>
            <w:r>
              <w:rPr>
                <w:rFonts w:eastAsiaTheme="minorEastAsia"/>
                <w:color w:val="000000"/>
                <w:kern w:val="0"/>
                <w:szCs w:val="21"/>
              </w:rPr>
              <w:t>达标</w:t>
            </w:r>
          </w:p>
        </w:tc>
      </w:tr>
      <w:tr w14:paraId="6116A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restart"/>
            <w:shd w:val="clear" w:color="auto" w:fill="auto"/>
            <w:vAlign w:val="center"/>
          </w:tcPr>
          <w:p w14:paraId="68351507">
            <w:pPr>
              <w:widowControl/>
              <w:jc w:val="center"/>
              <w:rPr>
                <w:rFonts w:eastAsiaTheme="minorEastAsia"/>
                <w:kern w:val="0"/>
                <w:szCs w:val="21"/>
              </w:rPr>
            </w:pPr>
            <w:r>
              <w:rPr>
                <w:rFonts w:eastAsiaTheme="minorEastAsia"/>
                <w:kern w:val="0"/>
                <w:szCs w:val="21"/>
              </w:rPr>
              <w:t>氯化物（Cl</w:t>
            </w:r>
            <w:r>
              <w:rPr>
                <w:rFonts w:eastAsiaTheme="minorEastAsia"/>
                <w:kern w:val="0"/>
                <w:szCs w:val="21"/>
                <w:vertAlign w:val="superscript"/>
              </w:rPr>
              <w:t>-</w:t>
            </w:r>
            <w:r>
              <w:rPr>
                <w:rFonts w:eastAsiaTheme="minorEastAsia"/>
                <w:kern w:val="0"/>
                <w:szCs w:val="21"/>
              </w:rPr>
              <w:t>）</w:t>
            </w:r>
          </w:p>
        </w:tc>
        <w:tc>
          <w:tcPr>
            <w:tcW w:w="935" w:type="pct"/>
            <w:shd w:val="clear" w:color="auto" w:fill="auto"/>
            <w:vAlign w:val="center"/>
          </w:tcPr>
          <w:p w14:paraId="57748B0D">
            <w:pPr>
              <w:widowControl/>
              <w:jc w:val="center"/>
              <w:rPr>
                <w:rFonts w:eastAsiaTheme="minorEastAsia"/>
                <w:kern w:val="0"/>
                <w:szCs w:val="21"/>
              </w:rPr>
            </w:pPr>
            <w:r>
              <w:rPr>
                <w:rFonts w:eastAsiaTheme="minorEastAsia"/>
                <w:kern w:val="0"/>
                <w:szCs w:val="21"/>
              </w:rPr>
              <w:t>标准值</w:t>
            </w:r>
          </w:p>
        </w:tc>
        <w:tc>
          <w:tcPr>
            <w:tcW w:w="651" w:type="pct"/>
            <w:shd w:val="clear" w:color="auto" w:fill="auto"/>
            <w:vAlign w:val="center"/>
          </w:tcPr>
          <w:p w14:paraId="2D0765F0">
            <w:pPr>
              <w:widowControl/>
              <w:jc w:val="center"/>
              <w:rPr>
                <w:rFonts w:eastAsiaTheme="minorEastAsia"/>
                <w:kern w:val="0"/>
                <w:szCs w:val="21"/>
              </w:rPr>
            </w:pPr>
            <w:r>
              <w:rPr>
                <w:rFonts w:eastAsiaTheme="minorEastAsia"/>
                <w:kern w:val="0"/>
                <w:szCs w:val="21"/>
              </w:rPr>
              <w:t>监测值</w:t>
            </w:r>
          </w:p>
        </w:tc>
        <w:tc>
          <w:tcPr>
            <w:tcW w:w="840" w:type="pct"/>
            <w:shd w:val="clear" w:color="auto" w:fill="auto"/>
            <w:vAlign w:val="center"/>
          </w:tcPr>
          <w:p w14:paraId="0FDE7777">
            <w:pPr>
              <w:widowControl/>
              <w:jc w:val="center"/>
              <w:rPr>
                <w:rFonts w:eastAsiaTheme="minorEastAsia"/>
                <w:kern w:val="0"/>
                <w:szCs w:val="21"/>
              </w:rPr>
            </w:pPr>
            <w:r>
              <w:rPr>
                <w:rFonts w:eastAsiaTheme="minorEastAsia"/>
                <w:color w:val="000000"/>
                <w:kern w:val="0"/>
                <w:szCs w:val="21"/>
              </w:rPr>
              <w:t>89.2</w:t>
            </w:r>
          </w:p>
        </w:tc>
        <w:tc>
          <w:tcPr>
            <w:tcW w:w="840" w:type="pct"/>
            <w:shd w:val="clear" w:color="auto" w:fill="auto"/>
            <w:vAlign w:val="center"/>
          </w:tcPr>
          <w:p w14:paraId="6499CA73">
            <w:pPr>
              <w:widowControl/>
              <w:jc w:val="center"/>
              <w:rPr>
                <w:rFonts w:eastAsiaTheme="minorEastAsia"/>
                <w:kern w:val="0"/>
                <w:szCs w:val="21"/>
              </w:rPr>
            </w:pPr>
            <w:r>
              <w:rPr>
                <w:rFonts w:eastAsiaTheme="minorEastAsia"/>
                <w:color w:val="000000"/>
                <w:kern w:val="0"/>
                <w:szCs w:val="21"/>
              </w:rPr>
              <w:t>43.4</w:t>
            </w:r>
          </w:p>
        </w:tc>
        <w:tc>
          <w:tcPr>
            <w:tcW w:w="840" w:type="pct"/>
            <w:shd w:val="clear" w:color="auto" w:fill="auto"/>
            <w:vAlign w:val="center"/>
          </w:tcPr>
          <w:p w14:paraId="7AF87CC8">
            <w:pPr>
              <w:widowControl/>
              <w:jc w:val="center"/>
              <w:rPr>
                <w:rFonts w:eastAsiaTheme="minorEastAsia"/>
                <w:kern w:val="0"/>
                <w:szCs w:val="21"/>
              </w:rPr>
            </w:pPr>
            <w:r>
              <w:rPr>
                <w:rFonts w:eastAsiaTheme="minorEastAsia"/>
                <w:color w:val="000000"/>
                <w:kern w:val="0"/>
                <w:szCs w:val="21"/>
              </w:rPr>
              <w:t>76.2</w:t>
            </w:r>
          </w:p>
        </w:tc>
      </w:tr>
      <w:tr w14:paraId="471B3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3D497F8C">
            <w:pPr>
              <w:widowControl/>
              <w:jc w:val="center"/>
              <w:rPr>
                <w:rFonts w:eastAsiaTheme="minorEastAsia"/>
                <w:kern w:val="0"/>
                <w:szCs w:val="21"/>
              </w:rPr>
            </w:pPr>
          </w:p>
        </w:tc>
        <w:tc>
          <w:tcPr>
            <w:tcW w:w="935" w:type="pct"/>
            <w:vMerge w:val="restart"/>
            <w:shd w:val="clear" w:color="auto" w:fill="auto"/>
            <w:vAlign w:val="center"/>
          </w:tcPr>
          <w:p w14:paraId="47AEFF0B">
            <w:pPr>
              <w:widowControl/>
              <w:jc w:val="center"/>
              <w:rPr>
                <w:rFonts w:eastAsiaTheme="minorEastAsia"/>
                <w:kern w:val="0"/>
                <w:szCs w:val="21"/>
              </w:rPr>
            </w:pPr>
            <w:r>
              <w:rPr>
                <w:rFonts w:eastAsiaTheme="minorEastAsia"/>
                <w:kern w:val="0"/>
                <w:szCs w:val="21"/>
              </w:rPr>
              <w:t>250mg/L</w:t>
            </w:r>
          </w:p>
        </w:tc>
        <w:tc>
          <w:tcPr>
            <w:tcW w:w="651" w:type="pct"/>
            <w:shd w:val="clear" w:color="auto" w:fill="auto"/>
            <w:vAlign w:val="center"/>
          </w:tcPr>
          <w:p w14:paraId="1F7B1307">
            <w:pPr>
              <w:widowControl/>
              <w:jc w:val="center"/>
              <w:rPr>
                <w:rFonts w:eastAsiaTheme="minorEastAsia"/>
                <w:kern w:val="0"/>
                <w:szCs w:val="21"/>
              </w:rPr>
            </w:pPr>
            <w:r>
              <w:rPr>
                <w:rFonts w:eastAsiaTheme="minorEastAsia"/>
                <w:kern w:val="0"/>
                <w:szCs w:val="21"/>
              </w:rPr>
              <w:t>标准指数</w:t>
            </w:r>
          </w:p>
        </w:tc>
        <w:tc>
          <w:tcPr>
            <w:tcW w:w="840" w:type="pct"/>
            <w:shd w:val="clear" w:color="auto" w:fill="auto"/>
            <w:vAlign w:val="center"/>
          </w:tcPr>
          <w:p w14:paraId="4F95B8B3">
            <w:pPr>
              <w:widowControl/>
              <w:jc w:val="center"/>
              <w:rPr>
                <w:rFonts w:eastAsiaTheme="minorEastAsia"/>
                <w:kern w:val="0"/>
                <w:szCs w:val="21"/>
              </w:rPr>
            </w:pPr>
            <w:r>
              <w:rPr>
                <w:rFonts w:eastAsiaTheme="minorEastAsia"/>
                <w:color w:val="000000"/>
                <w:kern w:val="0"/>
                <w:szCs w:val="21"/>
              </w:rPr>
              <w:t>0.36</w:t>
            </w:r>
          </w:p>
        </w:tc>
        <w:tc>
          <w:tcPr>
            <w:tcW w:w="840" w:type="pct"/>
            <w:shd w:val="clear" w:color="auto" w:fill="auto"/>
            <w:vAlign w:val="center"/>
          </w:tcPr>
          <w:p w14:paraId="3DDB9DF8">
            <w:pPr>
              <w:widowControl/>
              <w:jc w:val="center"/>
              <w:rPr>
                <w:rFonts w:eastAsiaTheme="minorEastAsia"/>
                <w:kern w:val="0"/>
                <w:szCs w:val="21"/>
              </w:rPr>
            </w:pPr>
            <w:r>
              <w:rPr>
                <w:rFonts w:eastAsiaTheme="minorEastAsia"/>
                <w:color w:val="000000"/>
                <w:kern w:val="0"/>
                <w:szCs w:val="21"/>
              </w:rPr>
              <w:t>0.17</w:t>
            </w:r>
          </w:p>
        </w:tc>
        <w:tc>
          <w:tcPr>
            <w:tcW w:w="840" w:type="pct"/>
            <w:shd w:val="clear" w:color="auto" w:fill="auto"/>
            <w:vAlign w:val="center"/>
          </w:tcPr>
          <w:p w14:paraId="2D47FEFF">
            <w:pPr>
              <w:widowControl/>
              <w:jc w:val="center"/>
              <w:rPr>
                <w:rFonts w:eastAsiaTheme="minorEastAsia"/>
                <w:kern w:val="0"/>
                <w:szCs w:val="21"/>
              </w:rPr>
            </w:pPr>
            <w:r>
              <w:rPr>
                <w:rFonts w:eastAsiaTheme="minorEastAsia"/>
                <w:color w:val="000000"/>
                <w:kern w:val="0"/>
                <w:szCs w:val="21"/>
              </w:rPr>
              <w:t>0.31</w:t>
            </w:r>
          </w:p>
        </w:tc>
      </w:tr>
      <w:tr w14:paraId="277CC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7A3AEE8D">
            <w:pPr>
              <w:widowControl/>
              <w:jc w:val="center"/>
              <w:rPr>
                <w:rFonts w:eastAsiaTheme="minorEastAsia"/>
                <w:kern w:val="0"/>
                <w:szCs w:val="21"/>
              </w:rPr>
            </w:pPr>
          </w:p>
        </w:tc>
        <w:tc>
          <w:tcPr>
            <w:tcW w:w="935" w:type="pct"/>
            <w:vMerge w:val="continue"/>
            <w:vAlign w:val="center"/>
          </w:tcPr>
          <w:p w14:paraId="41DE8C30">
            <w:pPr>
              <w:widowControl/>
              <w:jc w:val="center"/>
              <w:rPr>
                <w:rFonts w:eastAsiaTheme="minorEastAsia"/>
                <w:kern w:val="0"/>
                <w:szCs w:val="21"/>
              </w:rPr>
            </w:pPr>
          </w:p>
        </w:tc>
        <w:tc>
          <w:tcPr>
            <w:tcW w:w="651" w:type="pct"/>
            <w:shd w:val="clear" w:color="auto" w:fill="auto"/>
            <w:vAlign w:val="center"/>
          </w:tcPr>
          <w:p w14:paraId="11B4D5BF">
            <w:pPr>
              <w:widowControl/>
              <w:jc w:val="center"/>
              <w:rPr>
                <w:rFonts w:eastAsiaTheme="minorEastAsia"/>
                <w:kern w:val="0"/>
                <w:szCs w:val="21"/>
              </w:rPr>
            </w:pPr>
            <w:r>
              <w:rPr>
                <w:rFonts w:eastAsiaTheme="minorEastAsia"/>
                <w:kern w:val="0"/>
                <w:szCs w:val="21"/>
              </w:rPr>
              <w:t>评价结果</w:t>
            </w:r>
          </w:p>
        </w:tc>
        <w:tc>
          <w:tcPr>
            <w:tcW w:w="840" w:type="pct"/>
            <w:shd w:val="clear" w:color="auto" w:fill="auto"/>
            <w:vAlign w:val="center"/>
          </w:tcPr>
          <w:p w14:paraId="6178BEBA">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7039C434">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7328E889">
            <w:pPr>
              <w:widowControl/>
              <w:jc w:val="center"/>
              <w:rPr>
                <w:rFonts w:eastAsiaTheme="minorEastAsia"/>
                <w:kern w:val="0"/>
                <w:szCs w:val="21"/>
              </w:rPr>
            </w:pPr>
            <w:r>
              <w:rPr>
                <w:rFonts w:eastAsiaTheme="minorEastAsia"/>
                <w:color w:val="000000"/>
                <w:kern w:val="0"/>
                <w:szCs w:val="21"/>
              </w:rPr>
              <w:t>达标</w:t>
            </w:r>
          </w:p>
        </w:tc>
      </w:tr>
      <w:tr w14:paraId="6D631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restart"/>
            <w:shd w:val="clear" w:color="auto" w:fill="auto"/>
            <w:vAlign w:val="center"/>
          </w:tcPr>
          <w:p w14:paraId="79E25DAF">
            <w:pPr>
              <w:widowControl/>
              <w:jc w:val="center"/>
              <w:rPr>
                <w:rFonts w:eastAsiaTheme="minorEastAsia"/>
                <w:kern w:val="0"/>
                <w:szCs w:val="21"/>
              </w:rPr>
            </w:pPr>
            <w:r>
              <w:rPr>
                <w:rFonts w:eastAsiaTheme="minorEastAsia"/>
                <w:kern w:val="0"/>
                <w:szCs w:val="21"/>
              </w:rPr>
              <w:t>硫酸盐（SO</w:t>
            </w:r>
            <w:r>
              <w:rPr>
                <w:rFonts w:eastAsiaTheme="minorEastAsia"/>
                <w:kern w:val="0"/>
                <w:szCs w:val="21"/>
                <w:vertAlign w:val="subscript"/>
              </w:rPr>
              <w:t>4</w:t>
            </w:r>
            <w:r>
              <w:rPr>
                <w:rFonts w:eastAsiaTheme="minorEastAsia"/>
                <w:kern w:val="0"/>
                <w:szCs w:val="21"/>
                <w:vertAlign w:val="superscript"/>
              </w:rPr>
              <w:t>2-</w:t>
            </w:r>
            <w:r>
              <w:rPr>
                <w:rFonts w:eastAsiaTheme="minorEastAsia"/>
                <w:kern w:val="0"/>
                <w:szCs w:val="21"/>
              </w:rPr>
              <w:t>）</w:t>
            </w:r>
          </w:p>
        </w:tc>
        <w:tc>
          <w:tcPr>
            <w:tcW w:w="935" w:type="pct"/>
            <w:shd w:val="clear" w:color="auto" w:fill="auto"/>
            <w:vAlign w:val="center"/>
          </w:tcPr>
          <w:p w14:paraId="7C310984">
            <w:pPr>
              <w:widowControl/>
              <w:jc w:val="center"/>
              <w:rPr>
                <w:rFonts w:eastAsiaTheme="minorEastAsia"/>
                <w:kern w:val="0"/>
                <w:szCs w:val="21"/>
              </w:rPr>
            </w:pPr>
            <w:r>
              <w:rPr>
                <w:rFonts w:eastAsiaTheme="minorEastAsia"/>
                <w:kern w:val="0"/>
                <w:szCs w:val="21"/>
              </w:rPr>
              <w:t>标准值</w:t>
            </w:r>
          </w:p>
        </w:tc>
        <w:tc>
          <w:tcPr>
            <w:tcW w:w="651" w:type="pct"/>
            <w:shd w:val="clear" w:color="auto" w:fill="auto"/>
            <w:vAlign w:val="center"/>
          </w:tcPr>
          <w:p w14:paraId="00471268">
            <w:pPr>
              <w:widowControl/>
              <w:jc w:val="center"/>
              <w:rPr>
                <w:rFonts w:eastAsiaTheme="minorEastAsia"/>
                <w:kern w:val="0"/>
                <w:szCs w:val="21"/>
              </w:rPr>
            </w:pPr>
            <w:r>
              <w:rPr>
                <w:rFonts w:eastAsiaTheme="minorEastAsia"/>
                <w:kern w:val="0"/>
                <w:szCs w:val="21"/>
              </w:rPr>
              <w:t>监测值</w:t>
            </w:r>
          </w:p>
        </w:tc>
        <w:tc>
          <w:tcPr>
            <w:tcW w:w="840" w:type="pct"/>
            <w:shd w:val="clear" w:color="auto" w:fill="auto"/>
            <w:vAlign w:val="center"/>
          </w:tcPr>
          <w:p w14:paraId="4199C03A">
            <w:pPr>
              <w:widowControl/>
              <w:jc w:val="center"/>
              <w:rPr>
                <w:rFonts w:eastAsiaTheme="minorEastAsia"/>
                <w:kern w:val="0"/>
                <w:szCs w:val="21"/>
              </w:rPr>
            </w:pPr>
            <w:r>
              <w:rPr>
                <w:rFonts w:eastAsiaTheme="minorEastAsia"/>
                <w:color w:val="000000"/>
                <w:kern w:val="0"/>
                <w:szCs w:val="21"/>
              </w:rPr>
              <w:t>130</w:t>
            </w:r>
          </w:p>
        </w:tc>
        <w:tc>
          <w:tcPr>
            <w:tcW w:w="840" w:type="pct"/>
            <w:shd w:val="clear" w:color="auto" w:fill="auto"/>
            <w:vAlign w:val="center"/>
          </w:tcPr>
          <w:p w14:paraId="42703D80">
            <w:pPr>
              <w:widowControl/>
              <w:jc w:val="center"/>
              <w:rPr>
                <w:rFonts w:eastAsiaTheme="minorEastAsia"/>
                <w:kern w:val="0"/>
                <w:szCs w:val="21"/>
              </w:rPr>
            </w:pPr>
            <w:r>
              <w:rPr>
                <w:rFonts w:eastAsiaTheme="minorEastAsia"/>
                <w:color w:val="000000"/>
                <w:kern w:val="0"/>
                <w:szCs w:val="21"/>
              </w:rPr>
              <w:t>122</w:t>
            </w:r>
          </w:p>
        </w:tc>
        <w:tc>
          <w:tcPr>
            <w:tcW w:w="840" w:type="pct"/>
            <w:shd w:val="clear" w:color="auto" w:fill="auto"/>
            <w:vAlign w:val="center"/>
          </w:tcPr>
          <w:p w14:paraId="66F423DA">
            <w:pPr>
              <w:widowControl/>
              <w:jc w:val="center"/>
              <w:rPr>
                <w:rFonts w:eastAsiaTheme="minorEastAsia"/>
                <w:kern w:val="0"/>
                <w:szCs w:val="21"/>
              </w:rPr>
            </w:pPr>
            <w:r>
              <w:rPr>
                <w:rFonts w:eastAsiaTheme="minorEastAsia"/>
                <w:color w:val="000000"/>
                <w:kern w:val="0"/>
                <w:szCs w:val="21"/>
              </w:rPr>
              <w:t>138</w:t>
            </w:r>
          </w:p>
        </w:tc>
      </w:tr>
      <w:tr w14:paraId="4E316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0C8AC5CE">
            <w:pPr>
              <w:widowControl/>
              <w:jc w:val="center"/>
              <w:rPr>
                <w:rFonts w:eastAsiaTheme="minorEastAsia"/>
                <w:kern w:val="0"/>
                <w:szCs w:val="21"/>
              </w:rPr>
            </w:pPr>
          </w:p>
        </w:tc>
        <w:tc>
          <w:tcPr>
            <w:tcW w:w="935" w:type="pct"/>
            <w:vMerge w:val="restart"/>
            <w:shd w:val="clear" w:color="auto" w:fill="auto"/>
            <w:vAlign w:val="center"/>
          </w:tcPr>
          <w:p w14:paraId="42D3294E">
            <w:pPr>
              <w:widowControl/>
              <w:jc w:val="center"/>
              <w:rPr>
                <w:rFonts w:eastAsiaTheme="minorEastAsia"/>
                <w:kern w:val="0"/>
                <w:szCs w:val="21"/>
              </w:rPr>
            </w:pPr>
            <w:r>
              <w:rPr>
                <w:rFonts w:eastAsiaTheme="minorEastAsia"/>
                <w:kern w:val="0"/>
                <w:szCs w:val="21"/>
              </w:rPr>
              <w:t>250mg/L</w:t>
            </w:r>
          </w:p>
        </w:tc>
        <w:tc>
          <w:tcPr>
            <w:tcW w:w="651" w:type="pct"/>
            <w:shd w:val="clear" w:color="auto" w:fill="auto"/>
            <w:vAlign w:val="center"/>
          </w:tcPr>
          <w:p w14:paraId="39E47B64">
            <w:pPr>
              <w:widowControl/>
              <w:jc w:val="center"/>
              <w:rPr>
                <w:rFonts w:eastAsiaTheme="minorEastAsia"/>
                <w:kern w:val="0"/>
                <w:szCs w:val="21"/>
              </w:rPr>
            </w:pPr>
            <w:r>
              <w:rPr>
                <w:rFonts w:eastAsiaTheme="minorEastAsia"/>
                <w:kern w:val="0"/>
                <w:szCs w:val="21"/>
              </w:rPr>
              <w:t>标准指数</w:t>
            </w:r>
          </w:p>
        </w:tc>
        <w:tc>
          <w:tcPr>
            <w:tcW w:w="840" w:type="pct"/>
            <w:shd w:val="clear" w:color="auto" w:fill="auto"/>
            <w:vAlign w:val="center"/>
          </w:tcPr>
          <w:p w14:paraId="0D5E6DF1">
            <w:pPr>
              <w:widowControl/>
              <w:jc w:val="center"/>
              <w:rPr>
                <w:rFonts w:eastAsiaTheme="minorEastAsia"/>
                <w:kern w:val="0"/>
                <w:szCs w:val="21"/>
              </w:rPr>
            </w:pPr>
            <w:r>
              <w:rPr>
                <w:rFonts w:eastAsiaTheme="minorEastAsia"/>
                <w:color w:val="000000"/>
                <w:kern w:val="0"/>
                <w:szCs w:val="21"/>
              </w:rPr>
              <w:t>0.52</w:t>
            </w:r>
          </w:p>
        </w:tc>
        <w:tc>
          <w:tcPr>
            <w:tcW w:w="840" w:type="pct"/>
            <w:shd w:val="clear" w:color="auto" w:fill="auto"/>
            <w:vAlign w:val="center"/>
          </w:tcPr>
          <w:p w14:paraId="7AAC7C61">
            <w:pPr>
              <w:widowControl/>
              <w:jc w:val="center"/>
              <w:rPr>
                <w:rFonts w:eastAsiaTheme="minorEastAsia"/>
                <w:kern w:val="0"/>
                <w:szCs w:val="21"/>
              </w:rPr>
            </w:pPr>
            <w:r>
              <w:rPr>
                <w:rFonts w:eastAsiaTheme="minorEastAsia"/>
                <w:color w:val="000000"/>
                <w:kern w:val="0"/>
                <w:szCs w:val="21"/>
              </w:rPr>
              <w:t>0.49</w:t>
            </w:r>
          </w:p>
        </w:tc>
        <w:tc>
          <w:tcPr>
            <w:tcW w:w="840" w:type="pct"/>
            <w:shd w:val="clear" w:color="auto" w:fill="auto"/>
            <w:vAlign w:val="center"/>
          </w:tcPr>
          <w:p w14:paraId="462CA088">
            <w:pPr>
              <w:widowControl/>
              <w:jc w:val="center"/>
              <w:rPr>
                <w:rFonts w:eastAsiaTheme="minorEastAsia"/>
                <w:kern w:val="0"/>
                <w:szCs w:val="21"/>
              </w:rPr>
            </w:pPr>
            <w:r>
              <w:rPr>
                <w:rFonts w:eastAsiaTheme="minorEastAsia"/>
                <w:color w:val="000000"/>
                <w:kern w:val="0"/>
                <w:szCs w:val="21"/>
              </w:rPr>
              <w:t>0.55</w:t>
            </w:r>
          </w:p>
        </w:tc>
      </w:tr>
      <w:tr w14:paraId="466A1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585436B5">
            <w:pPr>
              <w:widowControl/>
              <w:jc w:val="center"/>
              <w:rPr>
                <w:rFonts w:eastAsiaTheme="minorEastAsia"/>
                <w:kern w:val="0"/>
                <w:szCs w:val="21"/>
              </w:rPr>
            </w:pPr>
          </w:p>
        </w:tc>
        <w:tc>
          <w:tcPr>
            <w:tcW w:w="935" w:type="pct"/>
            <w:vMerge w:val="continue"/>
            <w:vAlign w:val="center"/>
          </w:tcPr>
          <w:p w14:paraId="31C399C4">
            <w:pPr>
              <w:widowControl/>
              <w:jc w:val="center"/>
              <w:rPr>
                <w:rFonts w:eastAsiaTheme="minorEastAsia"/>
                <w:kern w:val="0"/>
                <w:szCs w:val="21"/>
              </w:rPr>
            </w:pPr>
          </w:p>
        </w:tc>
        <w:tc>
          <w:tcPr>
            <w:tcW w:w="651" w:type="pct"/>
            <w:shd w:val="clear" w:color="auto" w:fill="auto"/>
            <w:vAlign w:val="center"/>
          </w:tcPr>
          <w:p w14:paraId="37EED024">
            <w:pPr>
              <w:widowControl/>
              <w:jc w:val="center"/>
              <w:rPr>
                <w:rFonts w:eastAsiaTheme="minorEastAsia"/>
                <w:kern w:val="0"/>
                <w:szCs w:val="21"/>
              </w:rPr>
            </w:pPr>
            <w:r>
              <w:rPr>
                <w:rFonts w:eastAsiaTheme="minorEastAsia"/>
                <w:kern w:val="0"/>
                <w:szCs w:val="21"/>
              </w:rPr>
              <w:t>评价结果</w:t>
            </w:r>
          </w:p>
        </w:tc>
        <w:tc>
          <w:tcPr>
            <w:tcW w:w="840" w:type="pct"/>
            <w:shd w:val="clear" w:color="auto" w:fill="auto"/>
            <w:vAlign w:val="center"/>
          </w:tcPr>
          <w:p w14:paraId="5FB3CA0C">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0F5B0774">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32399F7E">
            <w:pPr>
              <w:widowControl/>
              <w:jc w:val="center"/>
              <w:rPr>
                <w:rFonts w:eastAsiaTheme="minorEastAsia"/>
                <w:kern w:val="0"/>
                <w:szCs w:val="21"/>
              </w:rPr>
            </w:pPr>
            <w:r>
              <w:rPr>
                <w:rFonts w:eastAsiaTheme="minorEastAsia"/>
                <w:color w:val="000000"/>
                <w:kern w:val="0"/>
                <w:szCs w:val="21"/>
              </w:rPr>
              <w:t>达标</w:t>
            </w:r>
          </w:p>
        </w:tc>
      </w:tr>
      <w:tr w14:paraId="2D89E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restart"/>
            <w:shd w:val="clear" w:color="auto" w:fill="auto"/>
            <w:vAlign w:val="center"/>
          </w:tcPr>
          <w:p w14:paraId="6F8A1BA4">
            <w:pPr>
              <w:widowControl/>
              <w:jc w:val="center"/>
              <w:rPr>
                <w:rFonts w:eastAsiaTheme="minorEastAsia"/>
                <w:kern w:val="0"/>
                <w:szCs w:val="21"/>
              </w:rPr>
            </w:pPr>
            <w:r>
              <w:rPr>
                <w:rFonts w:eastAsiaTheme="minorEastAsia"/>
                <w:kern w:val="0"/>
                <w:szCs w:val="21"/>
              </w:rPr>
              <w:t>挥发性酚类（以苯酚计）</w:t>
            </w:r>
          </w:p>
        </w:tc>
        <w:tc>
          <w:tcPr>
            <w:tcW w:w="935" w:type="pct"/>
            <w:shd w:val="clear" w:color="auto" w:fill="auto"/>
            <w:vAlign w:val="center"/>
          </w:tcPr>
          <w:p w14:paraId="20536328">
            <w:pPr>
              <w:widowControl/>
              <w:jc w:val="center"/>
              <w:rPr>
                <w:rFonts w:eastAsiaTheme="minorEastAsia"/>
                <w:kern w:val="0"/>
                <w:szCs w:val="21"/>
              </w:rPr>
            </w:pPr>
            <w:r>
              <w:rPr>
                <w:rFonts w:eastAsiaTheme="minorEastAsia"/>
                <w:kern w:val="0"/>
                <w:szCs w:val="21"/>
              </w:rPr>
              <w:t>标准值</w:t>
            </w:r>
          </w:p>
        </w:tc>
        <w:tc>
          <w:tcPr>
            <w:tcW w:w="651" w:type="pct"/>
            <w:shd w:val="clear" w:color="auto" w:fill="auto"/>
            <w:vAlign w:val="center"/>
          </w:tcPr>
          <w:p w14:paraId="3A0FC3AF">
            <w:pPr>
              <w:widowControl/>
              <w:jc w:val="center"/>
              <w:rPr>
                <w:rFonts w:eastAsiaTheme="minorEastAsia"/>
                <w:kern w:val="0"/>
                <w:szCs w:val="21"/>
              </w:rPr>
            </w:pPr>
            <w:r>
              <w:rPr>
                <w:rFonts w:eastAsiaTheme="minorEastAsia"/>
                <w:kern w:val="0"/>
                <w:szCs w:val="21"/>
              </w:rPr>
              <w:t>监测值</w:t>
            </w:r>
          </w:p>
        </w:tc>
        <w:tc>
          <w:tcPr>
            <w:tcW w:w="840" w:type="pct"/>
            <w:shd w:val="clear" w:color="auto" w:fill="auto"/>
            <w:vAlign w:val="center"/>
          </w:tcPr>
          <w:p w14:paraId="09D2D55D">
            <w:pPr>
              <w:widowControl/>
              <w:jc w:val="center"/>
              <w:rPr>
                <w:rFonts w:eastAsiaTheme="minorEastAsia"/>
                <w:kern w:val="0"/>
                <w:szCs w:val="21"/>
              </w:rPr>
            </w:pPr>
            <w:r>
              <w:rPr>
                <w:rFonts w:eastAsiaTheme="minorEastAsia"/>
                <w:color w:val="000000"/>
                <w:kern w:val="0"/>
                <w:szCs w:val="21"/>
              </w:rPr>
              <w:t>0.0003L</w:t>
            </w:r>
          </w:p>
        </w:tc>
        <w:tc>
          <w:tcPr>
            <w:tcW w:w="840" w:type="pct"/>
            <w:shd w:val="clear" w:color="auto" w:fill="auto"/>
            <w:vAlign w:val="center"/>
          </w:tcPr>
          <w:p w14:paraId="784FFA84">
            <w:pPr>
              <w:widowControl/>
              <w:jc w:val="center"/>
              <w:rPr>
                <w:rFonts w:eastAsiaTheme="minorEastAsia"/>
                <w:kern w:val="0"/>
                <w:szCs w:val="21"/>
              </w:rPr>
            </w:pPr>
            <w:r>
              <w:rPr>
                <w:rFonts w:eastAsiaTheme="minorEastAsia"/>
                <w:color w:val="000000"/>
                <w:kern w:val="0"/>
                <w:szCs w:val="21"/>
              </w:rPr>
              <w:t>0.0004</w:t>
            </w:r>
          </w:p>
        </w:tc>
        <w:tc>
          <w:tcPr>
            <w:tcW w:w="840" w:type="pct"/>
            <w:shd w:val="clear" w:color="auto" w:fill="auto"/>
            <w:vAlign w:val="center"/>
          </w:tcPr>
          <w:p w14:paraId="2F4AA0D3">
            <w:pPr>
              <w:widowControl/>
              <w:jc w:val="center"/>
              <w:rPr>
                <w:rFonts w:eastAsiaTheme="minorEastAsia"/>
                <w:kern w:val="0"/>
                <w:szCs w:val="21"/>
              </w:rPr>
            </w:pPr>
            <w:r>
              <w:rPr>
                <w:rFonts w:eastAsiaTheme="minorEastAsia"/>
                <w:color w:val="000000"/>
                <w:kern w:val="0"/>
                <w:szCs w:val="21"/>
              </w:rPr>
              <w:t>0.0006</w:t>
            </w:r>
          </w:p>
        </w:tc>
      </w:tr>
      <w:tr w14:paraId="532A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shd w:val="clear" w:color="auto" w:fill="auto"/>
            <w:vAlign w:val="center"/>
          </w:tcPr>
          <w:p w14:paraId="1F91606E">
            <w:pPr>
              <w:jc w:val="center"/>
              <w:rPr>
                <w:rFonts w:eastAsiaTheme="minorEastAsia"/>
                <w:kern w:val="0"/>
                <w:szCs w:val="21"/>
              </w:rPr>
            </w:pPr>
          </w:p>
        </w:tc>
        <w:tc>
          <w:tcPr>
            <w:tcW w:w="935" w:type="pct"/>
            <w:vMerge w:val="restart"/>
            <w:shd w:val="clear" w:color="auto" w:fill="auto"/>
            <w:vAlign w:val="center"/>
          </w:tcPr>
          <w:p w14:paraId="272D2132">
            <w:pPr>
              <w:widowControl/>
              <w:jc w:val="center"/>
              <w:rPr>
                <w:rFonts w:eastAsiaTheme="minorEastAsia"/>
                <w:kern w:val="0"/>
                <w:szCs w:val="21"/>
              </w:rPr>
            </w:pPr>
            <w:r>
              <w:rPr>
                <w:rFonts w:eastAsiaTheme="minorEastAsia"/>
                <w:kern w:val="0"/>
                <w:szCs w:val="21"/>
              </w:rPr>
              <w:t>0.002mg/L</w:t>
            </w:r>
          </w:p>
        </w:tc>
        <w:tc>
          <w:tcPr>
            <w:tcW w:w="651" w:type="pct"/>
            <w:shd w:val="clear" w:color="auto" w:fill="auto"/>
            <w:vAlign w:val="center"/>
          </w:tcPr>
          <w:p w14:paraId="095F4EB6">
            <w:pPr>
              <w:widowControl/>
              <w:jc w:val="center"/>
              <w:rPr>
                <w:rFonts w:eastAsiaTheme="minorEastAsia"/>
                <w:kern w:val="0"/>
                <w:szCs w:val="21"/>
              </w:rPr>
            </w:pPr>
            <w:r>
              <w:rPr>
                <w:rFonts w:eastAsiaTheme="minorEastAsia"/>
                <w:kern w:val="0"/>
                <w:szCs w:val="21"/>
              </w:rPr>
              <w:t>标准指数</w:t>
            </w:r>
          </w:p>
        </w:tc>
        <w:tc>
          <w:tcPr>
            <w:tcW w:w="840" w:type="pct"/>
            <w:shd w:val="clear" w:color="auto" w:fill="auto"/>
            <w:vAlign w:val="center"/>
          </w:tcPr>
          <w:p w14:paraId="285B63E6">
            <w:pPr>
              <w:widowControl/>
              <w:jc w:val="center"/>
              <w:rPr>
                <w:rFonts w:eastAsiaTheme="minorEastAsia"/>
                <w:kern w:val="0"/>
                <w:szCs w:val="21"/>
              </w:rPr>
            </w:pPr>
            <w:r>
              <w:rPr>
                <w:rFonts w:eastAsiaTheme="minorEastAsia"/>
                <w:color w:val="000000"/>
                <w:kern w:val="0"/>
                <w:szCs w:val="21"/>
              </w:rPr>
              <w:t>—</w:t>
            </w:r>
          </w:p>
        </w:tc>
        <w:tc>
          <w:tcPr>
            <w:tcW w:w="840" w:type="pct"/>
            <w:shd w:val="clear" w:color="auto" w:fill="auto"/>
            <w:vAlign w:val="center"/>
          </w:tcPr>
          <w:p w14:paraId="551448D8">
            <w:pPr>
              <w:widowControl/>
              <w:jc w:val="center"/>
              <w:rPr>
                <w:rFonts w:eastAsiaTheme="minorEastAsia"/>
                <w:kern w:val="0"/>
                <w:szCs w:val="21"/>
              </w:rPr>
            </w:pPr>
            <w:r>
              <w:rPr>
                <w:rFonts w:eastAsiaTheme="minorEastAsia"/>
                <w:color w:val="000000"/>
                <w:kern w:val="0"/>
                <w:szCs w:val="21"/>
              </w:rPr>
              <w:t>0.20</w:t>
            </w:r>
          </w:p>
        </w:tc>
        <w:tc>
          <w:tcPr>
            <w:tcW w:w="840" w:type="pct"/>
            <w:shd w:val="clear" w:color="auto" w:fill="auto"/>
            <w:vAlign w:val="center"/>
          </w:tcPr>
          <w:p w14:paraId="063B5B97">
            <w:pPr>
              <w:widowControl/>
              <w:jc w:val="center"/>
              <w:rPr>
                <w:rFonts w:eastAsiaTheme="minorEastAsia"/>
                <w:kern w:val="0"/>
                <w:szCs w:val="21"/>
              </w:rPr>
            </w:pPr>
            <w:r>
              <w:rPr>
                <w:rFonts w:eastAsiaTheme="minorEastAsia"/>
                <w:color w:val="000000"/>
                <w:kern w:val="0"/>
                <w:szCs w:val="21"/>
              </w:rPr>
              <w:t>0.30</w:t>
            </w:r>
          </w:p>
        </w:tc>
      </w:tr>
      <w:tr w14:paraId="50468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shd w:val="clear" w:color="auto" w:fill="auto"/>
            <w:vAlign w:val="center"/>
          </w:tcPr>
          <w:p w14:paraId="1DE9185F">
            <w:pPr>
              <w:widowControl/>
              <w:jc w:val="center"/>
              <w:rPr>
                <w:rFonts w:eastAsiaTheme="minorEastAsia"/>
                <w:kern w:val="0"/>
                <w:szCs w:val="21"/>
              </w:rPr>
            </w:pPr>
          </w:p>
        </w:tc>
        <w:tc>
          <w:tcPr>
            <w:tcW w:w="935" w:type="pct"/>
            <w:vMerge w:val="continue"/>
            <w:vAlign w:val="center"/>
          </w:tcPr>
          <w:p w14:paraId="1258B7F3">
            <w:pPr>
              <w:widowControl/>
              <w:jc w:val="center"/>
              <w:rPr>
                <w:rFonts w:eastAsiaTheme="minorEastAsia"/>
                <w:kern w:val="0"/>
                <w:szCs w:val="21"/>
              </w:rPr>
            </w:pPr>
          </w:p>
        </w:tc>
        <w:tc>
          <w:tcPr>
            <w:tcW w:w="651" w:type="pct"/>
            <w:shd w:val="clear" w:color="auto" w:fill="auto"/>
            <w:vAlign w:val="center"/>
          </w:tcPr>
          <w:p w14:paraId="7095AB08">
            <w:pPr>
              <w:widowControl/>
              <w:jc w:val="center"/>
              <w:rPr>
                <w:rFonts w:eastAsiaTheme="minorEastAsia"/>
                <w:kern w:val="0"/>
                <w:szCs w:val="21"/>
              </w:rPr>
            </w:pPr>
            <w:r>
              <w:rPr>
                <w:rFonts w:eastAsiaTheme="minorEastAsia"/>
                <w:kern w:val="0"/>
                <w:szCs w:val="21"/>
              </w:rPr>
              <w:t>评价结果</w:t>
            </w:r>
          </w:p>
        </w:tc>
        <w:tc>
          <w:tcPr>
            <w:tcW w:w="840" w:type="pct"/>
            <w:shd w:val="clear" w:color="auto" w:fill="auto"/>
            <w:vAlign w:val="center"/>
          </w:tcPr>
          <w:p w14:paraId="38CF563B">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052BE6E2">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00453097">
            <w:pPr>
              <w:widowControl/>
              <w:jc w:val="center"/>
              <w:rPr>
                <w:rFonts w:eastAsiaTheme="minorEastAsia"/>
                <w:kern w:val="0"/>
                <w:szCs w:val="21"/>
              </w:rPr>
            </w:pPr>
            <w:r>
              <w:rPr>
                <w:rFonts w:eastAsiaTheme="minorEastAsia"/>
                <w:color w:val="000000"/>
                <w:kern w:val="0"/>
                <w:szCs w:val="21"/>
              </w:rPr>
              <w:t>达标</w:t>
            </w:r>
          </w:p>
        </w:tc>
      </w:tr>
      <w:tr w14:paraId="30205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restart"/>
            <w:shd w:val="clear" w:color="auto" w:fill="auto"/>
            <w:vAlign w:val="center"/>
          </w:tcPr>
          <w:p w14:paraId="3BD9A5E8">
            <w:pPr>
              <w:widowControl/>
              <w:jc w:val="center"/>
              <w:rPr>
                <w:rFonts w:eastAsiaTheme="minorEastAsia"/>
                <w:kern w:val="0"/>
                <w:szCs w:val="21"/>
              </w:rPr>
            </w:pPr>
            <w:r>
              <w:rPr>
                <w:rFonts w:eastAsiaTheme="minorEastAsia"/>
                <w:kern w:val="0"/>
                <w:szCs w:val="21"/>
              </w:rPr>
              <w:t>阴离子表面活性剂</w:t>
            </w:r>
          </w:p>
        </w:tc>
        <w:tc>
          <w:tcPr>
            <w:tcW w:w="935" w:type="pct"/>
            <w:shd w:val="clear" w:color="auto" w:fill="auto"/>
            <w:vAlign w:val="center"/>
          </w:tcPr>
          <w:p w14:paraId="27BE8276">
            <w:pPr>
              <w:widowControl/>
              <w:jc w:val="center"/>
              <w:rPr>
                <w:rFonts w:eastAsiaTheme="minorEastAsia"/>
                <w:kern w:val="0"/>
                <w:szCs w:val="21"/>
              </w:rPr>
            </w:pPr>
            <w:r>
              <w:rPr>
                <w:rFonts w:eastAsiaTheme="minorEastAsia"/>
                <w:kern w:val="0"/>
                <w:szCs w:val="21"/>
              </w:rPr>
              <w:t>标准值</w:t>
            </w:r>
          </w:p>
        </w:tc>
        <w:tc>
          <w:tcPr>
            <w:tcW w:w="651" w:type="pct"/>
            <w:shd w:val="clear" w:color="auto" w:fill="auto"/>
            <w:vAlign w:val="center"/>
          </w:tcPr>
          <w:p w14:paraId="529F9FCA">
            <w:pPr>
              <w:widowControl/>
              <w:jc w:val="center"/>
              <w:rPr>
                <w:rFonts w:eastAsiaTheme="minorEastAsia"/>
                <w:kern w:val="0"/>
                <w:szCs w:val="21"/>
              </w:rPr>
            </w:pPr>
            <w:r>
              <w:rPr>
                <w:rFonts w:eastAsiaTheme="minorEastAsia"/>
                <w:kern w:val="0"/>
                <w:szCs w:val="21"/>
              </w:rPr>
              <w:t>监测值</w:t>
            </w:r>
          </w:p>
        </w:tc>
        <w:tc>
          <w:tcPr>
            <w:tcW w:w="840" w:type="pct"/>
            <w:shd w:val="clear" w:color="auto" w:fill="auto"/>
            <w:vAlign w:val="center"/>
          </w:tcPr>
          <w:p w14:paraId="50C1E7B1">
            <w:pPr>
              <w:widowControl/>
              <w:jc w:val="center"/>
              <w:rPr>
                <w:rFonts w:eastAsiaTheme="minorEastAsia"/>
                <w:kern w:val="0"/>
                <w:szCs w:val="21"/>
              </w:rPr>
            </w:pPr>
            <w:r>
              <w:rPr>
                <w:rFonts w:eastAsiaTheme="minorEastAsia"/>
                <w:color w:val="000000"/>
                <w:kern w:val="0"/>
                <w:szCs w:val="21"/>
              </w:rPr>
              <w:t>0.05L</w:t>
            </w:r>
          </w:p>
        </w:tc>
        <w:tc>
          <w:tcPr>
            <w:tcW w:w="840" w:type="pct"/>
            <w:shd w:val="clear" w:color="auto" w:fill="auto"/>
            <w:vAlign w:val="center"/>
          </w:tcPr>
          <w:p w14:paraId="39E24CF0">
            <w:pPr>
              <w:widowControl/>
              <w:jc w:val="center"/>
              <w:rPr>
                <w:rFonts w:eastAsiaTheme="minorEastAsia"/>
                <w:kern w:val="0"/>
                <w:szCs w:val="21"/>
              </w:rPr>
            </w:pPr>
            <w:r>
              <w:rPr>
                <w:rFonts w:eastAsiaTheme="minorEastAsia"/>
                <w:color w:val="000000"/>
                <w:kern w:val="0"/>
                <w:szCs w:val="21"/>
              </w:rPr>
              <w:t>0.06</w:t>
            </w:r>
          </w:p>
        </w:tc>
        <w:tc>
          <w:tcPr>
            <w:tcW w:w="840" w:type="pct"/>
            <w:shd w:val="clear" w:color="auto" w:fill="auto"/>
            <w:vAlign w:val="center"/>
          </w:tcPr>
          <w:p w14:paraId="39AE72A6">
            <w:pPr>
              <w:widowControl/>
              <w:jc w:val="center"/>
              <w:rPr>
                <w:rFonts w:eastAsiaTheme="minorEastAsia"/>
                <w:kern w:val="0"/>
                <w:szCs w:val="21"/>
              </w:rPr>
            </w:pPr>
            <w:r>
              <w:rPr>
                <w:rFonts w:eastAsiaTheme="minorEastAsia"/>
                <w:color w:val="000000"/>
                <w:kern w:val="0"/>
                <w:szCs w:val="21"/>
              </w:rPr>
              <w:t>0.07</w:t>
            </w:r>
          </w:p>
        </w:tc>
      </w:tr>
      <w:tr w14:paraId="4FDEB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63E353F1">
            <w:pPr>
              <w:widowControl/>
              <w:jc w:val="center"/>
              <w:rPr>
                <w:rFonts w:eastAsiaTheme="minorEastAsia"/>
                <w:kern w:val="0"/>
                <w:szCs w:val="21"/>
              </w:rPr>
            </w:pPr>
          </w:p>
        </w:tc>
        <w:tc>
          <w:tcPr>
            <w:tcW w:w="935" w:type="pct"/>
            <w:vMerge w:val="restart"/>
            <w:shd w:val="clear" w:color="auto" w:fill="auto"/>
            <w:vAlign w:val="center"/>
          </w:tcPr>
          <w:p w14:paraId="23183B17">
            <w:pPr>
              <w:widowControl/>
              <w:jc w:val="center"/>
              <w:rPr>
                <w:rFonts w:eastAsiaTheme="minorEastAsia"/>
                <w:kern w:val="0"/>
                <w:szCs w:val="21"/>
              </w:rPr>
            </w:pPr>
            <w:r>
              <w:rPr>
                <w:rFonts w:eastAsiaTheme="minorEastAsia"/>
                <w:kern w:val="0"/>
                <w:szCs w:val="21"/>
              </w:rPr>
              <w:t>0.3mg/L</w:t>
            </w:r>
          </w:p>
        </w:tc>
        <w:tc>
          <w:tcPr>
            <w:tcW w:w="651" w:type="pct"/>
            <w:shd w:val="clear" w:color="auto" w:fill="auto"/>
            <w:vAlign w:val="center"/>
          </w:tcPr>
          <w:p w14:paraId="739FA277">
            <w:pPr>
              <w:widowControl/>
              <w:jc w:val="center"/>
              <w:rPr>
                <w:rFonts w:eastAsiaTheme="minorEastAsia"/>
                <w:kern w:val="0"/>
                <w:szCs w:val="21"/>
              </w:rPr>
            </w:pPr>
            <w:r>
              <w:rPr>
                <w:rFonts w:eastAsiaTheme="minorEastAsia"/>
                <w:kern w:val="0"/>
                <w:szCs w:val="21"/>
              </w:rPr>
              <w:t>标准指数</w:t>
            </w:r>
          </w:p>
        </w:tc>
        <w:tc>
          <w:tcPr>
            <w:tcW w:w="840" w:type="pct"/>
            <w:shd w:val="clear" w:color="auto" w:fill="auto"/>
            <w:vAlign w:val="center"/>
          </w:tcPr>
          <w:p w14:paraId="4E28A983">
            <w:pPr>
              <w:widowControl/>
              <w:jc w:val="center"/>
              <w:rPr>
                <w:rFonts w:eastAsiaTheme="minorEastAsia"/>
                <w:kern w:val="0"/>
                <w:szCs w:val="21"/>
              </w:rPr>
            </w:pPr>
            <w:r>
              <w:rPr>
                <w:rFonts w:eastAsiaTheme="minorEastAsia"/>
                <w:color w:val="000000"/>
                <w:kern w:val="0"/>
                <w:szCs w:val="21"/>
              </w:rPr>
              <w:t>—</w:t>
            </w:r>
          </w:p>
        </w:tc>
        <w:tc>
          <w:tcPr>
            <w:tcW w:w="840" w:type="pct"/>
            <w:shd w:val="clear" w:color="auto" w:fill="auto"/>
            <w:vAlign w:val="center"/>
          </w:tcPr>
          <w:p w14:paraId="08FBF137">
            <w:pPr>
              <w:widowControl/>
              <w:jc w:val="center"/>
              <w:rPr>
                <w:rFonts w:eastAsiaTheme="minorEastAsia"/>
                <w:kern w:val="0"/>
                <w:szCs w:val="21"/>
              </w:rPr>
            </w:pPr>
            <w:r>
              <w:rPr>
                <w:rFonts w:eastAsiaTheme="minorEastAsia"/>
                <w:color w:val="000000"/>
                <w:kern w:val="0"/>
                <w:szCs w:val="21"/>
              </w:rPr>
              <w:t>0.20</w:t>
            </w:r>
          </w:p>
        </w:tc>
        <w:tc>
          <w:tcPr>
            <w:tcW w:w="840" w:type="pct"/>
            <w:shd w:val="clear" w:color="auto" w:fill="auto"/>
            <w:vAlign w:val="center"/>
          </w:tcPr>
          <w:p w14:paraId="446190AA">
            <w:pPr>
              <w:widowControl/>
              <w:jc w:val="center"/>
              <w:rPr>
                <w:rFonts w:eastAsiaTheme="minorEastAsia"/>
                <w:kern w:val="0"/>
                <w:szCs w:val="21"/>
              </w:rPr>
            </w:pPr>
            <w:r>
              <w:rPr>
                <w:rFonts w:eastAsiaTheme="minorEastAsia"/>
                <w:color w:val="000000"/>
                <w:kern w:val="0"/>
                <w:szCs w:val="21"/>
              </w:rPr>
              <w:t>0.23</w:t>
            </w:r>
          </w:p>
        </w:tc>
      </w:tr>
      <w:tr w14:paraId="687F8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2EBF3D29">
            <w:pPr>
              <w:widowControl/>
              <w:jc w:val="center"/>
              <w:rPr>
                <w:rFonts w:eastAsiaTheme="minorEastAsia"/>
                <w:kern w:val="0"/>
                <w:szCs w:val="21"/>
              </w:rPr>
            </w:pPr>
          </w:p>
        </w:tc>
        <w:tc>
          <w:tcPr>
            <w:tcW w:w="935" w:type="pct"/>
            <w:vMerge w:val="continue"/>
            <w:vAlign w:val="center"/>
          </w:tcPr>
          <w:p w14:paraId="799A0DE1">
            <w:pPr>
              <w:widowControl/>
              <w:jc w:val="center"/>
              <w:rPr>
                <w:rFonts w:eastAsiaTheme="minorEastAsia"/>
                <w:kern w:val="0"/>
                <w:szCs w:val="21"/>
              </w:rPr>
            </w:pPr>
          </w:p>
        </w:tc>
        <w:tc>
          <w:tcPr>
            <w:tcW w:w="651" w:type="pct"/>
            <w:shd w:val="clear" w:color="auto" w:fill="auto"/>
            <w:vAlign w:val="center"/>
          </w:tcPr>
          <w:p w14:paraId="26137597">
            <w:pPr>
              <w:widowControl/>
              <w:jc w:val="center"/>
              <w:rPr>
                <w:rFonts w:eastAsiaTheme="minorEastAsia"/>
                <w:kern w:val="0"/>
                <w:szCs w:val="21"/>
              </w:rPr>
            </w:pPr>
            <w:r>
              <w:rPr>
                <w:rFonts w:eastAsiaTheme="minorEastAsia"/>
                <w:kern w:val="0"/>
                <w:szCs w:val="21"/>
              </w:rPr>
              <w:t>评价结果</w:t>
            </w:r>
          </w:p>
        </w:tc>
        <w:tc>
          <w:tcPr>
            <w:tcW w:w="840" w:type="pct"/>
            <w:shd w:val="clear" w:color="auto" w:fill="auto"/>
            <w:vAlign w:val="center"/>
          </w:tcPr>
          <w:p w14:paraId="5392D747">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4359AC30">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622F8EC5">
            <w:pPr>
              <w:widowControl/>
              <w:jc w:val="center"/>
              <w:rPr>
                <w:rFonts w:eastAsiaTheme="minorEastAsia"/>
                <w:kern w:val="0"/>
                <w:szCs w:val="21"/>
              </w:rPr>
            </w:pPr>
            <w:r>
              <w:rPr>
                <w:rFonts w:eastAsiaTheme="minorEastAsia"/>
                <w:color w:val="000000"/>
                <w:kern w:val="0"/>
                <w:szCs w:val="21"/>
              </w:rPr>
              <w:t>达标</w:t>
            </w:r>
          </w:p>
        </w:tc>
      </w:tr>
      <w:tr w14:paraId="1EAEC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restart"/>
            <w:shd w:val="clear" w:color="auto" w:fill="auto"/>
            <w:vAlign w:val="center"/>
          </w:tcPr>
          <w:p w14:paraId="001EAC45">
            <w:pPr>
              <w:widowControl/>
              <w:jc w:val="center"/>
              <w:rPr>
                <w:rFonts w:eastAsiaTheme="minorEastAsia"/>
                <w:kern w:val="0"/>
                <w:szCs w:val="21"/>
              </w:rPr>
            </w:pPr>
            <w:r>
              <w:rPr>
                <w:rFonts w:eastAsiaTheme="minorEastAsia"/>
                <w:kern w:val="0"/>
                <w:szCs w:val="21"/>
              </w:rPr>
              <w:t>耗氧量（以O</w:t>
            </w:r>
            <w:r>
              <w:rPr>
                <w:rFonts w:eastAsiaTheme="minorEastAsia"/>
                <w:kern w:val="0"/>
                <w:szCs w:val="21"/>
                <w:vertAlign w:val="subscript"/>
              </w:rPr>
              <w:t>2</w:t>
            </w:r>
            <w:r>
              <w:rPr>
                <w:rFonts w:eastAsiaTheme="minorEastAsia"/>
                <w:kern w:val="0"/>
                <w:szCs w:val="21"/>
              </w:rPr>
              <w:t>计）</w:t>
            </w:r>
          </w:p>
        </w:tc>
        <w:tc>
          <w:tcPr>
            <w:tcW w:w="935" w:type="pct"/>
            <w:shd w:val="clear" w:color="auto" w:fill="auto"/>
            <w:vAlign w:val="center"/>
          </w:tcPr>
          <w:p w14:paraId="33C37190">
            <w:pPr>
              <w:widowControl/>
              <w:jc w:val="center"/>
              <w:rPr>
                <w:rFonts w:eastAsiaTheme="minorEastAsia"/>
                <w:kern w:val="0"/>
                <w:szCs w:val="21"/>
              </w:rPr>
            </w:pPr>
            <w:r>
              <w:rPr>
                <w:rFonts w:eastAsiaTheme="minorEastAsia"/>
                <w:kern w:val="0"/>
                <w:szCs w:val="21"/>
              </w:rPr>
              <w:t>标准值</w:t>
            </w:r>
          </w:p>
        </w:tc>
        <w:tc>
          <w:tcPr>
            <w:tcW w:w="651" w:type="pct"/>
            <w:shd w:val="clear" w:color="auto" w:fill="auto"/>
            <w:vAlign w:val="center"/>
          </w:tcPr>
          <w:p w14:paraId="6BE87861">
            <w:pPr>
              <w:widowControl/>
              <w:jc w:val="center"/>
              <w:rPr>
                <w:rFonts w:eastAsiaTheme="minorEastAsia"/>
                <w:kern w:val="0"/>
                <w:szCs w:val="21"/>
              </w:rPr>
            </w:pPr>
            <w:r>
              <w:rPr>
                <w:rFonts w:eastAsiaTheme="minorEastAsia"/>
                <w:kern w:val="0"/>
                <w:szCs w:val="21"/>
              </w:rPr>
              <w:t>监测值</w:t>
            </w:r>
          </w:p>
        </w:tc>
        <w:tc>
          <w:tcPr>
            <w:tcW w:w="840" w:type="pct"/>
            <w:shd w:val="clear" w:color="auto" w:fill="auto"/>
            <w:vAlign w:val="center"/>
          </w:tcPr>
          <w:p w14:paraId="505F0C03">
            <w:pPr>
              <w:widowControl/>
              <w:jc w:val="center"/>
              <w:rPr>
                <w:rFonts w:eastAsiaTheme="minorEastAsia"/>
                <w:kern w:val="0"/>
                <w:szCs w:val="21"/>
              </w:rPr>
            </w:pPr>
            <w:r>
              <w:rPr>
                <w:rFonts w:eastAsiaTheme="minorEastAsia"/>
                <w:color w:val="000000"/>
                <w:kern w:val="0"/>
                <w:szCs w:val="21"/>
              </w:rPr>
              <w:t>1.60</w:t>
            </w:r>
          </w:p>
        </w:tc>
        <w:tc>
          <w:tcPr>
            <w:tcW w:w="840" w:type="pct"/>
            <w:shd w:val="clear" w:color="auto" w:fill="auto"/>
            <w:vAlign w:val="center"/>
          </w:tcPr>
          <w:p w14:paraId="695CA2C8">
            <w:pPr>
              <w:widowControl/>
              <w:jc w:val="center"/>
              <w:rPr>
                <w:rFonts w:eastAsiaTheme="minorEastAsia"/>
                <w:kern w:val="0"/>
                <w:szCs w:val="21"/>
              </w:rPr>
            </w:pPr>
            <w:r>
              <w:rPr>
                <w:rFonts w:eastAsiaTheme="minorEastAsia"/>
                <w:color w:val="000000"/>
                <w:kern w:val="0"/>
                <w:szCs w:val="21"/>
              </w:rPr>
              <w:t>1.94</w:t>
            </w:r>
          </w:p>
        </w:tc>
        <w:tc>
          <w:tcPr>
            <w:tcW w:w="840" w:type="pct"/>
            <w:shd w:val="clear" w:color="auto" w:fill="auto"/>
            <w:vAlign w:val="center"/>
          </w:tcPr>
          <w:p w14:paraId="21DDCEBD">
            <w:pPr>
              <w:widowControl/>
              <w:jc w:val="center"/>
              <w:rPr>
                <w:rFonts w:eastAsiaTheme="minorEastAsia"/>
                <w:kern w:val="0"/>
                <w:szCs w:val="21"/>
              </w:rPr>
            </w:pPr>
            <w:r>
              <w:rPr>
                <w:rFonts w:eastAsiaTheme="minorEastAsia"/>
                <w:color w:val="000000"/>
                <w:kern w:val="0"/>
                <w:szCs w:val="21"/>
              </w:rPr>
              <w:t>2.28</w:t>
            </w:r>
          </w:p>
        </w:tc>
      </w:tr>
      <w:tr w14:paraId="4EE1A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322CFEBF">
            <w:pPr>
              <w:widowControl/>
              <w:jc w:val="center"/>
              <w:rPr>
                <w:rFonts w:eastAsiaTheme="minorEastAsia"/>
                <w:kern w:val="0"/>
                <w:szCs w:val="21"/>
              </w:rPr>
            </w:pPr>
          </w:p>
        </w:tc>
        <w:tc>
          <w:tcPr>
            <w:tcW w:w="935" w:type="pct"/>
            <w:vMerge w:val="restart"/>
            <w:shd w:val="clear" w:color="auto" w:fill="auto"/>
            <w:vAlign w:val="center"/>
          </w:tcPr>
          <w:p w14:paraId="0335B304">
            <w:pPr>
              <w:widowControl/>
              <w:jc w:val="center"/>
              <w:rPr>
                <w:rFonts w:eastAsiaTheme="minorEastAsia"/>
                <w:kern w:val="0"/>
                <w:szCs w:val="21"/>
              </w:rPr>
            </w:pPr>
            <w:r>
              <w:rPr>
                <w:rFonts w:eastAsiaTheme="minorEastAsia"/>
                <w:kern w:val="0"/>
                <w:szCs w:val="21"/>
              </w:rPr>
              <w:t>3mg/L</w:t>
            </w:r>
          </w:p>
        </w:tc>
        <w:tc>
          <w:tcPr>
            <w:tcW w:w="651" w:type="pct"/>
            <w:shd w:val="clear" w:color="auto" w:fill="auto"/>
            <w:vAlign w:val="center"/>
          </w:tcPr>
          <w:p w14:paraId="3E215AD3">
            <w:pPr>
              <w:widowControl/>
              <w:jc w:val="center"/>
              <w:rPr>
                <w:rFonts w:eastAsiaTheme="minorEastAsia"/>
                <w:kern w:val="0"/>
                <w:szCs w:val="21"/>
              </w:rPr>
            </w:pPr>
            <w:r>
              <w:rPr>
                <w:rFonts w:eastAsiaTheme="minorEastAsia"/>
                <w:kern w:val="0"/>
                <w:szCs w:val="21"/>
              </w:rPr>
              <w:t>标准指数</w:t>
            </w:r>
          </w:p>
        </w:tc>
        <w:tc>
          <w:tcPr>
            <w:tcW w:w="840" w:type="pct"/>
            <w:shd w:val="clear" w:color="auto" w:fill="auto"/>
            <w:vAlign w:val="center"/>
          </w:tcPr>
          <w:p w14:paraId="20A6173D">
            <w:pPr>
              <w:widowControl/>
              <w:jc w:val="center"/>
              <w:rPr>
                <w:rFonts w:eastAsiaTheme="minorEastAsia"/>
                <w:kern w:val="0"/>
                <w:szCs w:val="21"/>
              </w:rPr>
            </w:pPr>
            <w:r>
              <w:rPr>
                <w:rFonts w:eastAsiaTheme="minorEastAsia"/>
                <w:color w:val="000000"/>
                <w:kern w:val="0"/>
                <w:szCs w:val="21"/>
              </w:rPr>
              <w:t>0.53</w:t>
            </w:r>
          </w:p>
        </w:tc>
        <w:tc>
          <w:tcPr>
            <w:tcW w:w="840" w:type="pct"/>
            <w:shd w:val="clear" w:color="auto" w:fill="auto"/>
            <w:vAlign w:val="center"/>
          </w:tcPr>
          <w:p w14:paraId="1ED64DB0">
            <w:pPr>
              <w:widowControl/>
              <w:jc w:val="center"/>
              <w:rPr>
                <w:rFonts w:eastAsiaTheme="minorEastAsia"/>
                <w:kern w:val="0"/>
                <w:szCs w:val="21"/>
              </w:rPr>
            </w:pPr>
            <w:r>
              <w:rPr>
                <w:rFonts w:eastAsiaTheme="minorEastAsia"/>
                <w:color w:val="000000"/>
                <w:kern w:val="0"/>
                <w:szCs w:val="21"/>
              </w:rPr>
              <w:t>0.65</w:t>
            </w:r>
          </w:p>
        </w:tc>
        <w:tc>
          <w:tcPr>
            <w:tcW w:w="840" w:type="pct"/>
            <w:shd w:val="clear" w:color="auto" w:fill="auto"/>
            <w:vAlign w:val="center"/>
          </w:tcPr>
          <w:p w14:paraId="1E6F1A34">
            <w:pPr>
              <w:widowControl/>
              <w:jc w:val="center"/>
              <w:rPr>
                <w:rFonts w:eastAsiaTheme="minorEastAsia"/>
                <w:kern w:val="0"/>
                <w:szCs w:val="21"/>
              </w:rPr>
            </w:pPr>
            <w:r>
              <w:rPr>
                <w:rFonts w:eastAsiaTheme="minorEastAsia"/>
                <w:color w:val="000000"/>
                <w:kern w:val="0"/>
                <w:szCs w:val="21"/>
              </w:rPr>
              <w:t>0.76</w:t>
            </w:r>
          </w:p>
        </w:tc>
      </w:tr>
      <w:tr w14:paraId="161C4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4242EEFB">
            <w:pPr>
              <w:widowControl/>
              <w:jc w:val="center"/>
              <w:rPr>
                <w:rFonts w:eastAsiaTheme="minorEastAsia"/>
                <w:kern w:val="0"/>
                <w:szCs w:val="21"/>
              </w:rPr>
            </w:pPr>
          </w:p>
        </w:tc>
        <w:tc>
          <w:tcPr>
            <w:tcW w:w="935" w:type="pct"/>
            <w:vMerge w:val="continue"/>
            <w:vAlign w:val="center"/>
          </w:tcPr>
          <w:p w14:paraId="1CD6E322">
            <w:pPr>
              <w:widowControl/>
              <w:jc w:val="center"/>
              <w:rPr>
                <w:rFonts w:eastAsiaTheme="minorEastAsia"/>
                <w:kern w:val="0"/>
                <w:szCs w:val="21"/>
              </w:rPr>
            </w:pPr>
          </w:p>
        </w:tc>
        <w:tc>
          <w:tcPr>
            <w:tcW w:w="651" w:type="pct"/>
            <w:shd w:val="clear" w:color="auto" w:fill="auto"/>
            <w:vAlign w:val="center"/>
          </w:tcPr>
          <w:p w14:paraId="7AD461EB">
            <w:pPr>
              <w:widowControl/>
              <w:jc w:val="center"/>
              <w:rPr>
                <w:rFonts w:eastAsiaTheme="minorEastAsia"/>
                <w:kern w:val="0"/>
                <w:szCs w:val="21"/>
              </w:rPr>
            </w:pPr>
            <w:r>
              <w:rPr>
                <w:rFonts w:eastAsiaTheme="minorEastAsia"/>
                <w:kern w:val="0"/>
                <w:szCs w:val="21"/>
              </w:rPr>
              <w:t>评价结果</w:t>
            </w:r>
          </w:p>
        </w:tc>
        <w:tc>
          <w:tcPr>
            <w:tcW w:w="840" w:type="pct"/>
            <w:shd w:val="clear" w:color="auto" w:fill="auto"/>
            <w:vAlign w:val="center"/>
          </w:tcPr>
          <w:p w14:paraId="40BD7B04">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40253207">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6DFD0DC2">
            <w:pPr>
              <w:widowControl/>
              <w:jc w:val="center"/>
              <w:rPr>
                <w:rFonts w:eastAsiaTheme="minorEastAsia"/>
                <w:kern w:val="0"/>
                <w:szCs w:val="21"/>
              </w:rPr>
            </w:pPr>
            <w:r>
              <w:rPr>
                <w:rFonts w:eastAsiaTheme="minorEastAsia"/>
                <w:color w:val="000000"/>
                <w:kern w:val="0"/>
                <w:szCs w:val="21"/>
              </w:rPr>
              <w:t>达标</w:t>
            </w:r>
          </w:p>
        </w:tc>
      </w:tr>
      <w:tr w14:paraId="3483C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restart"/>
            <w:shd w:val="clear" w:color="auto" w:fill="auto"/>
            <w:vAlign w:val="center"/>
          </w:tcPr>
          <w:p w14:paraId="56450649">
            <w:pPr>
              <w:widowControl/>
              <w:jc w:val="center"/>
              <w:rPr>
                <w:rFonts w:eastAsiaTheme="minorEastAsia"/>
                <w:kern w:val="0"/>
                <w:szCs w:val="21"/>
              </w:rPr>
            </w:pPr>
            <w:r>
              <w:rPr>
                <w:rFonts w:eastAsiaTheme="minorEastAsia"/>
                <w:kern w:val="0"/>
                <w:szCs w:val="21"/>
              </w:rPr>
              <w:t>氨氮（以N计）</w:t>
            </w:r>
          </w:p>
        </w:tc>
        <w:tc>
          <w:tcPr>
            <w:tcW w:w="935" w:type="pct"/>
            <w:shd w:val="clear" w:color="auto" w:fill="auto"/>
            <w:vAlign w:val="center"/>
          </w:tcPr>
          <w:p w14:paraId="310F14AF">
            <w:pPr>
              <w:widowControl/>
              <w:jc w:val="center"/>
              <w:rPr>
                <w:rFonts w:eastAsiaTheme="minorEastAsia"/>
                <w:kern w:val="0"/>
                <w:szCs w:val="21"/>
              </w:rPr>
            </w:pPr>
            <w:r>
              <w:rPr>
                <w:rFonts w:eastAsiaTheme="minorEastAsia"/>
                <w:kern w:val="0"/>
                <w:szCs w:val="21"/>
              </w:rPr>
              <w:t>标准值</w:t>
            </w:r>
          </w:p>
        </w:tc>
        <w:tc>
          <w:tcPr>
            <w:tcW w:w="651" w:type="pct"/>
            <w:shd w:val="clear" w:color="auto" w:fill="auto"/>
            <w:vAlign w:val="center"/>
          </w:tcPr>
          <w:p w14:paraId="2A994236">
            <w:pPr>
              <w:widowControl/>
              <w:jc w:val="center"/>
              <w:rPr>
                <w:rFonts w:eastAsiaTheme="minorEastAsia"/>
                <w:kern w:val="0"/>
                <w:szCs w:val="21"/>
              </w:rPr>
            </w:pPr>
            <w:r>
              <w:rPr>
                <w:rFonts w:eastAsiaTheme="minorEastAsia"/>
                <w:kern w:val="0"/>
                <w:szCs w:val="21"/>
              </w:rPr>
              <w:t>监测值</w:t>
            </w:r>
          </w:p>
        </w:tc>
        <w:tc>
          <w:tcPr>
            <w:tcW w:w="840" w:type="pct"/>
            <w:shd w:val="clear" w:color="auto" w:fill="auto"/>
            <w:vAlign w:val="center"/>
          </w:tcPr>
          <w:p w14:paraId="548DD3C7">
            <w:pPr>
              <w:widowControl/>
              <w:jc w:val="center"/>
              <w:rPr>
                <w:rFonts w:eastAsiaTheme="minorEastAsia"/>
                <w:kern w:val="0"/>
                <w:szCs w:val="21"/>
              </w:rPr>
            </w:pPr>
            <w:r>
              <w:rPr>
                <w:rFonts w:eastAsiaTheme="minorEastAsia"/>
                <w:color w:val="000000"/>
                <w:kern w:val="0"/>
                <w:szCs w:val="21"/>
              </w:rPr>
              <w:t>0.094</w:t>
            </w:r>
          </w:p>
        </w:tc>
        <w:tc>
          <w:tcPr>
            <w:tcW w:w="840" w:type="pct"/>
            <w:shd w:val="clear" w:color="auto" w:fill="auto"/>
            <w:vAlign w:val="center"/>
          </w:tcPr>
          <w:p w14:paraId="6002620B">
            <w:pPr>
              <w:widowControl/>
              <w:jc w:val="center"/>
              <w:rPr>
                <w:rFonts w:eastAsiaTheme="minorEastAsia"/>
                <w:kern w:val="0"/>
                <w:szCs w:val="21"/>
              </w:rPr>
            </w:pPr>
            <w:r>
              <w:rPr>
                <w:rFonts w:eastAsiaTheme="minorEastAsia"/>
                <w:color w:val="000000"/>
                <w:kern w:val="0"/>
                <w:szCs w:val="21"/>
              </w:rPr>
              <w:t>0.10</w:t>
            </w:r>
          </w:p>
        </w:tc>
        <w:tc>
          <w:tcPr>
            <w:tcW w:w="840" w:type="pct"/>
            <w:shd w:val="clear" w:color="auto" w:fill="auto"/>
            <w:vAlign w:val="center"/>
          </w:tcPr>
          <w:p w14:paraId="56781749">
            <w:pPr>
              <w:widowControl/>
              <w:jc w:val="center"/>
              <w:rPr>
                <w:rFonts w:eastAsiaTheme="minorEastAsia"/>
                <w:kern w:val="0"/>
                <w:szCs w:val="21"/>
              </w:rPr>
            </w:pPr>
            <w:r>
              <w:rPr>
                <w:rFonts w:eastAsiaTheme="minorEastAsia"/>
                <w:color w:val="000000"/>
                <w:kern w:val="0"/>
                <w:szCs w:val="21"/>
              </w:rPr>
              <w:t>0.12</w:t>
            </w:r>
          </w:p>
        </w:tc>
      </w:tr>
      <w:tr w14:paraId="70AA3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3DF445E3">
            <w:pPr>
              <w:widowControl/>
              <w:jc w:val="center"/>
              <w:rPr>
                <w:rFonts w:eastAsiaTheme="minorEastAsia"/>
                <w:kern w:val="0"/>
                <w:szCs w:val="21"/>
              </w:rPr>
            </w:pPr>
          </w:p>
        </w:tc>
        <w:tc>
          <w:tcPr>
            <w:tcW w:w="935" w:type="pct"/>
            <w:vMerge w:val="restart"/>
            <w:shd w:val="clear" w:color="auto" w:fill="auto"/>
            <w:vAlign w:val="center"/>
          </w:tcPr>
          <w:p w14:paraId="5F29E5DC">
            <w:pPr>
              <w:widowControl/>
              <w:jc w:val="center"/>
              <w:rPr>
                <w:rFonts w:eastAsiaTheme="minorEastAsia"/>
                <w:kern w:val="0"/>
                <w:szCs w:val="21"/>
              </w:rPr>
            </w:pPr>
            <w:r>
              <w:rPr>
                <w:rFonts w:eastAsiaTheme="minorEastAsia"/>
                <w:kern w:val="0"/>
                <w:szCs w:val="21"/>
              </w:rPr>
              <w:t>0.5mg/L</w:t>
            </w:r>
          </w:p>
        </w:tc>
        <w:tc>
          <w:tcPr>
            <w:tcW w:w="651" w:type="pct"/>
            <w:shd w:val="clear" w:color="auto" w:fill="auto"/>
            <w:vAlign w:val="center"/>
          </w:tcPr>
          <w:p w14:paraId="6564254D">
            <w:pPr>
              <w:widowControl/>
              <w:jc w:val="center"/>
              <w:rPr>
                <w:rFonts w:eastAsiaTheme="minorEastAsia"/>
                <w:kern w:val="0"/>
                <w:szCs w:val="21"/>
              </w:rPr>
            </w:pPr>
            <w:r>
              <w:rPr>
                <w:rFonts w:eastAsiaTheme="minorEastAsia"/>
                <w:kern w:val="0"/>
                <w:szCs w:val="21"/>
              </w:rPr>
              <w:t>标准指数</w:t>
            </w:r>
          </w:p>
        </w:tc>
        <w:tc>
          <w:tcPr>
            <w:tcW w:w="840" w:type="pct"/>
            <w:shd w:val="clear" w:color="auto" w:fill="auto"/>
            <w:vAlign w:val="center"/>
          </w:tcPr>
          <w:p w14:paraId="4DF7E8E4">
            <w:pPr>
              <w:widowControl/>
              <w:jc w:val="center"/>
              <w:rPr>
                <w:rFonts w:eastAsiaTheme="minorEastAsia"/>
                <w:kern w:val="0"/>
                <w:szCs w:val="21"/>
              </w:rPr>
            </w:pPr>
            <w:r>
              <w:rPr>
                <w:rFonts w:eastAsiaTheme="minorEastAsia"/>
                <w:color w:val="000000"/>
                <w:kern w:val="0"/>
                <w:szCs w:val="21"/>
              </w:rPr>
              <w:t>0.19</w:t>
            </w:r>
          </w:p>
        </w:tc>
        <w:tc>
          <w:tcPr>
            <w:tcW w:w="840" w:type="pct"/>
            <w:shd w:val="clear" w:color="auto" w:fill="auto"/>
            <w:vAlign w:val="center"/>
          </w:tcPr>
          <w:p w14:paraId="3AAE5E93">
            <w:pPr>
              <w:widowControl/>
              <w:jc w:val="center"/>
              <w:rPr>
                <w:rFonts w:eastAsiaTheme="minorEastAsia"/>
                <w:kern w:val="0"/>
                <w:szCs w:val="21"/>
              </w:rPr>
            </w:pPr>
            <w:r>
              <w:rPr>
                <w:rFonts w:eastAsiaTheme="minorEastAsia"/>
                <w:color w:val="000000"/>
                <w:kern w:val="0"/>
                <w:szCs w:val="21"/>
              </w:rPr>
              <w:t>0.20</w:t>
            </w:r>
          </w:p>
        </w:tc>
        <w:tc>
          <w:tcPr>
            <w:tcW w:w="840" w:type="pct"/>
            <w:shd w:val="clear" w:color="auto" w:fill="auto"/>
            <w:vAlign w:val="center"/>
          </w:tcPr>
          <w:p w14:paraId="4E6F0EE2">
            <w:pPr>
              <w:widowControl/>
              <w:jc w:val="center"/>
              <w:rPr>
                <w:rFonts w:eastAsiaTheme="minorEastAsia"/>
                <w:kern w:val="0"/>
                <w:szCs w:val="21"/>
              </w:rPr>
            </w:pPr>
            <w:r>
              <w:rPr>
                <w:rFonts w:eastAsiaTheme="minorEastAsia"/>
                <w:color w:val="000000"/>
                <w:kern w:val="0"/>
                <w:szCs w:val="21"/>
              </w:rPr>
              <w:t>0.24</w:t>
            </w:r>
          </w:p>
        </w:tc>
      </w:tr>
      <w:tr w14:paraId="1F7C1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4C82C47E">
            <w:pPr>
              <w:widowControl/>
              <w:jc w:val="center"/>
              <w:rPr>
                <w:rFonts w:eastAsiaTheme="minorEastAsia"/>
                <w:kern w:val="0"/>
                <w:szCs w:val="21"/>
              </w:rPr>
            </w:pPr>
          </w:p>
        </w:tc>
        <w:tc>
          <w:tcPr>
            <w:tcW w:w="935" w:type="pct"/>
            <w:vMerge w:val="continue"/>
            <w:vAlign w:val="center"/>
          </w:tcPr>
          <w:p w14:paraId="4FB8FA1A">
            <w:pPr>
              <w:widowControl/>
              <w:jc w:val="center"/>
              <w:rPr>
                <w:rFonts w:eastAsiaTheme="minorEastAsia"/>
                <w:kern w:val="0"/>
                <w:szCs w:val="21"/>
              </w:rPr>
            </w:pPr>
          </w:p>
        </w:tc>
        <w:tc>
          <w:tcPr>
            <w:tcW w:w="651" w:type="pct"/>
            <w:shd w:val="clear" w:color="auto" w:fill="auto"/>
            <w:vAlign w:val="center"/>
          </w:tcPr>
          <w:p w14:paraId="065F999B">
            <w:pPr>
              <w:widowControl/>
              <w:jc w:val="center"/>
              <w:rPr>
                <w:rFonts w:eastAsiaTheme="minorEastAsia"/>
                <w:kern w:val="0"/>
                <w:szCs w:val="21"/>
              </w:rPr>
            </w:pPr>
            <w:r>
              <w:rPr>
                <w:rFonts w:eastAsiaTheme="minorEastAsia"/>
                <w:kern w:val="0"/>
                <w:szCs w:val="21"/>
              </w:rPr>
              <w:t>评价结果</w:t>
            </w:r>
          </w:p>
        </w:tc>
        <w:tc>
          <w:tcPr>
            <w:tcW w:w="840" w:type="pct"/>
            <w:shd w:val="clear" w:color="auto" w:fill="auto"/>
            <w:vAlign w:val="center"/>
          </w:tcPr>
          <w:p w14:paraId="1C9480D7">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081F6E0F">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38CDE089">
            <w:pPr>
              <w:widowControl/>
              <w:jc w:val="center"/>
              <w:rPr>
                <w:rFonts w:eastAsiaTheme="minorEastAsia"/>
                <w:kern w:val="0"/>
                <w:szCs w:val="21"/>
              </w:rPr>
            </w:pPr>
            <w:r>
              <w:rPr>
                <w:rFonts w:eastAsiaTheme="minorEastAsia"/>
                <w:color w:val="000000"/>
                <w:kern w:val="0"/>
                <w:szCs w:val="21"/>
              </w:rPr>
              <w:t>达标</w:t>
            </w:r>
          </w:p>
        </w:tc>
      </w:tr>
      <w:tr w14:paraId="7D70B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restart"/>
            <w:shd w:val="clear" w:color="auto" w:fill="auto"/>
            <w:vAlign w:val="center"/>
          </w:tcPr>
          <w:p w14:paraId="761FD984">
            <w:pPr>
              <w:widowControl/>
              <w:jc w:val="center"/>
              <w:rPr>
                <w:rFonts w:eastAsiaTheme="minorEastAsia"/>
                <w:kern w:val="0"/>
                <w:szCs w:val="21"/>
              </w:rPr>
            </w:pPr>
            <w:r>
              <w:rPr>
                <w:rFonts w:eastAsiaTheme="minorEastAsia"/>
                <w:kern w:val="0"/>
                <w:szCs w:val="21"/>
              </w:rPr>
              <w:t>硫化物</w:t>
            </w:r>
          </w:p>
        </w:tc>
        <w:tc>
          <w:tcPr>
            <w:tcW w:w="935" w:type="pct"/>
            <w:shd w:val="clear" w:color="auto" w:fill="auto"/>
            <w:vAlign w:val="center"/>
          </w:tcPr>
          <w:p w14:paraId="3EE899DC">
            <w:pPr>
              <w:widowControl/>
              <w:jc w:val="center"/>
              <w:rPr>
                <w:rFonts w:eastAsiaTheme="minorEastAsia"/>
                <w:kern w:val="0"/>
                <w:szCs w:val="21"/>
              </w:rPr>
            </w:pPr>
            <w:r>
              <w:rPr>
                <w:rFonts w:eastAsiaTheme="minorEastAsia"/>
                <w:kern w:val="0"/>
                <w:szCs w:val="21"/>
              </w:rPr>
              <w:t>标准值</w:t>
            </w:r>
          </w:p>
        </w:tc>
        <w:tc>
          <w:tcPr>
            <w:tcW w:w="651" w:type="pct"/>
            <w:shd w:val="clear" w:color="auto" w:fill="auto"/>
            <w:vAlign w:val="center"/>
          </w:tcPr>
          <w:p w14:paraId="7C635EF7">
            <w:pPr>
              <w:widowControl/>
              <w:jc w:val="center"/>
              <w:rPr>
                <w:rFonts w:eastAsiaTheme="minorEastAsia"/>
                <w:kern w:val="0"/>
                <w:szCs w:val="21"/>
              </w:rPr>
            </w:pPr>
            <w:r>
              <w:rPr>
                <w:rFonts w:eastAsiaTheme="minorEastAsia"/>
                <w:kern w:val="0"/>
                <w:szCs w:val="21"/>
              </w:rPr>
              <w:t>监测值</w:t>
            </w:r>
          </w:p>
        </w:tc>
        <w:tc>
          <w:tcPr>
            <w:tcW w:w="840" w:type="pct"/>
            <w:shd w:val="clear" w:color="auto" w:fill="auto"/>
            <w:vAlign w:val="center"/>
          </w:tcPr>
          <w:p w14:paraId="0B3F25F7">
            <w:pPr>
              <w:widowControl/>
              <w:jc w:val="center"/>
              <w:rPr>
                <w:rFonts w:eastAsiaTheme="minorEastAsia"/>
                <w:kern w:val="0"/>
                <w:szCs w:val="21"/>
              </w:rPr>
            </w:pPr>
            <w:r>
              <w:rPr>
                <w:rFonts w:eastAsiaTheme="minorEastAsia"/>
                <w:color w:val="000000"/>
                <w:kern w:val="0"/>
                <w:szCs w:val="21"/>
              </w:rPr>
              <w:t>0.003L</w:t>
            </w:r>
          </w:p>
        </w:tc>
        <w:tc>
          <w:tcPr>
            <w:tcW w:w="840" w:type="pct"/>
            <w:shd w:val="clear" w:color="auto" w:fill="auto"/>
            <w:vAlign w:val="center"/>
          </w:tcPr>
          <w:p w14:paraId="10A02E81">
            <w:pPr>
              <w:widowControl/>
              <w:jc w:val="center"/>
              <w:rPr>
                <w:rFonts w:eastAsiaTheme="minorEastAsia"/>
                <w:kern w:val="0"/>
                <w:szCs w:val="21"/>
              </w:rPr>
            </w:pPr>
            <w:r>
              <w:rPr>
                <w:rFonts w:eastAsiaTheme="minorEastAsia"/>
                <w:color w:val="000000"/>
                <w:kern w:val="0"/>
                <w:szCs w:val="21"/>
              </w:rPr>
              <w:t>0.003L</w:t>
            </w:r>
          </w:p>
        </w:tc>
        <w:tc>
          <w:tcPr>
            <w:tcW w:w="840" w:type="pct"/>
            <w:shd w:val="clear" w:color="auto" w:fill="auto"/>
            <w:vAlign w:val="center"/>
          </w:tcPr>
          <w:p w14:paraId="6C24C00F">
            <w:pPr>
              <w:widowControl/>
              <w:jc w:val="center"/>
              <w:rPr>
                <w:rFonts w:eastAsiaTheme="minorEastAsia"/>
                <w:kern w:val="0"/>
                <w:szCs w:val="21"/>
              </w:rPr>
            </w:pPr>
            <w:r>
              <w:rPr>
                <w:rFonts w:eastAsiaTheme="minorEastAsia"/>
                <w:color w:val="000000"/>
                <w:kern w:val="0"/>
                <w:szCs w:val="21"/>
              </w:rPr>
              <w:t>0.003L</w:t>
            </w:r>
          </w:p>
        </w:tc>
      </w:tr>
      <w:tr w14:paraId="6E502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692BFFD5">
            <w:pPr>
              <w:widowControl/>
              <w:jc w:val="center"/>
              <w:rPr>
                <w:rFonts w:eastAsiaTheme="minorEastAsia"/>
                <w:kern w:val="0"/>
                <w:szCs w:val="21"/>
              </w:rPr>
            </w:pPr>
          </w:p>
        </w:tc>
        <w:tc>
          <w:tcPr>
            <w:tcW w:w="935" w:type="pct"/>
            <w:vMerge w:val="restart"/>
            <w:shd w:val="clear" w:color="auto" w:fill="auto"/>
            <w:vAlign w:val="center"/>
          </w:tcPr>
          <w:p w14:paraId="5802781A">
            <w:pPr>
              <w:widowControl/>
              <w:jc w:val="center"/>
              <w:rPr>
                <w:rFonts w:eastAsiaTheme="minorEastAsia"/>
                <w:kern w:val="0"/>
                <w:szCs w:val="21"/>
              </w:rPr>
            </w:pPr>
            <w:r>
              <w:rPr>
                <w:rFonts w:eastAsiaTheme="minorEastAsia"/>
                <w:kern w:val="0"/>
                <w:szCs w:val="21"/>
              </w:rPr>
              <w:t>0.02mg/L</w:t>
            </w:r>
          </w:p>
        </w:tc>
        <w:tc>
          <w:tcPr>
            <w:tcW w:w="651" w:type="pct"/>
            <w:shd w:val="clear" w:color="auto" w:fill="auto"/>
            <w:vAlign w:val="center"/>
          </w:tcPr>
          <w:p w14:paraId="71C66299">
            <w:pPr>
              <w:widowControl/>
              <w:jc w:val="center"/>
              <w:rPr>
                <w:rFonts w:eastAsiaTheme="minorEastAsia"/>
                <w:kern w:val="0"/>
                <w:szCs w:val="21"/>
              </w:rPr>
            </w:pPr>
            <w:r>
              <w:rPr>
                <w:rFonts w:eastAsiaTheme="minorEastAsia"/>
                <w:kern w:val="0"/>
                <w:szCs w:val="21"/>
              </w:rPr>
              <w:t>标准指数</w:t>
            </w:r>
          </w:p>
        </w:tc>
        <w:tc>
          <w:tcPr>
            <w:tcW w:w="840" w:type="pct"/>
            <w:shd w:val="clear" w:color="auto" w:fill="auto"/>
            <w:vAlign w:val="center"/>
          </w:tcPr>
          <w:p w14:paraId="62C169A9">
            <w:pPr>
              <w:widowControl/>
              <w:jc w:val="center"/>
              <w:rPr>
                <w:rFonts w:eastAsiaTheme="minorEastAsia"/>
                <w:kern w:val="0"/>
                <w:szCs w:val="21"/>
              </w:rPr>
            </w:pPr>
            <w:r>
              <w:rPr>
                <w:rFonts w:eastAsiaTheme="minorEastAsia"/>
                <w:color w:val="000000"/>
                <w:kern w:val="0"/>
                <w:szCs w:val="21"/>
              </w:rPr>
              <w:t>—</w:t>
            </w:r>
          </w:p>
        </w:tc>
        <w:tc>
          <w:tcPr>
            <w:tcW w:w="840" w:type="pct"/>
            <w:shd w:val="clear" w:color="auto" w:fill="auto"/>
            <w:vAlign w:val="center"/>
          </w:tcPr>
          <w:p w14:paraId="30FF6FC2">
            <w:pPr>
              <w:widowControl/>
              <w:jc w:val="center"/>
              <w:rPr>
                <w:rFonts w:eastAsiaTheme="minorEastAsia"/>
                <w:kern w:val="0"/>
                <w:szCs w:val="21"/>
              </w:rPr>
            </w:pPr>
            <w:r>
              <w:rPr>
                <w:rFonts w:eastAsiaTheme="minorEastAsia"/>
                <w:color w:val="000000"/>
                <w:kern w:val="0"/>
                <w:szCs w:val="21"/>
              </w:rPr>
              <w:t>—</w:t>
            </w:r>
          </w:p>
        </w:tc>
        <w:tc>
          <w:tcPr>
            <w:tcW w:w="840" w:type="pct"/>
            <w:shd w:val="clear" w:color="auto" w:fill="auto"/>
            <w:vAlign w:val="center"/>
          </w:tcPr>
          <w:p w14:paraId="526F2683">
            <w:pPr>
              <w:widowControl/>
              <w:jc w:val="center"/>
              <w:rPr>
                <w:rFonts w:eastAsiaTheme="minorEastAsia"/>
                <w:kern w:val="0"/>
                <w:szCs w:val="21"/>
              </w:rPr>
            </w:pPr>
            <w:r>
              <w:rPr>
                <w:rFonts w:eastAsiaTheme="minorEastAsia"/>
                <w:color w:val="000000"/>
                <w:kern w:val="0"/>
                <w:szCs w:val="21"/>
              </w:rPr>
              <w:t>—</w:t>
            </w:r>
          </w:p>
        </w:tc>
      </w:tr>
      <w:tr w14:paraId="1026D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13E80D12">
            <w:pPr>
              <w:widowControl/>
              <w:jc w:val="center"/>
              <w:rPr>
                <w:rFonts w:eastAsiaTheme="minorEastAsia"/>
                <w:kern w:val="0"/>
                <w:szCs w:val="21"/>
              </w:rPr>
            </w:pPr>
          </w:p>
        </w:tc>
        <w:tc>
          <w:tcPr>
            <w:tcW w:w="935" w:type="pct"/>
            <w:vMerge w:val="continue"/>
            <w:vAlign w:val="center"/>
          </w:tcPr>
          <w:p w14:paraId="484A1FC4">
            <w:pPr>
              <w:widowControl/>
              <w:jc w:val="center"/>
              <w:rPr>
                <w:rFonts w:eastAsiaTheme="minorEastAsia"/>
                <w:kern w:val="0"/>
                <w:szCs w:val="21"/>
              </w:rPr>
            </w:pPr>
          </w:p>
        </w:tc>
        <w:tc>
          <w:tcPr>
            <w:tcW w:w="651" w:type="pct"/>
            <w:shd w:val="clear" w:color="auto" w:fill="auto"/>
            <w:vAlign w:val="center"/>
          </w:tcPr>
          <w:p w14:paraId="5EB16CD5">
            <w:pPr>
              <w:widowControl/>
              <w:jc w:val="center"/>
              <w:rPr>
                <w:rFonts w:eastAsiaTheme="minorEastAsia"/>
                <w:kern w:val="0"/>
                <w:szCs w:val="21"/>
              </w:rPr>
            </w:pPr>
            <w:r>
              <w:rPr>
                <w:rFonts w:eastAsiaTheme="minorEastAsia"/>
                <w:kern w:val="0"/>
                <w:szCs w:val="21"/>
              </w:rPr>
              <w:t>评价结果</w:t>
            </w:r>
          </w:p>
        </w:tc>
        <w:tc>
          <w:tcPr>
            <w:tcW w:w="840" w:type="pct"/>
            <w:shd w:val="clear" w:color="auto" w:fill="auto"/>
            <w:vAlign w:val="center"/>
          </w:tcPr>
          <w:p w14:paraId="57A8FDEC">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092218B6">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7C1AA6A6">
            <w:pPr>
              <w:widowControl/>
              <w:jc w:val="center"/>
              <w:rPr>
                <w:rFonts w:eastAsiaTheme="minorEastAsia"/>
                <w:kern w:val="0"/>
                <w:szCs w:val="21"/>
              </w:rPr>
            </w:pPr>
            <w:r>
              <w:rPr>
                <w:rFonts w:eastAsiaTheme="minorEastAsia"/>
                <w:color w:val="000000"/>
                <w:kern w:val="0"/>
                <w:szCs w:val="21"/>
              </w:rPr>
              <w:t>达标</w:t>
            </w:r>
          </w:p>
        </w:tc>
      </w:tr>
      <w:tr w14:paraId="5920A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restart"/>
            <w:shd w:val="clear" w:color="auto" w:fill="auto"/>
            <w:vAlign w:val="center"/>
          </w:tcPr>
          <w:p w14:paraId="3C33B5F7">
            <w:pPr>
              <w:widowControl/>
              <w:jc w:val="center"/>
              <w:rPr>
                <w:rFonts w:eastAsiaTheme="minorEastAsia"/>
                <w:kern w:val="0"/>
                <w:szCs w:val="21"/>
              </w:rPr>
            </w:pPr>
            <w:r>
              <w:rPr>
                <w:rFonts w:eastAsiaTheme="minorEastAsia"/>
                <w:kern w:val="0"/>
                <w:szCs w:val="21"/>
              </w:rPr>
              <w:t>亚硝酸盐（以N计）</w:t>
            </w:r>
          </w:p>
        </w:tc>
        <w:tc>
          <w:tcPr>
            <w:tcW w:w="935" w:type="pct"/>
            <w:shd w:val="clear" w:color="auto" w:fill="auto"/>
            <w:vAlign w:val="center"/>
          </w:tcPr>
          <w:p w14:paraId="26D89FEC">
            <w:pPr>
              <w:widowControl/>
              <w:jc w:val="center"/>
              <w:rPr>
                <w:rFonts w:eastAsiaTheme="minorEastAsia"/>
                <w:kern w:val="0"/>
                <w:szCs w:val="21"/>
              </w:rPr>
            </w:pPr>
            <w:r>
              <w:rPr>
                <w:rFonts w:eastAsiaTheme="minorEastAsia"/>
                <w:kern w:val="0"/>
                <w:szCs w:val="21"/>
              </w:rPr>
              <w:t>标准值</w:t>
            </w:r>
          </w:p>
        </w:tc>
        <w:tc>
          <w:tcPr>
            <w:tcW w:w="651" w:type="pct"/>
            <w:shd w:val="clear" w:color="auto" w:fill="auto"/>
            <w:vAlign w:val="center"/>
          </w:tcPr>
          <w:p w14:paraId="5F7BD662">
            <w:pPr>
              <w:widowControl/>
              <w:jc w:val="center"/>
              <w:rPr>
                <w:rFonts w:eastAsiaTheme="minorEastAsia"/>
                <w:kern w:val="0"/>
                <w:szCs w:val="21"/>
              </w:rPr>
            </w:pPr>
            <w:r>
              <w:rPr>
                <w:rFonts w:eastAsiaTheme="minorEastAsia"/>
                <w:kern w:val="0"/>
                <w:szCs w:val="21"/>
              </w:rPr>
              <w:t>监测值</w:t>
            </w:r>
          </w:p>
        </w:tc>
        <w:tc>
          <w:tcPr>
            <w:tcW w:w="840" w:type="pct"/>
            <w:shd w:val="clear" w:color="auto" w:fill="auto"/>
            <w:vAlign w:val="center"/>
          </w:tcPr>
          <w:p w14:paraId="2CDC498A">
            <w:pPr>
              <w:widowControl/>
              <w:jc w:val="center"/>
              <w:rPr>
                <w:rFonts w:eastAsiaTheme="minorEastAsia"/>
                <w:kern w:val="0"/>
                <w:szCs w:val="21"/>
              </w:rPr>
            </w:pPr>
            <w:r>
              <w:rPr>
                <w:rFonts w:eastAsiaTheme="minorEastAsia"/>
                <w:color w:val="000000"/>
                <w:kern w:val="0"/>
                <w:szCs w:val="21"/>
              </w:rPr>
              <w:t>0.003</w:t>
            </w:r>
          </w:p>
        </w:tc>
        <w:tc>
          <w:tcPr>
            <w:tcW w:w="840" w:type="pct"/>
            <w:shd w:val="clear" w:color="auto" w:fill="auto"/>
            <w:vAlign w:val="center"/>
          </w:tcPr>
          <w:p w14:paraId="19FE081B">
            <w:pPr>
              <w:widowControl/>
              <w:jc w:val="center"/>
              <w:rPr>
                <w:rFonts w:eastAsiaTheme="minorEastAsia"/>
                <w:kern w:val="0"/>
                <w:szCs w:val="21"/>
              </w:rPr>
            </w:pPr>
            <w:r>
              <w:rPr>
                <w:rFonts w:eastAsiaTheme="minorEastAsia"/>
                <w:color w:val="000000"/>
                <w:kern w:val="0"/>
                <w:szCs w:val="21"/>
              </w:rPr>
              <w:t>0.002</w:t>
            </w:r>
          </w:p>
        </w:tc>
        <w:tc>
          <w:tcPr>
            <w:tcW w:w="840" w:type="pct"/>
            <w:shd w:val="clear" w:color="auto" w:fill="auto"/>
            <w:vAlign w:val="center"/>
          </w:tcPr>
          <w:p w14:paraId="4189A689">
            <w:pPr>
              <w:widowControl/>
              <w:jc w:val="center"/>
              <w:rPr>
                <w:rFonts w:eastAsiaTheme="minorEastAsia"/>
                <w:kern w:val="0"/>
                <w:szCs w:val="21"/>
              </w:rPr>
            </w:pPr>
            <w:r>
              <w:rPr>
                <w:rFonts w:eastAsiaTheme="minorEastAsia"/>
                <w:color w:val="000000"/>
                <w:kern w:val="0"/>
                <w:szCs w:val="21"/>
              </w:rPr>
              <w:t>0.002</w:t>
            </w:r>
          </w:p>
        </w:tc>
      </w:tr>
      <w:tr w14:paraId="6239B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54BE65FF">
            <w:pPr>
              <w:widowControl/>
              <w:jc w:val="center"/>
              <w:rPr>
                <w:rFonts w:eastAsiaTheme="minorEastAsia"/>
                <w:kern w:val="0"/>
                <w:szCs w:val="21"/>
              </w:rPr>
            </w:pPr>
          </w:p>
        </w:tc>
        <w:tc>
          <w:tcPr>
            <w:tcW w:w="935" w:type="pct"/>
            <w:vMerge w:val="restart"/>
            <w:shd w:val="clear" w:color="auto" w:fill="auto"/>
            <w:vAlign w:val="center"/>
          </w:tcPr>
          <w:p w14:paraId="275BD69B">
            <w:pPr>
              <w:widowControl/>
              <w:jc w:val="center"/>
              <w:rPr>
                <w:rFonts w:eastAsiaTheme="minorEastAsia"/>
                <w:kern w:val="0"/>
                <w:szCs w:val="21"/>
              </w:rPr>
            </w:pPr>
            <w:r>
              <w:rPr>
                <w:rFonts w:eastAsiaTheme="minorEastAsia"/>
                <w:kern w:val="0"/>
                <w:szCs w:val="21"/>
              </w:rPr>
              <w:t>1mg/L</w:t>
            </w:r>
          </w:p>
        </w:tc>
        <w:tc>
          <w:tcPr>
            <w:tcW w:w="651" w:type="pct"/>
            <w:shd w:val="clear" w:color="auto" w:fill="auto"/>
            <w:vAlign w:val="center"/>
          </w:tcPr>
          <w:p w14:paraId="0944D287">
            <w:pPr>
              <w:widowControl/>
              <w:jc w:val="center"/>
              <w:rPr>
                <w:rFonts w:eastAsiaTheme="minorEastAsia"/>
                <w:kern w:val="0"/>
                <w:szCs w:val="21"/>
              </w:rPr>
            </w:pPr>
            <w:r>
              <w:rPr>
                <w:rFonts w:eastAsiaTheme="minorEastAsia"/>
                <w:kern w:val="0"/>
                <w:szCs w:val="21"/>
              </w:rPr>
              <w:t>标准指数</w:t>
            </w:r>
          </w:p>
        </w:tc>
        <w:tc>
          <w:tcPr>
            <w:tcW w:w="840" w:type="pct"/>
            <w:shd w:val="clear" w:color="auto" w:fill="auto"/>
            <w:vAlign w:val="center"/>
          </w:tcPr>
          <w:p w14:paraId="304D2CD5">
            <w:pPr>
              <w:widowControl/>
              <w:jc w:val="center"/>
              <w:rPr>
                <w:rFonts w:eastAsiaTheme="minorEastAsia"/>
                <w:kern w:val="0"/>
                <w:szCs w:val="21"/>
              </w:rPr>
            </w:pPr>
            <w:r>
              <w:rPr>
                <w:rFonts w:eastAsiaTheme="minorEastAsia"/>
                <w:color w:val="000000"/>
                <w:kern w:val="0"/>
                <w:szCs w:val="21"/>
              </w:rPr>
              <w:t>0.003</w:t>
            </w:r>
          </w:p>
        </w:tc>
        <w:tc>
          <w:tcPr>
            <w:tcW w:w="840" w:type="pct"/>
            <w:shd w:val="clear" w:color="auto" w:fill="auto"/>
            <w:vAlign w:val="center"/>
          </w:tcPr>
          <w:p w14:paraId="1BBDAC2A">
            <w:pPr>
              <w:widowControl/>
              <w:jc w:val="center"/>
              <w:rPr>
                <w:rFonts w:eastAsiaTheme="minorEastAsia"/>
                <w:kern w:val="0"/>
                <w:szCs w:val="21"/>
              </w:rPr>
            </w:pPr>
            <w:r>
              <w:rPr>
                <w:rFonts w:eastAsiaTheme="minorEastAsia"/>
                <w:color w:val="000000"/>
                <w:kern w:val="0"/>
                <w:szCs w:val="21"/>
              </w:rPr>
              <w:t>0.002</w:t>
            </w:r>
          </w:p>
        </w:tc>
        <w:tc>
          <w:tcPr>
            <w:tcW w:w="840" w:type="pct"/>
            <w:shd w:val="clear" w:color="auto" w:fill="auto"/>
            <w:vAlign w:val="center"/>
          </w:tcPr>
          <w:p w14:paraId="5682975B">
            <w:pPr>
              <w:widowControl/>
              <w:jc w:val="center"/>
              <w:rPr>
                <w:rFonts w:eastAsiaTheme="minorEastAsia"/>
                <w:kern w:val="0"/>
                <w:szCs w:val="21"/>
              </w:rPr>
            </w:pPr>
            <w:r>
              <w:rPr>
                <w:rFonts w:eastAsiaTheme="minorEastAsia"/>
                <w:color w:val="000000"/>
                <w:kern w:val="0"/>
                <w:szCs w:val="21"/>
              </w:rPr>
              <w:t>0.002</w:t>
            </w:r>
          </w:p>
        </w:tc>
      </w:tr>
      <w:tr w14:paraId="46976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5B702ECD">
            <w:pPr>
              <w:widowControl/>
              <w:jc w:val="center"/>
              <w:rPr>
                <w:rFonts w:eastAsiaTheme="minorEastAsia"/>
                <w:kern w:val="0"/>
                <w:szCs w:val="21"/>
              </w:rPr>
            </w:pPr>
          </w:p>
        </w:tc>
        <w:tc>
          <w:tcPr>
            <w:tcW w:w="935" w:type="pct"/>
            <w:vMerge w:val="continue"/>
            <w:vAlign w:val="center"/>
          </w:tcPr>
          <w:p w14:paraId="79C06502">
            <w:pPr>
              <w:widowControl/>
              <w:jc w:val="center"/>
              <w:rPr>
                <w:rFonts w:eastAsiaTheme="minorEastAsia"/>
                <w:kern w:val="0"/>
                <w:szCs w:val="21"/>
              </w:rPr>
            </w:pPr>
          </w:p>
        </w:tc>
        <w:tc>
          <w:tcPr>
            <w:tcW w:w="651" w:type="pct"/>
            <w:shd w:val="clear" w:color="auto" w:fill="auto"/>
            <w:vAlign w:val="center"/>
          </w:tcPr>
          <w:p w14:paraId="64EFE533">
            <w:pPr>
              <w:widowControl/>
              <w:jc w:val="center"/>
              <w:rPr>
                <w:rFonts w:eastAsiaTheme="minorEastAsia"/>
                <w:kern w:val="0"/>
                <w:szCs w:val="21"/>
              </w:rPr>
            </w:pPr>
            <w:r>
              <w:rPr>
                <w:rFonts w:eastAsiaTheme="minorEastAsia"/>
                <w:kern w:val="0"/>
                <w:szCs w:val="21"/>
              </w:rPr>
              <w:t>评价结果</w:t>
            </w:r>
          </w:p>
        </w:tc>
        <w:tc>
          <w:tcPr>
            <w:tcW w:w="840" w:type="pct"/>
            <w:shd w:val="clear" w:color="auto" w:fill="auto"/>
            <w:vAlign w:val="center"/>
          </w:tcPr>
          <w:p w14:paraId="6238CFE2">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388C02B2">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6E502839">
            <w:pPr>
              <w:widowControl/>
              <w:jc w:val="center"/>
              <w:rPr>
                <w:rFonts w:eastAsiaTheme="minorEastAsia"/>
                <w:kern w:val="0"/>
                <w:szCs w:val="21"/>
              </w:rPr>
            </w:pPr>
            <w:r>
              <w:rPr>
                <w:rFonts w:eastAsiaTheme="minorEastAsia"/>
                <w:color w:val="000000"/>
                <w:kern w:val="0"/>
                <w:szCs w:val="21"/>
              </w:rPr>
              <w:t>达标</w:t>
            </w:r>
          </w:p>
        </w:tc>
      </w:tr>
      <w:tr w14:paraId="6369A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restart"/>
            <w:shd w:val="clear" w:color="auto" w:fill="auto"/>
            <w:vAlign w:val="center"/>
          </w:tcPr>
          <w:p w14:paraId="39E6842A">
            <w:pPr>
              <w:widowControl/>
              <w:jc w:val="center"/>
              <w:rPr>
                <w:rFonts w:eastAsiaTheme="minorEastAsia"/>
                <w:kern w:val="0"/>
                <w:szCs w:val="21"/>
              </w:rPr>
            </w:pPr>
            <w:r>
              <w:rPr>
                <w:rFonts w:eastAsiaTheme="minorEastAsia"/>
                <w:kern w:val="0"/>
                <w:szCs w:val="21"/>
              </w:rPr>
              <w:t>硝酸盐（以N计）</w:t>
            </w:r>
          </w:p>
        </w:tc>
        <w:tc>
          <w:tcPr>
            <w:tcW w:w="935" w:type="pct"/>
            <w:shd w:val="clear" w:color="auto" w:fill="auto"/>
            <w:vAlign w:val="center"/>
          </w:tcPr>
          <w:p w14:paraId="5B691F3D">
            <w:pPr>
              <w:widowControl/>
              <w:jc w:val="center"/>
              <w:rPr>
                <w:rFonts w:eastAsiaTheme="minorEastAsia"/>
                <w:kern w:val="0"/>
                <w:szCs w:val="21"/>
              </w:rPr>
            </w:pPr>
            <w:r>
              <w:rPr>
                <w:rFonts w:eastAsiaTheme="minorEastAsia"/>
                <w:kern w:val="0"/>
                <w:szCs w:val="21"/>
              </w:rPr>
              <w:t>标准值</w:t>
            </w:r>
          </w:p>
        </w:tc>
        <w:tc>
          <w:tcPr>
            <w:tcW w:w="651" w:type="pct"/>
            <w:shd w:val="clear" w:color="auto" w:fill="auto"/>
            <w:vAlign w:val="center"/>
          </w:tcPr>
          <w:p w14:paraId="6AE05B26">
            <w:pPr>
              <w:widowControl/>
              <w:jc w:val="center"/>
              <w:rPr>
                <w:rFonts w:eastAsiaTheme="minorEastAsia"/>
                <w:kern w:val="0"/>
                <w:szCs w:val="21"/>
              </w:rPr>
            </w:pPr>
            <w:r>
              <w:rPr>
                <w:rFonts w:eastAsiaTheme="minorEastAsia"/>
                <w:kern w:val="0"/>
                <w:szCs w:val="21"/>
              </w:rPr>
              <w:t>监测值</w:t>
            </w:r>
          </w:p>
        </w:tc>
        <w:tc>
          <w:tcPr>
            <w:tcW w:w="840" w:type="pct"/>
            <w:shd w:val="clear" w:color="auto" w:fill="auto"/>
            <w:vAlign w:val="center"/>
          </w:tcPr>
          <w:p w14:paraId="3C15A18A">
            <w:pPr>
              <w:widowControl/>
              <w:jc w:val="center"/>
              <w:rPr>
                <w:rFonts w:eastAsiaTheme="minorEastAsia"/>
                <w:kern w:val="0"/>
                <w:szCs w:val="21"/>
              </w:rPr>
            </w:pPr>
            <w:r>
              <w:rPr>
                <w:rFonts w:eastAsiaTheme="minorEastAsia"/>
                <w:color w:val="000000"/>
                <w:kern w:val="0"/>
                <w:szCs w:val="21"/>
              </w:rPr>
              <w:t>6.6</w:t>
            </w:r>
          </w:p>
        </w:tc>
        <w:tc>
          <w:tcPr>
            <w:tcW w:w="840" w:type="pct"/>
            <w:shd w:val="clear" w:color="auto" w:fill="auto"/>
            <w:vAlign w:val="center"/>
          </w:tcPr>
          <w:p w14:paraId="24E2F1CB">
            <w:pPr>
              <w:widowControl/>
              <w:jc w:val="center"/>
              <w:rPr>
                <w:rFonts w:eastAsiaTheme="minorEastAsia"/>
                <w:kern w:val="0"/>
                <w:szCs w:val="21"/>
              </w:rPr>
            </w:pPr>
            <w:r>
              <w:rPr>
                <w:rFonts w:eastAsiaTheme="minorEastAsia"/>
                <w:color w:val="000000"/>
                <w:kern w:val="0"/>
                <w:szCs w:val="21"/>
              </w:rPr>
              <w:t>5.8</w:t>
            </w:r>
          </w:p>
        </w:tc>
        <w:tc>
          <w:tcPr>
            <w:tcW w:w="840" w:type="pct"/>
            <w:shd w:val="clear" w:color="auto" w:fill="auto"/>
            <w:vAlign w:val="center"/>
          </w:tcPr>
          <w:p w14:paraId="3162B73D">
            <w:pPr>
              <w:widowControl/>
              <w:jc w:val="center"/>
              <w:rPr>
                <w:rFonts w:eastAsiaTheme="minorEastAsia"/>
                <w:kern w:val="0"/>
                <w:szCs w:val="21"/>
              </w:rPr>
            </w:pPr>
            <w:r>
              <w:rPr>
                <w:rFonts w:eastAsiaTheme="minorEastAsia"/>
                <w:color w:val="000000"/>
                <w:kern w:val="0"/>
                <w:szCs w:val="21"/>
              </w:rPr>
              <w:t>6.2</w:t>
            </w:r>
          </w:p>
        </w:tc>
      </w:tr>
      <w:tr w14:paraId="518AF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67742E85">
            <w:pPr>
              <w:widowControl/>
              <w:jc w:val="center"/>
              <w:rPr>
                <w:rFonts w:eastAsiaTheme="minorEastAsia"/>
                <w:kern w:val="0"/>
                <w:szCs w:val="21"/>
              </w:rPr>
            </w:pPr>
          </w:p>
        </w:tc>
        <w:tc>
          <w:tcPr>
            <w:tcW w:w="935" w:type="pct"/>
            <w:vMerge w:val="restart"/>
            <w:shd w:val="clear" w:color="auto" w:fill="auto"/>
            <w:vAlign w:val="center"/>
          </w:tcPr>
          <w:p w14:paraId="6F298379">
            <w:pPr>
              <w:widowControl/>
              <w:jc w:val="center"/>
              <w:rPr>
                <w:rFonts w:eastAsiaTheme="minorEastAsia"/>
                <w:kern w:val="0"/>
                <w:szCs w:val="21"/>
              </w:rPr>
            </w:pPr>
            <w:r>
              <w:rPr>
                <w:rFonts w:eastAsiaTheme="minorEastAsia"/>
                <w:kern w:val="0"/>
                <w:szCs w:val="21"/>
              </w:rPr>
              <w:t>20mg/L</w:t>
            </w:r>
          </w:p>
        </w:tc>
        <w:tc>
          <w:tcPr>
            <w:tcW w:w="651" w:type="pct"/>
            <w:shd w:val="clear" w:color="auto" w:fill="auto"/>
            <w:vAlign w:val="center"/>
          </w:tcPr>
          <w:p w14:paraId="26A5AD06">
            <w:pPr>
              <w:widowControl/>
              <w:jc w:val="center"/>
              <w:rPr>
                <w:rFonts w:eastAsiaTheme="minorEastAsia"/>
                <w:kern w:val="0"/>
                <w:szCs w:val="21"/>
              </w:rPr>
            </w:pPr>
            <w:r>
              <w:rPr>
                <w:rFonts w:eastAsiaTheme="minorEastAsia"/>
                <w:kern w:val="0"/>
                <w:szCs w:val="21"/>
              </w:rPr>
              <w:t>标准指数</w:t>
            </w:r>
          </w:p>
        </w:tc>
        <w:tc>
          <w:tcPr>
            <w:tcW w:w="840" w:type="pct"/>
            <w:shd w:val="clear" w:color="auto" w:fill="auto"/>
            <w:vAlign w:val="center"/>
          </w:tcPr>
          <w:p w14:paraId="3CEB8098">
            <w:pPr>
              <w:widowControl/>
              <w:jc w:val="center"/>
              <w:rPr>
                <w:rFonts w:eastAsiaTheme="minorEastAsia"/>
                <w:kern w:val="0"/>
                <w:szCs w:val="21"/>
              </w:rPr>
            </w:pPr>
            <w:r>
              <w:rPr>
                <w:rFonts w:eastAsiaTheme="minorEastAsia"/>
                <w:color w:val="000000"/>
                <w:kern w:val="0"/>
                <w:szCs w:val="21"/>
              </w:rPr>
              <w:t>0.33</w:t>
            </w:r>
          </w:p>
        </w:tc>
        <w:tc>
          <w:tcPr>
            <w:tcW w:w="840" w:type="pct"/>
            <w:shd w:val="clear" w:color="auto" w:fill="auto"/>
            <w:vAlign w:val="center"/>
          </w:tcPr>
          <w:p w14:paraId="31B110A6">
            <w:pPr>
              <w:widowControl/>
              <w:jc w:val="center"/>
              <w:rPr>
                <w:rFonts w:eastAsiaTheme="minorEastAsia"/>
                <w:kern w:val="0"/>
                <w:szCs w:val="21"/>
              </w:rPr>
            </w:pPr>
            <w:r>
              <w:rPr>
                <w:rFonts w:eastAsiaTheme="minorEastAsia"/>
                <w:color w:val="000000"/>
                <w:kern w:val="0"/>
                <w:szCs w:val="21"/>
              </w:rPr>
              <w:t>0.29</w:t>
            </w:r>
          </w:p>
        </w:tc>
        <w:tc>
          <w:tcPr>
            <w:tcW w:w="840" w:type="pct"/>
            <w:shd w:val="clear" w:color="auto" w:fill="auto"/>
            <w:vAlign w:val="center"/>
          </w:tcPr>
          <w:p w14:paraId="70D88A71">
            <w:pPr>
              <w:widowControl/>
              <w:jc w:val="center"/>
              <w:rPr>
                <w:rFonts w:eastAsiaTheme="minorEastAsia"/>
                <w:kern w:val="0"/>
                <w:szCs w:val="21"/>
              </w:rPr>
            </w:pPr>
            <w:r>
              <w:rPr>
                <w:rFonts w:eastAsiaTheme="minorEastAsia"/>
                <w:color w:val="000000"/>
                <w:kern w:val="0"/>
                <w:szCs w:val="21"/>
              </w:rPr>
              <w:t>0.31</w:t>
            </w:r>
          </w:p>
        </w:tc>
      </w:tr>
      <w:tr w14:paraId="77144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5C0AD6E0">
            <w:pPr>
              <w:widowControl/>
              <w:jc w:val="center"/>
              <w:rPr>
                <w:rFonts w:eastAsiaTheme="minorEastAsia"/>
                <w:kern w:val="0"/>
                <w:szCs w:val="21"/>
              </w:rPr>
            </w:pPr>
          </w:p>
        </w:tc>
        <w:tc>
          <w:tcPr>
            <w:tcW w:w="935" w:type="pct"/>
            <w:vMerge w:val="continue"/>
            <w:vAlign w:val="center"/>
          </w:tcPr>
          <w:p w14:paraId="26E22B2A">
            <w:pPr>
              <w:widowControl/>
              <w:jc w:val="center"/>
              <w:rPr>
                <w:rFonts w:eastAsiaTheme="minorEastAsia"/>
                <w:kern w:val="0"/>
                <w:szCs w:val="21"/>
              </w:rPr>
            </w:pPr>
          </w:p>
        </w:tc>
        <w:tc>
          <w:tcPr>
            <w:tcW w:w="651" w:type="pct"/>
            <w:shd w:val="clear" w:color="auto" w:fill="auto"/>
            <w:vAlign w:val="center"/>
          </w:tcPr>
          <w:p w14:paraId="4D9EB14A">
            <w:pPr>
              <w:widowControl/>
              <w:jc w:val="center"/>
              <w:rPr>
                <w:rFonts w:eastAsiaTheme="minorEastAsia"/>
                <w:kern w:val="0"/>
                <w:szCs w:val="21"/>
              </w:rPr>
            </w:pPr>
            <w:r>
              <w:rPr>
                <w:rFonts w:eastAsiaTheme="minorEastAsia"/>
                <w:kern w:val="0"/>
                <w:szCs w:val="21"/>
              </w:rPr>
              <w:t>评价结果</w:t>
            </w:r>
          </w:p>
        </w:tc>
        <w:tc>
          <w:tcPr>
            <w:tcW w:w="840" w:type="pct"/>
            <w:shd w:val="clear" w:color="auto" w:fill="auto"/>
            <w:vAlign w:val="center"/>
          </w:tcPr>
          <w:p w14:paraId="5C044537">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2AE026F3">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7442F531">
            <w:pPr>
              <w:widowControl/>
              <w:jc w:val="center"/>
              <w:rPr>
                <w:rFonts w:eastAsiaTheme="minorEastAsia"/>
                <w:kern w:val="0"/>
                <w:szCs w:val="21"/>
              </w:rPr>
            </w:pPr>
            <w:r>
              <w:rPr>
                <w:rFonts w:eastAsiaTheme="minorEastAsia"/>
                <w:color w:val="000000"/>
                <w:kern w:val="0"/>
                <w:szCs w:val="21"/>
              </w:rPr>
              <w:t>达标</w:t>
            </w:r>
          </w:p>
        </w:tc>
      </w:tr>
      <w:tr w14:paraId="44E57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restart"/>
            <w:shd w:val="clear" w:color="auto" w:fill="auto"/>
            <w:vAlign w:val="center"/>
          </w:tcPr>
          <w:p w14:paraId="5F4D17EB">
            <w:pPr>
              <w:widowControl/>
              <w:jc w:val="center"/>
              <w:rPr>
                <w:rFonts w:eastAsiaTheme="minorEastAsia"/>
                <w:kern w:val="0"/>
                <w:szCs w:val="21"/>
              </w:rPr>
            </w:pPr>
            <w:r>
              <w:rPr>
                <w:rFonts w:eastAsiaTheme="minorEastAsia"/>
                <w:kern w:val="0"/>
                <w:szCs w:val="21"/>
              </w:rPr>
              <w:t>氰化物</w:t>
            </w:r>
          </w:p>
        </w:tc>
        <w:tc>
          <w:tcPr>
            <w:tcW w:w="935" w:type="pct"/>
            <w:shd w:val="clear" w:color="auto" w:fill="auto"/>
            <w:vAlign w:val="center"/>
          </w:tcPr>
          <w:p w14:paraId="2B9B6EE9">
            <w:pPr>
              <w:widowControl/>
              <w:jc w:val="center"/>
              <w:rPr>
                <w:rFonts w:eastAsiaTheme="minorEastAsia"/>
                <w:kern w:val="0"/>
                <w:szCs w:val="21"/>
              </w:rPr>
            </w:pPr>
            <w:r>
              <w:rPr>
                <w:rFonts w:eastAsiaTheme="minorEastAsia"/>
                <w:kern w:val="0"/>
                <w:szCs w:val="21"/>
              </w:rPr>
              <w:t>标准值</w:t>
            </w:r>
          </w:p>
        </w:tc>
        <w:tc>
          <w:tcPr>
            <w:tcW w:w="651" w:type="pct"/>
            <w:shd w:val="clear" w:color="auto" w:fill="auto"/>
            <w:vAlign w:val="center"/>
          </w:tcPr>
          <w:p w14:paraId="04FAA0A3">
            <w:pPr>
              <w:widowControl/>
              <w:jc w:val="center"/>
              <w:rPr>
                <w:rFonts w:eastAsiaTheme="minorEastAsia"/>
                <w:kern w:val="0"/>
                <w:szCs w:val="21"/>
              </w:rPr>
            </w:pPr>
            <w:r>
              <w:rPr>
                <w:rFonts w:eastAsiaTheme="minorEastAsia"/>
                <w:kern w:val="0"/>
                <w:szCs w:val="21"/>
              </w:rPr>
              <w:t>监测值</w:t>
            </w:r>
          </w:p>
        </w:tc>
        <w:tc>
          <w:tcPr>
            <w:tcW w:w="840" w:type="pct"/>
            <w:shd w:val="clear" w:color="auto" w:fill="auto"/>
            <w:vAlign w:val="center"/>
          </w:tcPr>
          <w:p w14:paraId="1DF14557">
            <w:pPr>
              <w:widowControl/>
              <w:jc w:val="center"/>
              <w:rPr>
                <w:rFonts w:eastAsiaTheme="minorEastAsia"/>
                <w:kern w:val="0"/>
                <w:szCs w:val="21"/>
              </w:rPr>
            </w:pPr>
            <w:r>
              <w:rPr>
                <w:rFonts w:eastAsiaTheme="minorEastAsia"/>
                <w:color w:val="000000"/>
                <w:kern w:val="0"/>
                <w:szCs w:val="21"/>
              </w:rPr>
              <w:t>0.002L</w:t>
            </w:r>
          </w:p>
        </w:tc>
        <w:tc>
          <w:tcPr>
            <w:tcW w:w="840" w:type="pct"/>
            <w:shd w:val="clear" w:color="auto" w:fill="auto"/>
            <w:vAlign w:val="center"/>
          </w:tcPr>
          <w:p w14:paraId="4BFDCFF4">
            <w:pPr>
              <w:widowControl/>
              <w:jc w:val="center"/>
              <w:rPr>
                <w:rFonts w:eastAsiaTheme="minorEastAsia"/>
                <w:kern w:val="0"/>
                <w:szCs w:val="21"/>
              </w:rPr>
            </w:pPr>
            <w:r>
              <w:rPr>
                <w:rFonts w:eastAsiaTheme="minorEastAsia"/>
                <w:color w:val="000000"/>
                <w:kern w:val="0"/>
                <w:szCs w:val="21"/>
              </w:rPr>
              <w:t>0.002L</w:t>
            </w:r>
          </w:p>
        </w:tc>
        <w:tc>
          <w:tcPr>
            <w:tcW w:w="840" w:type="pct"/>
            <w:shd w:val="clear" w:color="auto" w:fill="auto"/>
            <w:vAlign w:val="center"/>
          </w:tcPr>
          <w:p w14:paraId="631FAA11">
            <w:pPr>
              <w:widowControl/>
              <w:jc w:val="center"/>
              <w:rPr>
                <w:rFonts w:eastAsiaTheme="minorEastAsia"/>
                <w:kern w:val="0"/>
                <w:szCs w:val="21"/>
              </w:rPr>
            </w:pPr>
            <w:r>
              <w:rPr>
                <w:rFonts w:eastAsiaTheme="minorEastAsia"/>
                <w:color w:val="000000"/>
                <w:kern w:val="0"/>
                <w:szCs w:val="21"/>
              </w:rPr>
              <w:t>0.002L</w:t>
            </w:r>
          </w:p>
        </w:tc>
      </w:tr>
      <w:tr w14:paraId="2ED3E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33490911">
            <w:pPr>
              <w:widowControl/>
              <w:jc w:val="center"/>
              <w:rPr>
                <w:rFonts w:eastAsiaTheme="minorEastAsia"/>
                <w:kern w:val="0"/>
                <w:szCs w:val="21"/>
              </w:rPr>
            </w:pPr>
          </w:p>
        </w:tc>
        <w:tc>
          <w:tcPr>
            <w:tcW w:w="935" w:type="pct"/>
            <w:vMerge w:val="restart"/>
            <w:shd w:val="clear" w:color="auto" w:fill="auto"/>
            <w:vAlign w:val="center"/>
          </w:tcPr>
          <w:p w14:paraId="13EDB31C">
            <w:pPr>
              <w:widowControl/>
              <w:jc w:val="center"/>
              <w:rPr>
                <w:rFonts w:eastAsiaTheme="minorEastAsia"/>
                <w:kern w:val="0"/>
                <w:szCs w:val="21"/>
              </w:rPr>
            </w:pPr>
            <w:r>
              <w:rPr>
                <w:rFonts w:eastAsiaTheme="minorEastAsia"/>
                <w:kern w:val="0"/>
                <w:szCs w:val="21"/>
              </w:rPr>
              <w:t>0.05mg/L</w:t>
            </w:r>
          </w:p>
        </w:tc>
        <w:tc>
          <w:tcPr>
            <w:tcW w:w="651" w:type="pct"/>
            <w:shd w:val="clear" w:color="auto" w:fill="auto"/>
            <w:vAlign w:val="center"/>
          </w:tcPr>
          <w:p w14:paraId="20FCFC29">
            <w:pPr>
              <w:widowControl/>
              <w:jc w:val="center"/>
              <w:rPr>
                <w:rFonts w:eastAsiaTheme="minorEastAsia"/>
                <w:kern w:val="0"/>
                <w:szCs w:val="21"/>
              </w:rPr>
            </w:pPr>
            <w:r>
              <w:rPr>
                <w:rFonts w:eastAsiaTheme="minorEastAsia"/>
                <w:kern w:val="0"/>
                <w:szCs w:val="21"/>
              </w:rPr>
              <w:t>标准指数</w:t>
            </w:r>
          </w:p>
        </w:tc>
        <w:tc>
          <w:tcPr>
            <w:tcW w:w="840" w:type="pct"/>
            <w:shd w:val="clear" w:color="auto" w:fill="auto"/>
            <w:vAlign w:val="center"/>
          </w:tcPr>
          <w:p w14:paraId="24627335">
            <w:pPr>
              <w:widowControl/>
              <w:jc w:val="center"/>
              <w:rPr>
                <w:rFonts w:eastAsiaTheme="minorEastAsia"/>
                <w:kern w:val="0"/>
                <w:szCs w:val="21"/>
              </w:rPr>
            </w:pPr>
            <w:r>
              <w:rPr>
                <w:rFonts w:eastAsiaTheme="minorEastAsia"/>
                <w:color w:val="000000"/>
                <w:kern w:val="0"/>
                <w:szCs w:val="21"/>
              </w:rPr>
              <w:t>—</w:t>
            </w:r>
          </w:p>
        </w:tc>
        <w:tc>
          <w:tcPr>
            <w:tcW w:w="840" w:type="pct"/>
            <w:shd w:val="clear" w:color="auto" w:fill="auto"/>
            <w:vAlign w:val="center"/>
          </w:tcPr>
          <w:p w14:paraId="6FEA8893">
            <w:pPr>
              <w:widowControl/>
              <w:jc w:val="center"/>
              <w:rPr>
                <w:rFonts w:eastAsiaTheme="minorEastAsia"/>
                <w:kern w:val="0"/>
                <w:szCs w:val="21"/>
              </w:rPr>
            </w:pPr>
            <w:r>
              <w:rPr>
                <w:rFonts w:eastAsiaTheme="minorEastAsia"/>
                <w:color w:val="000000"/>
                <w:kern w:val="0"/>
                <w:szCs w:val="21"/>
              </w:rPr>
              <w:t>—</w:t>
            </w:r>
          </w:p>
        </w:tc>
        <w:tc>
          <w:tcPr>
            <w:tcW w:w="840" w:type="pct"/>
            <w:shd w:val="clear" w:color="auto" w:fill="auto"/>
            <w:vAlign w:val="center"/>
          </w:tcPr>
          <w:p w14:paraId="138664D1">
            <w:pPr>
              <w:widowControl/>
              <w:jc w:val="center"/>
              <w:rPr>
                <w:rFonts w:eastAsiaTheme="minorEastAsia"/>
                <w:kern w:val="0"/>
                <w:szCs w:val="21"/>
              </w:rPr>
            </w:pPr>
            <w:r>
              <w:rPr>
                <w:rFonts w:eastAsiaTheme="minorEastAsia"/>
                <w:color w:val="000000"/>
                <w:kern w:val="0"/>
                <w:szCs w:val="21"/>
              </w:rPr>
              <w:t>—</w:t>
            </w:r>
          </w:p>
        </w:tc>
      </w:tr>
      <w:tr w14:paraId="22B8E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1318CE53">
            <w:pPr>
              <w:widowControl/>
              <w:jc w:val="center"/>
              <w:rPr>
                <w:rFonts w:eastAsiaTheme="minorEastAsia"/>
                <w:kern w:val="0"/>
                <w:szCs w:val="21"/>
              </w:rPr>
            </w:pPr>
          </w:p>
        </w:tc>
        <w:tc>
          <w:tcPr>
            <w:tcW w:w="935" w:type="pct"/>
            <w:vMerge w:val="continue"/>
            <w:vAlign w:val="center"/>
          </w:tcPr>
          <w:p w14:paraId="39AFF44F">
            <w:pPr>
              <w:widowControl/>
              <w:jc w:val="center"/>
              <w:rPr>
                <w:rFonts w:eastAsiaTheme="minorEastAsia"/>
                <w:kern w:val="0"/>
                <w:szCs w:val="21"/>
              </w:rPr>
            </w:pPr>
          </w:p>
        </w:tc>
        <w:tc>
          <w:tcPr>
            <w:tcW w:w="651" w:type="pct"/>
            <w:shd w:val="clear" w:color="auto" w:fill="auto"/>
            <w:vAlign w:val="center"/>
          </w:tcPr>
          <w:p w14:paraId="2E3C5058">
            <w:pPr>
              <w:widowControl/>
              <w:jc w:val="center"/>
              <w:rPr>
                <w:rFonts w:eastAsiaTheme="minorEastAsia"/>
                <w:kern w:val="0"/>
                <w:szCs w:val="21"/>
              </w:rPr>
            </w:pPr>
            <w:r>
              <w:rPr>
                <w:rFonts w:eastAsiaTheme="minorEastAsia"/>
                <w:kern w:val="0"/>
                <w:szCs w:val="21"/>
              </w:rPr>
              <w:t>评价结果</w:t>
            </w:r>
          </w:p>
        </w:tc>
        <w:tc>
          <w:tcPr>
            <w:tcW w:w="840" w:type="pct"/>
            <w:shd w:val="clear" w:color="auto" w:fill="auto"/>
            <w:vAlign w:val="center"/>
          </w:tcPr>
          <w:p w14:paraId="5AE30B0C">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532BA559">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4C7326F1">
            <w:pPr>
              <w:widowControl/>
              <w:jc w:val="center"/>
              <w:rPr>
                <w:rFonts w:eastAsiaTheme="minorEastAsia"/>
                <w:kern w:val="0"/>
                <w:szCs w:val="21"/>
              </w:rPr>
            </w:pPr>
            <w:r>
              <w:rPr>
                <w:rFonts w:eastAsiaTheme="minorEastAsia"/>
                <w:color w:val="000000"/>
                <w:kern w:val="0"/>
                <w:szCs w:val="21"/>
              </w:rPr>
              <w:t>达标</w:t>
            </w:r>
          </w:p>
        </w:tc>
      </w:tr>
      <w:tr w14:paraId="0709C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restart"/>
            <w:shd w:val="clear" w:color="auto" w:fill="auto"/>
            <w:vAlign w:val="center"/>
          </w:tcPr>
          <w:p w14:paraId="2B8F6139">
            <w:pPr>
              <w:widowControl/>
              <w:jc w:val="center"/>
              <w:rPr>
                <w:rFonts w:eastAsiaTheme="minorEastAsia"/>
                <w:kern w:val="0"/>
                <w:szCs w:val="21"/>
              </w:rPr>
            </w:pPr>
            <w:r>
              <w:rPr>
                <w:rFonts w:eastAsiaTheme="minorEastAsia"/>
                <w:kern w:val="0"/>
                <w:szCs w:val="21"/>
              </w:rPr>
              <w:t>氟化物</w:t>
            </w:r>
          </w:p>
        </w:tc>
        <w:tc>
          <w:tcPr>
            <w:tcW w:w="935" w:type="pct"/>
            <w:shd w:val="clear" w:color="auto" w:fill="auto"/>
            <w:vAlign w:val="center"/>
          </w:tcPr>
          <w:p w14:paraId="36919EC6">
            <w:pPr>
              <w:widowControl/>
              <w:jc w:val="center"/>
              <w:rPr>
                <w:rFonts w:eastAsiaTheme="minorEastAsia"/>
                <w:kern w:val="0"/>
                <w:szCs w:val="21"/>
              </w:rPr>
            </w:pPr>
            <w:r>
              <w:rPr>
                <w:rFonts w:eastAsiaTheme="minorEastAsia"/>
                <w:kern w:val="0"/>
                <w:szCs w:val="21"/>
              </w:rPr>
              <w:t>标准值</w:t>
            </w:r>
          </w:p>
        </w:tc>
        <w:tc>
          <w:tcPr>
            <w:tcW w:w="651" w:type="pct"/>
            <w:shd w:val="clear" w:color="auto" w:fill="auto"/>
            <w:vAlign w:val="center"/>
          </w:tcPr>
          <w:p w14:paraId="0B84EE52">
            <w:pPr>
              <w:widowControl/>
              <w:jc w:val="center"/>
              <w:rPr>
                <w:rFonts w:eastAsiaTheme="minorEastAsia"/>
                <w:kern w:val="0"/>
                <w:szCs w:val="21"/>
              </w:rPr>
            </w:pPr>
            <w:r>
              <w:rPr>
                <w:rFonts w:eastAsiaTheme="minorEastAsia"/>
                <w:kern w:val="0"/>
                <w:szCs w:val="21"/>
              </w:rPr>
              <w:t>监测值</w:t>
            </w:r>
          </w:p>
        </w:tc>
        <w:tc>
          <w:tcPr>
            <w:tcW w:w="840" w:type="pct"/>
            <w:shd w:val="clear" w:color="auto" w:fill="auto"/>
            <w:vAlign w:val="center"/>
          </w:tcPr>
          <w:p w14:paraId="05B771D8">
            <w:pPr>
              <w:widowControl/>
              <w:jc w:val="center"/>
              <w:rPr>
                <w:rFonts w:eastAsiaTheme="minorEastAsia"/>
                <w:kern w:val="0"/>
                <w:szCs w:val="21"/>
              </w:rPr>
            </w:pPr>
            <w:r>
              <w:rPr>
                <w:rFonts w:eastAsiaTheme="minorEastAsia"/>
                <w:color w:val="000000"/>
                <w:kern w:val="0"/>
                <w:szCs w:val="21"/>
              </w:rPr>
              <w:t>0.35</w:t>
            </w:r>
          </w:p>
        </w:tc>
        <w:tc>
          <w:tcPr>
            <w:tcW w:w="840" w:type="pct"/>
            <w:shd w:val="clear" w:color="auto" w:fill="auto"/>
            <w:vAlign w:val="center"/>
          </w:tcPr>
          <w:p w14:paraId="69972BD4">
            <w:pPr>
              <w:widowControl/>
              <w:jc w:val="center"/>
              <w:rPr>
                <w:rFonts w:eastAsiaTheme="minorEastAsia"/>
                <w:kern w:val="0"/>
                <w:szCs w:val="21"/>
              </w:rPr>
            </w:pPr>
            <w:r>
              <w:rPr>
                <w:rFonts w:eastAsiaTheme="minorEastAsia"/>
                <w:color w:val="000000"/>
                <w:kern w:val="0"/>
                <w:szCs w:val="21"/>
              </w:rPr>
              <w:t>0.40</w:t>
            </w:r>
          </w:p>
        </w:tc>
        <w:tc>
          <w:tcPr>
            <w:tcW w:w="840" w:type="pct"/>
            <w:shd w:val="clear" w:color="auto" w:fill="auto"/>
            <w:vAlign w:val="center"/>
          </w:tcPr>
          <w:p w14:paraId="67796557">
            <w:pPr>
              <w:widowControl/>
              <w:jc w:val="center"/>
              <w:rPr>
                <w:rFonts w:eastAsiaTheme="minorEastAsia"/>
                <w:kern w:val="0"/>
                <w:szCs w:val="21"/>
              </w:rPr>
            </w:pPr>
            <w:r>
              <w:rPr>
                <w:rFonts w:eastAsiaTheme="minorEastAsia"/>
                <w:color w:val="000000"/>
                <w:kern w:val="0"/>
                <w:szCs w:val="21"/>
              </w:rPr>
              <w:t>0.45</w:t>
            </w:r>
          </w:p>
        </w:tc>
      </w:tr>
      <w:tr w14:paraId="5CD0C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1D78A3BD">
            <w:pPr>
              <w:widowControl/>
              <w:jc w:val="center"/>
              <w:rPr>
                <w:rFonts w:eastAsiaTheme="minorEastAsia"/>
                <w:kern w:val="0"/>
                <w:szCs w:val="21"/>
              </w:rPr>
            </w:pPr>
          </w:p>
        </w:tc>
        <w:tc>
          <w:tcPr>
            <w:tcW w:w="935" w:type="pct"/>
            <w:vMerge w:val="restart"/>
            <w:shd w:val="clear" w:color="auto" w:fill="auto"/>
            <w:vAlign w:val="center"/>
          </w:tcPr>
          <w:p w14:paraId="382E46F4">
            <w:pPr>
              <w:widowControl/>
              <w:jc w:val="center"/>
              <w:rPr>
                <w:rFonts w:eastAsiaTheme="minorEastAsia"/>
                <w:kern w:val="0"/>
                <w:szCs w:val="21"/>
              </w:rPr>
            </w:pPr>
            <w:r>
              <w:rPr>
                <w:rFonts w:eastAsiaTheme="minorEastAsia"/>
                <w:kern w:val="0"/>
                <w:szCs w:val="21"/>
              </w:rPr>
              <w:t>1mg/L</w:t>
            </w:r>
          </w:p>
        </w:tc>
        <w:tc>
          <w:tcPr>
            <w:tcW w:w="651" w:type="pct"/>
            <w:shd w:val="clear" w:color="auto" w:fill="auto"/>
            <w:vAlign w:val="center"/>
          </w:tcPr>
          <w:p w14:paraId="6264C871">
            <w:pPr>
              <w:widowControl/>
              <w:jc w:val="center"/>
              <w:rPr>
                <w:rFonts w:eastAsiaTheme="minorEastAsia"/>
                <w:kern w:val="0"/>
                <w:szCs w:val="21"/>
              </w:rPr>
            </w:pPr>
            <w:r>
              <w:rPr>
                <w:rFonts w:eastAsiaTheme="minorEastAsia"/>
                <w:kern w:val="0"/>
                <w:szCs w:val="21"/>
              </w:rPr>
              <w:t>标准指数</w:t>
            </w:r>
          </w:p>
        </w:tc>
        <w:tc>
          <w:tcPr>
            <w:tcW w:w="840" w:type="pct"/>
            <w:shd w:val="clear" w:color="auto" w:fill="auto"/>
            <w:vAlign w:val="center"/>
          </w:tcPr>
          <w:p w14:paraId="4F6A9408">
            <w:pPr>
              <w:widowControl/>
              <w:jc w:val="center"/>
              <w:rPr>
                <w:rFonts w:eastAsiaTheme="minorEastAsia"/>
                <w:kern w:val="0"/>
                <w:szCs w:val="21"/>
              </w:rPr>
            </w:pPr>
            <w:r>
              <w:rPr>
                <w:rFonts w:eastAsiaTheme="minorEastAsia"/>
                <w:color w:val="000000"/>
                <w:kern w:val="0"/>
                <w:szCs w:val="21"/>
              </w:rPr>
              <w:t>0.35</w:t>
            </w:r>
          </w:p>
        </w:tc>
        <w:tc>
          <w:tcPr>
            <w:tcW w:w="840" w:type="pct"/>
            <w:shd w:val="clear" w:color="auto" w:fill="auto"/>
            <w:vAlign w:val="center"/>
          </w:tcPr>
          <w:p w14:paraId="46BDCFD9">
            <w:pPr>
              <w:widowControl/>
              <w:jc w:val="center"/>
              <w:rPr>
                <w:rFonts w:eastAsiaTheme="minorEastAsia"/>
                <w:kern w:val="0"/>
                <w:szCs w:val="21"/>
              </w:rPr>
            </w:pPr>
            <w:r>
              <w:rPr>
                <w:rFonts w:eastAsiaTheme="minorEastAsia"/>
                <w:color w:val="000000"/>
                <w:kern w:val="0"/>
                <w:szCs w:val="21"/>
              </w:rPr>
              <w:t>0.40</w:t>
            </w:r>
          </w:p>
        </w:tc>
        <w:tc>
          <w:tcPr>
            <w:tcW w:w="840" w:type="pct"/>
            <w:shd w:val="clear" w:color="auto" w:fill="auto"/>
            <w:vAlign w:val="center"/>
          </w:tcPr>
          <w:p w14:paraId="7ADB829B">
            <w:pPr>
              <w:widowControl/>
              <w:jc w:val="center"/>
              <w:rPr>
                <w:rFonts w:eastAsiaTheme="minorEastAsia"/>
                <w:kern w:val="0"/>
                <w:szCs w:val="21"/>
              </w:rPr>
            </w:pPr>
            <w:r>
              <w:rPr>
                <w:rFonts w:eastAsiaTheme="minorEastAsia"/>
                <w:color w:val="000000"/>
                <w:kern w:val="0"/>
                <w:szCs w:val="21"/>
              </w:rPr>
              <w:t>0.45</w:t>
            </w:r>
          </w:p>
        </w:tc>
      </w:tr>
      <w:tr w14:paraId="6F273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50215B13">
            <w:pPr>
              <w:widowControl/>
              <w:jc w:val="center"/>
              <w:rPr>
                <w:rFonts w:eastAsiaTheme="minorEastAsia"/>
                <w:kern w:val="0"/>
                <w:szCs w:val="21"/>
              </w:rPr>
            </w:pPr>
          </w:p>
        </w:tc>
        <w:tc>
          <w:tcPr>
            <w:tcW w:w="935" w:type="pct"/>
            <w:vMerge w:val="continue"/>
            <w:vAlign w:val="center"/>
          </w:tcPr>
          <w:p w14:paraId="2AAFC0D8">
            <w:pPr>
              <w:widowControl/>
              <w:jc w:val="center"/>
              <w:rPr>
                <w:rFonts w:eastAsiaTheme="minorEastAsia"/>
                <w:kern w:val="0"/>
                <w:szCs w:val="21"/>
              </w:rPr>
            </w:pPr>
          </w:p>
        </w:tc>
        <w:tc>
          <w:tcPr>
            <w:tcW w:w="651" w:type="pct"/>
            <w:shd w:val="clear" w:color="auto" w:fill="auto"/>
            <w:vAlign w:val="center"/>
          </w:tcPr>
          <w:p w14:paraId="3385E940">
            <w:pPr>
              <w:widowControl/>
              <w:jc w:val="center"/>
              <w:rPr>
                <w:rFonts w:eastAsiaTheme="minorEastAsia"/>
                <w:kern w:val="0"/>
                <w:szCs w:val="21"/>
              </w:rPr>
            </w:pPr>
            <w:r>
              <w:rPr>
                <w:rFonts w:eastAsiaTheme="minorEastAsia"/>
                <w:kern w:val="0"/>
                <w:szCs w:val="21"/>
              </w:rPr>
              <w:t>评价结果</w:t>
            </w:r>
          </w:p>
        </w:tc>
        <w:tc>
          <w:tcPr>
            <w:tcW w:w="840" w:type="pct"/>
            <w:shd w:val="clear" w:color="auto" w:fill="auto"/>
            <w:vAlign w:val="center"/>
          </w:tcPr>
          <w:p w14:paraId="3351FA5E">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6AFEB1E0">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47FAD463">
            <w:pPr>
              <w:widowControl/>
              <w:jc w:val="center"/>
              <w:rPr>
                <w:rFonts w:eastAsiaTheme="minorEastAsia"/>
                <w:kern w:val="0"/>
                <w:szCs w:val="21"/>
              </w:rPr>
            </w:pPr>
            <w:r>
              <w:rPr>
                <w:rFonts w:eastAsiaTheme="minorEastAsia"/>
                <w:color w:val="000000"/>
                <w:kern w:val="0"/>
                <w:szCs w:val="21"/>
              </w:rPr>
              <w:t>达标</w:t>
            </w:r>
          </w:p>
        </w:tc>
      </w:tr>
      <w:tr w14:paraId="5977A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restart"/>
            <w:shd w:val="clear" w:color="auto" w:fill="auto"/>
            <w:vAlign w:val="center"/>
          </w:tcPr>
          <w:p w14:paraId="4DAF02F4">
            <w:pPr>
              <w:widowControl/>
              <w:jc w:val="center"/>
              <w:rPr>
                <w:rFonts w:eastAsiaTheme="minorEastAsia"/>
                <w:kern w:val="0"/>
                <w:szCs w:val="21"/>
              </w:rPr>
            </w:pPr>
            <w:r>
              <w:rPr>
                <w:rFonts w:eastAsiaTheme="minorEastAsia"/>
                <w:kern w:val="0"/>
                <w:szCs w:val="21"/>
              </w:rPr>
              <w:t>碘化物</w:t>
            </w:r>
          </w:p>
        </w:tc>
        <w:tc>
          <w:tcPr>
            <w:tcW w:w="935" w:type="pct"/>
            <w:shd w:val="clear" w:color="auto" w:fill="auto"/>
            <w:vAlign w:val="center"/>
          </w:tcPr>
          <w:p w14:paraId="4E11375C">
            <w:pPr>
              <w:widowControl/>
              <w:jc w:val="center"/>
              <w:rPr>
                <w:rFonts w:eastAsiaTheme="minorEastAsia"/>
                <w:kern w:val="0"/>
                <w:szCs w:val="21"/>
              </w:rPr>
            </w:pPr>
            <w:r>
              <w:rPr>
                <w:rFonts w:eastAsiaTheme="minorEastAsia"/>
                <w:kern w:val="0"/>
                <w:szCs w:val="21"/>
              </w:rPr>
              <w:t>标准值</w:t>
            </w:r>
          </w:p>
        </w:tc>
        <w:tc>
          <w:tcPr>
            <w:tcW w:w="651" w:type="pct"/>
            <w:shd w:val="clear" w:color="auto" w:fill="auto"/>
            <w:vAlign w:val="center"/>
          </w:tcPr>
          <w:p w14:paraId="0585B3C5">
            <w:pPr>
              <w:widowControl/>
              <w:jc w:val="center"/>
              <w:rPr>
                <w:rFonts w:eastAsiaTheme="minorEastAsia"/>
                <w:kern w:val="0"/>
                <w:szCs w:val="21"/>
              </w:rPr>
            </w:pPr>
            <w:r>
              <w:rPr>
                <w:rFonts w:eastAsiaTheme="minorEastAsia"/>
                <w:kern w:val="0"/>
                <w:szCs w:val="21"/>
              </w:rPr>
              <w:t>监测值</w:t>
            </w:r>
          </w:p>
        </w:tc>
        <w:tc>
          <w:tcPr>
            <w:tcW w:w="840" w:type="pct"/>
            <w:shd w:val="clear" w:color="auto" w:fill="auto"/>
            <w:vAlign w:val="center"/>
          </w:tcPr>
          <w:p w14:paraId="754E3CE4">
            <w:pPr>
              <w:widowControl/>
              <w:jc w:val="center"/>
              <w:rPr>
                <w:rFonts w:eastAsiaTheme="minorEastAsia"/>
                <w:kern w:val="0"/>
                <w:szCs w:val="21"/>
              </w:rPr>
            </w:pPr>
            <w:r>
              <w:rPr>
                <w:rFonts w:eastAsiaTheme="minorEastAsia"/>
                <w:color w:val="000000"/>
                <w:kern w:val="0"/>
                <w:szCs w:val="21"/>
              </w:rPr>
              <w:t>0.025L</w:t>
            </w:r>
          </w:p>
        </w:tc>
        <w:tc>
          <w:tcPr>
            <w:tcW w:w="840" w:type="pct"/>
            <w:shd w:val="clear" w:color="auto" w:fill="auto"/>
            <w:vAlign w:val="center"/>
          </w:tcPr>
          <w:p w14:paraId="5582FD19">
            <w:pPr>
              <w:widowControl/>
              <w:jc w:val="center"/>
              <w:rPr>
                <w:rFonts w:eastAsiaTheme="minorEastAsia"/>
                <w:kern w:val="0"/>
                <w:szCs w:val="21"/>
              </w:rPr>
            </w:pPr>
            <w:r>
              <w:rPr>
                <w:rFonts w:eastAsiaTheme="minorEastAsia"/>
                <w:color w:val="000000"/>
                <w:kern w:val="0"/>
                <w:szCs w:val="21"/>
              </w:rPr>
              <w:t>0.025L</w:t>
            </w:r>
          </w:p>
        </w:tc>
        <w:tc>
          <w:tcPr>
            <w:tcW w:w="840" w:type="pct"/>
            <w:shd w:val="clear" w:color="auto" w:fill="auto"/>
            <w:vAlign w:val="center"/>
          </w:tcPr>
          <w:p w14:paraId="1D34951B">
            <w:pPr>
              <w:widowControl/>
              <w:jc w:val="center"/>
              <w:rPr>
                <w:rFonts w:eastAsiaTheme="minorEastAsia"/>
                <w:kern w:val="0"/>
                <w:szCs w:val="21"/>
              </w:rPr>
            </w:pPr>
            <w:r>
              <w:rPr>
                <w:rFonts w:eastAsiaTheme="minorEastAsia"/>
                <w:color w:val="000000"/>
                <w:kern w:val="0"/>
                <w:szCs w:val="21"/>
              </w:rPr>
              <w:t>0.025L</w:t>
            </w:r>
          </w:p>
        </w:tc>
      </w:tr>
      <w:tr w14:paraId="39F89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5F88591E">
            <w:pPr>
              <w:widowControl/>
              <w:jc w:val="center"/>
              <w:rPr>
                <w:rFonts w:eastAsiaTheme="minorEastAsia"/>
                <w:kern w:val="0"/>
                <w:szCs w:val="21"/>
              </w:rPr>
            </w:pPr>
          </w:p>
        </w:tc>
        <w:tc>
          <w:tcPr>
            <w:tcW w:w="935" w:type="pct"/>
            <w:vMerge w:val="restart"/>
            <w:shd w:val="clear" w:color="auto" w:fill="auto"/>
            <w:vAlign w:val="center"/>
          </w:tcPr>
          <w:p w14:paraId="0CCFB2D6">
            <w:pPr>
              <w:widowControl/>
              <w:jc w:val="center"/>
              <w:rPr>
                <w:rFonts w:eastAsiaTheme="minorEastAsia"/>
                <w:kern w:val="0"/>
                <w:szCs w:val="21"/>
              </w:rPr>
            </w:pPr>
            <w:r>
              <w:rPr>
                <w:rFonts w:eastAsiaTheme="minorEastAsia"/>
                <w:kern w:val="0"/>
                <w:szCs w:val="21"/>
              </w:rPr>
              <w:t>0.08mg/L</w:t>
            </w:r>
          </w:p>
        </w:tc>
        <w:tc>
          <w:tcPr>
            <w:tcW w:w="651" w:type="pct"/>
            <w:shd w:val="clear" w:color="auto" w:fill="auto"/>
            <w:vAlign w:val="center"/>
          </w:tcPr>
          <w:p w14:paraId="170C748A">
            <w:pPr>
              <w:widowControl/>
              <w:jc w:val="center"/>
              <w:rPr>
                <w:rFonts w:eastAsiaTheme="minorEastAsia"/>
                <w:kern w:val="0"/>
                <w:szCs w:val="21"/>
              </w:rPr>
            </w:pPr>
            <w:r>
              <w:rPr>
                <w:rFonts w:eastAsiaTheme="minorEastAsia"/>
                <w:kern w:val="0"/>
                <w:szCs w:val="21"/>
              </w:rPr>
              <w:t>标准指数</w:t>
            </w:r>
          </w:p>
        </w:tc>
        <w:tc>
          <w:tcPr>
            <w:tcW w:w="840" w:type="pct"/>
            <w:shd w:val="clear" w:color="auto" w:fill="auto"/>
            <w:vAlign w:val="center"/>
          </w:tcPr>
          <w:p w14:paraId="53DF9FD5">
            <w:pPr>
              <w:widowControl/>
              <w:jc w:val="center"/>
              <w:rPr>
                <w:rFonts w:eastAsiaTheme="minorEastAsia"/>
                <w:kern w:val="0"/>
                <w:szCs w:val="21"/>
              </w:rPr>
            </w:pPr>
            <w:r>
              <w:rPr>
                <w:rFonts w:eastAsiaTheme="minorEastAsia"/>
                <w:color w:val="000000"/>
                <w:kern w:val="0"/>
                <w:szCs w:val="21"/>
              </w:rPr>
              <w:t>—</w:t>
            </w:r>
          </w:p>
        </w:tc>
        <w:tc>
          <w:tcPr>
            <w:tcW w:w="840" w:type="pct"/>
            <w:shd w:val="clear" w:color="auto" w:fill="auto"/>
            <w:vAlign w:val="center"/>
          </w:tcPr>
          <w:p w14:paraId="45039614">
            <w:pPr>
              <w:widowControl/>
              <w:jc w:val="center"/>
              <w:rPr>
                <w:rFonts w:eastAsiaTheme="minorEastAsia"/>
                <w:kern w:val="0"/>
                <w:szCs w:val="21"/>
              </w:rPr>
            </w:pPr>
            <w:r>
              <w:rPr>
                <w:rFonts w:eastAsiaTheme="minorEastAsia"/>
                <w:color w:val="000000"/>
                <w:kern w:val="0"/>
                <w:szCs w:val="21"/>
              </w:rPr>
              <w:t>—</w:t>
            </w:r>
          </w:p>
        </w:tc>
        <w:tc>
          <w:tcPr>
            <w:tcW w:w="840" w:type="pct"/>
            <w:shd w:val="clear" w:color="auto" w:fill="auto"/>
            <w:vAlign w:val="center"/>
          </w:tcPr>
          <w:p w14:paraId="35A16617">
            <w:pPr>
              <w:widowControl/>
              <w:jc w:val="center"/>
              <w:rPr>
                <w:rFonts w:eastAsiaTheme="minorEastAsia"/>
                <w:kern w:val="0"/>
                <w:szCs w:val="21"/>
              </w:rPr>
            </w:pPr>
            <w:r>
              <w:rPr>
                <w:rFonts w:eastAsiaTheme="minorEastAsia"/>
                <w:color w:val="000000"/>
                <w:kern w:val="0"/>
                <w:szCs w:val="21"/>
              </w:rPr>
              <w:t>—</w:t>
            </w:r>
          </w:p>
        </w:tc>
      </w:tr>
      <w:tr w14:paraId="1072B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1140AFAF">
            <w:pPr>
              <w:widowControl/>
              <w:jc w:val="center"/>
              <w:rPr>
                <w:rFonts w:eastAsiaTheme="minorEastAsia"/>
                <w:kern w:val="0"/>
                <w:szCs w:val="21"/>
              </w:rPr>
            </w:pPr>
          </w:p>
        </w:tc>
        <w:tc>
          <w:tcPr>
            <w:tcW w:w="935" w:type="pct"/>
            <w:vMerge w:val="continue"/>
            <w:vAlign w:val="center"/>
          </w:tcPr>
          <w:p w14:paraId="79A08A89">
            <w:pPr>
              <w:widowControl/>
              <w:jc w:val="center"/>
              <w:rPr>
                <w:rFonts w:eastAsiaTheme="minorEastAsia"/>
                <w:kern w:val="0"/>
                <w:szCs w:val="21"/>
              </w:rPr>
            </w:pPr>
          </w:p>
        </w:tc>
        <w:tc>
          <w:tcPr>
            <w:tcW w:w="651" w:type="pct"/>
            <w:shd w:val="clear" w:color="auto" w:fill="auto"/>
            <w:vAlign w:val="center"/>
          </w:tcPr>
          <w:p w14:paraId="1EEFB24B">
            <w:pPr>
              <w:widowControl/>
              <w:jc w:val="center"/>
              <w:rPr>
                <w:rFonts w:eastAsiaTheme="minorEastAsia"/>
                <w:kern w:val="0"/>
                <w:szCs w:val="21"/>
              </w:rPr>
            </w:pPr>
            <w:r>
              <w:rPr>
                <w:rFonts w:eastAsiaTheme="minorEastAsia"/>
                <w:kern w:val="0"/>
                <w:szCs w:val="21"/>
              </w:rPr>
              <w:t>评价结果</w:t>
            </w:r>
          </w:p>
        </w:tc>
        <w:tc>
          <w:tcPr>
            <w:tcW w:w="840" w:type="pct"/>
            <w:shd w:val="clear" w:color="auto" w:fill="auto"/>
            <w:vAlign w:val="center"/>
          </w:tcPr>
          <w:p w14:paraId="6C9798EC">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0ED27FFC">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3C84AFE7">
            <w:pPr>
              <w:widowControl/>
              <w:jc w:val="center"/>
              <w:rPr>
                <w:rFonts w:eastAsiaTheme="minorEastAsia"/>
                <w:kern w:val="0"/>
                <w:szCs w:val="21"/>
              </w:rPr>
            </w:pPr>
            <w:r>
              <w:rPr>
                <w:rFonts w:eastAsiaTheme="minorEastAsia"/>
                <w:color w:val="000000"/>
                <w:kern w:val="0"/>
                <w:szCs w:val="21"/>
              </w:rPr>
              <w:t>达标</w:t>
            </w:r>
          </w:p>
        </w:tc>
      </w:tr>
      <w:tr w14:paraId="04CE2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restart"/>
            <w:shd w:val="clear" w:color="auto" w:fill="auto"/>
            <w:vAlign w:val="center"/>
          </w:tcPr>
          <w:p w14:paraId="1B1668ED">
            <w:pPr>
              <w:widowControl/>
              <w:jc w:val="center"/>
              <w:rPr>
                <w:rFonts w:eastAsiaTheme="minorEastAsia"/>
                <w:kern w:val="0"/>
                <w:szCs w:val="21"/>
              </w:rPr>
            </w:pPr>
            <w:r>
              <w:rPr>
                <w:rFonts w:eastAsiaTheme="minorEastAsia"/>
                <w:kern w:val="0"/>
                <w:szCs w:val="21"/>
              </w:rPr>
              <w:t>砷</w:t>
            </w:r>
          </w:p>
        </w:tc>
        <w:tc>
          <w:tcPr>
            <w:tcW w:w="935" w:type="pct"/>
            <w:shd w:val="clear" w:color="auto" w:fill="auto"/>
            <w:vAlign w:val="center"/>
          </w:tcPr>
          <w:p w14:paraId="45C41F58">
            <w:pPr>
              <w:widowControl/>
              <w:jc w:val="center"/>
              <w:rPr>
                <w:rFonts w:eastAsiaTheme="minorEastAsia"/>
                <w:kern w:val="0"/>
                <w:szCs w:val="21"/>
              </w:rPr>
            </w:pPr>
            <w:r>
              <w:rPr>
                <w:rFonts w:eastAsiaTheme="minorEastAsia"/>
                <w:kern w:val="0"/>
                <w:szCs w:val="21"/>
              </w:rPr>
              <w:t>标准值</w:t>
            </w:r>
          </w:p>
        </w:tc>
        <w:tc>
          <w:tcPr>
            <w:tcW w:w="651" w:type="pct"/>
            <w:shd w:val="clear" w:color="auto" w:fill="auto"/>
            <w:vAlign w:val="center"/>
          </w:tcPr>
          <w:p w14:paraId="0FF3453E">
            <w:pPr>
              <w:widowControl/>
              <w:jc w:val="center"/>
              <w:rPr>
                <w:rFonts w:eastAsiaTheme="minorEastAsia"/>
                <w:kern w:val="0"/>
                <w:szCs w:val="21"/>
              </w:rPr>
            </w:pPr>
            <w:r>
              <w:rPr>
                <w:rFonts w:eastAsiaTheme="minorEastAsia"/>
                <w:kern w:val="0"/>
                <w:szCs w:val="21"/>
              </w:rPr>
              <w:t>监测值</w:t>
            </w:r>
          </w:p>
        </w:tc>
        <w:tc>
          <w:tcPr>
            <w:tcW w:w="840" w:type="pct"/>
            <w:shd w:val="clear" w:color="auto" w:fill="auto"/>
            <w:vAlign w:val="center"/>
          </w:tcPr>
          <w:p w14:paraId="02B41FF0">
            <w:pPr>
              <w:widowControl/>
              <w:jc w:val="center"/>
              <w:rPr>
                <w:rFonts w:eastAsiaTheme="minorEastAsia"/>
                <w:kern w:val="0"/>
                <w:szCs w:val="21"/>
              </w:rPr>
            </w:pPr>
            <w:r>
              <w:rPr>
                <w:rFonts w:eastAsiaTheme="minorEastAsia"/>
                <w:color w:val="000000"/>
                <w:kern w:val="0"/>
                <w:szCs w:val="21"/>
              </w:rPr>
              <w:t>0.3Lμg/L</w:t>
            </w:r>
          </w:p>
        </w:tc>
        <w:tc>
          <w:tcPr>
            <w:tcW w:w="840" w:type="pct"/>
            <w:shd w:val="clear" w:color="auto" w:fill="auto"/>
            <w:vAlign w:val="center"/>
          </w:tcPr>
          <w:p w14:paraId="5339E771">
            <w:pPr>
              <w:widowControl/>
              <w:jc w:val="center"/>
              <w:rPr>
                <w:rFonts w:eastAsiaTheme="minorEastAsia"/>
                <w:kern w:val="0"/>
                <w:szCs w:val="21"/>
              </w:rPr>
            </w:pPr>
            <w:r>
              <w:rPr>
                <w:rFonts w:eastAsiaTheme="minorEastAsia"/>
                <w:color w:val="000000"/>
                <w:kern w:val="0"/>
                <w:szCs w:val="21"/>
              </w:rPr>
              <w:t>0.3Lμg/L</w:t>
            </w:r>
          </w:p>
        </w:tc>
        <w:tc>
          <w:tcPr>
            <w:tcW w:w="840" w:type="pct"/>
            <w:shd w:val="clear" w:color="auto" w:fill="auto"/>
            <w:vAlign w:val="center"/>
          </w:tcPr>
          <w:p w14:paraId="6F70CF2A">
            <w:pPr>
              <w:widowControl/>
              <w:jc w:val="center"/>
              <w:rPr>
                <w:rFonts w:eastAsiaTheme="minorEastAsia"/>
                <w:kern w:val="0"/>
                <w:szCs w:val="21"/>
              </w:rPr>
            </w:pPr>
            <w:r>
              <w:rPr>
                <w:rFonts w:eastAsiaTheme="minorEastAsia"/>
                <w:color w:val="000000"/>
                <w:kern w:val="0"/>
                <w:szCs w:val="21"/>
              </w:rPr>
              <w:t>0.3Lμg/L</w:t>
            </w:r>
          </w:p>
        </w:tc>
      </w:tr>
      <w:tr w14:paraId="765A6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73CCC529">
            <w:pPr>
              <w:widowControl/>
              <w:jc w:val="center"/>
              <w:rPr>
                <w:rFonts w:eastAsiaTheme="minorEastAsia"/>
                <w:kern w:val="0"/>
                <w:szCs w:val="21"/>
              </w:rPr>
            </w:pPr>
          </w:p>
        </w:tc>
        <w:tc>
          <w:tcPr>
            <w:tcW w:w="935" w:type="pct"/>
            <w:vMerge w:val="restart"/>
            <w:shd w:val="clear" w:color="auto" w:fill="auto"/>
            <w:vAlign w:val="center"/>
          </w:tcPr>
          <w:p w14:paraId="11B4BA4C">
            <w:pPr>
              <w:widowControl/>
              <w:jc w:val="center"/>
              <w:rPr>
                <w:rFonts w:eastAsiaTheme="minorEastAsia"/>
                <w:kern w:val="0"/>
                <w:szCs w:val="21"/>
              </w:rPr>
            </w:pPr>
            <w:r>
              <w:rPr>
                <w:rFonts w:eastAsiaTheme="minorEastAsia"/>
                <w:kern w:val="0"/>
                <w:szCs w:val="21"/>
              </w:rPr>
              <w:t>0.01mg/L</w:t>
            </w:r>
          </w:p>
        </w:tc>
        <w:tc>
          <w:tcPr>
            <w:tcW w:w="651" w:type="pct"/>
            <w:shd w:val="clear" w:color="auto" w:fill="auto"/>
            <w:vAlign w:val="center"/>
          </w:tcPr>
          <w:p w14:paraId="5D5BA796">
            <w:pPr>
              <w:widowControl/>
              <w:jc w:val="center"/>
              <w:rPr>
                <w:rFonts w:eastAsiaTheme="minorEastAsia"/>
                <w:kern w:val="0"/>
                <w:szCs w:val="21"/>
              </w:rPr>
            </w:pPr>
            <w:r>
              <w:rPr>
                <w:rFonts w:eastAsiaTheme="minorEastAsia"/>
                <w:kern w:val="0"/>
                <w:szCs w:val="21"/>
              </w:rPr>
              <w:t>标准指数</w:t>
            </w:r>
          </w:p>
        </w:tc>
        <w:tc>
          <w:tcPr>
            <w:tcW w:w="840" w:type="pct"/>
            <w:shd w:val="clear" w:color="auto" w:fill="auto"/>
            <w:vAlign w:val="center"/>
          </w:tcPr>
          <w:p w14:paraId="20390541">
            <w:pPr>
              <w:widowControl/>
              <w:jc w:val="center"/>
              <w:rPr>
                <w:rFonts w:eastAsiaTheme="minorEastAsia"/>
                <w:kern w:val="0"/>
                <w:szCs w:val="21"/>
              </w:rPr>
            </w:pPr>
            <w:r>
              <w:rPr>
                <w:rFonts w:eastAsiaTheme="minorEastAsia"/>
                <w:color w:val="000000"/>
                <w:kern w:val="0"/>
                <w:szCs w:val="21"/>
              </w:rPr>
              <w:t>—</w:t>
            </w:r>
          </w:p>
        </w:tc>
        <w:tc>
          <w:tcPr>
            <w:tcW w:w="840" w:type="pct"/>
            <w:shd w:val="clear" w:color="auto" w:fill="auto"/>
            <w:vAlign w:val="center"/>
          </w:tcPr>
          <w:p w14:paraId="468B4755">
            <w:pPr>
              <w:widowControl/>
              <w:jc w:val="center"/>
              <w:rPr>
                <w:rFonts w:eastAsiaTheme="minorEastAsia"/>
                <w:kern w:val="0"/>
                <w:szCs w:val="21"/>
              </w:rPr>
            </w:pPr>
            <w:r>
              <w:rPr>
                <w:rFonts w:eastAsiaTheme="minorEastAsia"/>
                <w:color w:val="000000"/>
                <w:kern w:val="0"/>
                <w:szCs w:val="21"/>
              </w:rPr>
              <w:t>—</w:t>
            </w:r>
          </w:p>
        </w:tc>
        <w:tc>
          <w:tcPr>
            <w:tcW w:w="840" w:type="pct"/>
            <w:shd w:val="clear" w:color="auto" w:fill="auto"/>
            <w:vAlign w:val="center"/>
          </w:tcPr>
          <w:p w14:paraId="683C74F9">
            <w:pPr>
              <w:widowControl/>
              <w:jc w:val="center"/>
              <w:rPr>
                <w:rFonts w:eastAsiaTheme="minorEastAsia"/>
                <w:kern w:val="0"/>
                <w:szCs w:val="21"/>
              </w:rPr>
            </w:pPr>
            <w:r>
              <w:rPr>
                <w:rFonts w:eastAsiaTheme="minorEastAsia"/>
                <w:color w:val="000000"/>
                <w:kern w:val="0"/>
                <w:szCs w:val="21"/>
              </w:rPr>
              <w:t>—</w:t>
            </w:r>
          </w:p>
        </w:tc>
      </w:tr>
      <w:tr w14:paraId="746B2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05F76875">
            <w:pPr>
              <w:widowControl/>
              <w:jc w:val="center"/>
              <w:rPr>
                <w:rFonts w:eastAsiaTheme="minorEastAsia"/>
                <w:kern w:val="0"/>
                <w:szCs w:val="21"/>
              </w:rPr>
            </w:pPr>
          </w:p>
        </w:tc>
        <w:tc>
          <w:tcPr>
            <w:tcW w:w="935" w:type="pct"/>
            <w:vMerge w:val="continue"/>
            <w:vAlign w:val="center"/>
          </w:tcPr>
          <w:p w14:paraId="7F6F1390">
            <w:pPr>
              <w:widowControl/>
              <w:jc w:val="center"/>
              <w:rPr>
                <w:rFonts w:eastAsiaTheme="minorEastAsia"/>
                <w:kern w:val="0"/>
                <w:szCs w:val="21"/>
              </w:rPr>
            </w:pPr>
          </w:p>
        </w:tc>
        <w:tc>
          <w:tcPr>
            <w:tcW w:w="651" w:type="pct"/>
            <w:shd w:val="clear" w:color="auto" w:fill="auto"/>
            <w:vAlign w:val="center"/>
          </w:tcPr>
          <w:p w14:paraId="634E6AF4">
            <w:pPr>
              <w:widowControl/>
              <w:jc w:val="center"/>
              <w:rPr>
                <w:rFonts w:eastAsiaTheme="minorEastAsia"/>
                <w:kern w:val="0"/>
                <w:szCs w:val="21"/>
              </w:rPr>
            </w:pPr>
            <w:r>
              <w:rPr>
                <w:rFonts w:eastAsiaTheme="minorEastAsia"/>
                <w:kern w:val="0"/>
                <w:szCs w:val="21"/>
              </w:rPr>
              <w:t>评价结果</w:t>
            </w:r>
          </w:p>
        </w:tc>
        <w:tc>
          <w:tcPr>
            <w:tcW w:w="840" w:type="pct"/>
            <w:shd w:val="clear" w:color="auto" w:fill="auto"/>
            <w:vAlign w:val="center"/>
          </w:tcPr>
          <w:p w14:paraId="526A055B">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485C516B">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18AC5C27">
            <w:pPr>
              <w:widowControl/>
              <w:jc w:val="center"/>
              <w:rPr>
                <w:rFonts w:eastAsiaTheme="minorEastAsia"/>
                <w:kern w:val="0"/>
                <w:szCs w:val="21"/>
              </w:rPr>
            </w:pPr>
            <w:r>
              <w:rPr>
                <w:rFonts w:eastAsiaTheme="minorEastAsia"/>
                <w:color w:val="000000"/>
                <w:kern w:val="0"/>
                <w:szCs w:val="21"/>
              </w:rPr>
              <w:t>达标</w:t>
            </w:r>
          </w:p>
        </w:tc>
      </w:tr>
      <w:tr w14:paraId="5A7EF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restart"/>
            <w:shd w:val="clear" w:color="auto" w:fill="auto"/>
            <w:vAlign w:val="center"/>
          </w:tcPr>
          <w:p w14:paraId="4E4EFBD0">
            <w:pPr>
              <w:widowControl/>
              <w:jc w:val="center"/>
              <w:rPr>
                <w:rFonts w:eastAsiaTheme="minorEastAsia"/>
                <w:kern w:val="0"/>
                <w:szCs w:val="21"/>
              </w:rPr>
            </w:pPr>
            <w:r>
              <w:rPr>
                <w:rFonts w:eastAsiaTheme="minorEastAsia"/>
                <w:kern w:val="0"/>
                <w:szCs w:val="21"/>
              </w:rPr>
              <w:t>汞</w:t>
            </w:r>
          </w:p>
        </w:tc>
        <w:tc>
          <w:tcPr>
            <w:tcW w:w="935" w:type="pct"/>
            <w:shd w:val="clear" w:color="auto" w:fill="auto"/>
            <w:vAlign w:val="center"/>
          </w:tcPr>
          <w:p w14:paraId="471F43B0">
            <w:pPr>
              <w:widowControl/>
              <w:jc w:val="center"/>
              <w:rPr>
                <w:rFonts w:eastAsiaTheme="minorEastAsia"/>
                <w:kern w:val="0"/>
                <w:szCs w:val="21"/>
              </w:rPr>
            </w:pPr>
            <w:r>
              <w:rPr>
                <w:rFonts w:eastAsiaTheme="minorEastAsia"/>
                <w:kern w:val="0"/>
                <w:szCs w:val="21"/>
              </w:rPr>
              <w:t>标准值</w:t>
            </w:r>
          </w:p>
        </w:tc>
        <w:tc>
          <w:tcPr>
            <w:tcW w:w="651" w:type="pct"/>
            <w:shd w:val="clear" w:color="auto" w:fill="auto"/>
            <w:vAlign w:val="center"/>
          </w:tcPr>
          <w:p w14:paraId="15748AB6">
            <w:pPr>
              <w:widowControl/>
              <w:jc w:val="center"/>
              <w:rPr>
                <w:rFonts w:eastAsiaTheme="minorEastAsia"/>
                <w:kern w:val="0"/>
                <w:szCs w:val="21"/>
              </w:rPr>
            </w:pPr>
            <w:r>
              <w:rPr>
                <w:rFonts w:eastAsiaTheme="minorEastAsia"/>
                <w:kern w:val="0"/>
                <w:szCs w:val="21"/>
              </w:rPr>
              <w:t>监测值</w:t>
            </w:r>
          </w:p>
        </w:tc>
        <w:tc>
          <w:tcPr>
            <w:tcW w:w="840" w:type="pct"/>
            <w:shd w:val="clear" w:color="auto" w:fill="auto"/>
            <w:vAlign w:val="center"/>
          </w:tcPr>
          <w:p w14:paraId="32FA1E71">
            <w:pPr>
              <w:widowControl/>
              <w:jc w:val="center"/>
              <w:rPr>
                <w:rFonts w:eastAsiaTheme="minorEastAsia"/>
                <w:kern w:val="0"/>
                <w:szCs w:val="21"/>
              </w:rPr>
            </w:pPr>
            <w:r>
              <w:rPr>
                <w:rFonts w:eastAsiaTheme="minorEastAsia"/>
                <w:color w:val="000000"/>
                <w:kern w:val="0"/>
                <w:szCs w:val="21"/>
              </w:rPr>
              <w:t>0.04Lμg/L</w:t>
            </w:r>
          </w:p>
        </w:tc>
        <w:tc>
          <w:tcPr>
            <w:tcW w:w="840" w:type="pct"/>
            <w:shd w:val="clear" w:color="auto" w:fill="auto"/>
            <w:vAlign w:val="center"/>
          </w:tcPr>
          <w:p w14:paraId="406EA2FA">
            <w:pPr>
              <w:widowControl/>
              <w:jc w:val="center"/>
              <w:rPr>
                <w:rFonts w:eastAsiaTheme="minorEastAsia"/>
                <w:kern w:val="0"/>
                <w:szCs w:val="21"/>
              </w:rPr>
            </w:pPr>
            <w:r>
              <w:rPr>
                <w:rFonts w:eastAsiaTheme="minorEastAsia"/>
                <w:color w:val="000000"/>
                <w:kern w:val="0"/>
                <w:szCs w:val="21"/>
              </w:rPr>
              <w:t>0.04Lμg/L</w:t>
            </w:r>
          </w:p>
        </w:tc>
        <w:tc>
          <w:tcPr>
            <w:tcW w:w="840" w:type="pct"/>
            <w:shd w:val="clear" w:color="auto" w:fill="auto"/>
            <w:vAlign w:val="center"/>
          </w:tcPr>
          <w:p w14:paraId="6F6F270F">
            <w:pPr>
              <w:widowControl/>
              <w:jc w:val="center"/>
              <w:rPr>
                <w:rFonts w:eastAsiaTheme="minorEastAsia"/>
                <w:kern w:val="0"/>
                <w:szCs w:val="21"/>
              </w:rPr>
            </w:pPr>
            <w:r>
              <w:rPr>
                <w:rFonts w:eastAsiaTheme="minorEastAsia"/>
                <w:color w:val="000000"/>
                <w:kern w:val="0"/>
                <w:szCs w:val="21"/>
              </w:rPr>
              <w:t>0.04Lμg/L</w:t>
            </w:r>
          </w:p>
        </w:tc>
      </w:tr>
      <w:tr w14:paraId="112B5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53AECEE9">
            <w:pPr>
              <w:widowControl/>
              <w:jc w:val="center"/>
              <w:rPr>
                <w:rFonts w:eastAsiaTheme="minorEastAsia"/>
                <w:kern w:val="0"/>
                <w:szCs w:val="21"/>
              </w:rPr>
            </w:pPr>
          </w:p>
        </w:tc>
        <w:tc>
          <w:tcPr>
            <w:tcW w:w="935" w:type="pct"/>
            <w:vMerge w:val="restart"/>
            <w:shd w:val="clear" w:color="auto" w:fill="auto"/>
            <w:vAlign w:val="center"/>
          </w:tcPr>
          <w:p w14:paraId="744493BD">
            <w:pPr>
              <w:widowControl/>
              <w:jc w:val="center"/>
              <w:rPr>
                <w:rFonts w:eastAsiaTheme="minorEastAsia"/>
                <w:kern w:val="0"/>
                <w:szCs w:val="21"/>
              </w:rPr>
            </w:pPr>
            <w:r>
              <w:rPr>
                <w:rFonts w:eastAsiaTheme="minorEastAsia"/>
                <w:kern w:val="0"/>
                <w:szCs w:val="21"/>
              </w:rPr>
              <w:t>0.001mg/L</w:t>
            </w:r>
          </w:p>
        </w:tc>
        <w:tc>
          <w:tcPr>
            <w:tcW w:w="651" w:type="pct"/>
            <w:shd w:val="clear" w:color="auto" w:fill="auto"/>
            <w:vAlign w:val="center"/>
          </w:tcPr>
          <w:p w14:paraId="05E4A45D">
            <w:pPr>
              <w:widowControl/>
              <w:jc w:val="center"/>
              <w:rPr>
                <w:rFonts w:eastAsiaTheme="minorEastAsia"/>
                <w:kern w:val="0"/>
                <w:szCs w:val="21"/>
              </w:rPr>
            </w:pPr>
            <w:r>
              <w:rPr>
                <w:rFonts w:eastAsiaTheme="minorEastAsia"/>
                <w:kern w:val="0"/>
                <w:szCs w:val="21"/>
              </w:rPr>
              <w:t>标准指数</w:t>
            </w:r>
          </w:p>
        </w:tc>
        <w:tc>
          <w:tcPr>
            <w:tcW w:w="840" w:type="pct"/>
            <w:shd w:val="clear" w:color="auto" w:fill="auto"/>
            <w:vAlign w:val="center"/>
          </w:tcPr>
          <w:p w14:paraId="2F822A13">
            <w:pPr>
              <w:widowControl/>
              <w:jc w:val="center"/>
              <w:rPr>
                <w:rFonts w:eastAsiaTheme="minorEastAsia"/>
                <w:kern w:val="0"/>
                <w:szCs w:val="21"/>
              </w:rPr>
            </w:pPr>
            <w:r>
              <w:rPr>
                <w:rFonts w:eastAsiaTheme="minorEastAsia"/>
                <w:color w:val="000000"/>
                <w:kern w:val="0"/>
                <w:szCs w:val="21"/>
              </w:rPr>
              <w:t>—</w:t>
            </w:r>
          </w:p>
        </w:tc>
        <w:tc>
          <w:tcPr>
            <w:tcW w:w="840" w:type="pct"/>
            <w:shd w:val="clear" w:color="auto" w:fill="auto"/>
            <w:vAlign w:val="center"/>
          </w:tcPr>
          <w:p w14:paraId="2F94EDC6">
            <w:pPr>
              <w:widowControl/>
              <w:jc w:val="center"/>
              <w:rPr>
                <w:rFonts w:eastAsiaTheme="minorEastAsia"/>
                <w:kern w:val="0"/>
                <w:szCs w:val="21"/>
              </w:rPr>
            </w:pPr>
            <w:r>
              <w:rPr>
                <w:rFonts w:eastAsiaTheme="minorEastAsia"/>
                <w:color w:val="000000"/>
                <w:kern w:val="0"/>
                <w:szCs w:val="21"/>
              </w:rPr>
              <w:t>—</w:t>
            </w:r>
          </w:p>
        </w:tc>
        <w:tc>
          <w:tcPr>
            <w:tcW w:w="840" w:type="pct"/>
            <w:shd w:val="clear" w:color="auto" w:fill="auto"/>
            <w:vAlign w:val="center"/>
          </w:tcPr>
          <w:p w14:paraId="7F729AB8">
            <w:pPr>
              <w:widowControl/>
              <w:jc w:val="center"/>
              <w:rPr>
                <w:rFonts w:eastAsiaTheme="minorEastAsia"/>
                <w:kern w:val="0"/>
                <w:szCs w:val="21"/>
              </w:rPr>
            </w:pPr>
            <w:r>
              <w:rPr>
                <w:rFonts w:eastAsiaTheme="minorEastAsia"/>
                <w:color w:val="000000"/>
                <w:kern w:val="0"/>
                <w:szCs w:val="21"/>
              </w:rPr>
              <w:t>—</w:t>
            </w:r>
          </w:p>
        </w:tc>
      </w:tr>
      <w:tr w14:paraId="427EA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45BA5280">
            <w:pPr>
              <w:widowControl/>
              <w:jc w:val="center"/>
              <w:rPr>
                <w:rFonts w:eastAsiaTheme="minorEastAsia"/>
                <w:kern w:val="0"/>
                <w:szCs w:val="21"/>
              </w:rPr>
            </w:pPr>
          </w:p>
        </w:tc>
        <w:tc>
          <w:tcPr>
            <w:tcW w:w="935" w:type="pct"/>
            <w:vMerge w:val="continue"/>
            <w:vAlign w:val="center"/>
          </w:tcPr>
          <w:p w14:paraId="17FBC29B">
            <w:pPr>
              <w:widowControl/>
              <w:jc w:val="center"/>
              <w:rPr>
                <w:rFonts w:eastAsiaTheme="minorEastAsia"/>
                <w:kern w:val="0"/>
                <w:szCs w:val="21"/>
              </w:rPr>
            </w:pPr>
          </w:p>
        </w:tc>
        <w:tc>
          <w:tcPr>
            <w:tcW w:w="651" w:type="pct"/>
            <w:shd w:val="clear" w:color="auto" w:fill="auto"/>
            <w:vAlign w:val="center"/>
          </w:tcPr>
          <w:p w14:paraId="30658070">
            <w:pPr>
              <w:widowControl/>
              <w:jc w:val="center"/>
              <w:rPr>
                <w:rFonts w:eastAsiaTheme="minorEastAsia"/>
                <w:kern w:val="0"/>
                <w:szCs w:val="21"/>
              </w:rPr>
            </w:pPr>
            <w:r>
              <w:rPr>
                <w:rFonts w:eastAsiaTheme="minorEastAsia"/>
                <w:kern w:val="0"/>
                <w:szCs w:val="21"/>
              </w:rPr>
              <w:t>评价结果</w:t>
            </w:r>
          </w:p>
        </w:tc>
        <w:tc>
          <w:tcPr>
            <w:tcW w:w="840" w:type="pct"/>
            <w:shd w:val="clear" w:color="auto" w:fill="auto"/>
            <w:vAlign w:val="center"/>
          </w:tcPr>
          <w:p w14:paraId="40FD1125">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478784B8">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34FB5D3D">
            <w:pPr>
              <w:widowControl/>
              <w:jc w:val="center"/>
              <w:rPr>
                <w:rFonts w:eastAsiaTheme="minorEastAsia"/>
                <w:kern w:val="0"/>
                <w:szCs w:val="21"/>
              </w:rPr>
            </w:pPr>
            <w:r>
              <w:rPr>
                <w:rFonts w:eastAsiaTheme="minorEastAsia"/>
                <w:color w:val="000000"/>
                <w:kern w:val="0"/>
                <w:szCs w:val="21"/>
              </w:rPr>
              <w:t>达标</w:t>
            </w:r>
          </w:p>
        </w:tc>
      </w:tr>
      <w:tr w14:paraId="2A321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restart"/>
            <w:shd w:val="clear" w:color="auto" w:fill="auto"/>
            <w:vAlign w:val="center"/>
          </w:tcPr>
          <w:p w14:paraId="0F256DB2">
            <w:pPr>
              <w:widowControl/>
              <w:jc w:val="center"/>
              <w:rPr>
                <w:rFonts w:eastAsiaTheme="minorEastAsia"/>
                <w:kern w:val="0"/>
                <w:szCs w:val="21"/>
              </w:rPr>
            </w:pPr>
            <w:r>
              <w:rPr>
                <w:rFonts w:eastAsiaTheme="minorEastAsia"/>
                <w:kern w:val="0"/>
                <w:szCs w:val="21"/>
              </w:rPr>
              <w:t>镉</w:t>
            </w:r>
          </w:p>
        </w:tc>
        <w:tc>
          <w:tcPr>
            <w:tcW w:w="935" w:type="pct"/>
            <w:shd w:val="clear" w:color="auto" w:fill="auto"/>
            <w:vAlign w:val="center"/>
          </w:tcPr>
          <w:p w14:paraId="29EDF399">
            <w:pPr>
              <w:widowControl/>
              <w:jc w:val="center"/>
              <w:rPr>
                <w:rFonts w:eastAsiaTheme="minorEastAsia"/>
                <w:kern w:val="0"/>
                <w:szCs w:val="21"/>
              </w:rPr>
            </w:pPr>
            <w:r>
              <w:rPr>
                <w:rFonts w:eastAsiaTheme="minorEastAsia"/>
                <w:kern w:val="0"/>
                <w:szCs w:val="21"/>
              </w:rPr>
              <w:t>标准值</w:t>
            </w:r>
          </w:p>
        </w:tc>
        <w:tc>
          <w:tcPr>
            <w:tcW w:w="651" w:type="pct"/>
            <w:shd w:val="clear" w:color="auto" w:fill="auto"/>
            <w:vAlign w:val="center"/>
          </w:tcPr>
          <w:p w14:paraId="28A6F552">
            <w:pPr>
              <w:widowControl/>
              <w:jc w:val="center"/>
              <w:rPr>
                <w:rFonts w:eastAsiaTheme="minorEastAsia"/>
                <w:kern w:val="0"/>
                <w:szCs w:val="21"/>
              </w:rPr>
            </w:pPr>
            <w:r>
              <w:rPr>
                <w:rFonts w:eastAsiaTheme="minorEastAsia"/>
                <w:kern w:val="0"/>
                <w:szCs w:val="21"/>
              </w:rPr>
              <w:t>监测值</w:t>
            </w:r>
          </w:p>
        </w:tc>
        <w:tc>
          <w:tcPr>
            <w:tcW w:w="840" w:type="pct"/>
            <w:shd w:val="clear" w:color="auto" w:fill="auto"/>
            <w:vAlign w:val="center"/>
          </w:tcPr>
          <w:p w14:paraId="281E223B">
            <w:pPr>
              <w:widowControl/>
              <w:jc w:val="center"/>
              <w:rPr>
                <w:rFonts w:eastAsiaTheme="minorEastAsia"/>
                <w:kern w:val="0"/>
                <w:szCs w:val="21"/>
              </w:rPr>
            </w:pPr>
            <w:r>
              <w:rPr>
                <w:rFonts w:eastAsiaTheme="minorEastAsia"/>
                <w:color w:val="000000"/>
                <w:kern w:val="0"/>
                <w:szCs w:val="21"/>
              </w:rPr>
              <w:t>0.5Lμg/L</w:t>
            </w:r>
          </w:p>
        </w:tc>
        <w:tc>
          <w:tcPr>
            <w:tcW w:w="840" w:type="pct"/>
            <w:shd w:val="clear" w:color="auto" w:fill="auto"/>
            <w:vAlign w:val="center"/>
          </w:tcPr>
          <w:p w14:paraId="27140A4D">
            <w:pPr>
              <w:widowControl/>
              <w:jc w:val="center"/>
              <w:rPr>
                <w:rFonts w:eastAsiaTheme="minorEastAsia"/>
                <w:kern w:val="0"/>
                <w:szCs w:val="21"/>
              </w:rPr>
            </w:pPr>
            <w:r>
              <w:rPr>
                <w:rFonts w:eastAsiaTheme="minorEastAsia"/>
                <w:color w:val="000000"/>
                <w:kern w:val="0"/>
                <w:szCs w:val="21"/>
              </w:rPr>
              <w:t>0.5Lμg/L</w:t>
            </w:r>
          </w:p>
        </w:tc>
        <w:tc>
          <w:tcPr>
            <w:tcW w:w="840" w:type="pct"/>
            <w:shd w:val="clear" w:color="auto" w:fill="auto"/>
            <w:vAlign w:val="center"/>
          </w:tcPr>
          <w:p w14:paraId="46DBEFC8">
            <w:pPr>
              <w:widowControl/>
              <w:jc w:val="center"/>
              <w:rPr>
                <w:rFonts w:eastAsiaTheme="minorEastAsia"/>
                <w:kern w:val="0"/>
                <w:szCs w:val="21"/>
              </w:rPr>
            </w:pPr>
            <w:r>
              <w:rPr>
                <w:rFonts w:eastAsiaTheme="minorEastAsia"/>
                <w:color w:val="000000"/>
                <w:kern w:val="0"/>
                <w:szCs w:val="21"/>
              </w:rPr>
              <w:t>0.5Lμg/L</w:t>
            </w:r>
          </w:p>
        </w:tc>
      </w:tr>
      <w:tr w14:paraId="2FFD9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5DCFBD1F">
            <w:pPr>
              <w:widowControl/>
              <w:jc w:val="center"/>
              <w:rPr>
                <w:rFonts w:eastAsiaTheme="minorEastAsia"/>
                <w:kern w:val="0"/>
                <w:szCs w:val="21"/>
              </w:rPr>
            </w:pPr>
          </w:p>
        </w:tc>
        <w:tc>
          <w:tcPr>
            <w:tcW w:w="935" w:type="pct"/>
            <w:vMerge w:val="restart"/>
            <w:shd w:val="clear" w:color="auto" w:fill="auto"/>
            <w:vAlign w:val="center"/>
          </w:tcPr>
          <w:p w14:paraId="059746E6">
            <w:pPr>
              <w:widowControl/>
              <w:jc w:val="center"/>
              <w:rPr>
                <w:rFonts w:eastAsiaTheme="minorEastAsia"/>
                <w:kern w:val="0"/>
                <w:szCs w:val="21"/>
              </w:rPr>
            </w:pPr>
            <w:r>
              <w:rPr>
                <w:rFonts w:eastAsiaTheme="minorEastAsia"/>
                <w:kern w:val="0"/>
                <w:szCs w:val="21"/>
              </w:rPr>
              <w:t>0.005mg/L</w:t>
            </w:r>
          </w:p>
        </w:tc>
        <w:tc>
          <w:tcPr>
            <w:tcW w:w="651" w:type="pct"/>
            <w:shd w:val="clear" w:color="auto" w:fill="auto"/>
            <w:vAlign w:val="center"/>
          </w:tcPr>
          <w:p w14:paraId="1787A9F8">
            <w:pPr>
              <w:widowControl/>
              <w:jc w:val="center"/>
              <w:rPr>
                <w:rFonts w:eastAsiaTheme="minorEastAsia"/>
                <w:kern w:val="0"/>
                <w:szCs w:val="21"/>
              </w:rPr>
            </w:pPr>
            <w:r>
              <w:rPr>
                <w:rFonts w:eastAsiaTheme="minorEastAsia"/>
                <w:kern w:val="0"/>
                <w:szCs w:val="21"/>
              </w:rPr>
              <w:t>标准指数</w:t>
            </w:r>
          </w:p>
        </w:tc>
        <w:tc>
          <w:tcPr>
            <w:tcW w:w="840" w:type="pct"/>
            <w:shd w:val="clear" w:color="auto" w:fill="auto"/>
            <w:vAlign w:val="center"/>
          </w:tcPr>
          <w:p w14:paraId="4A903C5A">
            <w:pPr>
              <w:widowControl/>
              <w:jc w:val="center"/>
              <w:rPr>
                <w:rFonts w:eastAsiaTheme="minorEastAsia"/>
                <w:kern w:val="0"/>
                <w:szCs w:val="21"/>
              </w:rPr>
            </w:pPr>
            <w:r>
              <w:rPr>
                <w:rFonts w:eastAsiaTheme="minorEastAsia"/>
                <w:color w:val="000000"/>
                <w:kern w:val="0"/>
                <w:szCs w:val="21"/>
              </w:rPr>
              <w:t>—</w:t>
            </w:r>
          </w:p>
        </w:tc>
        <w:tc>
          <w:tcPr>
            <w:tcW w:w="840" w:type="pct"/>
            <w:shd w:val="clear" w:color="auto" w:fill="auto"/>
            <w:vAlign w:val="center"/>
          </w:tcPr>
          <w:p w14:paraId="1A681773">
            <w:pPr>
              <w:widowControl/>
              <w:jc w:val="center"/>
              <w:rPr>
                <w:rFonts w:eastAsiaTheme="minorEastAsia"/>
                <w:kern w:val="0"/>
                <w:szCs w:val="21"/>
              </w:rPr>
            </w:pPr>
            <w:r>
              <w:rPr>
                <w:rFonts w:eastAsiaTheme="minorEastAsia"/>
                <w:color w:val="000000"/>
                <w:kern w:val="0"/>
                <w:szCs w:val="21"/>
              </w:rPr>
              <w:t>—</w:t>
            </w:r>
          </w:p>
        </w:tc>
        <w:tc>
          <w:tcPr>
            <w:tcW w:w="840" w:type="pct"/>
            <w:shd w:val="clear" w:color="auto" w:fill="auto"/>
            <w:vAlign w:val="center"/>
          </w:tcPr>
          <w:p w14:paraId="26584695">
            <w:pPr>
              <w:widowControl/>
              <w:jc w:val="center"/>
              <w:rPr>
                <w:rFonts w:eastAsiaTheme="minorEastAsia"/>
                <w:kern w:val="0"/>
                <w:szCs w:val="21"/>
              </w:rPr>
            </w:pPr>
            <w:r>
              <w:rPr>
                <w:rFonts w:eastAsiaTheme="minorEastAsia"/>
                <w:color w:val="000000"/>
                <w:kern w:val="0"/>
                <w:szCs w:val="21"/>
              </w:rPr>
              <w:t>—</w:t>
            </w:r>
          </w:p>
        </w:tc>
      </w:tr>
      <w:tr w14:paraId="605FD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2DE11CEF">
            <w:pPr>
              <w:widowControl/>
              <w:jc w:val="center"/>
              <w:rPr>
                <w:rFonts w:eastAsiaTheme="minorEastAsia"/>
                <w:kern w:val="0"/>
                <w:szCs w:val="21"/>
              </w:rPr>
            </w:pPr>
          </w:p>
        </w:tc>
        <w:tc>
          <w:tcPr>
            <w:tcW w:w="935" w:type="pct"/>
            <w:vMerge w:val="continue"/>
            <w:vAlign w:val="center"/>
          </w:tcPr>
          <w:p w14:paraId="301FDBAF">
            <w:pPr>
              <w:widowControl/>
              <w:jc w:val="center"/>
              <w:rPr>
                <w:rFonts w:eastAsiaTheme="minorEastAsia"/>
                <w:kern w:val="0"/>
                <w:szCs w:val="21"/>
              </w:rPr>
            </w:pPr>
          </w:p>
        </w:tc>
        <w:tc>
          <w:tcPr>
            <w:tcW w:w="651" w:type="pct"/>
            <w:shd w:val="clear" w:color="auto" w:fill="auto"/>
            <w:vAlign w:val="center"/>
          </w:tcPr>
          <w:p w14:paraId="513BA0C4">
            <w:pPr>
              <w:widowControl/>
              <w:jc w:val="center"/>
              <w:rPr>
                <w:rFonts w:eastAsiaTheme="minorEastAsia"/>
                <w:kern w:val="0"/>
                <w:szCs w:val="21"/>
              </w:rPr>
            </w:pPr>
            <w:r>
              <w:rPr>
                <w:rFonts w:eastAsiaTheme="minorEastAsia"/>
                <w:kern w:val="0"/>
                <w:szCs w:val="21"/>
              </w:rPr>
              <w:t>评价结果</w:t>
            </w:r>
          </w:p>
        </w:tc>
        <w:tc>
          <w:tcPr>
            <w:tcW w:w="840" w:type="pct"/>
            <w:shd w:val="clear" w:color="auto" w:fill="auto"/>
            <w:vAlign w:val="center"/>
          </w:tcPr>
          <w:p w14:paraId="77935106">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69983A81">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1009534A">
            <w:pPr>
              <w:widowControl/>
              <w:jc w:val="center"/>
              <w:rPr>
                <w:rFonts w:eastAsiaTheme="minorEastAsia"/>
                <w:kern w:val="0"/>
                <w:szCs w:val="21"/>
              </w:rPr>
            </w:pPr>
            <w:r>
              <w:rPr>
                <w:rFonts w:eastAsiaTheme="minorEastAsia"/>
                <w:color w:val="000000"/>
                <w:kern w:val="0"/>
                <w:szCs w:val="21"/>
              </w:rPr>
              <w:t>达标</w:t>
            </w:r>
          </w:p>
        </w:tc>
      </w:tr>
      <w:tr w14:paraId="497AC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restart"/>
            <w:shd w:val="clear" w:color="auto" w:fill="auto"/>
            <w:vAlign w:val="center"/>
          </w:tcPr>
          <w:p w14:paraId="5731D167">
            <w:pPr>
              <w:widowControl/>
              <w:jc w:val="center"/>
              <w:rPr>
                <w:rFonts w:eastAsiaTheme="minorEastAsia"/>
                <w:kern w:val="0"/>
                <w:szCs w:val="21"/>
              </w:rPr>
            </w:pPr>
            <w:r>
              <w:rPr>
                <w:rFonts w:eastAsiaTheme="minorEastAsia"/>
                <w:kern w:val="0"/>
                <w:szCs w:val="21"/>
              </w:rPr>
              <w:t>铬（六价）</w:t>
            </w:r>
          </w:p>
        </w:tc>
        <w:tc>
          <w:tcPr>
            <w:tcW w:w="935" w:type="pct"/>
            <w:shd w:val="clear" w:color="auto" w:fill="auto"/>
            <w:vAlign w:val="center"/>
          </w:tcPr>
          <w:p w14:paraId="2D3B312A">
            <w:pPr>
              <w:widowControl/>
              <w:jc w:val="center"/>
              <w:rPr>
                <w:rFonts w:eastAsiaTheme="minorEastAsia"/>
                <w:kern w:val="0"/>
                <w:szCs w:val="21"/>
              </w:rPr>
            </w:pPr>
            <w:r>
              <w:rPr>
                <w:rFonts w:eastAsiaTheme="minorEastAsia"/>
                <w:kern w:val="0"/>
                <w:szCs w:val="21"/>
              </w:rPr>
              <w:t>标准值</w:t>
            </w:r>
          </w:p>
        </w:tc>
        <w:tc>
          <w:tcPr>
            <w:tcW w:w="651" w:type="pct"/>
            <w:shd w:val="clear" w:color="auto" w:fill="auto"/>
            <w:vAlign w:val="center"/>
          </w:tcPr>
          <w:p w14:paraId="52D9DC71">
            <w:pPr>
              <w:widowControl/>
              <w:jc w:val="center"/>
              <w:rPr>
                <w:rFonts w:eastAsiaTheme="minorEastAsia"/>
                <w:kern w:val="0"/>
                <w:szCs w:val="21"/>
              </w:rPr>
            </w:pPr>
            <w:r>
              <w:rPr>
                <w:rFonts w:eastAsiaTheme="minorEastAsia"/>
                <w:kern w:val="0"/>
                <w:szCs w:val="21"/>
              </w:rPr>
              <w:t>监测值</w:t>
            </w:r>
          </w:p>
        </w:tc>
        <w:tc>
          <w:tcPr>
            <w:tcW w:w="840" w:type="pct"/>
            <w:shd w:val="clear" w:color="auto" w:fill="auto"/>
            <w:vAlign w:val="center"/>
          </w:tcPr>
          <w:p w14:paraId="0AEAC022">
            <w:pPr>
              <w:widowControl/>
              <w:jc w:val="center"/>
              <w:rPr>
                <w:rFonts w:eastAsiaTheme="minorEastAsia"/>
                <w:kern w:val="0"/>
                <w:szCs w:val="21"/>
              </w:rPr>
            </w:pPr>
            <w:r>
              <w:rPr>
                <w:rFonts w:eastAsiaTheme="minorEastAsia"/>
                <w:color w:val="000000"/>
                <w:kern w:val="0"/>
                <w:szCs w:val="21"/>
              </w:rPr>
              <w:t>0.004L</w:t>
            </w:r>
          </w:p>
        </w:tc>
        <w:tc>
          <w:tcPr>
            <w:tcW w:w="840" w:type="pct"/>
            <w:shd w:val="clear" w:color="auto" w:fill="auto"/>
            <w:vAlign w:val="center"/>
          </w:tcPr>
          <w:p w14:paraId="6AD98D19">
            <w:pPr>
              <w:widowControl/>
              <w:jc w:val="center"/>
              <w:rPr>
                <w:rFonts w:eastAsiaTheme="minorEastAsia"/>
                <w:kern w:val="0"/>
                <w:szCs w:val="21"/>
              </w:rPr>
            </w:pPr>
            <w:r>
              <w:rPr>
                <w:rFonts w:eastAsiaTheme="minorEastAsia"/>
                <w:color w:val="000000"/>
                <w:kern w:val="0"/>
                <w:szCs w:val="21"/>
              </w:rPr>
              <w:t>0.004L</w:t>
            </w:r>
          </w:p>
        </w:tc>
        <w:tc>
          <w:tcPr>
            <w:tcW w:w="840" w:type="pct"/>
            <w:shd w:val="clear" w:color="auto" w:fill="auto"/>
            <w:vAlign w:val="center"/>
          </w:tcPr>
          <w:p w14:paraId="3706F37D">
            <w:pPr>
              <w:widowControl/>
              <w:jc w:val="center"/>
              <w:rPr>
                <w:rFonts w:eastAsiaTheme="minorEastAsia"/>
                <w:kern w:val="0"/>
                <w:szCs w:val="21"/>
              </w:rPr>
            </w:pPr>
            <w:r>
              <w:rPr>
                <w:rFonts w:eastAsiaTheme="minorEastAsia"/>
                <w:color w:val="000000"/>
                <w:kern w:val="0"/>
                <w:szCs w:val="21"/>
              </w:rPr>
              <w:t>0.004L</w:t>
            </w:r>
          </w:p>
        </w:tc>
      </w:tr>
      <w:tr w14:paraId="7D89F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06A679F1">
            <w:pPr>
              <w:widowControl/>
              <w:jc w:val="center"/>
              <w:rPr>
                <w:rFonts w:eastAsiaTheme="minorEastAsia"/>
                <w:kern w:val="0"/>
                <w:szCs w:val="21"/>
              </w:rPr>
            </w:pPr>
          </w:p>
        </w:tc>
        <w:tc>
          <w:tcPr>
            <w:tcW w:w="935" w:type="pct"/>
            <w:vMerge w:val="restart"/>
            <w:shd w:val="clear" w:color="auto" w:fill="auto"/>
            <w:vAlign w:val="center"/>
          </w:tcPr>
          <w:p w14:paraId="3BA0D9E2">
            <w:pPr>
              <w:widowControl/>
              <w:jc w:val="center"/>
              <w:rPr>
                <w:rFonts w:eastAsiaTheme="minorEastAsia"/>
                <w:kern w:val="0"/>
                <w:szCs w:val="21"/>
              </w:rPr>
            </w:pPr>
            <w:r>
              <w:rPr>
                <w:rFonts w:eastAsiaTheme="minorEastAsia"/>
                <w:kern w:val="0"/>
                <w:szCs w:val="21"/>
              </w:rPr>
              <w:t>0.05mg/L</w:t>
            </w:r>
          </w:p>
        </w:tc>
        <w:tc>
          <w:tcPr>
            <w:tcW w:w="651" w:type="pct"/>
            <w:shd w:val="clear" w:color="auto" w:fill="auto"/>
            <w:vAlign w:val="center"/>
          </w:tcPr>
          <w:p w14:paraId="24D389F2">
            <w:pPr>
              <w:widowControl/>
              <w:jc w:val="center"/>
              <w:rPr>
                <w:rFonts w:eastAsiaTheme="minorEastAsia"/>
                <w:kern w:val="0"/>
                <w:szCs w:val="21"/>
              </w:rPr>
            </w:pPr>
            <w:r>
              <w:rPr>
                <w:rFonts w:eastAsiaTheme="minorEastAsia"/>
                <w:kern w:val="0"/>
                <w:szCs w:val="21"/>
              </w:rPr>
              <w:t>标准指数</w:t>
            </w:r>
          </w:p>
        </w:tc>
        <w:tc>
          <w:tcPr>
            <w:tcW w:w="840" w:type="pct"/>
            <w:shd w:val="clear" w:color="auto" w:fill="auto"/>
            <w:vAlign w:val="center"/>
          </w:tcPr>
          <w:p w14:paraId="625FD065">
            <w:pPr>
              <w:widowControl/>
              <w:jc w:val="center"/>
              <w:rPr>
                <w:rFonts w:eastAsiaTheme="minorEastAsia"/>
                <w:kern w:val="0"/>
                <w:szCs w:val="21"/>
              </w:rPr>
            </w:pPr>
            <w:r>
              <w:rPr>
                <w:rFonts w:eastAsiaTheme="minorEastAsia"/>
                <w:color w:val="000000"/>
                <w:kern w:val="0"/>
                <w:szCs w:val="21"/>
              </w:rPr>
              <w:t>—</w:t>
            </w:r>
          </w:p>
        </w:tc>
        <w:tc>
          <w:tcPr>
            <w:tcW w:w="840" w:type="pct"/>
            <w:shd w:val="clear" w:color="auto" w:fill="auto"/>
            <w:vAlign w:val="center"/>
          </w:tcPr>
          <w:p w14:paraId="10CA9779">
            <w:pPr>
              <w:widowControl/>
              <w:jc w:val="center"/>
              <w:rPr>
                <w:rFonts w:eastAsiaTheme="minorEastAsia"/>
                <w:kern w:val="0"/>
                <w:szCs w:val="21"/>
              </w:rPr>
            </w:pPr>
            <w:r>
              <w:rPr>
                <w:rFonts w:eastAsiaTheme="minorEastAsia"/>
                <w:color w:val="000000"/>
                <w:kern w:val="0"/>
                <w:szCs w:val="21"/>
              </w:rPr>
              <w:t>—</w:t>
            </w:r>
          </w:p>
        </w:tc>
        <w:tc>
          <w:tcPr>
            <w:tcW w:w="840" w:type="pct"/>
            <w:shd w:val="clear" w:color="auto" w:fill="auto"/>
            <w:vAlign w:val="center"/>
          </w:tcPr>
          <w:p w14:paraId="4721BC32">
            <w:pPr>
              <w:widowControl/>
              <w:jc w:val="center"/>
              <w:rPr>
                <w:rFonts w:eastAsiaTheme="minorEastAsia"/>
                <w:kern w:val="0"/>
                <w:szCs w:val="21"/>
              </w:rPr>
            </w:pPr>
            <w:r>
              <w:rPr>
                <w:rFonts w:eastAsiaTheme="minorEastAsia"/>
                <w:color w:val="000000"/>
                <w:kern w:val="0"/>
                <w:szCs w:val="21"/>
              </w:rPr>
              <w:t>—</w:t>
            </w:r>
          </w:p>
        </w:tc>
      </w:tr>
      <w:tr w14:paraId="47C96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30F695C1">
            <w:pPr>
              <w:widowControl/>
              <w:jc w:val="center"/>
              <w:rPr>
                <w:rFonts w:eastAsiaTheme="minorEastAsia"/>
                <w:kern w:val="0"/>
                <w:szCs w:val="21"/>
              </w:rPr>
            </w:pPr>
          </w:p>
        </w:tc>
        <w:tc>
          <w:tcPr>
            <w:tcW w:w="935" w:type="pct"/>
            <w:vMerge w:val="continue"/>
            <w:vAlign w:val="center"/>
          </w:tcPr>
          <w:p w14:paraId="7EDBD710">
            <w:pPr>
              <w:widowControl/>
              <w:jc w:val="center"/>
              <w:rPr>
                <w:rFonts w:eastAsiaTheme="minorEastAsia"/>
                <w:kern w:val="0"/>
                <w:szCs w:val="21"/>
              </w:rPr>
            </w:pPr>
          </w:p>
        </w:tc>
        <w:tc>
          <w:tcPr>
            <w:tcW w:w="651" w:type="pct"/>
            <w:shd w:val="clear" w:color="auto" w:fill="auto"/>
            <w:vAlign w:val="center"/>
          </w:tcPr>
          <w:p w14:paraId="52D68BBB">
            <w:pPr>
              <w:widowControl/>
              <w:jc w:val="center"/>
              <w:rPr>
                <w:rFonts w:eastAsiaTheme="minorEastAsia"/>
                <w:kern w:val="0"/>
                <w:szCs w:val="21"/>
              </w:rPr>
            </w:pPr>
            <w:r>
              <w:rPr>
                <w:rFonts w:eastAsiaTheme="minorEastAsia"/>
                <w:kern w:val="0"/>
                <w:szCs w:val="21"/>
              </w:rPr>
              <w:t>评价结果</w:t>
            </w:r>
          </w:p>
        </w:tc>
        <w:tc>
          <w:tcPr>
            <w:tcW w:w="840" w:type="pct"/>
            <w:shd w:val="clear" w:color="auto" w:fill="auto"/>
            <w:vAlign w:val="center"/>
          </w:tcPr>
          <w:p w14:paraId="0BBB55C9">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2CD6B31F">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43A28175">
            <w:pPr>
              <w:widowControl/>
              <w:jc w:val="center"/>
              <w:rPr>
                <w:rFonts w:eastAsiaTheme="minorEastAsia"/>
                <w:kern w:val="0"/>
                <w:szCs w:val="21"/>
              </w:rPr>
            </w:pPr>
            <w:r>
              <w:rPr>
                <w:rFonts w:eastAsiaTheme="minorEastAsia"/>
                <w:color w:val="000000"/>
                <w:kern w:val="0"/>
                <w:szCs w:val="21"/>
              </w:rPr>
              <w:t>达标</w:t>
            </w:r>
          </w:p>
        </w:tc>
      </w:tr>
      <w:tr w14:paraId="16976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restart"/>
            <w:shd w:val="clear" w:color="auto" w:fill="auto"/>
            <w:vAlign w:val="center"/>
          </w:tcPr>
          <w:p w14:paraId="1410BD8A">
            <w:pPr>
              <w:widowControl/>
              <w:jc w:val="center"/>
              <w:rPr>
                <w:rFonts w:eastAsiaTheme="minorEastAsia"/>
                <w:kern w:val="0"/>
                <w:szCs w:val="21"/>
              </w:rPr>
            </w:pPr>
            <w:r>
              <w:rPr>
                <w:rFonts w:eastAsiaTheme="minorEastAsia"/>
                <w:kern w:val="0"/>
                <w:szCs w:val="21"/>
              </w:rPr>
              <w:t>硒</w:t>
            </w:r>
          </w:p>
        </w:tc>
        <w:tc>
          <w:tcPr>
            <w:tcW w:w="935" w:type="pct"/>
            <w:shd w:val="clear" w:color="auto" w:fill="auto"/>
            <w:vAlign w:val="center"/>
          </w:tcPr>
          <w:p w14:paraId="6144170C">
            <w:pPr>
              <w:widowControl/>
              <w:jc w:val="center"/>
              <w:rPr>
                <w:rFonts w:eastAsiaTheme="minorEastAsia"/>
                <w:kern w:val="0"/>
                <w:szCs w:val="21"/>
              </w:rPr>
            </w:pPr>
            <w:r>
              <w:rPr>
                <w:rFonts w:eastAsiaTheme="minorEastAsia"/>
                <w:kern w:val="0"/>
                <w:szCs w:val="21"/>
              </w:rPr>
              <w:t>标准值</w:t>
            </w:r>
          </w:p>
        </w:tc>
        <w:tc>
          <w:tcPr>
            <w:tcW w:w="651" w:type="pct"/>
            <w:shd w:val="clear" w:color="auto" w:fill="auto"/>
            <w:vAlign w:val="center"/>
          </w:tcPr>
          <w:p w14:paraId="0C34FEE1">
            <w:pPr>
              <w:widowControl/>
              <w:jc w:val="center"/>
              <w:rPr>
                <w:rFonts w:eastAsiaTheme="minorEastAsia"/>
                <w:kern w:val="0"/>
                <w:szCs w:val="21"/>
              </w:rPr>
            </w:pPr>
            <w:r>
              <w:rPr>
                <w:rFonts w:eastAsiaTheme="minorEastAsia"/>
                <w:kern w:val="0"/>
                <w:szCs w:val="21"/>
              </w:rPr>
              <w:t>监测值</w:t>
            </w:r>
          </w:p>
        </w:tc>
        <w:tc>
          <w:tcPr>
            <w:tcW w:w="840" w:type="pct"/>
            <w:shd w:val="clear" w:color="auto" w:fill="auto"/>
            <w:vAlign w:val="center"/>
          </w:tcPr>
          <w:p w14:paraId="6822B735">
            <w:pPr>
              <w:widowControl/>
              <w:jc w:val="center"/>
              <w:rPr>
                <w:rFonts w:eastAsiaTheme="minorEastAsia"/>
                <w:kern w:val="0"/>
                <w:szCs w:val="21"/>
              </w:rPr>
            </w:pPr>
            <w:r>
              <w:rPr>
                <w:rFonts w:eastAsiaTheme="minorEastAsia"/>
                <w:color w:val="000000"/>
                <w:kern w:val="0"/>
                <w:szCs w:val="21"/>
              </w:rPr>
              <w:t>0.4Lμg/L</w:t>
            </w:r>
          </w:p>
        </w:tc>
        <w:tc>
          <w:tcPr>
            <w:tcW w:w="840" w:type="pct"/>
            <w:shd w:val="clear" w:color="auto" w:fill="auto"/>
            <w:vAlign w:val="center"/>
          </w:tcPr>
          <w:p w14:paraId="16DB524F">
            <w:pPr>
              <w:widowControl/>
              <w:jc w:val="center"/>
              <w:rPr>
                <w:rFonts w:eastAsiaTheme="minorEastAsia"/>
                <w:kern w:val="0"/>
                <w:szCs w:val="21"/>
              </w:rPr>
            </w:pPr>
            <w:r>
              <w:rPr>
                <w:rFonts w:eastAsiaTheme="minorEastAsia"/>
                <w:color w:val="000000"/>
                <w:kern w:val="0"/>
                <w:szCs w:val="21"/>
              </w:rPr>
              <w:t>0.4Lμg/L</w:t>
            </w:r>
          </w:p>
        </w:tc>
        <w:tc>
          <w:tcPr>
            <w:tcW w:w="840" w:type="pct"/>
            <w:shd w:val="clear" w:color="auto" w:fill="auto"/>
            <w:vAlign w:val="center"/>
          </w:tcPr>
          <w:p w14:paraId="76F1634F">
            <w:pPr>
              <w:widowControl/>
              <w:jc w:val="center"/>
              <w:rPr>
                <w:rFonts w:eastAsiaTheme="minorEastAsia"/>
                <w:kern w:val="0"/>
                <w:szCs w:val="21"/>
              </w:rPr>
            </w:pPr>
            <w:r>
              <w:rPr>
                <w:rFonts w:eastAsiaTheme="minorEastAsia"/>
                <w:color w:val="000000"/>
                <w:kern w:val="0"/>
                <w:szCs w:val="21"/>
              </w:rPr>
              <w:t>0.4Lμg/L</w:t>
            </w:r>
          </w:p>
        </w:tc>
      </w:tr>
      <w:tr w14:paraId="500E1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49F55170">
            <w:pPr>
              <w:widowControl/>
              <w:jc w:val="center"/>
              <w:rPr>
                <w:rFonts w:eastAsiaTheme="minorEastAsia"/>
                <w:kern w:val="0"/>
                <w:szCs w:val="21"/>
              </w:rPr>
            </w:pPr>
          </w:p>
        </w:tc>
        <w:tc>
          <w:tcPr>
            <w:tcW w:w="935" w:type="pct"/>
            <w:vMerge w:val="restart"/>
            <w:shd w:val="clear" w:color="auto" w:fill="auto"/>
            <w:vAlign w:val="center"/>
          </w:tcPr>
          <w:p w14:paraId="634212F9">
            <w:pPr>
              <w:widowControl/>
              <w:jc w:val="center"/>
              <w:rPr>
                <w:rFonts w:eastAsiaTheme="minorEastAsia"/>
                <w:kern w:val="0"/>
                <w:szCs w:val="21"/>
              </w:rPr>
            </w:pPr>
            <w:r>
              <w:rPr>
                <w:rFonts w:eastAsiaTheme="minorEastAsia"/>
                <w:kern w:val="0"/>
                <w:szCs w:val="21"/>
              </w:rPr>
              <w:t>0.01mg/L</w:t>
            </w:r>
          </w:p>
        </w:tc>
        <w:tc>
          <w:tcPr>
            <w:tcW w:w="651" w:type="pct"/>
            <w:shd w:val="clear" w:color="auto" w:fill="auto"/>
            <w:vAlign w:val="center"/>
          </w:tcPr>
          <w:p w14:paraId="78DEB9C3">
            <w:pPr>
              <w:widowControl/>
              <w:jc w:val="center"/>
              <w:rPr>
                <w:rFonts w:eastAsiaTheme="minorEastAsia"/>
                <w:kern w:val="0"/>
                <w:szCs w:val="21"/>
              </w:rPr>
            </w:pPr>
            <w:r>
              <w:rPr>
                <w:rFonts w:eastAsiaTheme="minorEastAsia"/>
                <w:kern w:val="0"/>
                <w:szCs w:val="21"/>
              </w:rPr>
              <w:t>标准指数</w:t>
            </w:r>
          </w:p>
        </w:tc>
        <w:tc>
          <w:tcPr>
            <w:tcW w:w="840" w:type="pct"/>
            <w:shd w:val="clear" w:color="auto" w:fill="auto"/>
            <w:vAlign w:val="center"/>
          </w:tcPr>
          <w:p w14:paraId="13896FD8">
            <w:pPr>
              <w:widowControl/>
              <w:jc w:val="center"/>
              <w:rPr>
                <w:rFonts w:eastAsiaTheme="minorEastAsia"/>
                <w:kern w:val="0"/>
                <w:szCs w:val="21"/>
              </w:rPr>
            </w:pPr>
            <w:r>
              <w:rPr>
                <w:rFonts w:eastAsiaTheme="minorEastAsia"/>
                <w:color w:val="000000"/>
                <w:kern w:val="0"/>
                <w:szCs w:val="21"/>
              </w:rPr>
              <w:t>—</w:t>
            </w:r>
          </w:p>
        </w:tc>
        <w:tc>
          <w:tcPr>
            <w:tcW w:w="840" w:type="pct"/>
            <w:shd w:val="clear" w:color="auto" w:fill="auto"/>
            <w:vAlign w:val="center"/>
          </w:tcPr>
          <w:p w14:paraId="1A946AA4">
            <w:pPr>
              <w:widowControl/>
              <w:jc w:val="center"/>
              <w:rPr>
                <w:rFonts w:eastAsiaTheme="minorEastAsia"/>
                <w:kern w:val="0"/>
                <w:szCs w:val="21"/>
              </w:rPr>
            </w:pPr>
            <w:r>
              <w:rPr>
                <w:rFonts w:eastAsiaTheme="minorEastAsia"/>
                <w:color w:val="000000"/>
                <w:kern w:val="0"/>
                <w:szCs w:val="21"/>
              </w:rPr>
              <w:t>—</w:t>
            </w:r>
          </w:p>
        </w:tc>
        <w:tc>
          <w:tcPr>
            <w:tcW w:w="840" w:type="pct"/>
            <w:shd w:val="clear" w:color="auto" w:fill="auto"/>
            <w:vAlign w:val="center"/>
          </w:tcPr>
          <w:p w14:paraId="4ACBDFC2">
            <w:pPr>
              <w:widowControl/>
              <w:jc w:val="center"/>
              <w:rPr>
                <w:rFonts w:eastAsiaTheme="minorEastAsia"/>
                <w:kern w:val="0"/>
                <w:szCs w:val="21"/>
              </w:rPr>
            </w:pPr>
            <w:r>
              <w:rPr>
                <w:rFonts w:eastAsiaTheme="minorEastAsia"/>
                <w:color w:val="000000"/>
                <w:kern w:val="0"/>
                <w:szCs w:val="21"/>
              </w:rPr>
              <w:t>—</w:t>
            </w:r>
          </w:p>
        </w:tc>
      </w:tr>
      <w:tr w14:paraId="48CB1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47180650">
            <w:pPr>
              <w:widowControl/>
              <w:jc w:val="center"/>
              <w:rPr>
                <w:rFonts w:eastAsiaTheme="minorEastAsia"/>
                <w:kern w:val="0"/>
                <w:szCs w:val="21"/>
              </w:rPr>
            </w:pPr>
          </w:p>
        </w:tc>
        <w:tc>
          <w:tcPr>
            <w:tcW w:w="935" w:type="pct"/>
            <w:vMerge w:val="continue"/>
            <w:vAlign w:val="center"/>
          </w:tcPr>
          <w:p w14:paraId="7FB6FDEE">
            <w:pPr>
              <w:widowControl/>
              <w:jc w:val="center"/>
              <w:rPr>
                <w:rFonts w:eastAsiaTheme="minorEastAsia"/>
                <w:kern w:val="0"/>
                <w:szCs w:val="21"/>
              </w:rPr>
            </w:pPr>
          </w:p>
        </w:tc>
        <w:tc>
          <w:tcPr>
            <w:tcW w:w="651" w:type="pct"/>
            <w:shd w:val="clear" w:color="auto" w:fill="auto"/>
            <w:vAlign w:val="center"/>
          </w:tcPr>
          <w:p w14:paraId="2A388F9E">
            <w:pPr>
              <w:widowControl/>
              <w:jc w:val="center"/>
              <w:rPr>
                <w:rFonts w:eastAsiaTheme="minorEastAsia"/>
                <w:kern w:val="0"/>
                <w:szCs w:val="21"/>
              </w:rPr>
            </w:pPr>
            <w:r>
              <w:rPr>
                <w:rFonts w:eastAsiaTheme="minorEastAsia"/>
                <w:kern w:val="0"/>
                <w:szCs w:val="21"/>
              </w:rPr>
              <w:t>评价结果</w:t>
            </w:r>
          </w:p>
        </w:tc>
        <w:tc>
          <w:tcPr>
            <w:tcW w:w="840" w:type="pct"/>
            <w:shd w:val="clear" w:color="auto" w:fill="auto"/>
            <w:vAlign w:val="center"/>
          </w:tcPr>
          <w:p w14:paraId="56EA797D">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7C43891F">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45F06CDD">
            <w:pPr>
              <w:widowControl/>
              <w:jc w:val="center"/>
              <w:rPr>
                <w:rFonts w:eastAsiaTheme="minorEastAsia"/>
                <w:kern w:val="0"/>
                <w:szCs w:val="21"/>
              </w:rPr>
            </w:pPr>
            <w:r>
              <w:rPr>
                <w:rFonts w:eastAsiaTheme="minorEastAsia"/>
                <w:color w:val="000000"/>
                <w:kern w:val="0"/>
                <w:szCs w:val="21"/>
              </w:rPr>
              <w:t>达标</w:t>
            </w:r>
          </w:p>
        </w:tc>
      </w:tr>
      <w:tr w14:paraId="19E08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restart"/>
            <w:shd w:val="clear" w:color="auto" w:fill="auto"/>
            <w:vAlign w:val="center"/>
          </w:tcPr>
          <w:p w14:paraId="32F1B84E">
            <w:pPr>
              <w:widowControl/>
              <w:jc w:val="center"/>
              <w:rPr>
                <w:rFonts w:eastAsiaTheme="minorEastAsia"/>
                <w:kern w:val="0"/>
                <w:szCs w:val="21"/>
              </w:rPr>
            </w:pPr>
            <w:r>
              <w:rPr>
                <w:rFonts w:eastAsiaTheme="minorEastAsia"/>
                <w:kern w:val="0"/>
                <w:szCs w:val="21"/>
              </w:rPr>
              <w:t>铅</w:t>
            </w:r>
          </w:p>
        </w:tc>
        <w:tc>
          <w:tcPr>
            <w:tcW w:w="935" w:type="pct"/>
            <w:shd w:val="clear" w:color="auto" w:fill="auto"/>
            <w:vAlign w:val="center"/>
          </w:tcPr>
          <w:p w14:paraId="7E3856DB">
            <w:pPr>
              <w:widowControl/>
              <w:jc w:val="center"/>
              <w:rPr>
                <w:rFonts w:eastAsiaTheme="minorEastAsia"/>
                <w:kern w:val="0"/>
                <w:szCs w:val="21"/>
              </w:rPr>
            </w:pPr>
            <w:r>
              <w:rPr>
                <w:rFonts w:eastAsiaTheme="minorEastAsia"/>
                <w:kern w:val="0"/>
                <w:szCs w:val="21"/>
              </w:rPr>
              <w:t>标准值</w:t>
            </w:r>
          </w:p>
        </w:tc>
        <w:tc>
          <w:tcPr>
            <w:tcW w:w="651" w:type="pct"/>
            <w:shd w:val="clear" w:color="auto" w:fill="auto"/>
            <w:vAlign w:val="center"/>
          </w:tcPr>
          <w:p w14:paraId="52691D8C">
            <w:pPr>
              <w:widowControl/>
              <w:jc w:val="center"/>
              <w:rPr>
                <w:rFonts w:eastAsiaTheme="minorEastAsia"/>
                <w:kern w:val="0"/>
                <w:szCs w:val="21"/>
              </w:rPr>
            </w:pPr>
            <w:r>
              <w:rPr>
                <w:rFonts w:eastAsiaTheme="minorEastAsia"/>
                <w:kern w:val="0"/>
                <w:szCs w:val="21"/>
              </w:rPr>
              <w:t>监测值</w:t>
            </w:r>
          </w:p>
        </w:tc>
        <w:tc>
          <w:tcPr>
            <w:tcW w:w="840" w:type="pct"/>
            <w:shd w:val="clear" w:color="auto" w:fill="auto"/>
            <w:vAlign w:val="center"/>
          </w:tcPr>
          <w:p w14:paraId="259F65CB">
            <w:pPr>
              <w:widowControl/>
              <w:jc w:val="center"/>
              <w:rPr>
                <w:rFonts w:eastAsiaTheme="minorEastAsia"/>
                <w:kern w:val="0"/>
                <w:szCs w:val="21"/>
              </w:rPr>
            </w:pPr>
            <w:r>
              <w:rPr>
                <w:rFonts w:eastAsiaTheme="minorEastAsia"/>
                <w:color w:val="000000"/>
                <w:kern w:val="0"/>
                <w:szCs w:val="21"/>
              </w:rPr>
              <w:t>2.5Lμg/L</w:t>
            </w:r>
          </w:p>
        </w:tc>
        <w:tc>
          <w:tcPr>
            <w:tcW w:w="840" w:type="pct"/>
            <w:shd w:val="clear" w:color="auto" w:fill="auto"/>
            <w:vAlign w:val="center"/>
          </w:tcPr>
          <w:p w14:paraId="6F10DFBB">
            <w:pPr>
              <w:widowControl/>
              <w:jc w:val="center"/>
              <w:rPr>
                <w:rFonts w:eastAsiaTheme="minorEastAsia"/>
                <w:kern w:val="0"/>
                <w:szCs w:val="21"/>
              </w:rPr>
            </w:pPr>
            <w:r>
              <w:rPr>
                <w:rFonts w:eastAsiaTheme="minorEastAsia"/>
                <w:color w:val="000000"/>
                <w:kern w:val="0"/>
                <w:szCs w:val="21"/>
              </w:rPr>
              <w:t>2.5Lμg/L</w:t>
            </w:r>
          </w:p>
        </w:tc>
        <w:tc>
          <w:tcPr>
            <w:tcW w:w="840" w:type="pct"/>
            <w:shd w:val="clear" w:color="auto" w:fill="auto"/>
            <w:vAlign w:val="center"/>
          </w:tcPr>
          <w:p w14:paraId="7563F19B">
            <w:pPr>
              <w:widowControl/>
              <w:jc w:val="center"/>
              <w:rPr>
                <w:rFonts w:eastAsiaTheme="minorEastAsia"/>
                <w:kern w:val="0"/>
                <w:szCs w:val="21"/>
              </w:rPr>
            </w:pPr>
            <w:r>
              <w:rPr>
                <w:rFonts w:eastAsiaTheme="minorEastAsia"/>
                <w:color w:val="000000"/>
                <w:kern w:val="0"/>
                <w:szCs w:val="21"/>
              </w:rPr>
              <w:t>2.5Lμg/L</w:t>
            </w:r>
          </w:p>
        </w:tc>
      </w:tr>
      <w:tr w14:paraId="105C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56CCAB60">
            <w:pPr>
              <w:widowControl/>
              <w:jc w:val="center"/>
              <w:rPr>
                <w:rFonts w:eastAsiaTheme="minorEastAsia"/>
                <w:kern w:val="0"/>
                <w:szCs w:val="21"/>
              </w:rPr>
            </w:pPr>
          </w:p>
        </w:tc>
        <w:tc>
          <w:tcPr>
            <w:tcW w:w="935" w:type="pct"/>
            <w:vMerge w:val="restart"/>
            <w:shd w:val="clear" w:color="auto" w:fill="auto"/>
            <w:vAlign w:val="center"/>
          </w:tcPr>
          <w:p w14:paraId="04D76981">
            <w:pPr>
              <w:widowControl/>
              <w:jc w:val="center"/>
              <w:rPr>
                <w:rFonts w:eastAsiaTheme="minorEastAsia"/>
                <w:kern w:val="0"/>
                <w:szCs w:val="21"/>
              </w:rPr>
            </w:pPr>
            <w:r>
              <w:rPr>
                <w:rFonts w:eastAsiaTheme="minorEastAsia"/>
                <w:kern w:val="0"/>
                <w:szCs w:val="21"/>
              </w:rPr>
              <w:t>0.01mg/L</w:t>
            </w:r>
          </w:p>
        </w:tc>
        <w:tc>
          <w:tcPr>
            <w:tcW w:w="651" w:type="pct"/>
            <w:shd w:val="clear" w:color="auto" w:fill="auto"/>
            <w:vAlign w:val="center"/>
          </w:tcPr>
          <w:p w14:paraId="56F7355B">
            <w:pPr>
              <w:widowControl/>
              <w:jc w:val="center"/>
              <w:rPr>
                <w:rFonts w:eastAsiaTheme="minorEastAsia"/>
                <w:kern w:val="0"/>
                <w:szCs w:val="21"/>
              </w:rPr>
            </w:pPr>
            <w:r>
              <w:rPr>
                <w:rFonts w:eastAsiaTheme="minorEastAsia"/>
                <w:kern w:val="0"/>
                <w:szCs w:val="21"/>
              </w:rPr>
              <w:t>标准指数</w:t>
            </w:r>
          </w:p>
        </w:tc>
        <w:tc>
          <w:tcPr>
            <w:tcW w:w="840" w:type="pct"/>
            <w:shd w:val="clear" w:color="auto" w:fill="auto"/>
            <w:vAlign w:val="center"/>
          </w:tcPr>
          <w:p w14:paraId="64C6C670">
            <w:pPr>
              <w:widowControl/>
              <w:jc w:val="center"/>
              <w:rPr>
                <w:rFonts w:eastAsiaTheme="minorEastAsia"/>
                <w:kern w:val="0"/>
                <w:szCs w:val="21"/>
              </w:rPr>
            </w:pPr>
            <w:r>
              <w:rPr>
                <w:rFonts w:eastAsiaTheme="minorEastAsia"/>
                <w:color w:val="000000"/>
                <w:kern w:val="0"/>
                <w:szCs w:val="21"/>
              </w:rPr>
              <w:t>—</w:t>
            </w:r>
          </w:p>
        </w:tc>
        <w:tc>
          <w:tcPr>
            <w:tcW w:w="840" w:type="pct"/>
            <w:shd w:val="clear" w:color="auto" w:fill="auto"/>
            <w:vAlign w:val="center"/>
          </w:tcPr>
          <w:p w14:paraId="38B7A37C">
            <w:pPr>
              <w:widowControl/>
              <w:jc w:val="center"/>
              <w:rPr>
                <w:rFonts w:eastAsiaTheme="minorEastAsia"/>
                <w:kern w:val="0"/>
                <w:szCs w:val="21"/>
              </w:rPr>
            </w:pPr>
            <w:r>
              <w:rPr>
                <w:rFonts w:eastAsiaTheme="minorEastAsia"/>
                <w:color w:val="000000"/>
                <w:kern w:val="0"/>
                <w:szCs w:val="21"/>
              </w:rPr>
              <w:t>—</w:t>
            </w:r>
          </w:p>
        </w:tc>
        <w:tc>
          <w:tcPr>
            <w:tcW w:w="840" w:type="pct"/>
            <w:shd w:val="clear" w:color="auto" w:fill="auto"/>
            <w:vAlign w:val="center"/>
          </w:tcPr>
          <w:p w14:paraId="78079BFE">
            <w:pPr>
              <w:widowControl/>
              <w:jc w:val="center"/>
              <w:rPr>
                <w:rFonts w:eastAsiaTheme="minorEastAsia"/>
                <w:kern w:val="0"/>
                <w:szCs w:val="21"/>
              </w:rPr>
            </w:pPr>
            <w:r>
              <w:rPr>
                <w:rFonts w:eastAsiaTheme="minorEastAsia"/>
                <w:color w:val="000000"/>
                <w:kern w:val="0"/>
                <w:szCs w:val="21"/>
              </w:rPr>
              <w:t>—</w:t>
            </w:r>
          </w:p>
        </w:tc>
      </w:tr>
      <w:tr w14:paraId="1844B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52B23602">
            <w:pPr>
              <w:widowControl/>
              <w:jc w:val="center"/>
              <w:rPr>
                <w:rFonts w:eastAsiaTheme="minorEastAsia"/>
                <w:kern w:val="0"/>
                <w:szCs w:val="21"/>
              </w:rPr>
            </w:pPr>
          </w:p>
        </w:tc>
        <w:tc>
          <w:tcPr>
            <w:tcW w:w="935" w:type="pct"/>
            <w:vMerge w:val="continue"/>
            <w:vAlign w:val="center"/>
          </w:tcPr>
          <w:p w14:paraId="19CED919">
            <w:pPr>
              <w:widowControl/>
              <w:jc w:val="center"/>
              <w:rPr>
                <w:rFonts w:eastAsiaTheme="minorEastAsia"/>
                <w:kern w:val="0"/>
                <w:szCs w:val="21"/>
              </w:rPr>
            </w:pPr>
          </w:p>
        </w:tc>
        <w:tc>
          <w:tcPr>
            <w:tcW w:w="651" w:type="pct"/>
            <w:shd w:val="clear" w:color="auto" w:fill="auto"/>
            <w:vAlign w:val="center"/>
          </w:tcPr>
          <w:p w14:paraId="2F6B5CEA">
            <w:pPr>
              <w:widowControl/>
              <w:jc w:val="center"/>
              <w:rPr>
                <w:rFonts w:eastAsiaTheme="minorEastAsia"/>
                <w:kern w:val="0"/>
                <w:szCs w:val="21"/>
              </w:rPr>
            </w:pPr>
            <w:r>
              <w:rPr>
                <w:rFonts w:eastAsiaTheme="minorEastAsia"/>
                <w:kern w:val="0"/>
                <w:szCs w:val="21"/>
              </w:rPr>
              <w:t>评价结果</w:t>
            </w:r>
          </w:p>
        </w:tc>
        <w:tc>
          <w:tcPr>
            <w:tcW w:w="840" w:type="pct"/>
            <w:shd w:val="clear" w:color="auto" w:fill="auto"/>
            <w:vAlign w:val="center"/>
          </w:tcPr>
          <w:p w14:paraId="44D845C3">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37F931FE">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6DFFA32E">
            <w:pPr>
              <w:widowControl/>
              <w:jc w:val="center"/>
              <w:rPr>
                <w:rFonts w:eastAsiaTheme="minorEastAsia"/>
                <w:kern w:val="0"/>
                <w:szCs w:val="21"/>
              </w:rPr>
            </w:pPr>
            <w:r>
              <w:rPr>
                <w:rFonts w:eastAsiaTheme="minorEastAsia"/>
                <w:color w:val="000000"/>
                <w:kern w:val="0"/>
                <w:szCs w:val="21"/>
              </w:rPr>
              <w:t>达标</w:t>
            </w:r>
          </w:p>
        </w:tc>
      </w:tr>
      <w:tr w14:paraId="0815E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restart"/>
            <w:shd w:val="clear" w:color="auto" w:fill="auto"/>
            <w:vAlign w:val="center"/>
          </w:tcPr>
          <w:p w14:paraId="1ED6213C">
            <w:pPr>
              <w:widowControl/>
              <w:jc w:val="center"/>
              <w:rPr>
                <w:rFonts w:eastAsiaTheme="minorEastAsia"/>
                <w:kern w:val="0"/>
                <w:szCs w:val="21"/>
              </w:rPr>
            </w:pPr>
            <w:r>
              <w:rPr>
                <w:rFonts w:eastAsiaTheme="minorEastAsia"/>
                <w:kern w:val="0"/>
                <w:szCs w:val="21"/>
              </w:rPr>
              <w:t>三氯甲烷</w:t>
            </w:r>
          </w:p>
        </w:tc>
        <w:tc>
          <w:tcPr>
            <w:tcW w:w="935" w:type="pct"/>
            <w:shd w:val="clear" w:color="auto" w:fill="auto"/>
            <w:vAlign w:val="center"/>
          </w:tcPr>
          <w:p w14:paraId="17C5C73A">
            <w:pPr>
              <w:widowControl/>
              <w:jc w:val="center"/>
              <w:rPr>
                <w:rFonts w:eastAsiaTheme="minorEastAsia"/>
                <w:kern w:val="0"/>
                <w:szCs w:val="21"/>
              </w:rPr>
            </w:pPr>
            <w:r>
              <w:rPr>
                <w:rFonts w:eastAsiaTheme="minorEastAsia"/>
                <w:kern w:val="0"/>
                <w:szCs w:val="21"/>
              </w:rPr>
              <w:t>标准值</w:t>
            </w:r>
          </w:p>
        </w:tc>
        <w:tc>
          <w:tcPr>
            <w:tcW w:w="651" w:type="pct"/>
            <w:shd w:val="clear" w:color="auto" w:fill="auto"/>
            <w:vAlign w:val="center"/>
          </w:tcPr>
          <w:p w14:paraId="1978BA0A">
            <w:pPr>
              <w:widowControl/>
              <w:jc w:val="center"/>
              <w:rPr>
                <w:rFonts w:eastAsiaTheme="minorEastAsia"/>
                <w:kern w:val="0"/>
                <w:szCs w:val="21"/>
              </w:rPr>
            </w:pPr>
            <w:r>
              <w:rPr>
                <w:rFonts w:eastAsiaTheme="minorEastAsia"/>
                <w:kern w:val="0"/>
                <w:szCs w:val="21"/>
              </w:rPr>
              <w:t>监测值</w:t>
            </w:r>
          </w:p>
        </w:tc>
        <w:tc>
          <w:tcPr>
            <w:tcW w:w="840" w:type="pct"/>
            <w:shd w:val="clear" w:color="auto" w:fill="auto"/>
            <w:vAlign w:val="center"/>
          </w:tcPr>
          <w:p w14:paraId="4785CD6D">
            <w:pPr>
              <w:widowControl/>
              <w:jc w:val="center"/>
              <w:rPr>
                <w:rFonts w:eastAsiaTheme="minorEastAsia"/>
                <w:kern w:val="0"/>
                <w:szCs w:val="21"/>
              </w:rPr>
            </w:pPr>
            <w:r>
              <w:rPr>
                <w:rFonts w:eastAsiaTheme="minorEastAsia"/>
                <w:color w:val="000000"/>
                <w:kern w:val="0"/>
                <w:szCs w:val="21"/>
              </w:rPr>
              <w:t>1.4L</w:t>
            </w:r>
          </w:p>
        </w:tc>
        <w:tc>
          <w:tcPr>
            <w:tcW w:w="840" w:type="pct"/>
            <w:shd w:val="clear" w:color="auto" w:fill="auto"/>
            <w:vAlign w:val="center"/>
          </w:tcPr>
          <w:p w14:paraId="7326A67C">
            <w:pPr>
              <w:widowControl/>
              <w:jc w:val="center"/>
              <w:rPr>
                <w:rFonts w:eastAsiaTheme="minorEastAsia"/>
                <w:kern w:val="0"/>
                <w:szCs w:val="21"/>
              </w:rPr>
            </w:pPr>
            <w:r>
              <w:rPr>
                <w:rFonts w:eastAsiaTheme="minorEastAsia"/>
                <w:color w:val="000000"/>
                <w:kern w:val="0"/>
                <w:szCs w:val="21"/>
              </w:rPr>
              <w:t>1.4L</w:t>
            </w:r>
          </w:p>
        </w:tc>
        <w:tc>
          <w:tcPr>
            <w:tcW w:w="840" w:type="pct"/>
            <w:shd w:val="clear" w:color="auto" w:fill="auto"/>
            <w:vAlign w:val="center"/>
          </w:tcPr>
          <w:p w14:paraId="2CCDE5B9">
            <w:pPr>
              <w:widowControl/>
              <w:jc w:val="center"/>
              <w:rPr>
                <w:rFonts w:eastAsiaTheme="minorEastAsia"/>
                <w:kern w:val="0"/>
                <w:szCs w:val="21"/>
              </w:rPr>
            </w:pPr>
            <w:r>
              <w:rPr>
                <w:rFonts w:eastAsiaTheme="minorEastAsia"/>
                <w:color w:val="000000"/>
                <w:kern w:val="0"/>
                <w:szCs w:val="21"/>
              </w:rPr>
              <w:t>1.4L</w:t>
            </w:r>
          </w:p>
        </w:tc>
      </w:tr>
      <w:tr w14:paraId="0776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4A5302B1">
            <w:pPr>
              <w:widowControl/>
              <w:jc w:val="center"/>
              <w:rPr>
                <w:rFonts w:eastAsiaTheme="minorEastAsia"/>
                <w:kern w:val="0"/>
                <w:szCs w:val="21"/>
              </w:rPr>
            </w:pPr>
          </w:p>
        </w:tc>
        <w:tc>
          <w:tcPr>
            <w:tcW w:w="935" w:type="pct"/>
            <w:vMerge w:val="restart"/>
            <w:shd w:val="clear" w:color="auto" w:fill="auto"/>
            <w:vAlign w:val="center"/>
          </w:tcPr>
          <w:p w14:paraId="6D9B18DD">
            <w:pPr>
              <w:widowControl/>
              <w:jc w:val="center"/>
              <w:rPr>
                <w:rFonts w:eastAsiaTheme="minorEastAsia"/>
                <w:kern w:val="0"/>
                <w:szCs w:val="21"/>
              </w:rPr>
            </w:pPr>
            <w:r>
              <w:rPr>
                <w:rFonts w:eastAsiaTheme="minorEastAsia"/>
                <w:kern w:val="0"/>
                <w:szCs w:val="21"/>
              </w:rPr>
              <w:t>60µg/L</w:t>
            </w:r>
          </w:p>
        </w:tc>
        <w:tc>
          <w:tcPr>
            <w:tcW w:w="651" w:type="pct"/>
            <w:shd w:val="clear" w:color="auto" w:fill="auto"/>
            <w:vAlign w:val="center"/>
          </w:tcPr>
          <w:p w14:paraId="7215CAF2">
            <w:pPr>
              <w:widowControl/>
              <w:jc w:val="center"/>
              <w:rPr>
                <w:rFonts w:eastAsiaTheme="minorEastAsia"/>
                <w:kern w:val="0"/>
                <w:szCs w:val="21"/>
              </w:rPr>
            </w:pPr>
            <w:r>
              <w:rPr>
                <w:rFonts w:eastAsiaTheme="minorEastAsia"/>
                <w:kern w:val="0"/>
                <w:szCs w:val="21"/>
              </w:rPr>
              <w:t>标准指数</w:t>
            </w:r>
          </w:p>
        </w:tc>
        <w:tc>
          <w:tcPr>
            <w:tcW w:w="840" w:type="pct"/>
            <w:shd w:val="clear" w:color="auto" w:fill="auto"/>
            <w:vAlign w:val="center"/>
          </w:tcPr>
          <w:p w14:paraId="49179F13">
            <w:pPr>
              <w:widowControl/>
              <w:jc w:val="center"/>
              <w:rPr>
                <w:rFonts w:eastAsiaTheme="minorEastAsia"/>
                <w:kern w:val="0"/>
                <w:szCs w:val="21"/>
              </w:rPr>
            </w:pPr>
            <w:r>
              <w:rPr>
                <w:rFonts w:eastAsiaTheme="minorEastAsia"/>
                <w:color w:val="000000"/>
                <w:kern w:val="0"/>
                <w:szCs w:val="21"/>
              </w:rPr>
              <w:t>—</w:t>
            </w:r>
          </w:p>
        </w:tc>
        <w:tc>
          <w:tcPr>
            <w:tcW w:w="840" w:type="pct"/>
            <w:shd w:val="clear" w:color="auto" w:fill="auto"/>
            <w:vAlign w:val="center"/>
          </w:tcPr>
          <w:p w14:paraId="2A3E6ACE">
            <w:pPr>
              <w:widowControl/>
              <w:jc w:val="center"/>
              <w:rPr>
                <w:rFonts w:eastAsiaTheme="minorEastAsia"/>
                <w:kern w:val="0"/>
                <w:szCs w:val="21"/>
              </w:rPr>
            </w:pPr>
            <w:r>
              <w:rPr>
                <w:rFonts w:eastAsiaTheme="minorEastAsia"/>
                <w:color w:val="000000"/>
                <w:kern w:val="0"/>
                <w:szCs w:val="21"/>
              </w:rPr>
              <w:t>—</w:t>
            </w:r>
          </w:p>
        </w:tc>
        <w:tc>
          <w:tcPr>
            <w:tcW w:w="840" w:type="pct"/>
            <w:shd w:val="clear" w:color="auto" w:fill="auto"/>
            <w:vAlign w:val="center"/>
          </w:tcPr>
          <w:p w14:paraId="37941E94">
            <w:pPr>
              <w:widowControl/>
              <w:jc w:val="center"/>
              <w:rPr>
                <w:rFonts w:eastAsiaTheme="minorEastAsia"/>
                <w:kern w:val="0"/>
                <w:szCs w:val="21"/>
              </w:rPr>
            </w:pPr>
            <w:r>
              <w:rPr>
                <w:rFonts w:eastAsiaTheme="minorEastAsia"/>
                <w:color w:val="000000"/>
                <w:kern w:val="0"/>
                <w:szCs w:val="21"/>
              </w:rPr>
              <w:t>—</w:t>
            </w:r>
          </w:p>
        </w:tc>
      </w:tr>
      <w:tr w14:paraId="783AD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5DB70CF1">
            <w:pPr>
              <w:widowControl/>
              <w:jc w:val="center"/>
              <w:rPr>
                <w:rFonts w:eastAsiaTheme="minorEastAsia"/>
                <w:kern w:val="0"/>
                <w:szCs w:val="21"/>
              </w:rPr>
            </w:pPr>
          </w:p>
        </w:tc>
        <w:tc>
          <w:tcPr>
            <w:tcW w:w="935" w:type="pct"/>
            <w:vMerge w:val="continue"/>
            <w:vAlign w:val="center"/>
          </w:tcPr>
          <w:p w14:paraId="52785590">
            <w:pPr>
              <w:widowControl/>
              <w:jc w:val="center"/>
              <w:rPr>
                <w:rFonts w:eastAsiaTheme="minorEastAsia"/>
                <w:kern w:val="0"/>
                <w:szCs w:val="21"/>
              </w:rPr>
            </w:pPr>
          </w:p>
        </w:tc>
        <w:tc>
          <w:tcPr>
            <w:tcW w:w="651" w:type="pct"/>
            <w:shd w:val="clear" w:color="auto" w:fill="auto"/>
            <w:vAlign w:val="center"/>
          </w:tcPr>
          <w:p w14:paraId="6D77513F">
            <w:pPr>
              <w:widowControl/>
              <w:jc w:val="center"/>
              <w:rPr>
                <w:rFonts w:eastAsiaTheme="minorEastAsia"/>
                <w:kern w:val="0"/>
                <w:szCs w:val="21"/>
              </w:rPr>
            </w:pPr>
            <w:r>
              <w:rPr>
                <w:rFonts w:eastAsiaTheme="minorEastAsia"/>
                <w:kern w:val="0"/>
                <w:szCs w:val="21"/>
              </w:rPr>
              <w:t>评价结果</w:t>
            </w:r>
          </w:p>
        </w:tc>
        <w:tc>
          <w:tcPr>
            <w:tcW w:w="840" w:type="pct"/>
            <w:shd w:val="clear" w:color="auto" w:fill="auto"/>
            <w:vAlign w:val="center"/>
          </w:tcPr>
          <w:p w14:paraId="1574D939">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3EBE1295">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1CDBC4C8">
            <w:pPr>
              <w:widowControl/>
              <w:jc w:val="center"/>
              <w:rPr>
                <w:rFonts w:eastAsiaTheme="minorEastAsia"/>
                <w:kern w:val="0"/>
                <w:szCs w:val="21"/>
              </w:rPr>
            </w:pPr>
            <w:r>
              <w:rPr>
                <w:rFonts w:eastAsiaTheme="minorEastAsia"/>
                <w:color w:val="000000"/>
                <w:kern w:val="0"/>
                <w:szCs w:val="21"/>
              </w:rPr>
              <w:t>达标</w:t>
            </w:r>
          </w:p>
        </w:tc>
      </w:tr>
      <w:tr w14:paraId="70035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restart"/>
            <w:shd w:val="clear" w:color="auto" w:fill="auto"/>
            <w:vAlign w:val="center"/>
          </w:tcPr>
          <w:p w14:paraId="0393261F">
            <w:pPr>
              <w:widowControl/>
              <w:jc w:val="center"/>
              <w:rPr>
                <w:rFonts w:eastAsiaTheme="minorEastAsia"/>
                <w:kern w:val="0"/>
                <w:szCs w:val="21"/>
              </w:rPr>
            </w:pPr>
            <w:r>
              <w:rPr>
                <w:rFonts w:eastAsiaTheme="minorEastAsia"/>
                <w:kern w:val="0"/>
                <w:szCs w:val="21"/>
              </w:rPr>
              <w:t>四氯化碳</w:t>
            </w:r>
          </w:p>
        </w:tc>
        <w:tc>
          <w:tcPr>
            <w:tcW w:w="935" w:type="pct"/>
            <w:shd w:val="clear" w:color="auto" w:fill="auto"/>
            <w:vAlign w:val="center"/>
          </w:tcPr>
          <w:p w14:paraId="3F2A2457">
            <w:pPr>
              <w:widowControl/>
              <w:jc w:val="center"/>
              <w:rPr>
                <w:rFonts w:eastAsiaTheme="minorEastAsia"/>
                <w:kern w:val="0"/>
                <w:szCs w:val="21"/>
              </w:rPr>
            </w:pPr>
            <w:r>
              <w:rPr>
                <w:rFonts w:eastAsiaTheme="minorEastAsia"/>
                <w:kern w:val="0"/>
                <w:szCs w:val="21"/>
              </w:rPr>
              <w:t>标准值</w:t>
            </w:r>
          </w:p>
        </w:tc>
        <w:tc>
          <w:tcPr>
            <w:tcW w:w="651" w:type="pct"/>
            <w:shd w:val="clear" w:color="auto" w:fill="auto"/>
            <w:vAlign w:val="center"/>
          </w:tcPr>
          <w:p w14:paraId="4EC0F678">
            <w:pPr>
              <w:widowControl/>
              <w:jc w:val="center"/>
              <w:rPr>
                <w:rFonts w:eastAsiaTheme="minorEastAsia"/>
                <w:kern w:val="0"/>
                <w:szCs w:val="21"/>
              </w:rPr>
            </w:pPr>
            <w:r>
              <w:rPr>
                <w:rFonts w:eastAsiaTheme="minorEastAsia"/>
                <w:kern w:val="0"/>
                <w:szCs w:val="21"/>
              </w:rPr>
              <w:t>监测值</w:t>
            </w:r>
          </w:p>
        </w:tc>
        <w:tc>
          <w:tcPr>
            <w:tcW w:w="840" w:type="pct"/>
            <w:shd w:val="clear" w:color="auto" w:fill="auto"/>
            <w:vAlign w:val="center"/>
          </w:tcPr>
          <w:p w14:paraId="5BBC43C4">
            <w:pPr>
              <w:widowControl/>
              <w:jc w:val="center"/>
              <w:rPr>
                <w:rFonts w:eastAsiaTheme="minorEastAsia"/>
                <w:kern w:val="0"/>
                <w:szCs w:val="21"/>
              </w:rPr>
            </w:pPr>
            <w:r>
              <w:rPr>
                <w:rFonts w:eastAsiaTheme="minorEastAsia"/>
                <w:color w:val="000000"/>
                <w:kern w:val="0"/>
                <w:szCs w:val="21"/>
              </w:rPr>
              <w:t>1.5L</w:t>
            </w:r>
          </w:p>
        </w:tc>
        <w:tc>
          <w:tcPr>
            <w:tcW w:w="840" w:type="pct"/>
            <w:shd w:val="clear" w:color="auto" w:fill="auto"/>
            <w:vAlign w:val="center"/>
          </w:tcPr>
          <w:p w14:paraId="60809ECD">
            <w:pPr>
              <w:widowControl/>
              <w:jc w:val="center"/>
              <w:rPr>
                <w:rFonts w:eastAsiaTheme="minorEastAsia"/>
                <w:kern w:val="0"/>
                <w:szCs w:val="21"/>
              </w:rPr>
            </w:pPr>
            <w:r>
              <w:rPr>
                <w:rFonts w:eastAsiaTheme="minorEastAsia"/>
                <w:color w:val="000000"/>
                <w:kern w:val="0"/>
                <w:szCs w:val="21"/>
              </w:rPr>
              <w:t>1.5L</w:t>
            </w:r>
          </w:p>
        </w:tc>
        <w:tc>
          <w:tcPr>
            <w:tcW w:w="840" w:type="pct"/>
            <w:shd w:val="clear" w:color="auto" w:fill="auto"/>
            <w:vAlign w:val="center"/>
          </w:tcPr>
          <w:p w14:paraId="41590E31">
            <w:pPr>
              <w:widowControl/>
              <w:jc w:val="center"/>
              <w:rPr>
                <w:rFonts w:eastAsiaTheme="minorEastAsia"/>
                <w:kern w:val="0"/>
                <w:szCs w:val="21"/>
              </w:rPr>
            </w:pPr>
            <w:r>
              <w:rPr>
                <w:rFonts w:eastAsiaTheme="minorEastAsia"/>
                <w:color w:val="000000"/>
                <w:kern w:val="0"/>
                <w:szCs w:val="21"/>
              </w:rPr>
              <w:t>1.5L</w:t>
            </w:r>
          </w:p>
        </w:tc>
      </w:tr>
      <w:tr w14:paraId="73E69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4BE4105F">
            <w:pPr>
              <w:widowControl/>
              <w:jc w:val="center"/>
              <w:rPr>
                <w:rFonts w:eastAsiaTheme="minorEastAsia"/>
                <w:kern w:val="0"/>
                <w:szCs w:val="21"/>
              </w:rPr>
            </w:pPr>
          </w:p>
        </w:tc>
        <w:tc>
          <w:tcPr>
            <w:tcW w:w="935" w:type="pct"/>
            <w:vMerge w:val="restart"/>
            <w:shd w:val="clear" w:color="auto" w:fill="auto"/>
            <w:vAlign w:val="center"/>
          </w:tcPr>
          <w:p w14:paraId="0754DFC3">
            <w:pPr>
              <w:widowControl/>
              <w:jc w:val="center"/>
              <w:rPr>
                <w:rFonts w:eastAsiaTheme="minorEastAsia"/>
                <w:kern w:val="0"/>
                <w:szCs w:val="21"/>
              </w:rPr>
            </w:pPr>
            <w:r>
              <w:rPr>
                <w:rFonts w:eastAsiaTheme="minorEastAsia"/>
                <w:kern w:val="0"/>
                <w:szCs w:val="21"/>
              </w:rPr>
              <w:t>2µg/L</w:t>
            </w:r>
          </w:p>
        </w:tc>
        <w:tc>
          <w:tcPr>
            <w:tcW w:w="651" w:type="pct"/>
            <w:shd w:val="clear" w:color="auto" w:fill="auto"/>
            <w:vAlign w:val="center"/>
          </w:tcPr>
          <w:p w14:paraId="5E18E7BF">
            <w:pPr>
              <w:widowControl/>
              <w:jc w:val="center"/>
              <w:rPr>
                <w:rFonts w:eastAsiaTheme="minorEastAsia"/>
                <w:kern w:val="0"/>
                <w:szCs w:val="21"/>
              </w:rPr>
            </w:pPr>
            <w:r>
              <w:rPr>
                <w:rFonts w:eastAsiaTheme="minorEastAsia"/>
                <w:kern w:val="0"/>
                <w:szCs w:val="21"/>
              </w:rPr>
              <w:t>标准指数</w:t>
            </w:r>
          </w:p>
        </w:tc>
        <w:tc>
          <w:tcPr>
            <w:tcW w:w="840" w:type="pct"/>
            <w:shd w:val="clear" w:color="auto" w:fill="auto"/>
            <w:vAlign w:val="center"/>
          </w:tcPr>
          <w:p w14:paraId="7C7F7528">
            <w:pPr>
              <w:widowControl/>
              <w:jc w:val="center"/>
              <w:rPr>
                <w:rFonts w:eastAsiaTheme="minorEastAsia"/>
                <w:kern w:val="0"/>
                <w:szCs w:val="21"/>
              </w:rPr>
            </w:pPr>
            <w:r>
              <w:rPr>
                <w:rFonts w:eastAsiaTheme="minorEastAsia"/>
                <w:color w:val="000000"/>
                <w:kern w:val="0"/>
                <w:szCs w:val="21"/>
              </w:rPr>
              <w:t>—</w:t>
            </w:r>
          </w:p>
        </w:tc>
        <w:tc>
          <w:tcPr>
            <w:tcW w:w="840" w:type="pct"/>
            <w:shd w:val="clear" w:color="auto" w:fill="auto"/>
            <w:vAlign w:val="center"/>
          </w:tcPr>
          <w:p w14:paraId="40BE7984">
            <w:pPr>
              <w:widowControl/>
              <w:jc w:val="center"/>
              <w:rPr>
                <w:rFonts w:eastAsiaTheme="minorEastAsia"/>
                <w:kern w:val="0"/>
                <w:szCs w:val="21"/>
              </w:rPr>
            </w:pPr>
            <w:r>
              <w:rPr>
                <w:rFonts w:eastAsiaTheme="minorEastAsia"/>
                <w:color w:val="000000"/>
                <w:kern w:val="0"/>
                <w:szCs w:val="21"/>
              </w:rPr>
              <w:t>—</w:t>
            </w:r>
          </w:p>
        </w:tc>
        <w:tc>
          <w:tcPr>
            <w:tcW w:w="840" w:type="pct"/>
            <w:shd w:val="clear" w:color="auto" w:fill="auto"/>
            <w:vAlign w:val="center"/>
          </w:tcPr>
          <w:p w14:paraId="66488BB3">
            <w:pPr>
              <w:widowControl/>
              <w:jc w:val="center"/>
              <w:rPr>
                <w:rFonts w:eastAsiaTheme="minorEastAsia"/>
                <w:kern w:val="0"/>
                <w:szCs w:val="21"/>
              </w:rPr>
            </w:pPr>
            <w:r>
              <w:rPr>
                <w:rFonts w:eastAsiaTheme="minorEastAsia"/>
                <w:color w:val="000000"/>
                <w:kern w:val="0"/>
                <w:szCs w:val="21"/>
              </w:rPr>
              <w:t>—</w:t>
            </w:r>
          </w:p>
        </w:tc>
      </w:tr>
      <w:tr w14:paraId="7BCAA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7099678E">
            <w:pPr>
              <w:widowControl/>
              <w:jc w:val="center"/>
              <w:rPr>
                <w:rFonts w:eastAsiaTheme="minorEastAsia"/>
                <w:kern w:val="0"/>
                <w:szCs w:val="21"/>
              </w:rPr>
            </w:pPr>
          </w:p>
        </w:tc>
        <w:tc>
          <w:tcPr>
            <w:tcW w:w="935" w:type="pct"/>
            <w:vMerge w:val="continue"/>
            <w:vAlign w:val="center"/>
          </w:tcPr>
          <w:p w14:paraId="482694D1">
            <w:pPr>
              <w:widowControl/>
              <w:jc w:val="center"/>
              <w:rPr>
                <w:rFonts w:eastAsiaTheme="minorEastAsia"/>
                <w:kern w:val="0"/>
                <w:szCs w:val="21"/>
              </w:rPr>
            </w:pPr>
          </w:p>
        </w:tc>
        <w:tc>
          <w:tcPr>
            <w:tcW w:w="651" w:type="pct"/>
            <w:shd w:val="clear" w:color="auto" w:fill="auto"/>
            <w:vAlign w:val="center"/>
          </w:tcPr>
          <w:p w14:paraId="0B27F4DD">
            <w:pPr>
              <w:widowControl/>
              <w:jc w:val="center"/>
              <w:rPr>
                <w:rFonts w:eastAsiaTheme="minorEastAsia"/>
                <w:kern w:val="0"/>
                <w:szCs w:val="21"/>
              </w:rPr>
            </w:pPr>
            <w:r>
              <w:rPr>
                <w:rFonts w:eastAsiaTheme="minorEastAsia"/>
                <w:kern w:val="0"/>
                <w:szCs w:val="21"/>
              </w:rPr>
              <w:t>评价结果</w:t>
            </w:r>
          </w:p>
        </w:tc>
        <w:tc>
          <w:tcPr>
            <w:tcW w:w="840" w:type="pct"/>
            <w:shd w:val="clear" w:color="auto" w:fill="auto"/>
            <w:vAlign w:val="center"/>
          </w:tcPr>
          <w:p w14:paraId="16E97B15">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1623A255">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70175837">
            <w:pPr>
              <w:widowControl/>
              <w:jc w:val="center"/>
              <w:rPr>
                <w:rFonts w:eastAsiaTheme="minorEastAsia"/>
                <w:kern w:val="0"/>
                <w:szCs w:val="21"/>
              </w:rPr>
            </w:pPr>
            <w:r>
              <w:rPr>
                <w:rFonts w:eastAsiaTheme="minorEastAsia"/>
                <w:color w:val="000000"/>
                <w:kern w:val="0"/>
                <w:szCs w:val="21"/>
              </w:rPr>
              <w:t>达标</w:t>
            </w:r>
          </w:p>
        </w:tc>
      </w:tr>
      <w:tr w14:paraId="076EE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restart"/>
            <w:shd w:val="clear" w:color="auto" w:fill="auto"/>
            <w:vAlign w:val="center"/>
          </w:tcPr>
          <w:p w14:paraId="27E29CC3">
            <w:pPr>
              <w:widowControl/>
              <w:jc w:val="center"/>
              <w:rPr>
                <w:rFonts w:eastAsiaTheme="minorEastAsia"/>
                <w:kern w:val="0"/>
                <w:szCs w:val="21"/>
              </w:rPr>
            </w:pPr>
            <w:r>
              <w:rPr>
                <w:rFonts w:eastAsiaTheme="minorEastAsia"/>
                <w:kern w:val="0"/>
                <w:szCs w:val="21"/>
              </w:rPr>
              <w:t>苯</w:t>
            </w:r>
          </w:p>
        </w:tc>
        <w:tc>
          <w:tcPr>
            <w:tcW w:w="935" w:type="pct"/>
            <w:shd w:val="clear" w:color="auto" w:fill="auto"/>
            <w:vAlign w:val="center"/>
          </w:tcPr>
          <w:p w14:paraId="3BA4AD4C">
            <w:pPr>
              <w:widowControl/>
              <w:jc w:val="center"/>
              <w:rPr>
                <w:rFonts w:eastAsiaTheme="minorEastAsia"/>
                <w:kern w:val="0"/>
                <w:szCs w:val="21"/>
              </w:rPr>
            </w:pPr>
            <w:r>
              <w:rPr>
                <w:rFonts w:eastAsiaTheme="minorEastAsia"/>
                <w:kern w:val="0"/>
                <w:szCs w:val="21"/>
              </w:rPr>
              <w:t>标准值</w:t>
            </w:r>
          </w:p>
        </w:tc>
        <w:tc>
          <w:tcPr>
            <w:tcW w:w="651" w:type="pct"/>
            <w:shd w:val="clear" w:color="auto" w:fill="auto"/>
            <w:vAlign w:val="center"/>
          </w:tcPr>
          <w:p w14:paraId="379908E3">
            <w:pPr>
              <w:widowControl/>
              <w:jc w:val="center"/>
              <w:rPr>
                <w:rFonts w:eastAsiaTheme="minorEastAsia"/>
                <w:kern w:val="0"/>
                <w:szCs w:val="21"/>
              </w:rPr>
            </w:pPr>
            <w:r>
              <w:rPr>
                <w:rFonts w:eastAsiaTheme="minorEastAsia"/>
                <w:kern w:val="0"/>
                <w:szCs w:val="21"/>
              </w:rPr>
              <w:t>监测值</w:t>
            </w:r>
          </w:p>
        </w:tc>
        <w:tc>
          <w:tcPr>
            <w:tcW w:w="840" w:type="pct"/>
            <w:shd w:val="clear" w:color="auto" w:fill="auto"/>
            <w:vAlign w:val="center"/>
          </w:tcPr>
          <w:p w14:paraId="04F6C2DC">
            <w:pPr>
              <w:widowControl/>
              <w:jc w:val="center"/>
              <w:rPr>
                <w:rFonts w:eastAsiaTheme="minorEastAsia"/>
                <w:kern w:val="0"/>
                <w:szCs w:val="21"/>
              </w:rPr>
            </w:pPr>
            <w:r>
              <w:rPr>
                <w:rFonts w:eastAsiaTheme="minorEastAsia"/>
                <w:color w:val="000000"/>
                <w:kern w:val="0"/>
                <w:szCs w:val="21"/>
              </w:rPr>
              <w:t>1.4L</w:t>
            </w:r>
          </w:p>
        </w:tc>
        <w:tc>
          <w:tcPr>
            <w:tcW w:w="840" w:type="pct"/>
            <w:shd w:val="clear" w:color="auto" w:fill="auto"/>
            <w:vAlign w:val="center"/>
          </w:tcPr>
          <w:p w14:paraId="099E35F6">
            <w:pPr>
              <w:widowControl/>
              <w:jc w:val="center"/>
              <w:rPr>
                <w:rFonts w:eastAsiaTheme="minorEastAsia"/>
                <w:kern w:val="0"/>
                <w:szCs w:val="21"/>
              </w:rPr>
            </w:pPr>
            <w:r>
              <w:rPr>
                <w:rFonts w:eastAsiaTheme="minorEastAsia"/>
                <w:color w:val="000000"/>
                <w:kern w:val="0"/>
                <w:szCs w:val="21"/>
              </w:rPr>
              <w:t>1.4L</w:t>
            </w:r>
          </w:p>
        </w:tc>
        <w:tc>
          <w:tcPr>
            <w:tcW w:w="840" w:type="pct"/>
            <w:shd w:val="clear" w:color="auto" w:fill="auto"/>
            <w:vAlign w:val="center"/>
          </w:tcPr>
          <w:p w14:paraId="1588CF26">
            <w:pPr>
              <w:widowControl/>
              <w:jc w:val="center"/>
              <w:rPr>
                <w:rFonts w:eastAsiaTheme="minorEastAsia"/>
                <w:kern w:val="0"/>
                <w:szCs w:val="21"/>
              </w:rPr>
            </w:pPr>
            <w:r>
              <w:rPr>
                <w:rFonts w:eastAsiaTheme="minorEastAsia"/>
                <w:color w:val="000000"/>
                <w:kern w:val="0"/>
                <w:szCs w:val="21"/>
              </w:rPr>
              <w:t>1.4L</w:t>
            </w:r>
          </w:p>
        </w:tc>
      </w:tr>
      <w:tr w14:paraId="0DF8E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4416CD85">
            <w:pPr>
              <w:widowControl/>
              <w:jc w:val="center"/>
              <w:rPr>
                <w:rFonts w:eastAsiaTheme="minorEastAsia"/>
                <w:kern w:val="0"/>
                <w:szCs w:val="21"/>
              </w:rPr>
            </w:pPr>
          </w:p>
        </w:tc>
        <w:tc>
          <w:tcPr>
            <w:tcW w:w="935" w:type="pct"/>
            <w:vMerge w:val="restart"/>
            <w:shd w:val="clear" w:color="auto" w:fill="auto"/>
            <w:vAlign w:val="center"/>
          </w:tcPr>
          <w:p w14:paraId="39D73EC2">
            <w:pPr>
              <w:widowControl/>
              <w:jc w:val="center"/>
              <w:rPr>
                <w:rFonts w:eastAsiaTheme="minorEastAsia"/>
                <w:kern w:val="0"/>
                <w:szCs w:val="21"/>
              </w:rPr>
            </w:pPr>
            <w:r>
              <w:rPr>
                <w:rFonts w:eastAsiaTheme="minorEastAsia"/>
                <w:kern w:val="0"/>
                <w:szCs w:val="21"/>
              </w:rPr>
              <w:t>10µg/L</w:t>
            </w:r>
          </w:p>
        </w:tc>
        <w:tc>
          <w:tcPr>
            <w:tcW w:w="651" w:type="pct"/>
            <w:shd w:val="clear" w:color="auto" w:fill="auto"/>
            <w:vAlign w:val="center"/>
          </w:tcPr>
          <w:p w14:paraId="118F7158">
            <w:pPr>
              <w:widowControl/>
              <w:jc w:val="center"/>
              <w:rPr>
                <w:rFonts w:eastAsiaTheme="minorEastAsia"/>
                <w:kern w:val="0"/>
                <w:szCs w:val="21"/>
              </w:rPr>
            </w:pPr>
            <w:r>
              <w:rPr>
                <w:rFonts w:eastAsiaTheme="minorEastAsia"/>
                <w:kern w:val="0"/>
                <w:szCs w:val="21"/>
              </w:rPr>
              <w:t>标准指数</w:t>
            </w:r>
          </w:p>
        </w:tc>
        <w:tc>
          <w:tcPr>
            <w:tcW w:w="840" w:type="pct"/>
            <w:shd w:val="clear" w:color="auto" w:fill="auto"/>
            <w:vAlign w:val="center"/>
          </w:tcPr>
          <w:p w14:paraId="46FC00C7">
            <w:pPr>
              <w:widowControl/>
              <w:jc w:val="center"/>
              <w:rPr>
                <w:rFonts w:eastAsiaTheme="minorEastAsia"/>
                <w:kern w:val="0"/>
                <w:szCs w:val="21"/>
              </w:rPr>
            </w:pPr>
            <w:r>
              <w:rPr>
                <w:rFonts w:eastAsiaTheme="minorEastAsia"/>
                <w:color w:val="000000"/>
                <w:kern w:val="0"/>
                <w:szCs w:val="21"/>
              </w:rPr>
              <w:t>—</w:t>
            </w:r>
          </w:p>
        </w:tc>
        <w:tc>
          <w:tcPr>
            <w:tcW w:w="840" w:type="pct"/>
            <w:shd w:val="clear" w:color="auto" w:fill="auto"/>
            <w:vAlign w:val="center"/>
          </w:tcPr>
          <w:p w14:paraId="4CB6BAE4">
            <w:pPr>
              <w:widowControl/>
              <w:jc w:val="center"/>
              <w:rPr>
                <w:rFonts w:eastAsiaTheme="minorEastAsia"/>
                <w:kern w:val="0"/>
                <w:szCs w:val="21"/>
              </w:rPr>
            </w:pPr>
            <w:r>
              <w:rPr>
                <w:rFonts w:eastAsiaTheme="minorEastAsia"/>
                <w:color w:val="000000"/>
                <w:kern w:val="0"/>
                <w:szCs w:val="21"/>
              </w:rPr>
              <w:t>—</w:t>
            </w:r>
          </w:p>
        </w:tc>
        <w:tc>
          <w:tcPr>
            <w:tcW w:w="840" w:type="pct"/>
            <w:shd w:val="clear" w:color="auto" w:fill="auto"/>
            <w:vAlign w:val="center"/>
          </w:tcPr>
          <w:p w14:paraId="192CAC8D">
            <w:pPr>
              <w:widowControl/>
              <w:jc w:val="center"/>
              <w:rPr>
                <w:rFonts w:eastAsiaTheme="minorEastAsia"/>
                <w:kern w:val="0"/>
                <w:szCs w:val="21"/>
              </w:rPr>
            </w:pPr>
            <w:r>
              <w:rPr>
                <w:rFonts w:eastAsiaTheme="minorEastAsia"/>
                <w:color w:val="000000"/>
                <w:kern w:val="0"/>
                <w:szCs w:val="21"/>
              </w:rPr>
              <w:t>—</w:t>
            </w:r>
          </w:p>
        </w:tc>
      </w:tr>
      <w:tr w14:paraId="6C0AE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1FBE4026">
            <w:pPr>
              <w:widowControl/>
              <w:jc w:val="center"/>
              <w:rPr>
                <w:rFonts w:eastAsiaTheme="minorEastAsia"/>
                <w:kern w:val="0"/>
                <w:szCs w:val="21"/>
              </w:rPr>
            </w:pPr>
          </w:p>
        </w:tc>
        <w:tc>
          <w:tcPr>
            <w:tcW w:w="935" w:type="pct"/>
            <w:vMerge w:val="continue"/>
            <w:vAlign w:val="center"/>
          </w:tcPr>
          <w:p w14:paraId="60AFC50C">
            <w:pPr>
              <w:widowControl/>
              <w:jc w:val="center"/>
              <w:rPr>
                <w:rFonts w:eastAsiaTheme="minorEastAsia"/>
                <w:kern w:val="0"/>
                <w:szCs w:val="21"/>
              </w:rPr>
            </w:pPr>
          </w:p>
        </w:tc>
        <w:tc>
          <w:tcPr>
            <w:tcW w:w="651" w:type="pct"/>
            <w:shd w:val="clear" w:color="auto" w:fill="auto"/>
            <w:vAlign w:val="center"/>
          </w:tcPr>
          <w:p w14:paraId="522755FE">
            <w:pPr>
              <w:widowControl/>
              <w:jc w:val="center"/>
              <w:rPr>
                <w:rFonts w:eastAsiaTheme="minorEastAsia"/>
                <w:kern w:val="0"/>
                <w:szCs w:val="21"/>
              </w:rPr>
            </w:pPr>
            <w:r>
              <w:rPr>
                <w:rFonts w:eastAsiaTheme="minorEastAsia"/>
                <w:kern w:val="0"/>
                <w:szCs w:val="21"/>
              </w:rPr>
              <w:t>评价结果</w:t>
            </w:r>
          </w:p>
        </w:tc>
        <w:tc>
          <w:tcPr>
            <w:tcW w:w="840" w:type="pct"/>
            <w:shd w:val="clear" w:color="auto" w:fill="auto"/>
            <w:vAlign w:val="center"/>
          </w:tcPr>
          <w:p w14:paraId="4A1ADC0C">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03788BFC">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429EEAEF">
            <w:pPr>
              <w:widowControl/>
              <w:jc w:val="center"/>
              <w:rPr>
                <w:rFonts w:eastAsiaTheme="minorEastAsia"/>
                <w:kern w:val="0"/>
                <w:szCs w:val="21"/>
              </w:rPr>
            </w:pPr>
            <w:r>
              <w:rPr>
                <w:rFonts w:eastAsiaTheme="minorEastAsia"/>
                <w:color w:val="000000"/>
                <w:kern w:val="0"/>
                <w:szCs w:val="21"/>
              </w:rPr>
              <w:t>达标</w:t>
            </w:r>
          </w:p>
        </w:tc>
      </w:tr>
      <w:tr w14:paraId="16458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restart"/>
            <w:shd w:val="clear" w:color="auto" w:fill="auto"/>
            <w:vAlign w:val="center"/>
          </w:tcPr>
          <w:p w14:paraId="7A505BB4">
            <w:pPr>
              <w:widowControl/>
              <w:jc w:val="center"/>
              <w:rPr>
                <w:rFonts w:eastAsiaTheme="minorEastAsia"/>
                <w:kern w:val="0"/>
                <w:szCs w:val="21"/>
              </w:rPr>
            </w:pPr>
            <w:r>
              <w:rPr>
                <w:rFonts w:eastAsiaTheme="minorEastAsia"/>
                <w:kern w:val="0"/>
                <w:szCs w:val="21"/>
              </w:rPr>
              <w:t>甲苯</w:t>
            </w:r>
          </w:p>
        </w:tc>
        <w:tc>
          <w:tcPr>
            <w:tcW w:w="935" w:type="pct"/>
            <w:shd w:val="clear" w:color="auto" w:fill="auto"/>
            <w:vAlign w:val="center"/>
          </w:tcPr>
          <w:p w14:paraId="77DB10FB">
            <w:pPr>
              <w:widowControl/>
              <w:jc w:val="center"/>
              <w:rPr>
                <w:rFonts w:eastAsiaTheme="minorEastAsia"/>
                <w:kern w:val="0"/>
                <w:szCs w:val="21"/>
              </w:rPr>
            </w:pPr>
            <w:r>
              <w:rPr>
                <w:rFonts w:eastAsiaTheme="minorEastAsia"/>
                <w:kern w:val="0"/>
                <w:szCs w:val="21"/>
              </w:rPr>
              <w:t>标准值</w:t>
            </w:r>
          </w:p>
        </w:tc>
        <w:tc>
          <w:tcPr>
            <w:tcW w:w="651" w:type="pct"/>
            <w:shd w:val="clear" w:color="auto" w:fill="auto"/>
            <w:vAlign w:val="center"/>
          </w:tcPr>
          <w:p w14:paraId="2A27727C">
            <w:pPr>
              <w:widowControl/>
              <w:jc w:val="center"/>
              <w:rPr>
                <w:rFonts w:eastAsiaTheme="minorEastAsia"/>
                <w:kern w:val="0"/>
                <w:szCs w:val="21"/>
              </w:rPr>
            </w:pPr>
            <w:r>
              <w:rPr>
                <w:rFonts w:eastAsiaTheme="minorEastAsia"/>
                <w:kern w:val="0"/>
                <w:szCs w:val="21"/>
              </w:rPr>
              <w:t>监测值</w:t>
            </w:r>
          </w:p>
        </w:tc>
        <w:tc>
          <w:tcPr>
            <w:tcW w:w="840" w:type="pct"/>
            <w:shd w:val="clear" w:color="auto" w:fill="auto"/>
            <w:vAlign w:val="center"/>
          </w:tcPr>
          <w:p w14:paraId="465FB7EB">
            <w:pPr>
              <w:widowControl/>
              <w:jc w:val="center"/>
              <w:rPr>
                <w:rFonts w:eastAsiaTheme="minorEastAsia"/>
                <w:kern w:val="0"/>
                <w:szCs w:val="21"/>
              </w:rPr>
            </w:pPr>
            <w:r>
              <w:rPr>
                <w:rFonts w:eastAsiaTheme="minorEastAsia"/>
                <w:color w:val="000000"/>
                <w:kern w:val="0"/>
                <w:szCs w:val="21"/>
              </w:rPr>
              <w:t>1.4L</w:t>
            </w:r>
          </w:p>
        </w:tc>
        <w:tc>
          <w:tcPr>
            <w:tcW w:w="840" w:type="pct"/>
            <w:shd w:val="clear" w:color="auto" w:fill="auto"/>
            <w:vAlign w:val="center"/>
          </w:tcPr>
          <w:p w14:paraId="611F870A">
            <w:pPr>
              <w:widowControl/>
              <w:jc w:val="center"/>
              <w:rPr>
                <w:rFonts w:eastAsiaTheme="minorEastAsia"/>
                <w:kern w:val="0"/>
                <w:szCs w:val="21"/>
              </w:rPr>
            </w:pPr>
            <w:r>
              <w:rPr>
                <w:rFonts w:eastAsiaTheme="minorEastAsia"/>
                <w:color w:val="000000"/>
                <w:kern w:val="0"/>
                <w:szCs w:val="21"/>
              </w:rPr>
              <w:t>1.4L</w:t>
            </w:r>
          </w:p>
        </w:tc>
        <w:tc>
          <w:tcPr>
            <w:tcW w:w="840" w:type="pct"/>
            <w:shd w:val="clear" w:color="auto" w:fill="auto"/>
            <w:vAlign w:val="center"/>
          </w:tcPr>
          <w:p w14:paraId="118C6E37">
            <w:pPr>
              <w:widowControl/>
              <w:jc w:val="center"/>
              <w:rPr>
                <w:rFonts w:eastAsiaTheme="minorEastAsia"/>
                <w:kern w:val="0"/>
                <w:szCs w:val="21"/>
              </w:rPr>
            </w:pPr>
            <w:r>
              <w:rPr>
                <w:rFonts w:eastAsiaTheme="minorEastAsia"/>
                <w:color w:val="000000"/>
                <w:kern w:val="0"/>
                <w:szCs w:val="21"/>
              </w:rPr>
              <w:t>1.4L</w:t>
            </w:r>
          </w:p>
        </w:tc>
      </w:tr>
      <w:tr w14:paraId="64CED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04E57454">
            <w:pPr>
              <w:widowControl/>
              <w:jc w:val="center"/>
              <w:rPr>
                <w:rFonts w:eastAsiaTheme="minorEastAsia"/>
                <w:kern w:val="0"/>
                <w:szCs w:val="21"/>
              </w:rPr>
            </w:pPr>
          </w:p>
        </w:tc>
        <w:tc>
          <w:tcPr>
            <w:tcW w:w="935" w:type="pct"/>
            <w:vMerge w:val="restart"/>
            <w:shd w:val="clear" w:color="auto" w:fill="auto"/>
            <w:vAlign w:val="center"/>
          </w:tcPr>
          <w:p w14:paraId="71AC6273">
            <w:pPr>
              <w:widowControl/>
              <w:jc w:val="center"/>
              <w:rPr>
                <w:rFonts w:eastAsiaTheme="minorEastAsia"/>
                <w:kern w:val="0"/>
                <w:szCs w:val="21"/>
              </w:rPr>
            </w:pPr>
            <w:r>
              <w:rPr>
                <w:rFonts w:eastAsiaTheme="minorEastAsia"/>
                <w:kern w:val="0"/>
                <w:szCs w:val="21"/>
              </w:rPr>
              <w:t>700µg/L</w:t>
            </w:r>
          </w:p>
        </w:tc>
        <w:tc>
          <w:tcPr>
            <w:tcW w:w="651" w:type="pct"/>
            <w:shd w:val="clear" w:color="auto" w:fill="auto"/>
            <w:vAlign w:val="center"/>
          </w:tcPr>
          <w:p w14:paraId="7D49CEDC">
            <w:pPr>
              <w:widowControl/>
              <w:jc w:val="center"/>
              <w:rPr>
                <w:rFonts w:eastAsiaTheme="minorEastAsia"/>
                <w:kern w:val="0"/>
                <w:szCs w:val="21"/>
              </w:rPr>
            </w:pPr>
            <w:r>
              <w:rPr>
                <w:rFonts w:eastAsiaTheme="minorEastAsia"/>
                <w:kern w:val="0"/>
                <w:szCs w:val="21"/>
              </w:rPr>
              <w:t>标准指数</w:t>
            </w:r>
          </w:p>
        </w:tc>
        <w:tc>
          <w:tcPr>
            <w:tcW w:w="840" w:type="pct"/>
            <w:shd w:val="clear" w:color="auto" w:fill="auto"/>
            <w:vAlign w:val="center"/>
          </w:tcPr>
          <w:p w14:paraId="1391BC25">
            <w:pPr>
              <w:widowControl/>
              <w:jc w:val="center"/>
              <w:rPr>
                <w:rFonts w:eastAsiaTheme="minorEastAsia"/>
                <w:kern w:val="0"/>
                <w:szCs w:val="21"/>
              </w:rPr>
            </w:pPr>
            <w:r>
              <w:rPr>
                <w:rFonts w:eastAsiaTheme="minorEastAsia"/>
                <w:color w:val="000000"/>
                <w:kern w:val="0"/>
                <w:szCs w:val="21"/>
              </w:rPr>
              <w:t>—</w:t>
            </w:r>
          </w:p>
        </w:tc>
        <w:tc>
          <w:tcPr>
            <w:tcW w:w="840" w:type="pct"/>
            <w:shd w:val="clear" w:color="auto" w:fill="auto"/>
            <w:vAlign w:val="center"/>
          </w:tcPr>
          <w:p w14:paraId="58EB9269">
            <w:pPr>
              <w:widowControl/>
              <w:jc w:val="center"/>
              <w:rPr>
                <w:rFonts w:eastAsiaTheme="minorEastAsia"/>
                <w:kern w:val="0"/>
                <w:szCs w:val="21"/>
              </w:rPr>
            </w:pPr>
            <w:r>
              <w:rPr>
                <w:rFonts w:eastAsiaTheme="minorEastAsia"/>
                <w:color w:val="000000"/>
                <w:kern w:val="0"/>
                <w:szCs w:val="21"/>
              </w:rPr>
              <w:t>—</w:t>
            </w:r>
          </w:p>
        </w:tc>
        <w:tc>
          <w:tcPr>
            <w:tcW w:w="840" w:type="pct"/>
            <w:shd w:val="clear" w:color="auto" w:fill="auto"/>
            <w:vAlign w:val="center"/>
          </w:tcPr>
          <w:p w14:paraId="605C9E1C">
            <w:pPr>
              <w:widowControl/>
              <w:jc w:val="center"/>
              <w:rPr>
                <w:rFonts w:eastAsiaTheme="minorEastAsia"/>
                <w:kern w:val="0"/>
                <w:szCs w:val="21"/>
              </w:rPr>
            </w:pPr>
            <w:r>
              <w:rPr>
                <w:rFonts w:eastAsiaTheme="minorEastAsia"/>
                <w:color w:val="000000"/>
                <w:kern w:val="0"/>
                <w:szCs w:val="21"/>
              </w:rPr>
              <w:t>—</w:t>
            </w:r>
          </w:p>
        </w:tc>
      </w:tr>
      <w:tr w14:paraId="2CE5F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6F396673">
            <w:pPr>
              <w:widowControl/>
              <w:jc w:val="center"/>
              <w:rPr>
                <w:rFonts w:eastAsiaTheme="minorEastAsia"/>
                <w:kern w:val="0"/>
                <w:szCs w:val="21"/>
              </w:rPr>
            </w:pPr>
          </w:p>
        </w:tc>
        <w:tc>
          <w:tcPr>
            <w:tcW w:w="935" w:type="pct"/>
            <w:vMerge w:val="continue"/>
            <w:vAlign w:val="center"/>
          </w:tcPr>
          <w:p w14:paraId="081C4736">
            <w:pPr>
              <w:widowControl/>
              <w:jc w:val="center"/>
              <w:rPr>
                <w:rFonts w:eastAsiaTheme="minorEastAsia"/>
                <w:kern w:val="0"/>
                <w:szCs w:val="21"/>
              </w:rPr>
            </w:pPr>
          </w:p>
        </w:tc>
        <w:tc>
          <w:tcPr>
            <w:tcW w:w="651" w:type="pct"/>
            <w:shd w:val="clear" w:color="auto" w:fill="auto"/>
            <w:vAlign w:val="center"/>
          </w:tcPr>
          <w:p w14:paraId="3FE498CA">
            <w:pPr>
              <w:widowControl/>
              <w:jc w:val="center"/>
              <w:rPr>
                <w:rFonts w:eastAsiaTheme="minorEastAsia"/>
                <w:kern w:val="0"/>
                <w:szCs w:val="21"/>
              </w:rPr>
            </w:pPr>
            <w:r>
              <w:rPr>
                <w:rFonts w:eastAsiaTheme="minorEastAsia"/>
                <w:kern w:val="0"/>
                <w:szCs w:val="21"/>
              </w:rPr>
              <w:t>评价结果</w:t>
            </w:r>
          </w:p>
        </w:tc>
        <w:tc>
          <w:tcPr>
            <w:tcW w:w="840" w:type="pct"/>
            <w:shd w:val="clear" w:color="auto" w:fill="auto"/>
            <w:vAlign w:val="center"/>
          </w:tcPr>
          <w:p w14:paraId="3FC663BC">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38ED01C8">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776A315E">
            <w:pPr>
              <w:widowControl/>
              <w:jc w:val="center"/>
              <w:rPr>
                <w:rFonts w:eastAsiaTheme="minorEastAsia"/>
                <w:kern w:val="0"/>
                <w:szCs w:val="21"/>
              </w:rPr>
            </w:pPr>
            <w:r>
              <w:rPr>
                <w:rFonts w:eastAsiaTheme="minorEastAsia"/>
                <w:color w:val="000000"/>
                <w:kern w:val="0"/>
                <w:szCs w:val="21"/>
              </w:rPr>
              <w:t>达标</w:t>
            </w:r>
          </w:p>
        </w:tc>
      </w:tr>
      <w:tr w14:paraId="1E420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restart"/>
            <w:shd w:val="clear" w:color="auto" w:fill="auto"/>
            <w:vAlign w:val="center"/>
          </w:tcPr>
          <w:p w14:paraId="0C7F1606">
            <w:pPr>
              <w:widowControl/>
              <w:jc w:val="center"/>
              <w:rPr>
                <w:rFonts w:eastAsiaTheme="minorEastAsia"/>
                <w:kern w:val="0"/>
                <w:szCs w:val="21"/>
              </w:rPr>
            </w:pPr>
            <w:r>
              <w:rPr>
                <w:rFonts w:eastAsiaTheme="minorEastAsia"/>
                <w:kern w:val="0"/>
                <w:szCs w:val="21"/>
              </w:rPr>
              <w:t>石油类</w:t>
            </w:r>
          </w:p>
        </w:tc>
        <w:tc>
          <w:tcPr>
            <w:tcW w:w="935" w:type="pct"/>
            <w:shd w:val="clear" w:color="auto" w:fill="auto"/>
            <w:vAlign w:val="center"/>
          </w:tcPr>
          <w:p w14:paraId="027CA080">
            <w:pPr>
              <w:widowControl/>
              <w:jc w:val="center"/>
              <w:rPr>
                <w:rFonts w:eastAsiaTheme="minorEastAsia"/>
                <w:kern w:val="0"/>
                <w:szCs w:val="21"/>
              </w:rPr>
            </w:pPr>
            <w:r>
              <w:rPr>
                <w:rFonts w:eastAsiaTheme="minorEastAsia"/>
                <w:kern w:val="0"/>
                <w:szCs w:val="21"/>
              </w:rPr>
              <w:t>标准值</w:t>
            </w:r>
          </w:p>
        </w:tc>
        <w:tc>
          <w:tcPr>
            <w:tcW w:w="651" w:type="pct"/>
            <w:shd w:val="clear" w:color="auto" w:fill="auto"/>
            <w:vAlign w:val="center"/>
          </w:tcPr>
          <w:p w14:paraId="02260A72">
            <w:pPr>
              <w:widowControl/>
              <w:jc w:val="center"/>
              <w:rPr>
                <w:rFonts w:eastAsiaTheme="minorEastAsia"/>
                <w:kern w:val="0"/>
                <w:szCs w:val="21"/>
              </w:rPr>
            </w:pPr>
            <w:r>
              <w:rPr>
                <w:rFonts w:eastAsiaTheme="minorEastAsia"/>
                <w:kern w:val="0"/>
                <w:szCs w:val="21"/>
              </w:rPr>
              <w:t>监测值</w:t>
            </w:r>
          </w:p>
        </w:tc>
        <w:tc>
          <w:tcPr>
            <w:tcW w:w="840" w:type="pct"/>
            <w:shd w:val="clear" w:color="auto" w:fill="auto"/>
            <w:vAlign w:val="center"/>
          </w:tcPr>
          <w:p w14:paraId="086B76E2">
            <w:pPr>
              <w:widowControl/>
              <w:jc w:val="center"/>
              <w:rPr>
                <w:rFonts w:eastAsiaTheme="minorEastAsia"/>
                <w:kern w:val="0"/>
                <w:szCs w:val="21"/>
              </w:rPr>
            </w:pPr>
            <w:r>
              <w:rPr>
                <w:rFonts w:eastAsiaTheme="minorEastAsia"/>
                <w:color w:val="000000"/>
                <w:kern w:val="0"/>
                <w:szCs w:val="21"/>
              </w:rPr>
              <w:t>0.01L</w:t>
            </w:r>
          </w:p>
        </w:tc>
        <w:tc>
          <w:tcPr>
            <w:tcW w:w="840" w:type="pct"/>
            <w:shd w:val="clear" w:color="auto" w:fill="auto"/>
            <w:vAlign w:val="center"/>
          </w:tcPr>
          <w:p w14:paraId="1DBC80CF">
            <w:pPr>
              <w:widowControl/>
              <w:jc w:val="center"/>
              <w:rPr>
                <w:rFonts w:eastAsiaTheme="minorEastAsia"/>
                <w:kern w:val="0"/>
                <w:szCs w:val="21"/>
              </w:rPr>
            </w:pPr>
            <w:r>
              <w:rPr>
                <w:rFonts w:eastAsiaTheme="minorEastAsia"/>
                <w:color w:val="000000"/>
                <w:kern w:val="0"/>
                <w:szCs w:val="21"/>
              </w:rPr>
              <w:t>0.01L</w:t>
            </w:r>
          </w:p>
        </w:tc>
        <w:tc>
          <w:tcPr>
            <w:tcW w:w="840" w:type="pct"/>
            <w:shd w:val="clear" w:color="auto" w:fill="auto"/>
            <w:vAlign w:val="center"/>
          </w:tcPr>
          <w:p w14:paraId="63A646B4">
            <w:pPr>
              <w:widowControl/>
              <w:jc w:val="center"/>
              <w:rPr>
                <w:rFonts w:eastAsiaTheme="minorEastAsia"/>
                <w:kern w:val="0"/>
                <w:szCs w:val="21"/>
              </w:rPr>
            </w:pPr>
            <w:r>
              <w:rPr>
                <w:rFonts w:eastAsiaTheme="minorEastAsia"/>
                <w:color w:val="000000"/>
                <w:kern w:val="0"/>
                <w:szCs w:val="21"/>
              </w:rPr>
              <w:t>0.01L</w:t>
            </w:r>
          </w:p>
        </w:tc>
      </w:tr>
      <w:tr w14:paraId="2A5D2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654A8E8C">
            <w:pPr>
              <w:widowControl/>
              <w:jc w:val="center"/>
              <w:rPr>
                <w:rFonts w:eastAsiaTheme="minorEastAsia"/>
                <w:kern w:val="0"/>
                <w:szCs w:val="21"/>
              </w:rPr>
            </w:pPr>
          </w:p>
        </w:tc>
        <w:tc>
          <w:tcPr>
            <w:tcW w:w="935" w:type="pct"/>
            <w:vMerge w:val="restart"/>
            <w:shd w:val="clear" w:color="auto" w:fill="auto"/>
            <w:vAlign w:val="center"/>
          </w:tcPr>
          <w:p w14:paraId="784B8299">
            <w:pPr>
              <w:widowControl/>
              <w:jc w:val="center"/>
              <w:rPr>
                <w:rFonts w:eastAsiaTheme="minorEastAsia"/>
                <w:kern w:val="0"/>
                <w:szCs w:val="21"/>
              </w:rPr>
            </w:pPr>
            <w:r>
              <w:rPr>
                <w:rFonts w:eastAsiaTheme="minorEastAsia"/>
                <w:kern w:val="0"/>
                <w:szCs w:val="21"/>
              </w:rPr>
              <w:t>0.05mg/L</w:t>
            </w:r>
          </w:p>
        </w:tc>
        <w:tc>
          <w:tcPr>
            <w:tcW w:w="651" w:type="pct"/>
            <w:shd w:val="clear" w:color="auto" w:fill="auto"/>
            <w:vAlign w:val="center"/>
          </w:tcPr>
          <w:p w14:paraId="03DE1D73">
            <w:pPr>
              <w:widowControl/>
              <w:jc w:val="center"/>
              <w:rPr>
                <w:rFonts w:eastAsiaTheme="minorEastAsia"/>
                <w:kern w:val="0"/>
                <w:szCs w:val="21"/>
              </w:rPr>
            </w:pPr>
            <w:r>
              <w:rPr>
                <w:rFonts w:eastAsiaTheme="minorEastAsia"/>
                <w:kern w:val="0"/>
                <w:szCs w:val="21"/>
              </w:rPr>
              <w:t>标准指数</w:t>
            </w:r>
          </w:p>
        </w:tc>
        <w:tc>
          <w:tcPr>
            <w:tcW w:w="840" w:type="pct"/>
            <w:shd w:val="clear" w:color="auto" w:fill="auto"/>
            <w:vAlign w:val="center"/>
          </w:tcPr>
          <w:p w14:paraId="7B1C6D9C">
            <w:pPr>
              <w:widowControl/>
              <w:jc w:val="center"/>
              <w:rPr>
                <w:rFonts w:eastAsiaTheme="minorEastAsia"/>
                <w:kern w:val="0"/>
                <w:szCs w:val="21"/>
              </w:rPr>
            </w:pPr>
            <w:r>
              <w:rPr>
                <w:rFonts w:eastAsiaTheme="minorEastAsia"/>
                <w:color w:val="000000"/>
                <w:kern w:val="0"/>
                <w:szCs w:val="21"/>
              </w:rPr>
              <w:t>—</w:t>
            </w:r>
          </w:p>
        </w:tc>
        <w:tc>
          <w:tcPr>
            <w:tcW w:w="840" w:type="pct"/>
            <w:shd w:val="clear" w:color="auto" w:fill="auto"/>
            <w:vAlign w:val="center"/>
          </w:tcPr>
          <w:p w14:paraId="0CA5F9A7">
            <w:pPr>
              <w:widowControl/>
              <w:jc w:val="center"/>
              <w:rPr>
                <w:rFonts w:eastAsiaTheme="minorEastAsia"/>
                <w:kern w:val="0"/>
                <w:szCs w:val="21"/>
              </w:rPr>
            </w:pPr>
            <w:r>
              <w:rPr>
                <w:rFonts w:eastAsiaTheme="minorEastAsia"/>
                <w:color w:val="000000"/>
                <w:kern w:val="0"/>
                <w:szCs w:val="21"/>
              </w:rPr>
              <w:t>—</w:t>
            </w:r>
          </w:p>
        </w:tc>
        <w:tc>
          <w:tcPr>
            <w:tcW w:w="840" w:type="pct"/>
            <w:shd w:val="clear" w:color="auto" w:fill="auto"/>
            <w:vAlign w:val="center"/>
          </w:tcPr>
          <w:p w14:paraId="5667386F">
            <w:pPr>
              <w:widowControl/>
              <w:jc w:val="center"/>
              <w:rPr>
                <w:rFonts w:eastAsiaTheme="minorEastAsia"/>
                <w:kern w:val="0"/>
                <w:szCs w:val="21"/>
              </w:rPr>
            </w:pPr>
            <w:r>
              <w:rPr>
                <w:rFonts w:eastAsiaTheme="minorEastAsia"/>
                <w:color w:val="000000"/>
                <w:kern w:val="0"/>
                <w:szCs w:val="21"/>
              </w:rPr>
              <w:t>—</w:t>
            </w:r>
          </w:p>
        </w:tc>
      </w:tr>
      <w:tr w14:paraId="2C8CD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537BE877">
            <w:pPr>
              <w:widowControl/>
              <w:jc w:val="center"/>
              <w:rPr>
                <w:rFonts w:eastAsiaTheme="minorEastAsia"/>
                <w:kern w:val="0"/>
                <w:szCs w:val="21"/>
              </w:rPr>
            </w:pPr>
          </w:p>
        </w:tc>
        <w:tc>
          <w:tcPr>
            <w:tcW w:w="935" w:type="pct"/>
            <w:vMerge w:val="continue"/>
            <w:shd w:val="clear" w:color="auto" w:fill="auto"/>
            <w:vAlign w:val="center"/>
          </w:tcPr>
          <w:p w14:paraId="539200A9">
            <w:pPr>
              <w:widowControl/>
              <w:jc w:val="center"/>
              <w:rPr>
                <w:rFonts w:eastAsiaTheme="minorEastAsia"/>
                <w:kern w:val="0"/>
                <w:szCs w:val="21"/>
              </w:rPr>
            </w:pPr>
          </w:p>
        </w:tc>
        <w:tc>
          <w:tcPr>
            <w:tcW w:w="651" w:type="pct"/>
            <w:shd w:val="clear" w:color="auto" w:fill="auto"/>
            <w:vAlign w:val="center"/>
          </w:tcPr>
          <w:p w14:paraId="23302EA9">
            <w:pPr>
              <w:widowControl/>
              <w:jc w:val="center"/>
              <w:rPr>
                <w:rFonts w:eastAsiaTheme="minorEastAsia"/>
                <w:kern w:val="0"/>
                <w:szCs w:val="21"/>
              </w:rPr>
            </w:pPr>
            <w:r>
              <w:rPr>
                <w:rFonts w:eastAsiaTheme="minorEastAsia"/>
                <w:kern w:val="0"/>
                <w:szCs w:val="21"/>
              </w:rPr>
              <w:t>评价结果</w:t>
            </w:r>
          </w:p>
        </w:tc>
        <w:tc>
          <w:tcPr>
            <w:tcW w:w="840" w:type="pct"/>
            <w:shd w:val="clear" w:color="auto" w:fill="auto"/>
            <w:vAlign w:val="center"/>
          </w:tcPr>
          <w:p w14:paraId="0A7AC604">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230B38E8">
            <w:pPr>
              <w:widowControl/>
              <w:jc w:val="center"/>
              <w:rPr>
                <w:rFonts w:eastAsiaTheme="minorEastAsia"/>
                <w:kern w:val="0"/>
                <w:szCs w:val="21"/>
              </w:rPr>
            </w:pPr>
            <w:r>
              <w:rPr>
                <w:rFonts w:eastAsiaTheme="minorEastAsia"/>
                <w:color w:val="000000"/>
                <w:kern w:val="0"/>
                <w:szCs w:val="21"/>
              </w:rPr>
              <w:t>达标</w:t>
            </w:r>
          </w:p>
        </w:tc>
        <w:tc>
          <w:tcPr>
            <w:tcW w:w="840" w:type="pct"/>
            <w:shd w:val="clear" w:color="auto" w:fill="auto"/>
            <w:vAlign w:val="center"/>
          </w:tcPr>
          <w:p w14:paraId="0092F1A1">
            <w:pPr>
              <w:widowControl/>
              <w:jc w:val="center"/>
              <w:rPr>
                <w:rFonts w:eastAsiaTheme="minorEastAsia"/>
                <w:kern w:val="0"/>
                <w:szCs w:val="21"/>
              </w:rPr>
            </w:pPr>
            <w:r>
              <w:rPr>
                <w:rFonts w:eastAsiaTheme="minorEastAsia"/>
                <w:color w:val="000000"/>
                <w:kern w:val="0"/>
                <w:szCs w:val="21"/>
              </w:rPr>
              <w:t>达标</w:t>
            </w:r>
          </w:p>
        </w:tc>
      </w:tr>
      <w:tr w14:paraId="31037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restart"/>
            <w:shd w:val="clear" w:color="auto" w:fill="auto"/>
            <w:vAlign w:val="center"/>
          </w:tcPr>
          <w:p w14:paraId="24F70561">
            <w:pPr>
              <w:widowControl/>
              <w:jc w:val="center"/>
              <w:rPr>
                <w:rFonts w:eastAsiaTheme="minorEastAsia"/>
                <w:kern w:val="0"/>
                <w:szCs w:val="21"/>
              </w:rPr>
            </w:pPr>
            <w:r>
              <w:rPr>
                <w:rFonts w:eastAsiaTheme="minorEastAsia"/>
                <w:kern w:val="0"/>
                <w:szCs w:val="21"/>
              </w:rPr>
              <w:t>总大肠菌群</w:t>
            </w:r>
          </w:p>
        </w:tc>
        <w:tc>
          <w:tcPr>
            <w:tcW w:w="935" w:type="pct"/>
            <w:shd w:val="clear" w:color="auto" w:fill="auto"/>
            <w:vAlign w:val="center"/>
          </w:tcPr>
          <w:p w14:paraId="33961DE6">
            <w:pPr>
              <w:widowControl/>
              <w:jc w:val="center"/>
              <w:rPr>
                <w:rFonts w:eastAsiaTheme="minorEastAsia"/>
                <w:kern w:val="0"/>
                <w:szCs w:val="21"/>
              </w:rPr>
            </w:pPr>
            <w:r>
              <w:rPr>
                <w:rFonts w:eastAsiaTheme="minorEastAsia"/>
                <w:kern w:val="0"/>
                <w:szCs w:val="21"/>
              </w:rPr>
              <w:t>标准值</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14:paraId="2105DB38">
            <w:pPr>
              <w:widowControl/>
              <w:jc w:val="center"/>
              <w:rPr>
                <w:rFonts w:eastAsiaTheme="minorEastAsia"/>
                <w:kern w:val="0"/>
                <w:szCs w:val="21"/>
              </w:rPr>
            </w:pPr>
            <w:r>
              <w:rPr>
                <w:rFonts w:eastAsiaTheme="minorEastAsia"/>
                <w:kern w:val="0"/>
                <w:szCs w:val="21"/>
              </w:rPr>
              <w:t>监测值</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78B7C4F0">
            <w:pPr>
              <w:widowControl/>
              <w:jc w:val="center"/>
              <w:rPr>
                <w:rFonts w:eastAsiaTheme="minorEastAsia"/>
                <w:kern w:val="0"/>
                <w:szCs w:val="21"/>
              </w:rPr>
            </w:pPr>
            <w:r>
              <w:rPr>
                <w:rFonts w:eastAsiaTheme="minorEastAsia"/>
                <w:color w:val="000000"/>
                <w:kern w:val="0"/>
                <w:szCs w:val="21"/>
              </w:rPr>
              <w:t>未检出</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3D0B23F9">
            <w:pPr>
              <w:widowControl/>
              <w:jc w:val="center"/>
              <w:rPr>
                <w:rFonts w:eastAsiaTheme="minorEastAsia"/>
                <w:kern w:val="0"/>
                <w:szCs w:val="21"/>
              </w:rPr>
            </w:pPr>
            <w:r>
              <w:rPr>
                <w:rFonts w:eastAsiaTheme="minorEastAsia"/>
                <w:color w:val="000000"/>
                <w:kern w:val="0"/>
                <w:szCs w:val="21"/>
              </w:rPr>
              <w:t>未检出</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6F6FD9CD">
            <w:pPr>
              <w:widowControl/>
              <w:jc w:val="center"/>
              <w:rPr>
                <w:rFonts w:eastAsiaTheme="minorEastAsia"/>
                <w:kern w:val="0"/>
                <w:szCs w:val="21"/>
              </w:rPr>
            </w:pPr>
            <w:r>
              <w:rPr>
                <w:rFonts w:eastAsiaTheme="minorEastAsia"/>
                <w:color w:val="000000"/>
                <w:kern w:val="0"/>
                <w:szCs w:val="21"/>
              </w:rPr>
              <w:t>未检出</w:t>
            </w:r>
          </w:p>
        </w:tc>
      </w:tr>
      <w:tr w14:paraId="700D0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6E3430A0">
            <w:pPr>
              <w:widowControl/>
              <w:jc w:val="center"/>
              <w:rPr>
                <w:rFonts w:eastAsiaTheme="minorEastAsia"/>
                <w:kern w:val="0"/>
                <w:szCs w:val="21"/>
              </w:rPr>
            </w:pPr>
          </w:p>
        </w:tc>
        <w:tc>
          <w:tcPr>
            <w:tcW w:w="935" w:type="pct"/>
            <w:vMerge w:val="restart"/>
            <w:shd w:val="clear" w:color="auto" w:fill="auto"/>
            <w:vAlign w:val="center"/>
          </w:tcPr>
          <w:p w14:paraId="633A6D8C">
            <w:pPr>
              <w:widowControl/>
              <w:jc w:val="center"/>
              <w:rPr>
                <w:rFonts w:eastAsiaTheme="minorEastAsia"/>
                <w:kern w:val="0"/>
                <w:szCs w:val="21"/>
              </w:rPr>
            </w:pPr>
            <w:r>
              <w:rPr>
                <w:rFonts w:eastAsiaTheme="minorEastAsia"/>
                <w:kern w:val="0"/>
                <w:szCs w:val="21"/>
              </w:rPr>
              <w:t>3.0MPN/100ml</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14:paraId="538984C7">
            <w:pPr>
              <w:widowControl/>
              <w:jc w:val="center"/>
              <w:rPr>
                <w:rFonts w:eastAsiaTheme="minorEastAsia"/>
                <w:kern w:val="0"/>
                <w:szCs w:val="21"/>
              </w:rPr>
            </w:pPr>
            <w:r>
              <w:rPr>
                <w:rFonts w:eastAsiaTheme="minorEastAsia"/>
                <w:kern w:val="0"/>
                <w:szCs w:val="21"/>
              </w:rPr>
              <w:t>标准指数</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5DB795DE">
            <w:pPr>
              <w:widowControl/>
              <w:jc w:val="center"/>
              <w:rPr>
                <w:rFonts w:eastAsiaTheme="minorEastAsia"/>
                <w:kern w:val="0"/>
                <w:szCs w:val="21"/>
              </w:rPr>
            </w:pPr>
            <w:r>
              <w:rPr>
                <w:rFonts w:eastAsiaTheme="minorEastAsia"/>
                <w:color w:val="000000"/>
                <w:kern w:val="0"/>
                <w:szCs w:val="21"/>
              </w:rPr>
              <w:t>—</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66FD3BBD">
            <w:pPr>
              <w:widowControl/>
              <w:jc w:val="center"/>
              <w:rPr>
                <w:rFonts w:eastAsiaTheme="minorEastAsia"/>
                <w:kern w:val="0"/>
                <w:szCs w:val="21"/>
              </w:rPr>
            </w:pPr>
            <w:r>
              <w:rPr>
                <w:rFonts w:eastAsiaTheme="minorEastAsia"/>
                <w:color w:val="000000"/>
                <w:kern w:val="0"/>
                <w:szCs w:val="21"/>
              </w:rPr>
              <w:t>—</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1BE9B68D">
            <w:pPr>
              <w:widowControl/>
              <w:jc w:val="center"/>
              <w:rPr>
                <w:rFonts w:eastAsiaTheme="minorEastAsia"/>
                <w:kern w:val="0"/>
                <w:szCs w:val="21"/>
              </w:rPr>
            </w:pPr>
            <w:r>
              <w:rPr>
                <w:rFonts w:eastAsiaTheme="minorEastAsia"/>
                <w:color w:val="000000"/>
                <w:kern w:val="0"/>
                <w:szCs w:val="21"/>
              </w:rPr>
              <w:t>—</w:t>
            </w:r>
          </w:p>
        </w:tc>
      </w:tr>
      <w:tr w14:paraId="00BC8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3DD876E7">
            <w:pPr>
              <w:widowControl/>
              <w:jc w:val="center"/>
              <w:rPr>
                <w:rFonts w:eastAsiaTheme="minorEastAsia"/>
                <w:kern w:val="0"/>
                <w:szCs w:val="21"/>
              </w:rPr>
            </w:pPr>
          </w:p>
        </w:tc>
        <w:tc>
          <w:tcPr>
            <w:tcW w:w="935" w:type="pct"/>
            <w:vMerge w:val="continue"/>
            <w:shd w:val="clear" w:color="auto" w:fill="auto"/>
            <w:vAlign w:val="center"/>
          </w:tcPr>
          <w:p w14:paraId="34565E73">
            <w:pPr>
              <w:widowControl/>
              <w:jc w:val="center"/>
              <w:rPr>
                <w:rFonts w:eastAsiaTheme="minorEastAsia"/>
                <w:kern w:val="0"/>
                <w:szCs w:val="21"/>
              </w:rPr>
            </w:pP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14:paraId="70723625">
            <w:pPr>
              <w:widowControl/>
              <w:jc w:val="center"/>
              <w:rPr>
                <w:rFonts w:eastAsiaTheme="minorEastAsia"/>
                <w:kern w:val="0"/>
                <w:szCs w:val="21"/>
              </w:rPr>
            </w:pPr>
            <w:r>
              <w:rPr>
                <w:rFonts w:eastAsiaTheme="minorEastAsia"/>
                <w:kern w:val="0"/>
                <w:szCs w:val="21"/>
              </w:rPr>
              <w:t>评价结果</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68941782">
            <w:pPr>
              <w:widowControl/>
              <w:jc w:val="center"/>
              <w:rPr>
                <w:rFonts w:eastAsiaTheme="minorEastAsia"/>
                <w:kern w:val="0"/>
                <w:szCs w:val="21"/>
              </w:rPr>
            </w:pPr>
            <w:r>
              <w:rPr>
                <w:rFonts w:eastAsiaTheme="minorEastAsia"/>
                <w:color w:val="000000"/>
                <w:kern w:val="0"/>
                <w:szCs w:val="21"/>
              </w:rPr>
              <w:t>达标</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1456CFFD">
            <w:pPr>
              <w:widowControl/>
              <w:jc w:val="center"/>
              <w:rPr>
                <w:rFonts w:eastAsiaTheme="minorEastAsia"/>
                <w:kern w:val="0"/>
                <w:szCs w:val="21"/>
              </w:rPr>
            </w:pPr>
            <w:r>
              <w:rPr>
                <w:rFonts w:eastAsiaTheme="minorEastAsia"/>
                <w:color w:val="000000"/>
                <w:kern w:val="0"/>
                <w:szCs w:val="21"/>
              </w:rPr>
              <w:t>达标</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6175D6C1">
            <w:pPr>
              <w:widowControl/>
              <w:jc w:val="center"/>
              <w:rPr>
                <w:rFonts w:eastAsiaTheme="minorEastAsia"/>
                <w:kern w:val="0"/>
                <w:szCs w:val="21"/>
              </w:rPr>
            </w:pPr>
            <w:r>
              <w:rPr>
                <w:rFonts w:eastAsiaTheme="minorEastAsia"/>
                <w:color w:val="000000"/>
                <w:kern w:val="0"/>
                <w:szCs w:val="21"/>
              </w:rPr>
              <w:t>达标</w:t>
            </w:r>
          </w:p>
        </w:tc>
      </w:tr>
      <w:tr w14:paraId="156FE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restart"/>
            <w:shd w:val="clear" w:color="auto" w:fill="auto"/>
            <w:vAlign w:val="center"/>
          </w:tcPr>
          <w:p w14:paraId="1D5D3ED5">
            <w:pPr>
              <w:widowControl/>
              <w:jc w:val="center"/>
              <w:rPr>
                <w:rFonts w:eastAsiaTheme="minorEastAsia"/>
                <w:kern w:val="0"/>
                <w:szCs w:val="21"/>
              </w:rPr>
            </w:pPr>
            <w:r>
              <w:rPr>
                <w:rFonts w:eastAsiaTheme="minorEastAsia"/>
                <w:kern w:val="0"/>
                <w:szCs w:val="21"/>
              </w:rPr>
              <w:t>菌落总数</w:t>
            </w:r>
          </w:p>
        </w:tc>
        <w:tc>
          <w:tcPr>
            <w:tcW w:w="935" w:type="pct"/>
            <w:shd w:val="clear" w:color="auto" w:fill="auto"/>
            <w:vAlign w:val="center"/>
          </w:tcPr>
          <w:p w14:paraId="1D402801">
            <w:pPr>
              <w:widowControl/>
              <w:jc w:val="center"/>
              <w:rPr>
                <w:rFonts w:eastAsiaTheme="minorEastAsia"/>
                <w:kern w:val="0"/>
                <w:szCs w:val="21"/>
              </w:rPr>
            </w:pPr>
            <w:r>
              <w:rPr>
                <w:rFonts w:eastAsiaTheme="minorEastAsia"/>
                <w:kern w:val="0"/>
                <w:szCs w:val="21"/>
              </w:rPr>
              <w:t>标准值</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14:paraId="414B71CD">
            <w:pPr>
              <w:widowControl/>
              <w:jc w:val="center"/>
              <w:rPr>
                <w:rFonts w:eastAsiaTheme="minorEastAsia"/>
                <w:kern w:val="0"/>
                <w:szCs w:val="21"/>
              </w:rPr>
            </w:pPr>
            <w:r>
              <w:rPr>
                <w:rFonts w:eastAsiaTheme="minorEastAsia"/>
                <w:kern w:val="0"/>
                <w:szCs w:val="21"/>
              </w:rPr>
              <w:t>监测值</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06598B3C">
            <w:pPr>
              <w:widowControl/>
              <w:jc w:val="center"/>
              <w:rPr>
                <w:rFonts w:eastAsiaTheme="minorEastAsia"/>
                <w:kern w:val="0"/>
                <w:szCs w:val="21"/>
              </w:rPr>
            </w:pPr>
            <w:r>
              <w:rPr>
                <w:rFonts w:eastAsiaTheme="minorEastAsia"/>
                <w:color w:val="000000"/>
                <w:kern w:val="0"/>
                <w:szCs w:val="21"/>
              </w:rPr>
              <w:t>56</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343F3465">
            <w:pPr>
              <w:widowControl/>
              <w:jc w:val="center"/>
              <w:rPr>
                <w:rFonts w:eastAsiaTheme="minorEastAsia"/>
                <w:kern w:val="0"/>
                <w:szCs w:val="21"/>
              </w:rPr>
            </w:pPr>
            <w:r>
              <w:rPr>
                <w:rFonts w:eastAsiaTheme="minorEastAsia"/>
                <w:color w:val="000000"/>
                <w:kern w:val="0"/>
                <w:szCs w:val="21"/>
              </w:rPr>
              <w:t>83</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77C9D7FC">
            <w:pPr>
              <w:widowControl/>
              <w:jc w:val="center"/>
              <w:rPr>
                <w:rFonts w:eastAsiaTheme="minorEastAsia"/>
                <w:kern w:val="0"/>
                <w:szCs w:val="21"/>
              </w:rPr>
            </w:pPr>
            <w:r>
              <w:rPr>
                <w:rFonts w:eastAsiaTheme="minorEastAsia"/>
                <w:color w:val="000000"/>
                <w:kern w:val="0"/>
                <w:szCs w:val="21"/>
              </w:rPr>
              <w:t>68</w:t>
            </w:r>
          </w:p>
        </w:tc>
      </w:tr>
      <w:tr w14:paraId="409C6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00371820">
            <w:pPr>
              <w:widowControl/>
              <w:jc w:val="center"/>
              <w:rPr>
                <w:rFonts w:eastAsiaTheme="minorEastAsia"/>
                <w:kern w:val="0"/>
                <w:szCs w:val="21"/>
              </w:rPr>
            </w:pPr>
          </w:p>
        </w:tc>
        <w:tc>
          <w:tcPr>
            <w:tcW w:w="935" w:type="pct"/>
            <w:vMerge w:val="restart"/>
            <w:shd w:val="clear" w:color="auto" w:fill="auto"/>
            <w:vAlign w:val="center"/>
          </w:tcPr>
          <w:p w14:paraId="5CA52724">
            <w:pPr>
              <w:widowControl/>
              <w:jc w:val="center"/>
              <w:rPr>
                <w:rFonts w:eastAsiaTheme="minorEastAsia"/>
                <w:kern w:val="0"/>
                <w:szCs w:val="21"/>
              </w:rPr>
            </w:pPr>
            <w:r>
              <w:rPr>
                <w:rFonts w:eastAsiaTheme="minorEastAsia"/>
                <w:kern w:val="0"/>
                <w:szCs w:val="21"/>
              </w:rPr>
              <w:t>100CFU/ml</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14:paraId="46DB6DAA">
            <w:pPr>
              <w:widowControl/>
              <w:jc w:val="center"/>
              <w:rPr>
                <w:rFonts w:eastAsiaTheme="minorEastAsia"/>
                <w:kern w:val="0"/>
                <w:szCs w:val="21"/>
              </w:rPr>
            </w:pPr>
            <w:r>
              <w:rPr>
                <w:rFonts w:eastAsiaTheme="minorEastAsia"/>
                <w:kern w:val="0"/>
                <w:szCs w:val="21"/>
              </w:rPr>
              <w:t>标准指数</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6B0AF5F6">
            <w:pPr>
              <w:widowControl/>
              <w:jc w:val="center"/>
              <w:rPr>
                <w:rFonts w:eastAsiaTheme="minorEastAsia"/>
                <w:kern w:val="0"/>
                <w:szCs w:val="21"/>
              </w:rPr>
            </w:pPr>
            <w:r>
              <w:rPr>
                <w:rFonts w:eastAsiaTheme="minorEastAsia"/>
                <w:color w:val="000000"/>
                <w:kern w:val="0"/>
                <w:szCs w:val="21"/>
              </w:rPr>
              <w:t>0.56</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1E8ACB17">
            <w:pPr>
              <w:widowControl/>
              <w:jc w:val="center"/>
              <w:rPr>
                <w:rFonts w:eastAsiaTheme="minorEastAsia"/>
                <w:kern w:val="0"/>
                <w:szCs w:val="21"/>
              </w:rPr>
            </w:pPr>
            <w:r>
              <w:rPr>
                <w:rFonts w:eastAsiaTheme="minorEastAsia"/>
                <w:color w:val="000000"/>
                <w:kern w:val="0"/>
                <w:szCs w:val="21"/>
              </w:rPr>
              <w:t>0.83</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4D9DFA69">
            <w:pPr>
              <w:widowControl/>
              <w:jc w:val="center"/>
              <w:rPr>
                <w:rFonts w:eastAsiaTheme="minorEastAsia"/>
                <w:kern w:val="0"/>
                <w:szCs w:val="21"/>
              </w:rPr>
            </w:pPr>
            <w:r>
              <w:rPr>
                <w:rFonts w:eastAsiaTheme="minorEastAsia"/>
                <w:color w:val="000000"/>
                <w:kern w:val="0"/>
                <w:szCs w:val="21"/>
              </w:rPr>
              <w:t>0.68</w:t>
            </w:r>
          </w:p>
        </w:tc>
      </w:tr>
      <w:tr w14:paraId="65B25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14:paraId="4BE0999F">
            <w:pPr>
              <w:widowControl/>
              <w:jc w:val="center"/>
              <w:rPr>
                <w:rFonts w:eastAsiaTheme="minorEastAsia"/>
                <w:kern w:val="0"/>
                <w:szCs w:val="21"/>
              </w:rPr>
            </w:pPr>
          </w:p>
        </w:tc>
        <w:tc>
          <w:tcPr>
            <w:tcW w:w="935" w:type="pct"/>
            <w:vMerge w:val="continue"/>
            <w:shd w:val="clear" w:color="auto" w:fill="auto"/>
            <w:vAlign w:val="center"/>
          </w:tcPr>
          <w:p w14:paraId="02725629">
            <w:pPr>
              <w:widowControl/>
              <w:jc w:val="center"/>
              <w:rPr>
                <w:rFonts w:eastAsiaTheme="minorEastAsia"/>
                <w:kern w:val="0"/>
                <w:szCs w:val="21"/>
              </w:rPr>
            </w:pP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14:paraId="77601DDC">
            <w:pPr>
              <w:widowControl/>
              <w:jc w:val="center"/>
              <w:rPr>
                <w:rFonts w:eastAsiaTheme="minorEastAsia"/>
                <w:kern w:val="0"/>
                <w:szCs w:val="21"/>
              </w:rPr>
            </w:pPr>
            <w:r>
              <w:rPr>
                <w:rFonts w:eastAsiaTheme="minorEastAsia"/>
                <w:kern w:val="0"/>
                <w:szCs w:val="21"/>
              </w:rPr>
              <w:t>评价结果</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3D667F41">
            <w:pPr>
              <w:widowControl/>
              <w:jc w:val="center"/>
              <w:rPr>
                <w:rFonts w:eastAsiaTheme="minorEastAsia"/>
                <w:kern w:val="0"/>
                <w:szCs w:val="21"/>
              </w:rPr>
            </w:pPr>
            <w:r>
              <w:rPr>
                <w:rFonts w:eastAsiaTheme="minorEastAsia"/>
                <w:color w:val="000000"/>
                <w:kern w:val="0"/>
                <w:szCs w:val="21"/>
              </w:rPr>
              <w:t>达标</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202CB49C">
            <w:pPr>
              <w:widowControl/>
              <w:jc w:val="center"/>
              <w:rPr>
                <w:rFonts w:eastAsiaTheme="minorEastAsia"/>
                <w:kern w:val="0"/>
                <w:szCs w:val="21"/>
              </w:rPr>
            </w:pPr>
            <w:r>
              <w:rPr>
                <w:rFonts w:eastAsiaTheme="minorEastAsia"/>
                <w:color w:val="000000"/>
                <w:kern w:val="0"/>
                <w:szCs w:val="21"/>
              </w:rPr>
              <w:t>达标</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6E198FE6">
            <w:pPr>
              <w:widowControl/>
              <w:jc w:val="center"/>
              <w:rPr>
                <w:rFonts w:eastAsiaTheme="minorEastAsia"/>
                <w:kern w:val="0"/>
                <w:szCs w:val="21"/>
              </w:rPr>
            </w:pPr>
            <w:r>
              <w:rPr>
                <w:rFonts w:eastAsiaTheme="minorEastAsia"/>
                <w:color w:val="000000"/>
                <w:kern w:val="0"/>
                <w:szCs w:val="21"/>
              </w:rPr>
              <w:t>达标</w:t>
            </w:r>
          </w:p>
        </w:tc>
      </w:tr>
    </w:tbl>
    <w:p w14:paraId="0EF21A1D">
      <w:pPr>
        <w:pStyle w:val="85"/>
        <w:ind w:firstLine="480"/>
        <w:rPr>
          <w:kern w:val="0"/>
        </w:rPr>
      </w:pPr>
      <w:r>
        <w:rPr>
          <w:rFonts w:hint="eastAsia"/>
          <w:kern w:val="0"/>
        </w:rPr>
        <w:t>由上表可知，各监测点石油类满足《地表水环境质量标准》（GB3838-2002）Ⅱ类标准；其它各因子均满足《地下水质量标准》（GB/T14848-2017）Ⅲ类标准，区域地下水水质良好。</w:t>
      </w:r>
    </w:p>
    <w:p w14:paraId="46B39678">
      <w:pPr>
        <w:spacing w:line="520" w:lineRule="exact"/>
        <w:jc w:val="center"/>
        <w:rPr>
          <w:rFonts w:eastAsia="黑体"/>
          <w:bCs/>
          <w:kern w:val="0"/>
          <w:sz w:val="24"/>
          <w:szCs w:val="32"/>
          <w:lang w:val="zh-CN"/>
        </w:rPr>
      </w:pPr>
      <w:bookmarkStart w:id="107" w:name="_Ref129532055"/>
      <w:r>
        <w:rPr>
          <w:kern w:val="0"/>
          <w:sz w:val="24"/>
        </w:rPr>
        <w:t>表</w:t>
      </w:r>
      <w:r>
        <w:rPr>
          <w:kern w:val="0"/>
          <w:sz w:val="24"/>
        </w:rPr>
        <w:fldChar w:fldCharType="begin"/>
      </w:r>
      <w:r>
        <w:rPr>
          <w:kern w:val="0"/>
          <w:sz w:val="24"/>
        </w:rPr>
        <w:instrText xml:space="preserve"> STYLEREF 1 \s </w:instrText>
      </w:r>
      <w:r>
        <w:rPr>
          <w:kern w:val="0"/>
          <w:sz w:val="24"/>
        </w:rPr>
        <w:fldChar w:fldCharType="separate"/>
      </w:r>
      <w:r>
        <w:rPr>
          <w:kern w:val="0"/>
          <w:sz w:val="24"/>
        </w:rPr>
        <w:t>3</w:t>
      </w:r>
      <w:r>
        <w:rPr>
          <w:kern w:val="0"/>
          <w:sz w:val="24"/>
        </w:rPr>
        <w:fldChar w:fldCharType="end"/>
      </w:r>
      <w:r>
        <w:rPr>
          <w:kern w:val="0"/>
          <w:sz w:val="24"/>
        </w:rPr>
        <w:noBreakHyphen/>
      </w:r>
      <w:r>
        <w:rPr>
          <w:kern w:val="0"/>
          <w:sz w:val="24"/>
        </w:rPr>
        <w:fldChar w:fldCharType="begin"/>
      </w:r>
      <w:r>
        <w:rPr>
          <w:kern w:val="0"/>
          <w:sz w:val="24"/>
        </w:rPr>
        <w:instrText xml:space="preserve"> SEQ 表 \* ARABIC \s 1 </w:instrText>
      </w:r>
      <w:r>
        <w:rPr>
          <w:kern w:val="0"/>
          <w:sz w:val="24"/>
        </w:rPr>
        <w:fldChar w:fldCharType="separate"/>
      </w:r>
      <w:r>
        <w:rPr>
          <w:kern w:val="0"/>
          <w:sz w:val="24"/>
        </w:rPr>
        <w:t>9</w:t>
      </w:r>
      <w:r>
        <w:rPr>
          <w:kern w:val="0"/>
          <w:sz w:val="24"/>
        </w:rPr>
        <w:fldChar w:fldCharType="end"/>
      </w:r>
      <w:bookmarkEnd w:id="107"/>
      <w:r>
        <w:rPr>
          <w:kern w:val="0"/>
          <w:sz w:val="24"/>
        </w:rPr>
        <w:t xml:space="preserve"> </w:t>
      </w:r>
      <w:r>
        <w:rPr>
          <w:rFonts w:hint="eastAsia" w:eastAsia="黑体"/>
          <w:bCs/>
          <w:kern w:val="0"/>
          <w:sz w:val="24"/>
          <w:szCs w:val="32"/>
          <w:lang w:val="zh-CN"/>
        </w:rPr>
        <w:t xml:space="preserve"> 地下水八大离子监测结果及水化学类型表</w:t>
      </w:r>
    </w:p>
    <w:tbl>
      <w:tblPr>
        <w:tblStyle w:val="27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79"/>
        <w:gridCol w:w="544"/>
        <w:gridCol w:w="673"/>
        <w:gridCol w:w="545"/>
        <w:gridCol w:w="716"/>
        <w:gridCol w:w="545"/>
        <w:gridCol w:w="674"/>
        <w:gridCol w:w="545"/>
        <w:gridCol w:w="716"/>
        <w:gridCol w:w="545"/>
        <w:gridCol w:w="674"/>
        <w:gridCol w:w="545"/>
        <w:gridCol w:w="716"/>
      </w:tblGrid>
      <w:tr w14:paraId="6300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Merge w:val="restart"/>
            <w:tcBorders>
              <w:tl2br w:val="single" w:color="auto" w:sz="4" w:space="0"/>
            </w:tcBorders>
            <w:vAlign w:val="center"/>
          </w:tcPr>
          <w:p w14:paraId="72A04784">
            <w:pPr>
              <w:jc w:val="right"/>
              <w:rPr>
                <w:kern w:val="0"/>
                <w:sz w:val="21"/>
                <w:szCs w:val="21"/>
              </w:rPr>
            </w:pPr>
            <w:r>
              <w:rPr>
                <w:rFonts w:hint="eastAsia"/>
                <w:kern w:val="0"/>
                <w:sz w:val="21"/>
                <w:szCs w:val="21"/>
              </w:rPr>
              <w:t>监测点</w:t>
            </w:r>
          </w:p>
          <w:p w14:paraId="09E48F90">
            <w:pPr>
              <w:jc w:val="center"/>
              <w:rPr>
                <w:kern w:val="0"/>
                <w:sz w:val="21"/>
                <w:szCs w:val="21"/>
              </w:rPr>
            </w:pPr>
          </w:p>
          <w:p w14:paraId="20643D7D">
            <w:pPr>
              <w:jc w:val="left"/>
              <w:rPr>
                <w:kern w:val="0"/>
                <w:sz w:val="21"/>
                <w:szCs w:val="21"/>
              </w:rPr>
            </w:pPr>
            <w:r>
              <w:rPr>
                <w:rFonts w:hint="eastAsia"/>
                <w:kern w:val="0"/>
                <w:sz w:val="21"/>
                <w:szCs w:val="21"/>
              </w:rPr>
              <w:t>监测因子</w:t>
            </w:r>
          </w:p>
        </w:tc>
        <w:tc>
          <w:tcPr>
            <w:tcW w:w="0" w:type="auto"/>
            <w:gridSpan w:val="4"/>
            <w:vAlign w:val="center"/>
          </w:tcPr>
          <w:p w14:paraId="4097A466">
            <w:pPr>
              <w:jc w:val="center"/>
              <w:rPr>
                <w:kern w:val="0"/>
                <w:sz w:val="21"/>
                <w:szCs w:val="21"/>
              </w:rPr>
            </w:pPr>
            <w:r>
              <w:rPr>
                <w:kern w:val="0"/>
                <w:sz w:val="21"/>
                <w:szCs w:val="21"/>
              </w:rPr>
              <w:t>Q1（潜水）</w:t>
            </w:r>
          </w:p>
        </w:tc>
        <w:tc>
          <w:tcPr>
            <w:tcW w:w="0" w:type="auto"/>
            <w:gridSpan w:val="4"/>
            <w:vAlign w:val="center"/>
          </w:tcPr>
          <w:p w14:paraId="148ABB8B">
            <w:pPr>
              <w:jc w:val="center"/>
              <w:rPr>
                <w:kern w:val="0"/>
                <w:sz w:val="21"/>
                <w:szCs w:val="21"/>
              </w:rPr>
            </w:pPr>
            <w:r>
              <w:rPr>
                <w:kern w:val="0"/>
                <w:sz w:val="21"/>
                <w:szCs w:val="21"/>
              </w:rPr>
              <w:t>Q2（潜水）</w:t>
            </w:r>
          </w:p>
        </w:tc>
        <w:tc>
          <w:tcPr>
            <w:tcW w:w="0" w:type="auto"/>
            <w:gridSpan w:val="4"/>
            <w:vAlign w:val="center"/>
          </w:tcPr>
          <w:p w14:paraId="294978D9">
            <w:pPr>
              <w:jc w:val="center"/>
              <w:rPr>
                <w:kern w:val="0"/>
                <w:sz w:val="21"/>
                <w:szCs w:val="21"/>
              </w:rPr>
            </w:pPr>
            <w:r>
              <w:rPr>
                <w:kern w:val="0"/>
                <w:sz w:val="21"/>
                <w:szCs w:val="21"/>
              </w:rPr>
              <w:t>Q3（潜水）</w:t>
            </w:r>
          </w:p>
        </w:tc>
      </w:tr>
      <w:tr w14:paraId="4A155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vMerge w:val="continue"/>
            <w:tcBorders>
              <w:tl2br w:val="single" w:color="auto" w:sz="4" w:space="0"/>
            </w:tcBorders>
            <w:vAlign w:val="center"/>
          </w:tcPr>
          <w:p w14:paraId="173DEB8A">
            <w:pPr>
              <w:jc w:val="center"/>
              <w:rPr>
                <w:kern w:val="0"/>
                <w:sz w:val="21"/>
                <w:szCs w:val="21"/>
              </w:rPr>
            </w:pPr>
          </w:p>
        </w:tc>
        <w:tc>
          <w:tcPr>
            <w:tcW w:w="0" w:type="auto"/>
            <w:vAlign w:val="center"/>
          </w:tcPr>
          <w:p w14:paraId="3D81BE36">
            <w:pPr>
              <w:jc w:val="center"/>
              <w:rPr>
                <w:kern w:val="0"/>
                <w:sz w:val="21"/>
                <w:szCs w:val="21"/>
              </w:rPr>
            </w:pPr>
            <w:r>
              <w:rPr>
                <w:rFonts w:hint="eastAsia"/>
                <w:kern w:val="0"/>
                <w:sz w:val="21"/>
                <w:szCs w:val="21"/>
              </w:rPr>
              <w:t>检测值</w:t>
            </w:r>
          </w:p>
          <w:p w14:paraId="356AF67C">
            <w:pPr>
              <w:jc w:val="center"/>
              <w:rPr>
                <w:kern w:val="0"/>
                <w:sz w:val="21"/>
                <w:szCs w:val="21"/>
              </w:rPr>
            </w:pPr>
            <w:r>
              <w:rPr>
                <w:rFonts w:hint="eastAsia"/>
                <w:kern w:val="0"/>
                <w:sz w:val="21"/>
                <w:szCs w:val="21"/>
              </w:rPr>
              <w:t>mg/L</w:t>
            </w:r>
          </w:p>
        </w:tc>
        <w:tc>
          <w:tcPr>
            <w:tcW w:w="0" w:type="auto"/>
            <w:vAlign w:val="center"/>
          </w:tcPr>
          <w:p w14:paraId="637EB6DB">
            <w:pPr>
              <w:jc w:val="center"/>
              <w:rPr>
                <w:kern w:val="0"/>
                <w:sz w:val="21"/>
                <w:szCs w:val="21"/>
              </w:rPr>
            </w:pPr>
            <w:r>
              <w:rPr>
                <w:rFonts w:hint="eastAsia"/>
                <w:kern w:val="0"/>
                <w:sz w:val="21"/>
                <w:szCs w:val="21"/>
              </w:rPr>
              <w:t>毫克当量</w:t>
            </w:r>
          </w:p>
          <w:p w14:paraId="0F39D829">
            <w:pPr>
              <w:jc w:val="center"/>
              <w:rPr>
                <w:kern w:val="0"/>
                <w:sz w:val="21"/>
                <w:szCs w:val="21"/>
              </w:rPr>
            </w:pPr>
            <w:r>
              <w:rPr>
                <w:rFonts w:hint="eastAsia"/>
                <w:kern w:val="0"/>
                <w:sz w:val="21"/>
                <w:szCs w:val="21"/>
              </w:rPr>
              <w:t>meq/L</w:t>
            </w:r>
          </w:p>
        </w:tc>
        <w:tc>
          <w:tcPr>
            <w:tcW w:w="0" w:type="auto"/>
            <w:vAlign w:val="center"/>
          </w:tcPr>
          <w:p w14:paraId="39266640">
            <w:pPr>
              <w:autoSpaceDE w:val="0"/>
              <w:autoSpaceDN w:val="0"/>
              <w:adjustRightInd w:val="0"/>
              <w:jc w:val="center"/>
              <w:rPr>
                <w:bCs/>
                <w:kern w:val="0"/>
                <w:sz w:val="21"/>
                <w:szCs w:val="21"/>
                <w:lang w:val="zh-CN"/>
              </w:rPr>
            </w:pPr>
            <w:r>
              <w:rPr>
                <w:rFonts w:hint="eastAsia"/>
                <w:bCs/>
                <w:kern w:val="0"/>
                <w:sz w:val="21"/>
                <w:szCs w:val="21"/>
                <w:lang w:val="zh-CN"/>
              </w:rPr>
              <w:t>百分比</w:t>
            </w:r>
          </w:p>
          <w:p w14:paraId="112D786C">
            <w:pPr>
              <w:autoSpaceDE w:val="0"/>
              <w:autoSpaceDN w:val="0"/>
              <w:adjustRightInd w:val="0"/>
              <w:jc w:val="center"/>
              <w:rPr>
                <w:bCs/>
                <w:kern w:val="0"/>
                <w:sz w:val="21"/>
                <w:szCs w:val="21"/>
                <w:lang w:val="zh-CN"/>
              </w:rPr>
            </w:pPr>
            <w:r>
              <w:rPr>
                <w:rFonts w:hint="eastAsia"/>
                <w:bCs/>
                <w:kern w:val="0"/>
                <w:sz w:val="21"/>
                <w:szCs w:val="21"/>
                <w:lang w:val="zh-CN"/>
              </w:rPr>
              <w:t>%</w:t>
            </w:r>
          </w:p>
        </w:tc>
        <w:tc>
          <w:tcPr>
            <w:tcW w:w="0" w:type="auto"/>
            <w:vAlign w:val="center"/>
          </w:tcPr>
          <w:p w14:paraId="1871928A">
            <w:pPr>
              <w:autoSpaceDE w:val="0"/>
              <w:autoSpaceDN w:val="0"/>
              <w:adjustRightInd w:val="0"/>
              <w:jc w:val="center"/>
              <w:rPr>
                <w:bCs/>
                <w:kern w:val="0"/>
                <w:sz w:val="21"/>
                <w:szCs w:val="21"/>
                <w:lang w:val="zh-CN"/>
              </w:rPr>
            </w:pPr>
            <w:r>
              <w:rPr>
                <w:rFonts w:hint="eastAsia"/>
                <w:bCs/>
                <w:kern w:val="0"/>
                <w:sz w:val="21"/>
                <w:szCs w:val="21"/>
                <w:lang w:val="zh-CN"/>
              </w:rPr>
              <w:t>水化学类型</w:t>
            </w:r>
          </w:p>
        </w:tc>
        <w:tc>
          <w:tcPr>
            <w:tcW w:w="0" w:type="auto"/>
            <w:vAlign w:val="center"/>
          </w:tcPr>
          <w:p w14:paraId="580F80AA">
            <w:pPr>
              <w:jc w:val="center"/>
              <w:rPr>
                <w:kern w:val="0"/>
                <w:sz w:val="21"/>
                <w:szCs w:val="21"/>
              </w:rPr>
            </w:pPr>
            <w:r>
              <w:rPr>
                <w:rFonts w:hint="eastAsia"/>
                <w:kern w:val="0"/>
                <w:sz w:val="21"/>
                <w:szCs w:val="21"/>
              </w:rPr>
              <w:t>检测值</w:t>
            </w:r>
          </w:p>
          <w:p w14:paraId="65C7CD00">
            <w:pPr>
              <w:jc w:val="center"/>
              <w:rPr>
                <w:kern w:val="0"/>
                <w:sz w:val="21"/>
                <w:szCs w:val="21"/>
              </w:rPr>
            </w:pPr>
            <w:r>
              <w:rPr>
                <w:rFonts w:hint="eastAsia"/>
                <w:kern w:val="0"/>
                <w:sz w:val="21"/>
                <w:szCs w:val="21"/>
              </w:rPr>
              <w:t>mg/L</w:t>
            </w:r>
          </w:p>
        </w:tc>
        <w:tc>
          <w:tcPr>
            <w:tcW w:w="0" w:type="auto"/>
            <w:vAlign w:val="center"/>
          </w:tcPr>
          <w:p w14:paraId="3D1071A3">
            <w:pPr>
              <w:jc w:val="center"/>
              <w:rPr>
                <w:kern w:val="0"/>
                <w:sz w:val="21"/>
                <w:szCs w:val="21"/>
              </w:rPr>
            </w:pPr>
            <w:r>
              <w:rPr>
                <w:rFonts w:hint="eastAsia"/>
                <w:kern w:val="0"/>
                <w:sz w:val="21"/>
                <w:szCs w:val="21"/>
              </w:rPr>
              <w:t>毫克当量</w:t>
            </w:r>
          </w:p>
          <w:p w14:paraId="3AE43EA0">
            <w:pPr>
              <w:jc w:val="center"/>
              <w:rPr>
                <w:kern w:val="0"/>
                <w:sz w:val="21"/>
                <w:szCs w:val="21"/>
              </w:rPr>
            </w:pPr>
            <w:r>
              <w:rPr>
                <w:rFonts w:hint="eastAsia"/>
                <w:kern w:val="0"/>
                <w:sz w:val="21"/>
                <w:szCs w:val="21"/>
              </w:rPr>
              <w:t>meq/L</w:t>
            </w:r>
          </w:p>
        </w:tc>
        <w:tc>
          <w:tcPr>
            <w:tcW w:w="0" w:type="auto"/>
            <w:vAlign w:val="center"/>
          </w:tcPr>
          <w:p w14:paraId="614353BE">
            <w:pPr>
              <w:autoSpaceDE w:val="0"/>
              <w:autoSpaceDN w:val="0"/>
              <w:adjustRightInd w:val="0"/>
              <w:jc w:val="center"/>
              <w:rPr>
                <w:bCs/>
                <w:kern w:val="0"/>
                <w:sz w:val="21"/>
                <w:szCs w:val="21"/>
                <w:lang w:val="zh-CN"/>
              </w:rPr>
            </w:pPr>
            <w:r>
              <w:rPr>
                <w:rFonts w:hint="eastAsia"/>
                <w:bCs/>
                <w:kern w:val="0"/>
                <w:sz w:val="21"/>
                <w:szCs w:val="21"/>
                <w:lang w:val="zh-CN"/>
              </w:rPr>
              <w:t>百分比</w:t>
            </w:r>
          </w:p>
          <w:p w14:paraId="6EF09522">
            <w:pPr>
              <w:autoSpaceDE w:val="0"/>
              <w:autoSpaceDN w:val="0"/>
              <w:adjustRightInd w:val="0"/>
              <w:jc w:val="center"/>
              <w:rPr>
                <w:bCs/>
                <w:kern w:val="0"/>
                <w:sz w:val="21"/>
                <w:szCs w:val="21"/>
                <w:lang w:val="zh-CN"/>
              </w:rPr>
            </w:pPr>
            <w:r>
              <w:rPr>
                <w:rFonts w:hint="eastAsia"/>
                <w:bCs/>
                <w:kern w:val="0"/>
                <w:sz w:val="21"/>
                <w:szCs w:val="21"/>
                <w:lang w:val="zh-CN"/>
              </w:rPr>
              <w:t>%</w:t>
            </w:r>
          </w:p>
        </w:tc>
        <w:tc>
          <w:tcPr>
            <w:tcW w:w="0" w:type="auto"/>
            <w:vAlign w:val="center"/>
          </w:tcPr>
          <w:p w14:paraId="1E9635E2">
            <w:pPr>
              <w:autoSpaceDE w:val="0"/>
              <w:autoSpaceDN w:val="0"/>
              <w:adjustRightInd w:val="0"/>
              <w:jc w:val="center"/>
              <w:rPr>
                <w:bCs/>
                <w:kern w:val="0"/>
                <w:sz w:val="21"/>
                <w:szCs w:val="21"/>
                <w:lang w:val="zh-CN"/>
              </w:rPr>
            </w:pPr>
            <w:r>
              <w:rPr>
                <w:rFonts w:hint="eastAsia"/>
                <w:bCs/>
                <w:kern w:val="0"/>
                <w:sz w:val="21"/>
                <w:szCs w:val="21"/>
                <w:lang w:val="zh-CN"/>
              </w:rPr>
              <w:t>水化学类型</w:t>
            </w:r>
          </w:p>
        </w:tc>
        <w:tc>
          <w:tcPr>
            <w:tcW w:w="0" w:type="auto"/>
            <w:vAlign w:val="center"/>
          </w:tcPr>
          <w:p w14:paraId="039DF4C0">
            <w:pPr>
              <w:jc w:val="center"/>
              <w:rPr>
                <w:kern w:val="0"/>
                <w:sz w:val="21"/>
                <w:szCs w:val="21"/>
              </w:rPr>
            </w:pPr>
            <w:r>
              <w:rPr>
                <w:rFonts w:hint="eastAsia"/>
                <w:kern w:val="0"/>
                <w:sz w:val="21"/>
                <w:szCs w:val="21"/>
              </w:rPr>
              <w:t>检测值</w:t>
            </w:r>
          </w:p>
          <w:p w14:paraId="5DC30E77">
            <w:pPr>
              <w:jc w:val="center"/>
              <w:rPr>
                <w:kern w:val="0"/>
                <w:sz w:val="21"/>
                <w:szCs w:val="21"/>
              </w:rPr>
            </w:pPr>
            <w:r>
              <w:rPr>
                <w:rFonts w:hint="eastAsia"/>
                <w:kern w:val="0"/>
                <w:sz w:val="21"/>
                <w:szCs w:val="21"/>
              </w:rPr>
              <w:t>mg/L</w:t>
            </w:r>
          </w:p>
        </w:tc>
        <w:tc>
          <w:tcPr>
            <w:tcW w:w="0" w:type="auto"/>
            <w:vAlign w:val="center"/>
          </w:tcPr>
          <w:p w14:paraId="1F0EC539">
            <w:pPr>
              <w:jc w:val="center"/>
              <w:rPr>
                <w:kern w:val="0"/>
                <w:sz w:val="21"/>
                <w:szCs w:val="21"/>
              </w:rPr>
            </w:pPr>
            <w:r>
              <w:rPr>
                <w:rFonts w:hint="eastAsia"/>
                <w:kern w:val="0"/>
                <w:sz w:val="21"/>
                <w:szCs w:val="21"/>
              </w:rPr>
              <w:t>毫克当量</w:t>
            </w:r>
          </w:p>
          <w:p w14:paraId="14B0D4F5">
            <w:pPr>
              <w:jc w:val="center"/>
              <w:rPr>
                <w:kern w:val="0"/>
                <w:sz w:val="21"/>
                <w:szCs w:val="21"/>
              </w:rPr>
            </w:pPr>
            <w:r>
              <w:rPr>
                <w:rFonts w:hint="eastAsia"/>
                <w:kern w:val="0"/>
                <w:sz w:val="21"/>
                <w:szCs w:val="21"/>
              </w:rPr>
              <w:t>meq/L</w:t>
            </w:r>
          </w:p>
        </w:tc>
        <w:tc>
          <w:tcPr>
            <w:tcW w:w="0" w:type="auto"/>
            <w:vAlign w:val="center"/>
          </w:tcPr>
          <w:p w14:paraId="5EE665C9">
            <w:pPr>
              <w:autoSpaceDE w:val="0"/>
              <w:autoSpaceDN w:val="0"/>
              <w:adjustRightInd w:val="0"/>
              <w:jc w:val="center"/>
              <w:rPr>
                <w:bCs/>
                <w:kern w:val="0"/>
                <w:sz w:val="21"/>
                <w:szCs w:val="21"/>
                <w:lang w:val="zh-CN"/>
              </w:rPr>
            </w:pPr>
            <w:r>
              <w:rPr>
                <w:rFonts w:hint="eastAsia"/>
                <w:bCs/>
                <w:kern w:val="0"/>
                <w:sz w:val="21"/>
                <w:szCs w:val="21"/>
                <w:lang w:val="zh-CN"/>
              </w:rPr>
              <w:t>百分比</w:t>
            </w:r>
          </w:p>
          <w:p w14:paraId="47DBC55B">
            <w:pPr>
              <w:autoSpaceDE w:val="0"/>
              <w:autoSpaceDN w:val="0"/>
              <w:adjustRightInd w:val="0"/>
              <w:jc w:val="center"/>
              <w:rPr>
                <w:bCs/>
                <w:kern w:val="0"/>
                <w:sz w:val="21"/>
                <w:szCs w:val="21"/>
                <w:lang w:val="zh-CN"/>
              </w:rPr>
            </w:pPr>
            <w:r>
              <w:rPr>
                <w:rFonts w:hint="eastAsia"/>
                <w:bCs/>
                <w:kern w:val="0"/>
                <w:sz w:val="21"/>
                <w:szCs w:val="21"/>
                <w:lang w:val="zh-CN"/>
              </w:rPr>
              <w:t>%</w:t>
            </w:r>
          </w:p>
        </w:tc>
        <w:tc>
          <w:tcPr>
            <w:tcW w:w="0" w:type="auto"/>
            <w:vAlign w:val="center"/>
          </w:tcPr>
          <w:p w14:paraId="552F1F21">
            <w:pPr>
              <w:autoSpaceDE w:val="0"/>
              <w:autoSpaceDN w:val="0"/>
              <w:adjustRightInd w:val="0"/>
              <w:jc w:val="center"/>
              <w:rPr>
                <w:bCs/>
                <w:kern w:val="0"/>
                <w:sz w:val="21"/>
                <w:szCs w:val="21"/>
                <w:lang w:val="zh-CN"/>
              </w:rPr>
            </w:pPr>
            <w:r>
              <w:rPr>
                <w:rFonts w:hint="eastAsia"/>
                <w:bCs/>
                <w:kern w:val="0"/>
                <w:sz w:val="21"/>
                <w:szCs w:val="21"/>
                <w:lang w:val="zh-CN"/>
              </w:rPr>
              <w:t>水化学类型</w:t>
            </w:r>
          </w:p>
        </w:tc>
      </w:tr>
      <w:tr w14:paraId="2BE6D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0" w:type="auto"/>
            <w:vMerge w:val="restart"/>
            <w:vAlign w:val="center"/>
          </w:tcPr>
          <w:p w14:paraId="2FD53AB2">
            <w:pPr>
              <w:jc w:val="center"/>
              <w:rPr>
                <w:kern w:val="0"/>
                <w:sz w:val="21"/>
                <w:szCs w:val="21"/>
              </w:rPr>
            </w:pPr>
            <w:r>
              <w:rPr>
                <w:rFonts w:hint="eastAsia"/>
                <w:kern w:val="0"/>
                <w:sz w:val="21"/>
                <w:szCs w:val="21"/>
              </w:rPr>
              <w:t>K</w:t>
            </w:r>
            <w:r>
              <w:rPr>
                <w:rFonts w:hint="eastAsia"/>
                <w:kern w:val="0"/>
                <w:sz w:val="21"/>
                <w:szCs w:val="21"/>
                <w:vertAlign w:val="superscript"/>
              </w:rPr>
              <w:t>+</w:t>
            </w:r>
            <w:r>
              <w:rPr>
                <w:kern w:val="0"/>
                <w:sz w:val="21"/>
                <w:szCs w:val="21"/>
              </w:rPr>
              <w:t>+</w:t>
            </w:r>
            <w:r>
              <w:rPr>
                <w:rFonts w:hint="eastAsia"/>
                <w:kern w:val="0"/>
                <w:sz w:val="21"/>
                <w:szCs w:val="21"/>
              </w:rPr>
              <w:t xml:space="preserve"> Na</w:t>
            </w:r>
            <w:r>
              <w:rPr>
                <w:rFonts w:hint="eastAsia"/>
                <w:kern w:val="0"/>
                <w:sz w:val="21"/>
                <w:szCs w:val="21"/>
                <w:vertAlign w:val="superscript"/>
              </w:rPr>
              <w:t>+</w:t>
            </w:r>
          </w:p>
        </w:tc>
        <w:tc>
          <w:tcPr>
            <w:tcW w:w="0" w:type="auto"/>
            <w:vMerge w:val="restart"/>
            <w:vAlign w:val="center"/>
          </w:tcPr>
          <w:p w14:paraId="22398A7E">
            <w:pPr>
              <w:jc w:val="center"/>
              <w:rPr>
                <w:kern w:val="0"/>
                <w:sz w:val="21"/>
                <w:szCs w:val="21"/>
              </w:rPr>
            </w:pPr>
            <w:r>
              <w:rPr>
                <w:kern w:val="0"/>
                <w:sz w:val="21"/>
                <w:szCs w:val="21"/>
              </w:rPr>
              <w:t>30.72</w:t>
            </w:r>
          </w:p>
        </w:tc>
        <w:tc>
          <w:tcPr>
            <w:tcW w:w="0" w:type="auto"/>
            <w:vMerge w:val="restart"/>
            <w:vAlign w:val="center"/>
          </w:tcPr>
          <w:p w14:paraId="1482D6B9">
            <w:pPr>
              <w:jc w:val="center"/>
              <w:rPr>
                <w:kern w:val="0"/>
                <w:sz w:val="21"/>
                <w:szCs w:val="21"/>
              </w:rPr>
            </w:pPr>
            <w:r>
              <w:rPr>
                <w:rFonts w:hint="eastAsia"/>
                <w:kern w:val="0"/>
                <w:sz w:val="21"/>
                <w:szCs w:val="21"/>
              </w:rPr>
              <w:t>1</w:t>
            </w:r>
            <w:r>
              <w:rPr>
                <w:kern w:val="0"/>
                <w:sz w:val="21"/>
                <w:szCs w:val="21"/>
              </w:rPr>
              <w:t>.34</w:t>
            </w:r>
          </w:p>
        </w:tc>
        <w:tc>
          <w:tcPr>
            <w:tcW w:w="0" w:type="auto"/>
            <w:vMerge w:val="restart"/>
            <w:vAlign w:val="center"/>
          </w:tcPr>
          <w:p w14:paraId="7A742D9A">
            <w:pPr>
              <w:jc w:val="center"/>
              <w:rPr>
                <w:kern w:val="0"/>
                <w:sz w:val="21"/>
                <w:szCs w:val="21"/>
              </w:rPr>
            </w:pPr>
            <w:r>
              <w:rPr>
                <w:rFonts w:hint="eastAsia"/>
                <w:kern w:val="0"/>
                <w:sz w:val="21"/>
                <w:szCs w:val="21"/>
              </w:rPr>
              <w:t>1</w:t>
            </w:r>
            <w:r>
              <w:rPr>
                <w:kern w:val="0"/>
                <w:sz w:val="21"/>
                <w:szCs w:val="21"/>
              </w:rPr>
              <w:t>3.47</w:t>
            </w:r>
          </w:p>
        </w:tc>
        <w:tc>
          <w:tcPr>
            <w:tcW w:w="0" w:type="auto"/>
            <w:vMerge w:val="restart"/>
            <w:vAlign w:val="center"/>
          </w:tcPr>
          <w:p w14:paraId="56066834">
            <w:pPr>
              <w:jc w:val="center"/>
              <w:rPr>
                <w:kern w:val="0"/>
                <w:sz w:val="21"/>
                <w:szCs w:val="21"/>
              </w:rPr>
            </w:pPr>
            <w:r>
              <w:rPr>
                <w:rFonts w:hint="eastAsia"/>
                <w:kern w:val="0"/>
                <w:sz w:val="21"/>
                <w:szCs w:val="21"/>
              </w:rPr>
              <w:t>钙镁型水</w:t>
            </w:r>
          </w:p>
        </w:tc>
        <w:tc>
          <w:tcPr>
            <w:tcW w:w="0" w:type="auto"/>
            <w:vMerge w:val="restart"/>
            <w:vAlign w:val="center"/>
          </w:tcPr>
          <w:p w14:paraId="4ED86516">
            <w:pPr>
              <w:jc w:val="center"/>
              <w:rPr>
                <w:kern w:val="0"/>
                <w:sz w:val="21"/>
                <w:szCs w:val="21"/>
              </w:rPr>
            </w:pPr>
            <w:r>
              <w:rPr>
                <w:rFonts w:hint="eastAsia"/>
                <w:kern w:val="0"/>
                <w:sz w:val="21"/>
                <w:szCs w:val="21"/>
              </w:rPr>
              <w:t>2</w:t>
            </w:r>
            <w:r>
              <w:rPr>
                <w:kern w:val="0"/>
                <w:sz w:val="21"/>
                <w:szCs w:val="21"/>
              </w:rPr>
              <w:t>6.73</w:t>
            </w:r>
          </w:p>
        </w:tc>
        <w:tc>
          <w:tcPr>
            <w:tcW w:w="0" w:type="auto"/>
            <w:vMerge w:val="restart"/>
            <w:vAlign w:val="center"/>
          </w:tcPr>
          <w:p w14:paraId="5EAAE0CC">
            <w:pPr>
              <w:jc w:val="center"/>
              <w:rPr>
                <w:kern w:val="0"/>
                <w:sz w:val="21"/>
                <w:szCs w:val="21"/>
              </w:rPr>
            </w:pPr>
            <w:r>
              <w:rPr>
                <w:rFonts w:hint="eastAsia"/>
                <w:kern w:val="0"/>
                <w:sz w:val="21"/>
                <w:szCs w:val="21"/>
              </w:rPr>
              <w:t>1</w:t>
            </w:r>
            <w:r>
              <w:rPr>
                <w:kern w:val="0"/>
                <w:sz w:val="21"/>
                <w:szCs w:val="21"/>
              </w:rPr>
              <w:t>.16</w:t>
            </w:r>
          </w:p>
        </w:tc>
        <w:tc>
          <w:tcPr>
            <w:tcW w:w="0" w:type="auto"/>
            <w:vMerge w:val="restart"/>
            <w:vAlign w:val="center"/>
          </w:tcPr>
          <w:p w14:paraId="5C7EC9D9">
            <w:pPr>
              <w:jc w:val="center"/>
              <w:rPr>
                <w:kern w:val="0"/>
                <w:sz w:val="21"/>
                <w:szCs w:val="21"/>
              </w:rPr>
            </w:pPr>
            <w:r>
              <w:rPr>
                <w:rFonts w:hint="eastAsia"/>
                <w:kern w:val="0"/>
                <w:sz w:val="21"/>
                <w:szCs w:val="21"/>
              </w:rPr>
              <w:t>1</w:t>
            </w:r>
            <w:r>
              <w:rPr>
                <w:kern w:val="0"/>
                <w:sz w:val="21"/>
                <w:szCs w:val="21"/>
              </w:rPr>
              <w:t>2.8</w:t>
            </w:r>
          </w:p>
        </w:tc>
        <w:tc>
          <w:tcPr>
            <w:tcW w:w="0" w:type="auto"/>
            <w:vMerge w:val="restart"/>
            <w:vAlign w:val="center"/>
          </w:tcPr>
          <w:p w14:paraId="07127E93">
            <w:pPr>
              <w:jc w:val="center"/>
              <w:rPr>
                <w:kern w:val="0"/>
                <w:sz w:val="21"/>
                <w:szCs w:val="21"/>
              </w:rPr>
            </w:pPr>
            <w:r>
              <w:rPr>
                <w:rFonts w:hint="eastAsia"/>
                <w:kern w:val="0"/>
                <w:sz w:val="21"/>
                <w:szCs w:val="21"/>
              </w:rPr>
              <w:t>钙型水</w:t>
            </w:r>
          </w:p>
        </w:tc>
        <w:tc>
          <w:tcPr>
            <w:tcW w:w="0" w:type="auto"/>
            <w:vMerge w:val="restart"/>
            <w:vAlign w:val="center"/>
          </w:tcPr>
          <w:p w14:paraId="6B8E80BA">
            <w:pPr>
              <w:jc w:val="center"/>
              <w:rPr>
                <w:kern w:val="0"/>
                <w:sz w:val="21"/>
                <w:szCs w:val="21"/>
              </w:rPr>
            </w:pPr>
            <w:r>
              <w:rPr>
                <w:rFonts w:hint="eastAsia"/>
                <w:kern w:val="0"/>
                <w:sz w:val="21"/>
                <w:szCs w:val="21"/>
              </w:rPr>
              <w:t>2</w:t>
            </w:r>
            <w:r>
              <w:rPr>
                <w:kern w:val="0"/>
                <w:sz w:val="21"/>
                <w:szCs w:val="21"/>
              </w:rPr>
              <w:t>8.08</w:t>
            </w:r>
          </w:p>
        </w:tc>
        <w:tc>
          <w:tcPr>
            <w:tcW w:w="0" w:type="auto"/>
            <w:vMerge w:val="restart"/>
            <w:vAlign w:val="center"/>
          </w:tcPr>
          <w:p w14:paraId="54ED49AB">
            <w:pPr>
              <w:jc w:val="center"/>
              <w:rPr>
                <w:kern w:val="0"/>
                <w:sz w:val="21"/>
                <w:szCs w:val="21"/>
              </w:rPr>
            </w:pPr>
            <w:r>
              <w:rPr>
                <w:rFonts w:hint="eastAsia"/>
                <w:kern w:val="0"/>
                <w:sz w:val="21"/>
                <w:szCs w:val="21"/>
              </w:rPr>
              <w:t>1</w:t>
            </w:r>
            <w:r>
              <w:rPr>
                <w:kern w:val="0"/>
                <w:sz w:val="21"/>
                <w:szCs w:val="21"/>
              </w:rPr>
              <w:t>.22</w:t>
            </w:r>
          </w:p>
        </w:tc>
        <w:tc>
          <w:tcPr>
            <w:tcW w:w="0" w:type="auto"/>
            <w:vMerge w:val="restart"/>
            <w:vAlign w:val="center"/>
          </w:tcPr>
          <w:p w14:paraId="2E3006C1">
            <w:pPr>
              <w:jc w:val="center"/>
              <w:rPr>
                <w:kern w:val="0"/>
                <w:sz w:val="21"/>
                <w:szCs w:val="21"/>
              </w:rPr>
            </w:pPr>
            <w:r>
              <w:rPr>
                <w:rFonts w:hint="eastAsia"/>
                <w:kern w:val="0"/>
                <w:sz w:val="21"/>
                <w:szCs w:val="21"/>
              </w:rPr>
              <w:t>1</w:t>
            </w:r>
            <w:r>
              <w:rPr>
                <w:kern w:val="0"/>
                <w:sz w:val="21"/>
                <w:szCs w:val="21"/>
              </w:rPr>
              <w:t>4.03</w:t>
            </w:r>
          </w:p>
        </w:tc>
        <w:tc>
          <w:tcPr>
            <w:tcW w:w="0" w:type="auto"/>
            <w:vMerge w:val="restart"/>
            <w:vAlign w:val="center"/>
          </w:tcPr>
          <w:p w14:paraId="037FE798">
            <w:pPr>
              <w:jc w:val="center"/>
              <w:rPr>
                <w:kern w:val="0"/>
                <w:sz w:val="21"/>
                <w:szCs w:val="21"/>
              </w:rPr>
            </w:pPr>
            <w:r>
              <w:rPr>
                <w:rFonts w:hint="eastAsia"/>
                <w:kern w:val="0"/>
                <w:sz w:val="21"/>
                <w:szCs w:val="21"/>
              </w:rPr>
              <w:t>钙型水</w:t>
            </w:r>
          </w:p>
        </w:tc>
      </w:tr>
      <w:tr w14:paraId="6A990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0" w:type="auto"/>
            <w:vMerge w:val="continue"/>
            <w:vAlign w:val="center"/>
          </w:tcPr>
          <w:p w14:paraId="05561CE4">
            <w:pPr>
              <w:jc w:val="center"/>
              <w:rPr>
                <w:kern w:val="0"/>
                <w:sz w:val="20"/>
                <w:szCs w:val="21"/>
              </w:rPr>
            </w:pPr>
          </w:p>
        </w:tc>
        <w:tc>
          <w:tcPr>
            <w:tcW w:w="0" w:type="auto"/>
            <w:vMerge w:val="continue"/>
            <w:vAlign w:val="center"/>
          </w:tcPr>
          <w:p w14:paraId="539F12B2">
            <w:pPr>
              <w:jc w:val="center"/>
              <w:rPr>
                <w:kern w:val="0"/>
                <w:sz w:val="20"/>
                <w:szCs w:val="21"/>
              </w:rPr>
            </w:pPr>
          </w:p>
        </w:tc>
        <w:tc>
          <w:tcPr>
            <w:tcW w:w="0" w:type="auto"/>
            <w:vMerge w:val="continue"/>
            <w:vAlign w:val="center"/>
          </w:tcPr>
          <w:p w14:paraId="189D1587">
            <w:pPr>
              <w:jc w:val="center"/>
              <w:rPr>
                <w:kern w:val="0"/>
                <w:sz w:val="20"/>
                <w:szCs w:val="21"/>
              </w:rPr>
            </w:pPr>
          </w:p>
        </w:tc>
        <w:tc>
          <w:tcPr>
            <w:tcW w:w="0" w:type="auto"/>
            <w:vMerge w:val="continue"/>
            <w:vAlign w:val="center"/>
          </w:tcPr>
          <w:p w14:paraId="5D4F8DDE">
            <w:pPr>
              <w:jc w:val="center"/>
              <w:rPr>
                <w:kern w:val="0"/>
                <w:sz w:val="20"/>
                <w:szCs w:val="21"/>
              </w:rPr>
            </w:pPr>
          </w:p>
        </w:tc>
        <w:tc>
          <w:tcPr>
            <w:tcW w:w="0" w:type="auto"/>
            <w:vMerge w:val="continue"/>
            <w:vAlign w:val="center"/>
          </w:tcPr>
          <w:p w14:paraId="500275D5">
            <w:pPr>
              <w:jc w:val="center"/>
              <w:rPr>
                <w:kern w:val="0"/>
                <w:sz w:val="20"/>
                <w:szCs w:val="21"/>
              </w:rPr>
            </w:pPr>
          </w:p>
        </w:tc>
        <w:tc>
          <w:tcPr>
            <w:tcW w:w="0" w:type="auto"/>
            <w:vMerge w:val="continue"/>
            <w:vAlign w:val="center"/>
          </w:tcPr>
          <w:p w14:paraId="096F53B5">
            <w:pPr>
              <w:jc w:val="center"/>
              <w:rPr>
                <w:kern w:val="0"/>
                <w:sz w:val="20"/>
                <w:szCs w:val="21"/>
              </w:rPr>
            </w:pPr>
          </w:p>
        </w:tc>
        <w:tc>
          <w:tcPr>
            <w:tcW w:w="0" w:type="auto"/>
            <w:vMerge w:val="continue"/>
            <w:vAlign w:val="center"/>
          </w:tcPr>
          <w:p w14:paraId="0EEB0CBE">
            <w:pPr>
              <w:jc w:val="center"/>
              <w:rPr>
                <w:kern w:val="0"/>
                <w:sz w:val="20"/>
                <w:szCs w:val="21"/>
              </w:rPr>
            </w:pPr>
          </w:p>
        </w:tc>
        <w:tc>
          <w:tcPr>
            <w:tcW w:w="0" w:type="auto"/>
            <w:vMerge w:val="continue"/>
            <w:vAlign w:val="center"/>
          </w:tcPr>
          <w:p w14:paraId="6A547B29">
            <w:pPr>
              <w:jc w:val="center"/>
              <w:rPr>
                <w:kern w:val="0"/>
                <w:sz w:val="20"/>
                <w:szCs w:val="21"/>
              </w:rPr>
            </w:pPr>
          </w:p>
        </w:tc>
        <w:tc>
          <w:tcPr>
            <w:tcW w:w="0" w:type="auto"/>
            <w:vMerge w:val="continue"/>
            <w:vAlign w:val="center"/>
          </w:tcPr>
          <w:p w14:paraId="4605BF31">
            <w:pPr>
              <w:jc w:val="center"/>
              <w:rPr>
                <w:kern w:val="0"/>
                <w:sz w:val="20"/>
                <w:szCs w:val="21"/>
              </w:rPr>
            </w:pPr>
          </w:p>
        </w:tc>
        <w:tc>
          <w:tcPr>
            <w:tcW w:w="0" w:type="auto"/>
            <w:vMerge w:val="continue"/>
            <w:vAlign w:val="center"/>
          </w:tcPr>
          <w:p w14:paraId="658498D5">
            <w:pPr>
              <w:jc w:val="center"/>
              <w:rPr>
                <w:kern w:val="0"/>
                <w:sz w:val="20"/>
                <w:szCs w:val="21"/>
              </w:rPr>
            </w:pPr>
          </w:p>
        </w:tc>
        <w:tc>
          <w:tcPr>
            <w:tcW w:w="0" w:type="auto"/>
            <w:vMerge w:val="continue"/>
            <w:vAlign w:val="center"/>
          </w:tcPr>
          <w:p w14:paraId="2AE82202">
            <w:pPr>
              <w:jc w:val="center"/>
              <w:rPr>
                <w:kern w:val="0"/>
                <w:sz w:val="20"/>
                <w:szCs w:val="21"/>
              </w:rPr>
            </w:pPr>
          </w:p>
        </w:tc>
        <w:tc>
          <w:tcPr>
            <w:tcW w:w="0" w:type="auto"/>
            <w:vMerge w:val="continue"/>
            <w:vAlign w:val="center"/>
          </w:tcPr>
          <w:p w14:paraId="266D7F85">
            <w:pPr>
              <w:jc w:val="center"/>
              <w:rPr>
                <w:kern w:val="0"/>
                <w:sz w:val="20"/>
                <w:szCs w:val="21"/>
              </w:rPr>
            </w:pPr>
          </w:p>
        </w:tc>
        <w:tc>
          <w:tcPr>
            <w:tcW w:w="0" w:type="auto"/>
            <w:vMerge w:val="continue"/>
            <w:vAlign w:val="center"/>
          </w:tcPr>
          <w:p w14:paraId="51C1CE28">
            <w:pPr>
              <w:jc w:val="center"/>
              <w:rPr>
                <w:kern w:val="0"/>
                <w:sz w:val="20"/>
                <w:szCs w:val="21"/>
              </w:rPr>
            </w:pPr>
          </w:p>
        </w:tc>
      </w:tr>
      <w:tr w14:paraId="40791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Align w:val="center"/>
          </w:tcPr>
          <w:p w14:paraId="016ABABA">
            <w:pPr>
              <w:jc w:val="center"/>
              <w:rPr>
                <w:kern w:val="0"/>
                <w:sz w:val="21"/>
                <w:szCs w:val="21"/>
                <w:vertAlign w:val="superscript"/>
              </w:rPr>
            </w:pPr>
            <w:r>
              <w:rPr>
                <w:rFonts w:hint="eastAsia"/>
                <w:kern w:val="0"/>
                <w:sz w:val="21"/>
                <w:szCs w:val="21"/>
              </w:rPr>
              <w:t>Ca</w:t>
            </w:r>
            <w:r>
              <w:rPr>
                <w:rFonts w:hint="eastAsia"/>
                <w:kern w:val="0"/>
                <w:sz w:val="21"/>
                <w:szCs w:val="21"/>
                <w:vertAlign w:val="superscript"/>
              </w:rPr>
              <w:t>2+</w:t>
            </w:r>
          </w:p>
        </w:tc>
        <w:tc>
          <w:tcPr>
            <w:tcW w:w="0" w:type="auto"/>
            <w:vAlign w:val="center"/>
          </w:tcPr>
          <w:p w14:paraId="768A2438">
            <w:pPr>
              <w:jc w:val="center"/>
              <w:rPr>
                <w:kern w:val="0"/>
                <w:sz w:val="21"/>
                <w:szCs w:val="21"/>
              </w:rPr>
            </w:pPr>
            <w:r>
              <w:rPr>
                <w:rFonts w:hint="eastAsia"/>
                <w:kern w:val="0"/>
                <w:sz w:val="21"/>
                <w:szCs w:val="21"/>
              </w:rPr>
              <w:t>1</w:t>
            </w:r>
            <w:r>
              <w:rPr>
                <w:kern w:val="0"/>
                <w:sz w:val="21"/>
                <w:szCs w:val="21"/>
              </w:rPr>
              <w:t>15</w:t>
            </w:r>
          </w:p>
        </w:tc>
        <w:tc>
          <w:tcPr>
            <w:tcW w:w="0" w:type="auto"/>
            <w:vAlign w:val="center"/>
          </w:tcPr>
          <w:p w14:paraId="2C9C7075">
            <w:pPr>
              <w:jc w:val="center"/>
              <w:rPr>
                <w:kern w:val="0"/>
                <w:sz w:val="21"/>
                <w:szCs w:val="21"/>
              </w:rPr>
            </w:pPr>
            <w:r>
              <w:rPr>
                <w:rFonts w:hint="eastAsia"/>
                <w:kern w:val="0"/>
                <w:sz w:val="21"/>
                <w:szCs w:val="21"/>
              </w:rPr>
              <w:t>5</w:t>
            </w:r>
            <w:r>
              <w:rPr>
                <w:kern w:val="0"/>
                <w:sz w:val="21"/>
                <w:szCs w:val="21"/>
              </w:rPr>
              <w:t>.75</w:t>
            </w:r>
          </w:p>
        </w:tc>
        <w:tc>
          <w:tcPr>
            <w:tcW w:w="0" w:type="auto"/>
            <w:vAlign w:val="center"/>
          </w:tcPr>
          <w:p w14:paraId="0892FE1E">
            <w:pPr>
              <w:jc w:val="center"/>
              <w:rPr>
                <w:kern w:val="0"/>
                <w:sz w:val="21"/>
                <w:szCs w:val="21"/>
              </w:rPr>
            </w:pPr>
            <w:r>
              <w:rPr>
                <w:rFonts w:hint="eastAsia"/>
                <w:kern w:val="0"/>
                <w:sz w:val="21"/>
                <w:szCs w:val="21"/>
              </w:rPr>
              <w:t>5</w:t>
            </w:r>
            <w:r>
              <w:rPr>
                <w:kern w:val="0"/>
                <w:sz w:val="21"/>
                <w:szCs w:val="21"/>
              </w:rPr>
              <w:t>7.97</w:t>
            </w:r>
          </w:p>
        </w:tc>
        <w:tc>
          <w:tcPr>
            <w:tcW w:w="0" w:type="auto"/>
            <w:vMerge w:val="continue"/>
            <w:vAlign w:val="center"/>
          </w:tcPr>
          <w:p w14:paraId="0A2B6E90">
            <w:pPr>
              <w:jc w:val="center"/>
              <w:rPr>
                <w:kern w:val="0"/>
                <w:sz w:val="21"/>
                <w:szCs w:val="21"/>
              </w:rPr>
            </w:pPr>
          </w:p>
        </w:tc>
        <w:tc>
          <w:tcPr>
            <w:tcW w:w="0" w:type="auto"/>
            <w:vAlign w:val="center"/>
          </w:tcPr>
          <w:p w14:paraId="3F3D3D7D">
            <w:pPr>
              <w:jc w:val="center"/>
              <w:rPr>
                <w:kern w:val="0"/>
                <w:sz w:val="21"/>
                <w:szCs w:val="21"/>
              </w:rPr>
            </w:pPr>
            <w:r>
              <w:rPr>
                <w:rFonts w:hint="eastAsia"/>
                <w:kern w:val="0"/>
                <w:sz w:val="21"/>
                <w:szCs w:val="21"/>
              </w:rPr>
              <w:t>1</w:t>
            </w:r>
            <w:r>
              <w:rPr>
                <w:kern w:val="0"/>
                <w:sz w:val="21"/>
                <w:szCs w:val="21"/>
              </w:rPr>
              <w:t>25</w:t>
            </w:r>
          </w:p>
        </w:tc>
        <w:tc>
          <w:tcPr>
            <w:tcW w:w="0" w:type="auto"/>
            <w:vAlign w:val="center"/>
          </w:tcPr>
          <w:p w14:paraId="2B6CC093">
            <w:pPr>
              <w:jc w:val="center"/>
              <w:rPr>
                <w:kern w:val="0"/>
                <w:sz w:val="21"/>
                <w:szCs w:val="21"/>
              </w:rPr>
            </w:pPr>
            <w:r>
              <w:rPr>
                <w:rFonts w:hint="eastAsia"/>
                <w:kern w:val="0"/>
                <w:sz w:val="21"/>
                <w:szCs w:val="21"/>
              </w:rPr>
              <w:t>6</w:t>
            </w:r>
            <w:r>
              <w:rPr>
                <w:kern w:val="0"/>
                <w:sz w:val="21"/>
                <w:szCs w:val="21"/>
              </w:rPr>
              <w:t>.25</w:t>
            </w:r>
          </w:p>
        </w:tc>
        <w:tc>
          <w:tcPr>
            <w:tcW w:w="0" w:type="auto"/>
            <w:vAlign w:val="center"/>
          </w:tcPr>
          <w:p w14:paraId="06248AEB">
            <w:pPr>
              <w:jc w:val="center"/>
              <w:rPr>
                <w:kern w:val="0"/>
                <w:sz w:val="21"/>
                <w:szCs w:val="21"/>
              </w:rPr>
            </w:pPr>
            <w:r>
              <w:rPr>
                <w:rFonts w:hint="eastAsia"/>
                <w:kern w:val="0"/>
                <w:sz w:val="21"/>
                <w:szCs w:val="21"/>
              </w:rPr>
              <w:t>6</w:t>
            </w:r>
            <w:r>
              <w:rPr>
                <w:kern w:val="0"/>
                <w:sz w:val="21"/>
                <w:szCs w:val="21"/>
              </w:rPr>
              <w:t>8.84</w:t>
            </w:r>
          </w:p>
        </w:tc>
        <w:tc>
          <w:tcPr>
            <w:tcW w:w="0" w:type="auto"/>
            <w:vMerge w:val="continue"/>
            <w:vAlign w:val="center"/>
          </w:tcPr>
          <w:p w14:paraId="42F1FFBC">
            <w:pPr>
              <w:jc w:val="center"/>
              <w:rPr>
                <w:kern w:val="0"/>
                <w:sz w:val="21"/>
                <w:szCs w:val="21"/>
              </w:rPr>
            </w:pPr>
          </w:p>
        </w:tc>
        <w:tc>
          <w:tcPr>
            <w:tcW w:w="0" w:type="auto"/>
            <w:vAlign w:val="center"/>
          </w:tcPr>
          <w:p w14:paraId="58ECA922">
            <w:pPr>
              <w:jc w:val="center"/>
              <w:rPr>
                <w:kern w:val="0"/>
                <w:sz w:val="21"/>
                <w:szCs w:val="21"/>
              </w:rPr>
            </w:pPr>
            <w:r>
              <w:rPr>
                <w:rFonts w:hint="eastAsia"/>
                <w:kern w:val="0"/>
                <w:sz w:val="21"/>
                <w:szCs w:val="21"/>
              </w:rPr>
              <w:t>1</w:t>
            </w:r>
            <w:r>
              <w:rPr>
                <w:kern w:val="0"/>
                <w:sz w:val="21"/>
                <w:szCs w:val="21"/>
              </w:rPr>
              <w:t>23</w:t>
            </w:r>
          </w:p>
        </w:tc>
        <w:tc>
          <w:tcPr>
            <w:tcW w:w="0" w:type="auto"/>
            <w:vAlign w:val="center"/>
          </w:tcPr>
          <w:p w14:paraId="0A217564">
            <w:pPr>
              <w:jc w:val="center"/>
              <w:rPr>
                <w:kern w:val="0"/>
                <w:sz w:val="21"/>
                <w:szCs w:val="21"/>
              </w:rPr>
            </w:pPr>
            <w:r>
              <w:rPr>
                <w:rFonts w:hint="eastAsia"/>
                <w:kern w:val="0"/>
                <w:sz w:val="21"/>
                <w:szCs w:val="21"/>
              </w:rPr>
              <w:t>6</w:t>
            </w:r>
            <w:r>
              <w:rPr>
                <w:kern w:val="0"/>
                <w:sz w:val="21"/>
                <w:szCs w:val="21"/>
              </w:rPr>
              <w:t>.15</w:t>
            </w:r>
          </w:p>
        </w:tc>
        <w:tc>
          <w:tcPr>
            <w:tcW w:w="0" w:type="auto"/>
            <w:vAlign w:val="center"/>
          </w:tcPr>
          <w:p w14:paraId="40A1305B">
            <w:pPr>
              <w:jc w:val="center"/>
              <w:rPr>
                <w:kern w:val="0"/>
                <w:sz w:val="21"/>
                <w:szCs w:val="21"/>
              </w:rPr>
            </w:pPr>
            <w:r>
              <w:rPr>
                <w:kern w:val="0"/>
                <w:sz w:val="21"/>
                <w:szCs w:val="21"/>
              </w:rPr>
              <w:t>70.66</w:t>
            </w:r>
          </w:p>
        </w:tc>
        <w:tc>
          <w:tcPr>
            <w:tcW w:w="0" w:type="auto"/>
            <w:vMerge w:val="continue"/>
            <w:vAlign w:val="center"/>
          </w:tcPr>
          <w:p w14:paraId="02C8E14A">
            <w:pPr>
              <w:jc w:val="center"/>
              <w:rPr>
                <w:kern w:val="0"/>
                <w:sz w:val="21"/>
                <w:szCs w:val="21"/>
              </w:rPr>
            </w:pPr>
          </w:p>
        </w:tc>
      </w:tr>
      <w:tr w14:paraId="043F4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Align w:val="center"/>
          </w:tcPr>
          <w:p w14:paraId="7FAB3137">
            <w:pPr>
              <w:jc w:val="center"/>
              <w:rPr>
                <w:kern w:val="0"/>
                <w:sz w:val="21"/>
                <w:szCs w:val="21"/>
                <w:vertAlign w:val="superscript"/>
              </w:rPr>
            </w:pPr>
            <w:r>
              <w:rPr>
                <w:rFonts w:hint="eastAsia"/>
                <w:kern w:val="0"/>
                <w:sz w:val="21"/>
                <w:szCs w:val="21"/>
              </w:rPr>
              <w:t>Mg</w:t>
            </w:r>
            <w:r>
              <w:rPr>
                <w:rFonts w:hint="eastAsia"/>
                <w:kern w:val="0"/>
                <w:sz w:val="21"/>
                <w:szCs w:val="21"/>
                <w:vertAlign w:val="superscript"/>
              </w:rPr>
              <w:t>2+</w:t>
            </w:r>
          </w:p>
        </w:tc>
        <w:tc>
          <w:tcPr>
            <w:tcW w:w="0" w:type="auto"/>
            <w:vAlign w:val="center"/>
          </w:tcPr>
          <w:p w14:paraId="658C00D7">
            <w:pPr>
              <w:jc w:val="center"/>
              <w:rPr>
                <w:kern w:val="0"/>
                <w:sz w:val="21"/>
                <w:szCs w:val="21"/>
              </w:rPr>
            </w:pPr>
            <w:r>
              <w:rPr>
                <w:rFonts w:hint="eastAsia"/>
                <w:kern w:val="0"/>
                <w:sz w:val="21"/>
                <w:szCs w:val="21"/>
              </w:rPr>
              <w:t>3</w:t>
            </w:r>
            <w:r>
              <w:rPr>
                <w:kern w:val="0"/>
                <w:sz w:val="21"/>
                <w:szCs w:val="21"/>
              </w:rPr>
              <w:t>4</w:t>
            </w:r>
          </w:p>
        </w:tc>
        <w:tc>
          <w:tcPr>
            <w:tcW w:w="0" w:type="auto"/>
            <w:vAlign w:val="center"/>
          </w:tcPr>
          <w:p w14:paraId="47092DAB">
            <w:pPr>
              <w:jc w:val="center"/>
              <w:rPr>
                <w:kern w:val="0"/>
                <w:sz w:val="21"/>
                <w:szCs w:val="21"/>
              </w:rPr>
            </w:pPr>
            <w:r>
              <w:rPr>
                <w:rFonts w:hint="eastAsia"/>
                <w:kern w:val="0"/>
                <w:sz w:val="21"/>
                <w:szCs w:val="21"/>
              </w:rPr>
              <w:t>2</w:t>
            </w:r>
            <w:r>
              <w:rPr>
                <w:kern w:val="0"/>
                <w:sz w:val="21"/>
                <w:szCs w:val="21"/>
              </w:rPr>
              <w:t>.83</w:t>
            </w:r>
          </w:p>
        </w:tc>
        <w:tc>
          <w:tcPr>
            <w:tcW w:w="0" w:type="auto"/>
            <w:vAlign w:val="center"/>
          </w:tcPr>
          <w:p w14:paraId="4629D2BC">
            <w:pPr>
              <w:jc w:val="center"/>
              <w:rPr>
                <w:kern w:val="0"/>
                <w:sz w:val="21"/>
                <w:szCs w:val="21"/>
              </w:rPr>
            </w:pPr>
            <w:r>
              <w:rPr>
                <w:rFonts w:hint="eastAsia"/>
                <w:kern w:val="0"/>
                <w:sz w:val="21"/>
                <w:szCs w:val="21"/>
              </w:rPr>
              <w:t>2</w:t>
            </w:r>
            <w:r>
              <w:rPr>
                <w:kern w:val="0"/>
                <w:sz w:val="21"/>
                <w:szCs w:val="21"/>
              </w:rPr>
              <w:t>8.56</w:t>
            </w:r>
          </w:p>
        </w:tc>
        <w:tc>
          <w:tcPr>
            <w:tcW w:w="0" w:type="auto"/>
            <w:vMerge w:val="continue"/>
            <w:vAlign w:val="center"/>
          </w:tcPr>
          <w:p w14:paraId="4D86596D">
            <w:pPr>
              <w:jc w:val="center"/>
              <w:rPr>
                <w:kern w:val="0"/>
                <w:sz w:val="21"/>
                <w:szCs w:val="21"/>
              </w:rPr>
            </w:pPr>
          </w:p>
        </w:tc>
        <w:tc>
          <w:tcPr>
            <w:tcW w:w="0" w:type="auto"/>
            <w:vAlign w:val="center"/>
          </w:tcPr>
          <w:p w14:paraId="3621905A">
            <w:pPr>
              <w:jc w:val="center"/>
              <w:rPr>
                <w:kern w:val="0"/>
                <w:sz w:val="21"/>
                <w:szCs w:val="21"/>
              </w:rPr>
            </w:pPr>
            <w:r>
              <w:rPr>
                <w:rFonts w:hint="eastAsia"/>
                <w:kern w:val="0"/>
                <w:sz w:val="21"/>
                <w:szCs w:val="21"/>
              </w:rPr>
              <w:t>2</w:t>
            </w:r>
            <w:r>
              <w:rPr>
                <w:kern w:val="0"/>
                <w:sz w:val="21"/>
                <w:szCs w:val="21"/>
              </w:rPr>
              <w:t>0</w:t>
            </w:r>
          </w:p>
        </w:tc>
        <w:tc>
          <w:tcPr>
            <w:tcW w:w="0" w:type="auto"/>
            <w:vAlign w:val="center"/>
          </w:tcPr>
          <w:p w14:paraId="40AB99CC">
            <w:pPr>
              <w:jc w:val="center"/>
              <w:rPr>
                <w:kern w:val="0"/>
                <w:sz w:val="21"/>
                <w:szCs w:val="21"/>
              </w:rPr>
            </w:pPr>
            <w:r>
              <w:rPr>
                <w:rFonts w:hint="eastAsia"/>
                <w:kern w:val="0"/>
                <w:sz w:val="21"/>
                <w:szCs w:val="21"/>
              </w:rPr>
              <w:t>1</w:t>
            </w:r>
            <w:r>
              <w:rPr>
                <w:kern w:val="0"/>
                <w:sz w:val="21"/>
                <w:szCs w:val="21"/>
              </w:rPr>
              <w:t>.67</w:t>
            </w:r>
          </w:p>
        </w:tc>
        <w:tc>
          <w:tcPr>
            <w:tcW w:w="0" w:type="auto"/>
            <w:vAlign w:val="center"/>
          </w:tcPr>
          <w:p w14:paraId="1237FD6E">
            <w:pPr>
              <w:jc w:val="center"/>
              <w:rPr>
                <w:kern w:val="0"/>
                <w:sz w:val="21"/>
                <w:szCs w:val="21"/>
              </w:rPr>
            </w:pPr>
            <w:r>
              <w:rPr>
                <w:rFonts w:hint="eastAsia"/>
                <w:kern w:val="0"/>
                <w:sz w:val="21"/>
                <w:szCs w:val="21"/>
              </w:rPr>
              <w:t>1</w:t>
            </w:r>
            <w:r>
              <w:rPr>
                <w:kern w:val="0"/>
                <w:sz w:val="21"/>
                <w:szCs w:val="21"/>
              </w:rPr>
              <w:t>8.36</w:t>
            </w:r>
          </w:p>
        </w:tc>
        <w:tc>
          <w:tcPr>
            <w:tcW w:w="0" w:type="auto"/>
            <w:vMerge w:val="continue"/>
            <w:vAlign w:val="center"/>
          </w:tcPr>
          <w:p w14:paraId="09022208">
            <w:pPr>
              <w:jc w:val="center"/>
              <w:rPr>
                <w:kern w:val="0"/>
                <w:sz w:val="21"/>
                <w:szCs w:val="21"/>
              </w:rPr>
            </w:pPr>
          </w:p>
        </w:tc>
        <w:tc>
          <w:tcPr>
            <w:tcW w:w="0" w:type="auto"/>
            <w:vAlign w:val="center"/>
          </w:tcPr>
          <w:p w14:paraId="31E041CF">
            <w:pPr>
              <w:jc w:val="center"/>
              <w:rPr>
                <w:kern w:val="0"/>
                <w:sz w:val="21"/>
                <w:szCs w:val="21"/>
              </w:rPr>
            </w:pPr>
            <w:r>
              <w:rPr>
                <w:rFonts w:hint="eastAsia"/>
                <w:kern w:val="0"/>
                <w:sz w:val="21"/>
                <w:szCs w:val="21"/>
              </w:rPr>
              <w:t>1</w:t>
            </w:r>
            <w:r>
              <w:rPr>
                <w:kern w:val="0"/>
                <w:sz w:val="21"/>
                <w:szCs w:val="21"/>
              </w:rPr>
              <w:t>6</w:t>
            </w:r>
          </w:p>
        </w:tc>
        <w:tc>
          <w:tcPr>
            <w:tcW w:w="0" w:type="auto"/>
            <w:vAlign w:val="center"/>
          </w:tcPr>
          <w:p w14:paraId="03495ED2">
            <w:pPr>
              <w:jc w:val="center"/>
              <w:rPr>
                <w:kern w:val="0"/>
                <w:sz w:val="21"/>
                <w:szCs w:val="21"/>
              </w:rPr>
            </w:pPr>
            <w:r>
              <w:rPr>
                <w:rFonts w:hint="eastAsia"/>
                <w:kern w:val="0"/>
                <w:sz w:val="21"/>
                <w:szCs w:val="21"/>
              </w:rPr>
              <w:t>1</w:t>
            </w:r>
            <w:r>
              <w:rPr>
                <w:kern w:val="0"/>
                <w:sz w:val="21"/>
                <w:szCs w:val="21"/>
              </w:rPr>
              <w:t>.33</w:t>
            </w:r>
          </w:p>
        </w:tc>
        <w:tc>
          <w:tcPr>
            <w:tcW w:w="0" w:type="auto"/>
            <w:vAlign w:val="center"/>
          </w:tcPr>
          <w:p w14:paraId="30C74FBE">
            <w:pPr>
              <w:jc w:val="center"/>
              <w:rPr>
                <w:kern w:val="0"/>
                <w:sz w:val="21"/>
                <w:szCs w:val="21"/>
              </w:rPr>
            </w:pPr>
            <w:r>
              <w:rPr>
                <w:rFonts w:hint="eastAsia"/>
                <w:kern w:val="0"/>
                <w:sz w:val="21"/>
                <w:szCs w:val="21"/>
              </w:rPr>
              <w:t>1</w:t>
            </w:r>
            <w:r>
              <w:rPr>
                <w:kern w:val="0"/>
                <w:sz w:val="21"/>
                <w:szCs w:val="21"/>
              </w:rPr>
              <w:t>5.32</w:t>
            </w:r>
          </w:p>
        </w:tc>
        <w:tc>
          <w:tcPr>
            <w:tcW w:w="0" w:type="auto"/>
            <w:vMerge w:val="continue"/>
            <w:vAlign w:val="center"/>
          </w:tcPr>
          <w:p w14:paraId="694B015E">
            <w:pPr>
              <w:jc w:val="center"/>
              <w:rPr>
                <w:kern w:val="0"/>
                <w:sz w:val="21"/>
                <w:szCs w:val="21"/>
              </w:rPr>
            </w:pPr>
          </w:p>
        </w:tc>
      </w:tr>
      <w:tr w14:paraId="3EA7C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Align w:val="center"/>
          </w:tcPr>
          <w:p w14:paraId="0A805DD7">
            <w:pPr>
              <w:jc w:val="center"/>
              <w:rPr>
                <w:kern w:val="0"/>
                <w:sz w:val="21"/>
                <w:szCs w:val="21"/>
                <w:vertAlign w:val="superscript"/>
              </w:rPr>
            </w:pPr>
            <w:r>
              <w:rPr>
                <w:rFonts w:hint="eastAsia"/>
                <w:kern w:val="0"/>
                <w:sz w:val="21"/>
                <w:szCs w:val="21"/>
              </w:rPr>
              <w:t>CO</w:t>
            </w:r>
            <w:r>
              <w:rPr>
                <w:rFonts w:hint="eastAsia"/>
                <w:kern w:val="0"/>
                <w:sz w:val="21"/>
                <w:szCs w:val="21"/>
                <w:vertAlign w:val="subscript"/>
              </w:rPr>
              <w:t>3</w:t>
            </w:r>
            <w:r>
              <w:rPr>
                <w:rFonts w:hint="eastAsia"/>
                <w:kern w:val="0"/>
                <w:sz w:val="21"/>
                <w:szCs w:val="21"/>
                <w:vertAlign w:val="superscript"/>
              </w:rPr>
              <w:t>2—</w:t>
            </w:r>
          </w:p>
        </w:tc>
        <w:tc>
          <w:tcPr>
            <w:tcW w:w="0" w:type="auto"/>
            <w:vAlign w:val="center"/>
          </w:tcPr>
          <w:p w14:paraId="799CC390">
            <w:pPr>
              <w:jc w:val="center"/>
              <w:rPr>
                <w:kern w:val="0"/>
                <w:sz w:val="21"/>
                <w:szCs w:val="21"/>
              </w:rPr>
            </w:pPr>
            <w:r>
              <w:rPr>
                <w:rFonts w:hint="eastAsia"/>
                <w:kern w:val="0"/>
                <w:sz w:val="21"/>
                <w:szCs w:val="21"/>
              </w:rPr>
              <w:t>0</w:t>
            </w:r>
          </w:p>
        </w:tc>
        <w:tc>
          <w:tcPr>
            <w:tcW w:w="0" w:type="auto"/>
            <w:vAlign w:val="center"/>
          </w:tcPr>
          <w:p w14:paraId="0E076FF0">
            <w:pPr>
              <w:jc w:val="center"/>
              <w:rPr>
                <w:kern w:val="0"/>
                <w:sz w:val="21"/>
                <w:szCs w:val="21"/>
              </w:rPr>
            </w:pPr>
            <w:r>
              <w:rPr>
                <w:rFonts w:hint="eastAsia"/>
                <w:kern w:val="0"/>
                <w:sz w:val="21"/>
                <w:szCs w:val="21"/>
              </w:rPr>
              <w:t>0</w:t>
            </w:r>
          </w:p>
        </w:tc>
        <w:tc>
          <w:tcPr>
            <w:tcW w:w="0" w:type="auto"/>
            <w:vAlign w:val="center"/>
          </w:tcPr>
          <w:p w14:paraId="4E5E1125">
            <w:pPr>
              <w:jc w:val="center"/>
              <w:rPr>
                <w:kern w:val="0"/>
                <w:sz w:val="21"/>
                <w:szCs w:val="21"/>
              </w:rPr>
            </w:pPr>
            <w:r>
              <w:rPr>
                <w:rFonts w:hint="eastAsia"/>
                <w:kern w:val="0"/>
                <w:sz w:val="21"/>
                <w:szCs w:val="21"/>
              </w:rPr>
              <w:t>0</w:t>
            </w:r>
          </w:p>
        </w:tc>
        <w:tc>
          <w:tcPr>
            <w:tcW w:w="0" w:type="auto"/>
            <w:vMerge w:val="restart"/>
            <w:vAlign w:val="center"/>
          </w:tcPr>
          <w:p w14:paraId="09C492CF">
            <w:pPr>
              <w:jc w:val="center"/>
              <w:rPr>
                <w:kern w:val="0"/>
                <w:sz w:val="21"/>
                <w:szCs w:val="21"/>
              </w:rPr>
            </w:pPr>
            <w:r>
              <w:rPr>
                <w:rFonts w:hint="eastAsia"/>
                <w:kern w:val="0"/>
                <w:sz w:val="21"/>
                <w:szCs w:val="21"/>
              </w:rPr>
              <w:t>重碳酸硫酸型水</w:t>
            </w:r>
          </w:p>
        </w:tc>
        <w:tc>
          <w:tcPr>
            <w:tcW w:w="0" w:type="auto"/>
            <w:vAlign w:val="center"/>
          </w:tcPr>
          <w:p w14:paraId="5540C4EC">
            <w:pPr>
              <w:jc w:val="center"/>
              <w:rPr>
                <w:kern w:val="0"/>
                <w:sz w:val="21"/>
                <w:szCs w:val="21"/>
              </w:rPr>
            </w:pPr>
            <w:r>
              <w:rPr>
                <w:rFonts w:hint="eastAsia"/>
                <w:kern w:val="0"/>
                <w:sz w:val="21"/>
                <w:szCs w:val="21"/>
              </w:rPr>
              <w:t>0</w:t>
            </w:r>
          </w:p>
        </w:tc>
        <w:tc>
          <w:tcPr>
            <w:tcW w:w="0" w:type="auto"/>
            <w:vAlign w:val="center"/>
          </w:tcPr>
          <w:p w14:paraId="30CF74A4">
            <w:pPr>
              <w:jc w:val="center"/>
              <w:rPr>
                <w:kern w:val="0"/>
                <w:sz w:val="21"/>
                <w:szCs w:val="21"/>
              </w:rPr>
            </w:pPr>
            <w:r>
              <w:rPr>
                <w:rFonts w:hint="eastAsia"/>
                <w:kern w:val="0"/>
                <w:sz w:val="21"/>
                <w:szCs w:val="21"/>
              </w:rPr>
              <w:t>0</w:t>
            </w:r>
          </w:p>
        </w:tc>
        <w:tc>
          <w:tcPr>
            <w:tcW w:w="0" w:type="auto"/>
            <w:vAlign w:val="center"/>
          </w:tcPr>
          <w:p w14:paraId="21BA886E">
            <w:pPr>
              <w:jc w:val="center"/>
              <w:rPr>
                <w:kern w:val="0"/>
                <w:sz w:val="21"/>
                <w:szCs w:val="21"/>
              </w:rPr>
            </w:pPr>
            <w:r>
              <w:rPr>
                <w:rFonts w:hint="eastAsia"/>
                <w:kern w:val="0"/>
                <w:sz w:val="21"/>
                <w:szCs w:val="21"/>
              </w:rPr>
              <w:t>0</w:t>
            </w:r>
          </w:p>
        </w:tc>
        <w:tc>
          <w:tcPr>
            <w:tcW w:w="0" w:type="auto"/>
            <w:vMerge w:val="restart"/>
            <w:vAlign w:val="center"/>
          </w:tcPr>
          <w:p w14:paraId="0C109711">
            <w:pPr>
              <w:jc w:val="center"/>
              <w:rPr>
                <w:kern w:val="0"/>
                <w:sz w:val="21"/>
                <w:szCs w:val="21"/>
              </w:rPr>
            </w:pPr>
            <w:r>
              <w:rPr>
                <w:rFonts w:hint="eastAsia"/>
                <w:kern w:val="0"/>
                <w:sz w:val="21"/>
                <w:szCs w:val="21"/>
              </w:rPr>
              <w:t>重碳酸硫酸型水</w:t>
            </w:r>
          </w:p>
        </w:tc>
        <w:tc>
          <w:tcPr>
            <w:tcW w:w="0" w:type="auto"/>
            <w:vAlign w:val="center"/>
          </w:tcPr>
          <w:p w14:paraId="73801601">
            <w:pPr>
              <w:jc w:val="center"/>
              <w:rPr>
                <w:kern w:val="0"/>
                <w:sz w:val="21"/>
                <w:szCs w:val="21"/>
              </w:rPr>
            </w:pPr>
            <w:r>
              <w:rPr>
                <w:rFonts w:hint="eastAsia"/>
                <w:kern w:val="0"/>
                <w:sz w:val="21"/>
                <w:szCs w:val="21"/>
              </w:rPr>
              <w:t>0</w:t>
            </w:r>
          </w:p>
        </w:tc>
        <w:tc>
          <w:tcPr>
            <w:tcW w:w="0" w:type="auto"/>
            <w:vAlign w:val="center"/>
          </w:tcPr>
          <w:p w14:paraId="13D9125C">
            <w:pPr>
              <w:jc w:val="center"/>
              <w:rPr>
                <w:kern w:val="0"/>
                <w:sz w:val="21"/>
                <w:szCs w:val="21"/>
              </w:rPr>
            </w:pPr>
            <w:r>
              <w:rPr>
                <w:rFonts w:hint="eastAsia"/>
                <w:kern w:val="0"/>
                <w:sz w:val="21"/>
                <w:szCs w:val="21"/>
              </w:rPr>
              <w:t>0</w:t>
            </w:r>
          </w:p>
        </w:tc>
        <w:tc>
          <w:tcPr>
            <w:tcW w:w="0" w:type="auto"/>
            <w:vAlign w:val="center"/>
          </w:tcPr>
          <w:p w14:paraId="09A21FC7">
            <w:pPr>
              <w:jc w:val="center"/>
              <w:rPr>
                <w:kern w:val="0"/>
                <w:sz w:val="21"/>
                <w:szCs w:val="21"/>
              </w:rPr>
            </w:pPr>
            <w:r>
              <w:rPr>
                <w:rFonts w:hint="eastAsia"/>
                <w:kern w:val="0"/>
                <w:sz w:val="21"/>
                <w:szCs w:val="21"/>
              </w:rPr>
              <w:t>0</w:t>
            </w:r>
          </w:p>
        </w:tc>
        <w:tc>
          <w:tcPr>
            <w:tcW w:w="0" w:type="auto"/>
            <w:vMerge w:val="restart"/>
            <w:vAlign w:val="center"/>
          </w:tcPr>
          <w:p w14:paraId="2BA9CC4B">
            <w:pPr>
              <w:jc w:val="center"/>
              <w:rPr>
                <w:kern w:val="0"/>
                <w:sz w:val="21"/>
                <w:szCs w:val="21"/>
              </w:rPr>
            </w:pPr>
            <w:r>
              <w:rPr>
                <w:rFonts w:hint="eastAsia"/>
                <w:kern w:val="0"/>
                <w:sz w:val="21"/>
                <w:szCs w:val="21"/>
              </w:rPr>
              <w:t>重碳酸硫酸型水</w:t>
            </w:r>
          </w:p>
        </w:tc>
      </w:tr>
      <w:tr w14:paraId="0E4CF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vAlign w:val="center"/>
          </w:tcPr>
          <w:p w14:paraId="45AFFABE">
            <w:pPr>
              <w:jc w:val="center"/>
              <w:rPr>
                <w:kern w:val="0"/>
                <w:sz w:val="21"/>
                <w:szCs w:val="21"/>
                <w:vertAlign w:val="superscript"/>
              </w:rPr>
            </w:pPr>
            <w:r>
              <w:rPr>
                <w:rFonts w:hint="eastAsia"/>
                <w:kern w:val="0"/>
                <w:sz w:val="21"/>
                <w:szCs w:val="21"/>
              </w:rPr>
              <w:t>HCO</w:t>
            </w:r>
            <w:r>
              <w:rPr>
                <w:rFonts w:hint="eastAsia"/>
                <w:kern w:val="0"/>
                <w:sz w:val="21"/>
                <w:szCs w:val="21"/>
                <w:vertAlign w:val="subscript"/>
              </w:rPr>
              <w:t>3</w:t>
            </w:r>
            <w:r>
              <w:rPr>
                <w:rFonts w:hint="eastAsia"/>
                <w:kern w:val="0"/>
                <w:sz w:val="21"/>
                <w:szCs w:val="21"/>
                <w:vertAlign w:val="superscript"/>
              </w:rPr>
              <w:t>—</w:t>
            </w:r>
          </w:p>
        </w:tc>
        <w:tc>
          <w:tcPr>
            <w:tcW w:w="0" w:type="auto"/>
            <w:vAlign w:val="center"/>
          </w:tcPr>
          <w:p w14:paraId="0B332FF5">
            <w:pPr>
              <w:jc w:val="center"/>
              <w:rPr>
                <w:kern w:val="0"/>
                <w:sz w:val="21"/>
                <w:szCs w:val="21"/>
              </w:rPr>
            </w:pPr>
            <w:r>
              <w:rPr>
                <w:rFonts w:hint="eastAsia"/>
                <w:kern w:val="0"/>
                <w:sz w:val="21"/>
                <w:szCs w:val="21"/>
              </w:rPr>
              <w:t>3</w:t>
            </w:r>
            <w:r>
              <w:rPr>
                <w:kern w:val="0"/>
                <w:sz w:val="21"/>
                <w:szCs w:val="21"/>
              </w:rPr>
              <w:t>30</w:t>
            </w:r>
          </w:p>
        </w:tc>
        <w:tc>
          <w:tcPr>
            <w:tcW w:w="0" w:type="auto"/>
            <w:vAlign w:val="center"/>
          </w:tcPr>
          <w:p w14:paraId="45C370D1">
            <w:pPr>
              <w:jc w:val="center"/>
              <w:rPr>
                <w:kern w:val="0"/>
                <w:sz w:val="21"/>
                <w:szCs w:val="21"/>
              </w:rPr>
            </w:pPr>
            <w:r>
              <w:rPr>
                <w:rFonts w:hint="eastAsia"/>
                <w:kern w:val="0"/>
                <w:sz w:val="21"/>
                <w:szCs w:val="21"/>
              </w:rPr>
              <w:t>5</w:t>
            </w:r>
            <w:r>
              <w:rPr>
                <w:kern w:val="0"/>
                <w:sz w:val="21"/>
                <w:szCs w:val="21"/>
              </w:rPr>
              <w:t>.41</w:t>
            </w:r>
          </w:p>
        </w:tc>
        <w:tc>
          <w:tcPr>
            <w:tcW w:w="0" w:type="auto"/>
            <w:vAlign w:val="center"/>
          </w:tcPr>
          <w:p w14:paraId="75CBDF35">
            <w:pPr>
              <w:jc w:val="center"/>
              <w:rPr>
                <w:kern w:val="0"/>
                <w:sz w:val="21"/>
                <w:szCs w:val="21"/>
              </w:rPr>
            </w:pPr>
            <w:r>
              <w:rPr>
                <w:rFonts w:hint="eastAsia"/>
                <w:kern w:val="0"/>
                <w:sz w:val="21"/>
                <w:szCs w:val="21"/>
              </w:rPr>
              <w:t>5</w:t>
            </w:r>
            <w:r>
              <w:rPr>
                <w:kern w:val="0"/>
                <w:sz w:val="21"/>
                <w:szCs w:val="21"/>
              </w:rPr>
              <w:t>0.89</w:t>
            </w:r>
          </w:p>
        </w:tc>
        <w:tc>
          <w:tcPr>
            <w:tcW w:w="0" w:type="auto"/>
            <w:vMerge w:val="continue"/>
            <w:vAlign w:val="center"/>
          </w:tcPr>
          <w:p w14:paraId="293EF9ED">
            <w:pPr>
              <w:jc w:val="center"/>
              <w:rPr>
                <w:kern w:val="0"/>
                <w:sz w:val="21"/>
                <w:szCs w:val="21"/>
              </w:rPr>
            </w:pPr>
          </w:p>
        </w:tc>
        <w:tc>
          <w:tcPr>
            <w:tcW w:w="0" w:type="auto"/>
            <w:vAlign w:val="center"/>
          </w:tcPr>
          <w:p w14:paraId="7006D4BB">
            <w:pPr>
              <w:jc w:val="center"/>
              <w:rPr>
                <w:kern w:val="0"/>
                <w:sz w:val="21"/>
                <w:szCs w:val="21"/>
              </w:rPr>
            </w:pPr>
            <w:r>
              <w:rPr>
                <w:rFonts w:hint="eastAsia"/>
                <w:kern w:val="0"/>
                <w:sz w:val="21"/>
                <w:szCs w:val="21"/>
              </w:rPr>
              <w:t>3</w:t>
            </w:r>
            <w:r>
              <w:rPr>
                <w:kern w:val="0"/>
                <w:sz w:val="21"/>
                <w:szCs w:val="21"/>
              </w:rPr>
              <w:t>88</w:t>
            </w:r>
          </w:p>
        </w:tc>
        <w:tc>
          <w:tcPr>
            <w:tcW w:w="0" w:type="auto"/>
            <w:vAlign w:val="center"/>
          </w:tcPr>
          <w:p w14:paraId="511C0FC1">
            <w:pPr>
              <w:jc w:val="center"/>
              <w:rPr>
                <w:kern w:val="0"/>
                <w:sz w:val="21"/>
                <w:szCs w:val="21"/>
              </w:rPr>
            </w:pPr>
            <w:r>
              <w:rPr>
                <w:rFonts w:hint="eastAsia"/>
                <w:kern w:val="0"/>
                <w:sz w:val="21"/>
                <w:szCs w:val="21"/>
              </w:rPr>
              <w:t>6</w:t>
            </w:r>
            <w:r>
              <w:rPr>
                <w:kern w:val="0"/>
                <w:sz w:val="21"/>
                <w:szCs w:val="21"/>
              </w:rPr>
              <w:t>.36</w:t>
            </w:r>
          </w:p>
        </w:tc>
        <w:tc>
          <w:tcPr>
            <w:tcW w:w="0" w:type="auto"/>
            <w:vAlign w:val="center"/>
          </w:tcPr>
          <w:p w14:paraId="3C9548D6">
            <w:pPr>
              <w:jc w:val="center"/>
              <w:rPr>
                <w:kern w:val="0"/>
                <w:sz w:val="21"/>
                <w:szCs w:val="21"/>
              </w:rPr>
            </w:pPr>
            <w:r>
              <w:rPr>
                <w:rFonts w:hint="eastAsia"/>
                <w:kern w:val="0"/>
                <w:sz w:val="21"/>
                <w:szCs w:val="21"/>
              </w:rPr>
              <w:t>6</w:t>
            </w:r>
            <w:r>
              <w:rPr>
                <w:kern w:val="0"/>
                <w:sz w:val="21"/>
                <w:szCs w:val="21"/>
              </w:rPr>
              <w:t>2.82</w:t>
            </w:r>
          </w:p>
        </w:tc>
        <w:tc>
          <w:tcPr>
            <w:tcW w:w="0" w:type="auto"/>
            <w:vMerge w:val="continue"/>
            <w:vAlign w:val="center"/>
          </w:tcPr>
          <w:p w14:paraId="46181EE5">
            <w:pPr>
              <w:jc w:val="center"/>
              <w:rPr>
                <w:kern w:val="0"/>
                <w:sz w:val="21"/>
                <w:szCs w:val="21"/>
              </w:rPr>
            </w:pPr>
          </w:p>
        </w:tc>
        <w:tc>
          <w:tcPr>
            <w:tcW w:w="0" w:type="auto"/>
            <w:vAlign w:val="center"/>
          </w:tcPr>
          <w:p w14:paraId="26661946">
            <w:pPr>
              <w:jc w:val="center"/>
              <w:rPr>
                <w:kern w:val="0"/>
                <w:sz w:val="21"/>
                <w:szCs w:val="21"/>
              </w:rPr>
            </w:pPr>
            <w:r>
              <w:rPr>
                <w:rFonts w:hint="eastAsia"/>
                <w:kern w:val="0"/>
                <w:sz w:val="21"/>
                <w:szCs w:val="21"/>
              </w:rPr>
              <w:t>3</w:t>
            </w:r>
            <w:r>
              <w:rPr>
                <w:kern w:val="0"/>
                <w:sz w:val="21"/>
                <w:szCs w:val="21"/>
              </w:rPr>
              <w:t>22</w:t>
            </w:r>
          </w:p>
        </w:tc>
        <w:tc>
          <w:tcPr>
            <w:tcW w:w="0" w:type="auto"/>
            <w:vAlign w:val="center"/>
          </w:tcPr>
          <w:p w14:paraId="35E4635A">
            <w:pPr>
              <w:jc w:val="center"/>
              <w:rPr>
                <w:kern w:val="0"/>
                <w:sz w:val="21"/>
                <w:szCs w:val="21"/>
              </w:rPr>
            </w:pPr>
            <w:r>
              <w:rPr>
                <w:rFonts w:hint="eastAsia"/>
                <w:kern w:val="0"/>
                <w:sz w:val="21"/>
                <w:szCs w:val="21"/>
              </w:rPr>
              <w:t>5</w:t>
            </w:r>
            <w:r>
              <w:rPr>
                <w:kern w:val="0"/>
                <w:sz w:val="21"/>
                <w:szCs w:val="21"/>
              </w:rPr>
              <w:t>.28</w:t>
            </w:r>
          </w:p>
        </w:tc>
        <w:tc>
          <w:tcPr>
            <w:tcW w:w="0" w:type="auto"/>
            <w:vAlign w:val="center"/>
          </w:tcPr>
          <w:p w14:paraId="15C45422">
            <w:pPr>
              <w:jc w:val="center"/>
              <w:rPr>
                <w:kern w:val="0"/>
                <w:sz w:val="21"/>
                <w:szCs w:val="21"/>
              </w:rPr>
            </w:pPr>
            <w:r>
              <w:rPr>
                <w:rFonts w:hint="eastAsia"/>
                <w:kern w:val="0"/>
                <w:sz w:val="21"/>
                <w:szCs w:val="21"/>
              </w:rPr>
              <w:t>5</w:t>
            </w:r>
            <w:r>
              <w:rPr>
                <w:kern w:val="0"/>
                <w:sz w:val="21"/>
                <w:szCs w:val="21"/>
              </w:rPr>
              <w:t>1.25</w:t>
            </w:r>
          </w:p>
        </w:tc>
        <w:tc>
          <w:tcPr>
            <w:tcW w:w="0" w:type="auto"/>
            <w:vMerge w:val="continue"/>
            <w:vAlign w:val="center"/>
          </w:tcPr>
          <w:p w14:paraId="27DC4710">
            <w:pPr>
              <w:jc w:val="center"/>
              <w:rPr>
                <w:kern w:val="0"/>
                <w:sz w:val="21"/>
                <w:szCs w:val="21"/>
              </w:rPr>
            </w:pPr>
          </w:p>
        </w:tc>
      </w:tr>
      <w:tr w14:paraId="061AD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vAlign w:val="center"/>
          </w:tcPr>
          <w:p w14:paraId="39E1019F">
            <w:pPr>
              <w:jc w:val="center"/>
              <w:rPr>
                <w:kern w:val="0"/>
                <w:sz w:val="21"/>
                <w:szCs w:val="21"/>
                <w:vertAlign w:val="superscript"/>
              </w:rPr>
            </w:pPr>
            <w:r>
              <w:rPr>
                <w:rFonts w:hint="eastAsia"/>
                <w:kern w:val="0"/>
                <w:sz w:val="21"/>
                <w:szCs w:val="21"/>
              </w:rPr>
              <w:t>Cl</w:t>
            </w:r>
            <w:r>
              <w:rPr>
                <w:rFonts w:hint="eastAsia"/>
                <w:kern w:val="0"/>
                <w:sz w:val="21"/>
                <w:szCs w:val="21"/>
                <w:vertAlign w:val="superscript"/>
              </w:rPr>
              <w:t>—</w:t>
            </w:r>
          </w:p>
        </w:tc>
        <w:tc>
          <w:tcPr>
            <w:tcW w:w="0" w:type="auto"/>
            <w:vAlign w:val="center"/>
          </w:tcPr>
          <w:p w14:paraId="0807F194">
            <w:pPr>
              <w:jc w:val="center"/>
              <w:rPr>
                <w:kern w:val="0"/>
                <w:sz w:val="21"/>
                <w:szCs w:val="21"/>
              </w:rPr>
            </w:pPr>
            <w:r>
              <w:rPr>
                <w:rFonts w:hint="eastAsia"/>
                <w:kern w:val="0"/>
                <w:sz w:val="21"/>
                <w:szCs w:val="21"/>
              </w:rPr>
              <w:t>8</w:t>
            </w:r>
            <w:r>
              <w:rPr>
                <w:kern w:val="0"/>
                <w:sz w:val="21"/>
                <w:szCs w:val="21"/>
              </w:rPr>
              <w:t>9.2</w:t>
            </w:r>
          </w:p>
        </w:tc>
        <w:tc>
          <w:tcPr>
            <w:tcW w:w="0" w:type="auto"/>
            <w:vAlign w:val="center"/>
          </w:tcPr>
          <w:p w14:paraId="33CB72D0">
            <w:pPr>
              <w:jc w:val="center"/>
              <w:rPr>
                <w:kern w:val="0"/>
                <w:sz w:val="21"/>
                <w:szCs w:val="21"/>
              </w:rPr>
            </w:pPr>
            <w:r>
              <w:rPr>
                <w:rFonts w:hint="eastAsia"/>
                <w:kern w:val="0"/>
                <w:sz w:val="21"/>
                <w:szCs w:val="21"/>
              </w:rPr>
              <w:t>2</w:t>
            </w:r>
            <w:r>
              <w:rPr>
                <w:kern w:val="0"/>
                <w:sz w:val="21"/>
                <w:szCs w:val="21"/>
              </w:rPr>
              <w:t>.51</w:t>
            </w:r>
          </w:p>
        </w:tc>
        <w:tc>
          <w:tcPr>
            <w:tcW w:w="0" w:type="auto"/>
            <w:vAlign w:val="center"/>
          </w:tcPr>
          <w:p w14:paraId="1F006A4F">
            <w:pPr>
              <w:jc w:val="center"/>
              <w:rPr>
                <w:kern w:val="0"/>
                <w:sz w:val="21"/>
                <w:szCs w:val="21"/>
              </w:rPr>
            </w:pPr>
            <w:r>
              <w:rPr>
                <w:rFonts w:hint="eastAsia"/>
                <w:kern w:val="0"/>
                <w:sz w:val="21"/>
                <w:szCs w:val="21"/>
              </w:rPr>
              <w:t>2</w:t>
            </w:r>
            <w:r>
              <w:rPr>
                <w:kern w:val="0"/>
                <w:sz w:val="21"/>
                <w:szCs w:val="21"/>
              </w:rPr>
              <w:t>3.64</w:t>
            </w:r>
          </w:p>
        </w:tc>
        <w:tc>
          <w:tcPr>
            <w:tcW w:w="0" w:type="auto"/>
            <w:vMerge w:val="continue"/>
            <w:vAlign w:val="center"/>
          </w:tcPr>
          <w:p w14:paraId="6DFB1CE2">
            <w:pPr>
              <w:jc w:val="center"/>
              <w:rPr>
                <w:kern w:val="0"/>
                <w:sz w:val="21"/>
                <w:szCs w:val="21"/>
              </w:rPr>
            </w:pPr>
          </w:p>
        </w:tc>
        <w:tc>
          <w:tcPr>
            <w:tcW w:w="0" w:type="auto"/>
            <w:vAlign w:val="center"/>
          </w:tcPr>
          <w:p w14:paraId="558FEF2E">
            <w:pPr>
              <w:jc w:val="center"/>
              <w:rPr>
                <w:kern w:val="0"/>
                <w:sz w:val="21"/>
                <w:szCs w:val="21"/>
              </w:rPr>
            </w:pPr>
            <w:r>
              <w:rPr>
                <w:rFonts w:hint="eastAsia"/>
                <w:kern w:val="0"/>
                <w:sz w:val="21"/>
                <w:szCs w:val="21"/>
              </w:rPr>
              <w:t>4</w:t>
            </w:r>
            <w:r>
              <w:rPr>
                <w:kern w:val="0"/>
                <w:sz w:val="21"/>
                <w:szCs w:val="21"/>
              </w:rPr>
              <w:t>3.4</w:t>
            </w:r>
          </w:p>
        </w:tc>
        <w:tc>
          <w:tcPr>
            <w:tcW w:w="0" w:type="auto"/>
            <w:vAlign w:val="center"/>
          </w:tcPr>
          <w:p w14:paraId="0DD792E7">
            <w:pPr>
              <w:jc w:val="center"/>
              <w:rPr>
                <w:kern w:val="0"/>
                <w:sz w:val="21"/>
                <w:szCs w:val="21"/>
              </w:rPr>
            </w:pPr>
            <w:r>
              <w:rPr>
                <w:rFonts w:hint="eastAsia"/>
                <w:kern w:val="0"/>
                <w:sz w:val="21"/>
                <w:szCs w:val="21"/>
              </w:rPr>
              <w:t>1</w:t>
            </w:r>
            <w:r>
              <w:rPr>
                <w:kern w:val="0"/>
                <w:sz w:val="21"/>
                <w:szCs w:val="21"/>
              </w:rPr>
              <w:t>.22</w:t>
            </w:r>
          </w:p>
        </w:tc>
        <w:tc>
          <w:tcPr>
            <w:tcW w:w="0" w:type="auto"/>
            <w:vAlign w:val="center"/>
          </w:tcPr>
          <w:p w14:paraId="222B5D92">
            <w:pPr>
              <w:jc w:val="center"/>
              <w:rPr>
                <w:kern w:val="0"/>
                <w:sz w:val="21"/>
                <w:szCs w:val="21"/>
              </w:rPr>
            </w:pPr>
            <w:r>
              <w:rPr>
                <w:rFonts w:hint="eastAsia"/>
                <w:kern w:val="0"/>
                <w:sz w:val="21"/>
                <w:szCs w:val="21"/>
              </w:rPr>
              <w:t>1</w:t>
            </w:r>
            <w:r>
              <w:rPr>
                <w:kern w:val="0"/>
                <w:sz w:val="21"/>
                <w:szCs w:val="21"/>
              </w:rPr>
              <w:t>2.07</w:t>
            </w:r>
          </w:p>
        </w:tc>
        <w:tc>
          <w:tcPr>
            <w:tcW w:w="0" w:type="auto"/>
            <w:vMerge w:val="continue"/>
            <w:vAlign w:val="center"/>
          </w:tcPr>
          <w:p w14:paraId="74B15F9C">
            <w:pPr>
              <w:jc w:val="center"/>
              <w:rPr>
                <w:kern w:val="0"/>
                <w:sz w:val="21"/>
                <w:szCs w:val="21"/>
              </w:rPr>
            </w:pPr>
          </w:p>
        </w:tc>
        <w:tc>
          <w:tcPr>
            <w:tcW w:w="0" w:type="auto"/>
            <w:vAlign w:val="center"/>
          </w:tcPr>
          <w:p w14:paraId="53ADDF01">
            <w:pPr>
              <w:jc w:val="center"/>
              <w:rPr>
                <w:kern w:val="0"/>
                <w:sz w:val="21"/>
                <w:szCs w:val="21"/>
              </w:rPr>
            </w:pPr>
            <w:r>
              <w:rPr>
                <w:rFonts w:hint="eastAsia"/>
                <w:kern w:val="0"/>
                <w:sz w:val="21"/>
                <w:szCs w:val="21"/>
              </w:rPr>
              <w:t>7</w:t>
            </w:r>
            <w:r>
              <w:rPr>
                <w:kern w:val="0"/>
                <w:sz w:val="21"/>
                <w:szCs w:val="21"/>
              </w:rPr>
              <w:t>6.2</w:t>
            </w:r>
          </w:p>
        </w:tc>
        <w:tc>
          <w:tcPr>
            <w:tcW w:w="0" w:type="auto"/>
            <w:vAlign w:val="center"/>
          </w:tcPr>
          <w:p w14:paraId="5051029A">
            <w:pPr>
              <w:jc w:val="center"/>
              <w:rPr>
                <w:kern w:val="0"/>
                <w:sz w:val="21"/>
                <w:szCs w:val="21"/>
              </w:rPr>
            </w:pPr>
            <w:r>
              <w:rPr>
                <w:rFonts w:hint="eastAsia"/>
                <w:kern w:val="0"/>
                <w:sz w:val="21"/>
                <w:szCs w:val="21"/>
              </w:rPr>
              <w:t>2</w:t>
            </w:r>
            <w:r>
              <w:rPr>
                <w:kern w:val="0"/>
                <w:sz w:val="21"/>
                <w:szCs w:val="21"/>
              </w:rPr>
              <w:t>.15</w:t>
            </w:r>
          </w:p>
        </w:tc>
        <w:tc>
          <w:tcPr>
            <w:tcW w:w="0" w:type="auto"/>
            <w:vAlign w:val="center"/>
          </w:tcPr>
          <w:p w14:paraId="4EDDB499">
            <w:pPr>
              <w:jc w:val="center"/>
              <w:rPr>
                <w:kern w:val="0"/>
                <w:sz w:val="21"/>
                <w:szCs w:val="21"/>
              </w:rPr>
            </w:pPr>
            <w:r>
              <w:rPr>
                <w:rFonts w:hint="eastAsia"/>
                <w:kern w:val="0"/>
                <w:sz w:val="21"/>
                <w:szCs w:val="21"/>
              </w:rPr>
              <w:t>2</w:t>
            </w:r>
            <w:r>
              <w:rPr>
                <w:kern w:val="0"/>
                <w:sz w:val="21"/>
                <w:szCs w:val="21"/>
              </w:rPr>
              <w:t>0.84</w:t>
            </w:r>
          </w:p>
        </w:tc>
        <w:tc>
          <w:tcPr>
            <w:tcW w:w="0" w:type="auto"/>
            <w:vMerge w:val="continue"/>
            <w:vAlign w:val="center"/>
          </w:tcPr>
          <w:p w14:paraId="2A662594">
            <w:pPr>
              <w:jc w:val="center"/>
              <w:rPr>
                <w:kern w:val="0"/>
                <w:sz w:val="21"/>
                <w:szCs w:val="21"/>
              </w:rPr>
            </w:pPr>
          </w:p>
        </w:tc>
      </w:tr>
      <w:tr w14:paraId="08902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vAlign w:val="center"/>
          </w:tcPr>
          <w:p w14:paraId="4E6B4D87">
            <w:pPr>
              <w:jc w:val="center"/>
              <w:rPr>
                <w:kern w:val="0"/>
                <w:sz w:val="21"/>
                <w:szCs w:val="21"/>
                <w:vertAlign w:val="superscript"/>
              </w:rPr>
            </w:pPr>
            <w:r>
              <w:rPr>
                <w:rFonts w:hint="eastAsia"/>
                <w:kern w:val="0"/>
                <w:sz w:val="21"/>
                <w:szCs w:val="21"/>
              </w:rPr>
              <w:t>SO</w:t>
            </w:r>
            <w:r>
              <w:rPr>
                <w:rFonts w:hint="eastAsia"/>
                <w:kern w:val="0"/>
                <w:sz w:val="21"/>
                <w:szCs w:val="21"/>
                <w:vertAlign w:val="subscript"/>
              </w:rPr>
              <w:t>4</w:t>
            </w:r>
            <w:r>
              <w:rPr>
                <w:rFonts w:hint="eastAsia"/>
                <w:kern w:val="0"/>
                <w:sz w:val="21"/>
                <w:szCs w:val="21"/>
                <w:vertAlign w:val="superscript"/>
              </w:rPr>
              <w:t>2—</w:t>
            </w:r>
          </w:p>
        </w:tc>
        <w:tc>
          <w:tcPr>
            <w:tcW w:w="0" w:type="auto"/>
            <w:vAlign w:val="center"/>
          </w:tcPr>
          <w:p w14:paraId="058A01AC">
            <w:pPr>
              <w:jc w:val="center"/>
              <w:rPr>
                <w:kern w:val="0"/>
                <w:sz w:val="21"/>
                <w:szCs w:val="21"/>
              </w:rPr>
            </w:pPr>
            <w:r>
              <w:rPr>
                <w:rFonts w:hint="eastAsia"/>
                <w:kern w:val="0"/>
                <w:sz w:val="21"/>
                <w:szCs w:val="21"/>
              </w:rPr>
              <w:t>1</w:t>
            </w:r>
            <w:r>
              <w:rPr>
                <w:kern w:val="0"/>
                <w:sz w:val="21"/>
                <w:szCs w:val="21"/>
              </w:rPr>
              <w:t>30</w:t>
            </w:r>
          </w:p>
        </w:tc>
        <w:tc>
          <w:tcPr>
            <w:tcW w:w="0" w:type="auto"/>
            <w:vAlign w:val="center"/>
          </w:tcPr>
          <w:p w14:paraId="1A6EDDDB">
            <w:pPr>
              <w:jc w:val="center"/>
              <w:rPr>
                <w:kern w:val="0"/>
                <w:sz w:val="21"/>
                <w:szCs w:val="21"/>
              </w:rPr>
            </w:pPr>
            <w:r>
              <w:rPr>
                <w:rFonts w:hint="eastAsia"/>
                <w:kern w:val="0"/>
                <w:sz w:val="21"/>
                <w:szCs w:val="21"/>
              </w:rPr>
              <w:t>2</w:t>
            </w:r>
            <w:r>
              <w:rPr>
                <w:kern w:val="0"/>
                <w:sz w:val="21"/>
                <w:szCs w:val="21"/>
              </w:rPr>
              <w:t>.71</w:t>
            </w:r>
          </w:p>
        </w:tc>
        <w:tc>
          <w:tcPr>
            <w:tcW w:w="0" w:type="auto"/>
            <w:vAlign w:val="center"/>
          </w:tcPr>
          <w:p w14:paraId="2A41E125">
            <w:pPr>
              <w:jc w:val="center"/>
              <w:rPr>
                <w:kern w:val="0"/>
                <w:sz w:val="21"/>
                <w:szCs w:val="21"/>
              </w:rPr>
            </w:pPr>
            <w:r>
              <w:rPr>
                <w:rFonts w:hint="eastAsia"/>
                <w:kern w:val="0"/>
                <w:sz w:val="21"/>
                <w:szCs w:val="21"/>
              </w:rPr>
              <w:t>2</w:t>
            </w:r>
            <w:r>
              <w:rPr>
                <w:kern w:val="0"/>
                <w:sz w:val="21"/>
                <w:szCs w:val="21"/>
              </w:rPr>
              <w:t>5.48</w:t>
            </w:r>
          </w:p>
        </w:tc>
        <w:tc>
          <w:tcPr>
            <w:tcW w:w="0" w:type="auto"/>
            <w:vMerge w:val="continue"/>
            <w:vAlign w:val="center"/>
          </w:tcPr>
          <w:p w14:paraId="3C66FFF7">
            <w:pPr>
              <w:jc w:val="center"/>
              <w:rPr>
                <w:kern w:val="0"/>
                <w:sz w:val="21"/>
                <w:szCs w:val="21"/>
              </w:rPr>
            </w:pPr>
          </w:p>
        </w:tc>
        <w:tc>
          <w:tcPr>
            <w:tcW w:w="0" w:type="auto"/>
            <w:vAlign w:val="center"/>
          </w:tcPr>
          <w:p w14:paraId="5676710F">
            <w:pPr>
              <w:jc w:val="center"/>
              <w:rPr>
                <w:kern w:val="0"/>
                <w:sz w:val="21"/>
                <w:szCs w:val="21"/>
              </w:rPr>
            </w:pPr>
            <w:r>
              <w:rPr>
                <w:rFonts w:hint="eastAsia"/>
                <w:kern w:val="0"/>
                <w:sz w:val="21"/>
                <w:szCs w:val="21"/>
              </w:rPr>
              <w:t>1</w:t>
            </w:r>
            <w:r>
              <w:rPr>
                <w:kern w:val="0"/>
                <w:sz w:val="21"/>
                <w:szCs w:val="21"/>
              </w:rPr>
              <w:t>22</w:t>
            </w:r>
          </w:p>
        </w:tc>
        <w:tc>
          <w:tcPr>
            <w:tcW w:w="0" w:type="auto"/>
            <w:vAlign w:val="center"/>
          </w:tcPr>
          <w:p w14:paraId="18DC2D7C">
            <w:pPr>
              <w:jc w:val="center"/>
              <w:rPr>
                <w:kern w:val="0"/>
                <w:sz w:val="21"/>
                <w:szCs w:val="21"/>
              </w:rPr>
            </w:pPr>
            <w:r>
              <w:rPr>
                <w:rFonts w:hint="eastAsia"/>
                <w:kern w:val="0"/>
                <w:sz w:val="21"/>
                <w:szCs w:val="21"/>
              </w:rPr>
              <w:t>2</w:t>
            </w:r>
            <w:r>
              <w:rPr>
                <w:kern w:val="0"/>
                <w:sz w:val="21"/>
                <w:szCs w:val="21"/>
              </w:rPr>
              <w:t>.54</w:t>
            </w:r>
          </w:p>
        </w:tc>
        <w:tc>
          <w:tcPr>
            <w:tcW w:w="0" w:type="auto"/>
            <w:vAlign w:val="center"/>
          </w:tcPr>
          <w:p w14:paraId="51C9AA23">
            <w:pPr>
              <w:jc w:val="center"/>
              <w:rPr>
                <w:kern w:val="0"/>
                <w:sz w:val="21"/>
                <w:szCs w:val="21"/>
              </w:rPr>
            </w:pPr>
            <w:r>
              <w:rPr>
                <w:rFonts w:hint="eastAsia"/>
                <w:kern w:val="0"/>
                <w:sz w:val="21"/>
                <w:szCs w:val="21"/>
              </w:rPr>
              <w:t>2</w:t>
            </w:r>
            <w:r>
              <w:rPr>
                <w:kern w:val="0"/>
                <w:sz w:val="21"/>
                <w:szCs w:val="21"/>
              </w:rPr>
              <w:t>5.1</w:t>
            </w:r>
          </w:p>
        </w:tc>
        <w:tc>
          <w:tcPr>
            <w:tcW w:w="0" w:type="auto"/>
            <w:vMerge w:val="continue"/>
            <w:vAlign w:val="center"/>
          </w:tcPr>
          <w:p w14:paraId="4090F47B">
            <w:pPr>
              <w:jc w:val="center"/>
              <w:rPr>
                <w:kern w:val="0"/>
                <w:sz w:val="21"/>
                <w:szCs w:val="21"/>
              </w:rPr>
            </w:pPr>
          </w:p>
        </w:tc>
        <w:tc>
          <w:tcPr>
            <w:tcW w:w="0" w:type="auto"/>
            <w:vAlign w:val="center"/>
          </w:tcPr>
          <w:p w14:paraId="13FFDE84">
            <w:pPr>
              <w:jc w:val="center"/>
              <w:rPr>
                <w:kern w:val="0"/>
                <w:sz w:val="21"/>
                <w:szCs w:val="21"/>
              </w:rPr>
            </w:pPr>
            <w:r>
              <w:rPr>
                <w:rFonts w:hint="eastAsia"/>
                <w:kern w:val="0"/>
                <w:sz w:val="21"/>
                <w:szCs w:val="21"/>
              </w:rPr>
              <w:t>1</w:t>
            </w:r>
            <w:r>
              <w:rPr>
                <w:kern w:val="0"/>
                <w:sz w:val="21"/>
                <w:szCs w:val="21"/>
              </w:rPr>
              <w:t>38</w:t>
            </w:r>
          </w:p>
        </w:tc>
        <w:tc>
          <w:tcPr>
            <w:tcW w:w="0" w:type="auto"/>
            <w:vAlign w:val="center"/>
          </w:tcPr>
          <w:p w14:paraId="5A081A89">
            <w:pPr>
              <w:jc w:val="center"/>
              <w:rPr>
                <w:kern w:val="0"/>
                <w:sz w:val="21"/>
                <w:szCs w:val="21"/>
              </w:rPr>
            </w:pPr>
            <w:r>
              <w:rPr>
                <w:rFonts w:hint="eastAsia"/>
                <w:kern w:val="0"/>
                <w:sz w:val="21"/>
                <w:szCs w:val="21"/>
              </w:rPr>
              <w:t>2</w:t>
            </w:r>
            <w:r>
              <w:rPr>
                <w:kern w:val="0"/>
                <w:sz w:val="21"/>
                <w:szCs w:val="21"/>
              </w:rPr>
              <w:t>.88</w:t>
            </w:r>
          </w:p>
        </w:tc>
        <w:tc>
          <w:tcPr>
            <w:tcW w:w="0" w:type="auto"/>
            <w:vAlign w:val="center"/>
          </w:tcPr>
          <w:p w14:paraId="03EED689">
            <w:pPr>
              <w:jc w:val="center"/>
              <w:rPr>
                <w:kern w:val="0"/>
                <w:sz w:val="21"/>
                <w:szCs w:val="21"/>
              </w:rPr>
            </w:pPr>
            <w:r>
              <w:rPr>
                <w:rFonts w:hint="eastAsia"/>
                <w:kern w:val="0"/>
                <w:sz w:val="21"/>
                <w:szCs w:val="21"/>
              </w:rPr>
              <w:t>2</w:t>
            </w:r>
            <w:r>
              <w:rPr>
                <w:kern w:val="0"/>
                <w:sz w:val="21"/>
                <w:szCs w:val="21"/>
              </w:rPr>
              <w:t>7.91</w:t>
            </w:r>
          </w:p>
        </w:tc>
        <w:tc>
          <w:tcPr>
            <w:tcW w:w="0" w:type="auto"/>
            <w:vMerge w:val="continue"/>
            <w:vAlign w:val="center"/>
          </w:tcPr>
          <w:p w14:paraId="7CA8F44C">
            <w:pPr>
              <w:jc w:val="center"/>
              <w:rPr>
                <w:kern w:val="0"/>
                <w:sz w:val="21"/>
                <w:szCs w:val="21"/>
              </w:rPr>
            </w:pPr>
          </w:p>
        </w:tc>
      </w:tr>
      <w:tr w14:paraId="0DDE0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bottom w:val="single" w:color="auto" w:sz="4" w:space="0"/>
            </w:tcBorders>
            <w:vAlign w:val="center"/>
          </w:tcPr>
          <w:p w14:paraId="1C845569">
            <w:pPr>
              <w:jc w:val="center"/>
              <w:rPr>
                <w:kern w:val="0"/>
                <w:sz w:val="21"/>
                <w:szCs w:val="21"/>
              </w:rPr>
            </w:pPr>
            <w:r>
              <w:rPr>
                <w:rFonts w:hint="eastAsia"/>
                <w:kern w:val="0"/>
                <w:sz w:val="21"/>
                <w:szCs w:val="21"/>
              </w:rPr>
              <w:t>苏卡列夫分类</w:t>
            </w:r>
          </w:p>
        </w:tc>
        <w:tc>
          <w:tcPr>
            <w:tcW w:w="0" w:type="auto"/>
            <w:gridSpan w:val="4"/>
            <w:tcBorders>
              <w:bottom w:val="single" w:color="auto" w:sz="4" w:space="0"/>
            </w:tcBorders>
            <w:vAlign w:val="center"/>
          </w:tcPr>
          <w:p w14:paraId="1BCD5305">
            <w:pPr>
              <w:jc w:val="center"/>
              <w:rPr>
                <w:kern w:val="0"/>
                <w:sz w:val="21"/>
                <w:szCs w:val="21"/>
              </w:rPr>
            </w:pPr>
            <w:r>
              <w:rPr>
                <w:rFonts w:hint="eastAsia"/>
                <w:kern w:val="0"/>
                <w:sz w:val="21"/>
                <w:szCs w:val="21"/>
              </w:rPr>
              <w:t>重碳酸硫酸-钙镁型水</w:t>
            </w:r>
          </w:p>
        </w:tc>
        <w:tc>
          <w:tcPr>
            <w:tcW w:w="0" w:type="auto"/>
            <w:gridSpan w:val="4"/>
            <w:tcBorders>
              <w:bottom w:val="single" w:color="auto" w:sz="4" w:space="0"/>
            </w:tcBorders>
            <w:vAlign w:val="center"/>
          </w:tcPr>
          <w:p w14:paraId="2EF6B14C">
            <w:pPr>
              <w:jc w:val="center"/>
              <w:rPr>
                <w:kern w:val="0"/>
                <w:sz w:val="21"/>
                <w:szCs w:val="21"/>
              </w:rPr>
            </w:pPr>
            <w:r>
              <w:rPr>
                <w:rFonts w:hint="eastAsia"/>
                <w:kern w:val="0"/>
                <w:sz w:val="21"/>
                <w:szCs w:val="21"/>
              </w:rPr>
              <w:t>重碳酸硫酸-钙型水</w:t>
            </w:r>
          </w:p>
        </w:tc>
        <w:tc>
          <w:tcPr>
            <w:tcW w:w="0" w:type="auto"/>
            <w:gridSpan w:val="4"/>
            <w:tcBorders>
              <w:bottom w:val="single" w:color="auto" w:sz="4" w:space="0"/>
            </w:tcBorders>
            <w:vAlign w:val="center"/>
          </w:tcPr>
          <w:p w14:paraId="48FC7937">
            <w:pPr>
              <w:jc w:val="center"/>
              <w:rPr>
                <w:kern w:val="0"/>
                <w:sz w:val="21"/>
                <w:szCs w:val="21"/>
              </w:rPr>
            </w:pPr>
            <w:r>
              <w:rPr>
                <w:rFonts w:hint="eastAsia"/>
                <w:kern w:val="0"/>
                <w:sz w:val="21"/>
                <w:szCs w:val="21"/>
              </w:rPr>
              <w:t>重碳酸硫酸-钙型水</w:t>
            </w:r>
          </w:p>
        </w:tc>
      </w:tr>
    </w:tbl>
    <w:p w14:paraId="07D2A2C8">
      <w:pPr>
        <w:pStyle w:val="85"/>
        <w:ind w:firstLine="480"/>
        <w:rPr>
          <w:kern w:val="0"/>
        </w:rPr>
      </w:pPr>
      <w:r>
        <w:rPr>
          <w:rFonts w:hint="eastAsia"/>
          <w:kern w:val="0"/>
        </w:rPr>
        <w:t>由上表可知，项目区域地下水</w:t>
      </w:r>
      <w:r>
        <w:rPr>
          <w:kern w:val="0"/>
        </w:rPr>
        <w:t>水化学类型主要为</w:t>
      </w:r>
      <w:r>
        <w:rPr>
          <w:rFonts w:hint="eastAsia"/>
          <w:kern w:val="0"/>
        </w:rPr>
        <w:t>重碳酸硫酸-钙镁型水和重碳酸硫酸-钙型水。</w:t>
      </w:r>
    </w:p>
    <w:p w14:paraId="0B458C86">
      <w:pPr>
        <w:pStyle w:val="4"/>
        <w:rPr>
          <w:kern w:val="0"/>
        </w:rPr>
      </w:pPr>
      <w:r>
        <w:rPr>
          <w:rFonts w:hint="eastAsia"/>
          <w:kern w:val="0"/>
        </w:rPr>
        <w:t>声环境</w:t>
      </w:r>
      <w:r>
        <w:rPr>
          <w:kern w:val="0"/>
        </w:rPr>
        <w:t>现状监测与评价</w:t>
      </w:r>
    </w:p>
    <w:p w14:paraId="062CBAB6">
      <w:pPr>
        <w:pStyle w:val="85"/>
        <w:ind w:firstLine="480"/>
        <w:rPr>
          <w:kern w:val="0"/>
        </w:rPr>
      </w:pPr>
      <w:r>
        <w:rPr>
          <w:rFonts w:hint="eastAsia"/>
          <w:kern w:val="0"/>
        </w:rPr>
        <w:t>⑴</w:t>
      </w:r>
      <w:r>
        <w:rPr>
          <w:kern w:val="0"/>
        </w:rPr>
        <w:t>监测布点</w:t>
      </w:r>
    </w:p>
    <w:p w14:paraId="7D039D46">
      <w:pPr>
        <w:pStyle w:val="85"/>
        <w:ind w:firstLine="480"/>
        <w:rPr>
          <w:kern w:val="0"/>
        </w:rPr>
      </w:pPr>
      <w:r>
        <w:rPr>
          <w:kern w:val="0"/>
        </w:rPr>
        <w:t>共设置2个噪声监测点</w:t>
      </w:r>
      <w:r>
        <w:rPr>
          <w:rFonts w:hint="eastAsia"/>
          <w:kern w:val="0"/>
        </w:rPr>
        <w:t>，大河北小学南（1#）、西红旗村南（2#）</w:t>
      </w:r>
      <w:r>
        <w:rPr>
          <w:kern w:val="0"/>
        </w:rPr>
        <w:t>。</w:t>
      </w:r>
    </w:p>
    <w:p w14:paraId="0EB5795F">
      <w:pPr>
        <w:pStyle w:val="85"/>
        <w:ind w:firstLine="480"/>
        <w:rPr>
          <w:kern w:val="0"/>
        </w:rPr>
      </w:pPr>
      <w:r>
        <w:rPr>
          <w:rFonts w:hint="eastAsia"/>
          <w:kern w:val="0"/>
        </w:rPr>
        <w:t>⑵</w:t>
      </w:r>
      <w:r>
        <w:rPr>
          <w:kern w:val="0"/>
        </w:rPr>
        <w:t>监测因子</w:t>
      </w:r>
    </w:p>
    <w:p w14:paraId="62FDFD90">
      <w:pPr>
        <w:pStyle w:val="85"/>
        <w:ind w:firstLine="480"/>
        <w:rPr>
          <w:kern w:val="0"/>
        </w:rPr>
      </w:pPr>
      <w:r>
        <w:rPr>
          <w:kern w:val="0"/>
        </w:rPr>
        <w:t>等效连续A声级。</w:t>
      </w:r>
    </w:p>
    <w:p w14:paraId="44F5652A">
      <w:pPr>
        <w:pStyle w:val="85"/>
        <w:ind w:firstLine="480"/>
        <w:rPr>
          <w:kern w:val="0"/>
        </w:rPr>
      </w:pPr>
      <w:r>
        <w:rPr>
          <w:rFonts w:hint="eastAsia"/>
          <w:kern w:val="0"/>
        </w:rPr>
        <w:t>⑶</w:t>
      </w:r>
      <w:r>
        <w:rPr>
          <w:kern w:val="0"/>
        </w:rPr>
        <w:t>监测方法</w:t>
      </w:r>
    </w:p>
    <w:p w14:paraId="1536CCA9">
      <w:pPr>
        <w:pStyle w:val="85"/>
        <w:ind w:firstLine="480"/>
        <w:rPr>
          <w:kern w:val="0"/>
        </w:rPr>
      </w:pPr>
      <w:r>
        <w:rPr>
          <w:rFonts w:hint="eastAsia"/>
          <w:kern w:val="0"/>
        </w:rPr>
        <w:t>按照《声环境质量标准》(GB3096-2008)中的规定执行。</w:t>
      </w:r>
    </w:p>
    <w:p w14:paraId="72561F0C">
      <w:pPr>
        <w:pStyle w:val="85"/>
        <w:ind w:firstLine="480"/>
        <w:rPr>
          <w:kern w:val="0"/>
        </w:rPr>
      </w:pPr>
      <w:r>
        <w:rPr>
          <w:rFonts w:hint="eastAsia"/>
          <w:kern w:val="0"/>
        </w:rPr>
        <w:t>⑷</w:t>
      </w:r>
      <w:r>
        <w:rPr>
          <w:kern w:val="0"/>
        </w:rPr>
        <w:t>监测时间与频次</w:t>
      </w:r>
    </w:p>
    <w:p w14:paraId="6CF1FD47">
      <w:pPr>
        <w:pStyle w:val="85"/>
        <w:ind w:firstLine="480"/>
        <w:rPr>
          <w:kern w:val="0"/>
        </w:rPr>
      </w:pPr>
      <w:r>
        <w:rPr>
          <w:kern w:val="0"/>
        </w:rPr>
        <w:t>监测时间为2025年4月14日，监测一天，昼间、夜间各监测一次，昼间监测时段为6:00～22:00，夜间监测时段为22:00～次日06:00。</w:t>
      </w:r>
    </w:p>
    <w:p w14:paraId="1A8E789E">
      <w:pPr>
        <w:pStyle w:val="85"/>
        <w:ind w:firstLine="480"/>
        <w:rPr>
          <w:kern w:val="0"/>
        </w:rPr>
      </w:pPr>
      <w:r>
        <w:rPr>
          <w:rFonts w:hint="eastAsia"/>
          <w:kern w:val="0"/>
        </w:rPr>
        <w:t>⑸</w:t>
      </w:r>
      <w:r>
        <w:rPr>
          <w:kern w:val="0"/>
        </w:rPr>
        <w:t>评价标准</w:t>
      </w:r>
    </w:p>
    <w:p w14:paraId="66B6078F">
      <w:pPr>
        <w:pStyle w:val="85"/>
        <w:ind w:firstLine="480"/>
        <w:rPr>
          <w:kern w:val="0"/>
        </w:rPr>
      </w:pPr>
      <w:r>
        <w:rPr>
          <w:kern w:val="0"/>
        </w:rPr>
        <w:t>《声环境质量标准》（GB3096-2008）中</w:t>
      </w:r>
      <w:r>
        <w:rPr>
          <w:rFonts w:hint="eastAsia"/>
          <w:kern w:val="0"/>
        </w:rPr>
        <w:t>1类</w:t>
      </w:r>
      <w:r>
        <w:rPr>
          <w:kern w:val="0"/>
        </w:rPr>
        <w:t>标准。</w:t>
      </w:r>
    </w:p>
    <w:p w14:paraId="704CE1B2">
      <w:pPr>
        <w:pStyle w:val="85"/>
        <w:ind w:firstLine="480"/>
        <w:rPr>
          <w:kern w:val="0"/>
        </w:rPr>
      </w:pPr>
      <w:r>
        <w:rPr>
          <w:rFonts w:hint="eastAsia"/>
          <w:kern w:val="0"/>
        </w:rPr>
        <w:t>⑹</w:t>
      </w:r>
      <w:r>
        <w:rPr>
          <w:kern w:val="0"/>
        </w:rPr>
        <w:t>评价方法</w:t>
      </w:r>
    </w:p>
    <w:p w14:paraId="507B6751">
      <w:pPr>
        <w:pStyle w:val="85"/>
        <w:ind w:firstLine="480"/>
        <w:rPr>
          <w:kern w:val="0"/>
        </w:rPr>
      </w:pPr>
      <w:r>
        <w:rPr>
          <w:kern w:val="0"/>
        </w:rPr>
        <w:t>采用等效声级与相应标准值比较的方法进行</w:t>
      </w:r>
      <w:r>
        <w:rPr>
          <w:rFonts w:hint="eastAsia"/>
          <w:kern w:val="0"/>
        </w:rPr>
        <w:t>，</w:t>
      </w:r>
      <w:r>
        <w:rPr>
          <w:kern w:val="0"/>
        </w:rPr>
        <w:t>执行《声环境质量标准》(GB3096-2008)1类区标准。</w:t>
      </w:r>
    </w:p>
    <w:p w14:paraId="29377FCB">
      <w:pPr>
        <w:pStyle w:val="85"/>
        <w:ind w:firstLine="480"/>
        <w:rPr>
          <w:kern w:val="0"/>
        </w:rPr>
      </w:pPr>
      <w:r>
        <w:rPr>
          <w:rFonts w:hint="eastAsia"/>
          <w:kern w:val="0"/>
        </w:rPr>
        <w:t>⑺</w:t>
      </w:r>
      <w:r>
        <w:rPr>
          <w:kern w:val="0"/>
        </w:rPr>
        <w:t>评价结果</w:t>
      </w:r>
    </w:p>
    <w:p w14:paraId="2EA5CA36">
      <w:pPr>
        <w:pStyle w:val="85"/>
        <w:ind w:firstLine="480"/>
        <w:rPr>
          <w:kern w:val="0"/>
        </w:rPr>
      </w:pPr>
      <w:r>
        <w:rPr>
          <w:kern w:val="0"/>
        </w:rPr>
        <w:t>本项目各噪声监测点声环境现状监测及评价结果见</w:t>
      </w:r>
      <w:r>
        <w:rPr>
          <w:kern w:val="0"/>
        </w:rPr>
        <w:fldChar w:fldCharType="begin"/>
      </w:r>
      <w:r>
        <w:rPr>
          <w:kern w:val="0"/>
        </w:rPr>
        <w:instrText xml:space="preserve"> REF _Ref127542314 \h  \* MERGEFORMAT </w:instrText>
      </w:r>
      <w:r>
        <w:rPr>
          <w:kern w:val="0"/>
        </w:rPr>
        <w:fldChar w:fldCharType="separate"/>
      </w:r>
      <w:r>
        <w:rPr>
          <w:kern w:val="0"/>
        </w:rPr>
        <w:t>表3</w:t>
      </w:r>
      <w:r>
        <w:rPr>
          <w:kern w:val="0"/>
        </w:rPr>
        <w:noBreakHyphen/>
      </w:r>
      <w:r>
        <w:rPr>
          <w:kern w:val="0"/>
        </w:rPr>
        <w:t>10</w:t>
      </w:r>
      <w:r>
        <w:rPr>
          <w:kern w:val="0"/>
        </w:rPr>
        <w:fldChar w:fldCharType="end"/>
      </w:r>
      <w:r>
        <w:rPr>
          <w:rFonts w:hint="eastAsia"/>
          <w:kern w:val="0"/>
        </w:rPr>
        <w:t>。</w:t>
      </w:r>
    </w:p>
    <w:p w14:paraId="7B697FEE">
      <w:pPr>
        <w:pStyle w:val="17"/>
        <w:keepNext/>
        <w:spacing w:line="520" w:lineRule="exact"/>
        <w:ind w:firstLine="480"/>
        <w:jc w:val="center"/>
        <w:rPr>
          <w:rFonts w:ascii="Times New Roman" w:hAnsi="Times New Roman" w:cs="Times New Roman"/>
          <w:kern w:val="0"/>
          <w:sz w:val="24"/>
        </w:rPr>
      </w:pPr>
      <w:bookmarkStart w:id="108" w:name="_Ref127542314"/>
      <w:r>
        <w:rPr>
          <w:rFonts w:ascii="Times New Roman" w:hAnsi="Times New Roman" w:cs="Times New Roman"/>
          <w:kern w:val="0"/>
          <w:sz w:val="24"/>
          <w:szCs w:val="24"/>
        </w:rPr>
        <w:t>表</w:t>
      </w:r>
      <w:r>
        <w:rPr>
          <w:rFonts w:ascii="Times New Roman" w:hAnsi="Times New Roman" w:cs="Times New Roman"/>
          <w:kern w:val="0"/>
          <w:sz w:val="24"/>
          <w:szCs w:val="24"/>
        </w:rPr>
        <w:fldChar w:fldCharType="begin"/>
      </w:r>
      <w:r>
        <w:rPr>
          <w:rFonts w:ascii="Times New Roman" w:hAnsi="Times New Roman" w:cs="Times New Roman"/>
          <w:kern w:val="0"/>
          <w:sz w:val="24"/>
          <w:szCs w:val="24"/>
        </w:rPr>
        <w:instrText xml:space="preserve"> STYLEREF 1 \s </w:instrText>
      </w:r>
      <w:r>
        <w:rPr>
          <w:rFonts w:ascii="Times New Roman" w:hAnsi="Times New Roman" w:cs="Times New Roman"/>
          <w:kern w:val="0"/>
          <w:sz w:val="24"/>
          <w:szCs w:val="24"/>
        </w:rPr>
        <w:fldChar w:fldCharType="separate"/>
      </w:r>
      <w:r>
        <w:rPr>
          <w:rFonts w:ascii="Times New Roman" w:hAnsi="Times New Roman" w:cs="Times New Roman"/>
          <w:kern w:val="0"/>
          <w:sz w:val="24"/>
          <w:szCs w:val="24"/>
        </w:rPr>
        <w:t>3</w:t>
      </w:r>
      <w:r>
        <w:rPr>
          <w:rFonts w:ascii="Times New Roman" w:hAnsi="Times New Roman" w:cs="Times New Roman"/>
          <w:kern w:val="0"/>
          <w:sz w:val="24"/>
          <w:szCs w:val="24"/>
        </w:rPr>
        <w:fldChar w:fldCharType="end"/>
      </w:r>
      <w:r>
        <w:rPr>
          <w:rFonts w:ascii="Times New Roman" w:hAnsi="Times New Roman" w:cs="Times New Roman"/>
          <w:kern w:val="0"/>
          <w:sz w:val="24"/>
          <w:szCs w:val="24"/>
        </w:rPr>
        <w:noBreakHyphen/>
      </w:r>
      <w:r>
        <w:rPr>
          <w:rFonts w:ascii="Times New Roman" w:hAnsi="Times New Roman" w:cs="Times New Roman"/>
          <w:kern w:val="0"/>
          <w:sz w:val="24"/>
          <w:szCs w:val="24"/>
        </w:rPr>
        <w:fldChar w:fldCharType="begin"/>
      </w:r>
      <w:r>
        <w:rPr>
          <w:rFonts w:ascii="Times New Roman" w:hAnsi="Times New Roman" w:cs="Times New Roman"/>
          <w:kern w:val="0"/>
          <w:sz w:val="24"/>
          <w:szCs w:val="24"/>
        </w:rPr>
        <w:instrText xml:space="preserve"> SEQ 表 \* ARABIC \s 1 </w:instrText>
      </w:r>
      <w:r>
        <w:rPr>
          <w:rFonts w:ascii="Times New Roman" w:hAnsi="Times New Roman" w:cs="Times New Roman"/>
          <w:kern w:val="0"/>
          <w:sz w:val="24"/>
          <w:szCs w:val="24"/>
        </w:rPr>
        <w:fldChar w:fldCharType="separate"/>
      </w:r>
      <w:r>
        <w:rPr>
          <w:rFonts w:ascii="Times New Roman" w:hAnsi="Times New Roman" w:cs="Times New Roman"/>
          <w:kern w:val="0"/>
          <w:sz w:val="24"/>
          <w:szCs w:val="24"/>
        </w:rPr>
        <w:t>10</w:t>
      </w:r>
      <w:r>
        <w:rPr>
          <w:rFonts w:ascii="Times New Roman" w:hAnsi="Times New Roman" w:cs="Times New Roman"/>
          <w:kern w:val="0"/>
          <w:sz w:val="24"/>
          <w:szCs w:val="24"/>
        </w:rPr>
        <w:fldChar w:fldCharType="end"/>
      </w:r>
      <w:bookmarkEnd w:id="108"/>
      <w:r>
        <w:rPr>
          <w:rFonts w:ascii="Times New Roman" w:hAnsi="Times New Roman" w:cs="Times New Roman"/>
          <w:kern w:val="0"/>
          <w:sz w:val="24"/>
          <w:szCs w:val="24"/>
        </w:rPr>
        <w:t xml:space="preserve">  </w:t>
      </w:r>
      <w:r>
        <w:rPr>
          <w:rFonts w:ascii="Times New Roman" w:hAnsi="Times New Roman" w:cs="Times New Roman"/>
          <w:kern w:val="0"/>
          <w:sz w:val="24"/>
        </w:rPr>
        <w:t>噪声现状监测结果     单位：dB(A)</w:t>
      </w:r>
    </w:p>
    <w:tbl>
      <w:tblPr>
        <w:tblStyle w:val="63"/>
        <w:tblW w:w="5036"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2427"/>
        <w:gridCol w:w="868"/>
        <w:gridCol w:w="1017"/>
        <w:gridCol w:w="1022"/>
        <w:gridCol w:w="1019"/>
        <w:gridCol w:w="1019"/>
        <w:gridCol w:w="1020"/>
      </w:tblGrid>
      <w:tr w14:paraId="6647FB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1446" w:type="pct"/>
            <w:vMerge w:val="restart"/>
            <w:tcBorders>
              <w:top w:val="single" w:color="000000" w:sz="8" w:space="0"/>
              <w:left w:val="single" w:color="000000" w:sz="8" w:space="0"/>
              <w:bottom w:val="single" w:color="000000" w:sz="4" w:space="0"/>
              <w:right w:val="single" w:color="000000" w:sz="4" w:space="0"/>
            </w:tcBorders>
            <w:vAlign w:val="center"/>
          </w:tcPr>
          <w:p w14:paraId="195DC49A">
            <w:pPr>
              <w:jc w:val="center"/>
              <w:rPr>
                <w:kern w:val="0"/>
              </w:rPr>
            </w:pPr>
            <w:r>
              <w:rPr>
                <w:kern w:val="0"/>
              </w:rPr>
              <w:t>监测点位</w:t>
            </w:r>
          </w:p>
        </w:tc>
        <w:tc>
          <w:tcPr>
            <w:tcW w:w="1732" w:type="pct"/>
            <w:gridSpan w:val="3"/>
            <w:tcBorders>
              <w:top w:val="single" w:color="000000" w:sz="8" w:space="0"/>
              <w:left w:val="nil"/>
              <w:bottom w:val="single" w:color="000000" w:sz="4" w:space="0"/>
              <w:right w:val="single" w:color="000000" w:sz="4" w:space="0"/>
            </w:tcBorders>
            <w:vAlign w:val="center"/>
          </w:tcPr>
          <w:p w14:paraId="3D4BF43A">
            <w:pPr>
              <w:jc w:val="center"/>
              <w:rPr>
                <w:kern w:val="0"/>
              </w:rPr>
            </w:pPr>
            <w:r>
              <w:rPr>
                <w:kern w:val="0"/>
              </w:rPr>
              <w:t>昼间</w:t>
            </w:r>
          </w:p>
        </w:tc>
        <w:tc>
          <w:tcPr>
            <w:tcW w:w="1822" w:type="pct"/>
            <w:gridSpan w:val="3"/>
            <w:tcBorders>
              <w:top w:val="single" w:color="000000" w:sz="8" w:space="0"/>
              <w:left w:val="nil"/>
              <w:bottom w:val="single" w:color="000000" w:sz="4" w:space="0"/>
              <w:right w:val="single" w:color="000000" w:sz="8" w:space="0"/>
            </w:tcBorders>
            <w:vAlign w:val="center"/>
          </w:tcPr>
          <w:p w14:paraId="25E53C53">
            <w:pPr>
              <w:jc w:val="center"/>
              <w:rPr>
                <w:kern w:val="0"/>
              </w:rPr>
            </w:pPr>
            <w:r>
              <w:rPr>
                <w:kern w:val="0"/>
              </w:rPr>
              <w:t>夜间</w:t>
            </w:r>
          </w:p>
        </w:tc>
      </w:tr>
      <w:tr w14:paraId="20003A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1446" w:type="pct"/>
            <w:vMerge w:val="continue"/>
            <w:tcBorders>
              <w:top w:val="single" w:color="000000" w:sz="8" w:space="0"/>
              <w:left w:val="single" w:color="000000" w:sz="8" w:space="0"/>
              <w:bottom w:val="single" w:color="000000" w:sz="4" w:space="0"/>
              <w:right w:val="single" w:color="000000" w:sz="4" w:space="0"/>
            </w:tcBorders>
            <w:vAlign w:val="center"/>
          </w:tcPr>
          <w:p w14:paraId="727B713E">
            <w:pPr>
              <w:jc w:val="center"/>
              <w:rPr>
                <w:kern w:val="0"/>
              </w:rPr>
            </w:pPr>
          </w:p>
        </w:tc>
        <w:tc>
          <w:tcPr>
            <w:tcW w:w="517" w:type="pct"/>
            <w:tcBorders>
              <w:top w:val="single" w:color="000000" w:sz="4" w:space="0"/>
              <w:left w:val="nil"/>
              <w:bottom w:val="single" w:color="000000" w:sz="4" w:space="0"/>
              <w:right w:val="single" w:color="000000" w:sz="4" w:space="0"/>
            </w:tcBorders>
            <w:vAlign w:val="center"/>
          </w:tcPr>
          <w:p w14:paraId="04B44273">
            <w:pPr>
              <w:jc w:val="center"/>
              <w:rPr>
                <w:kern w:val="0"/>
              </w:rPr>
            </w:pPr>
            <w:r>
              <w:rPr>
                <w:kern w:val="0"/>
              </w:rPr>
              <w:t>监测值</w:t>
            </w:r>
          </w:p>
        </w:tc>
        <w:tc>
          <w:tcPr>
            <w:tcW w:w="606" w:type="pct"/>
            <w:tcBorders>
              <w:top w:val="single" w:color="000000" w:sz="4" w:space="0"/>
              <w:left w:val="nil"/>
              <w:bottom w:val="single" w:color="000000" w:sz="4" w:space="0"/>
              <w:right w:val="single" w:color="000000" w:sz="4" w:space="0"/>
            </w:tcBorders>
            <w:vAlign w:val="center"/>
          </w:tcPr>
          <w:p w14:paraId="1265F10C">
            <w:pPr>
              <w:jc w:val="center"/>
              <w:rPr>
                <w:kern w:val="0"/>
              </w:rPr>
            </w:pPr>
            <w:r>
              <w:rPr>
                <w:kern w:val="0"/>
              </w:rPr>
              <w:t>标准值</w:t>
            </w:r>
          </w:p>
        </w:tc>
        <w:tc>
          <w:tcPr>
            <w:tcW w:w="609" w:type="pct"/>
            <w:tcBorders>
              <w:top w:val="single" w:color="000000" w:sz="4" w:space="0"/>
              <w:left w:val="nil"/>
              <w:bottom w:val="single" w:color="000000" w:sz="4" w:space="0"/>
              <w:right w:val="single" w:color="000000" w:sz="4" w:space="0"/>
            </w:tcBorders>
            <w:vAlign w:val="center"/>
          </w:tcPr>
          <w:p w14:paraId="6BDD26D5">
            <w:pPr>
              <w:jc w:val="center"/>
              <w:rPr>
                <w:kern w:val="0"/>
              </w:rPr>
            </w:pPr>
            <w:r>
              <w:rPr>
                <w:kern w:val="0"/>
              </w:rPr>
              <w:t>评价结果</w:t>
            </w:r>
          </w:p>
        </w:tc>
        <w:tc>
          <w:tcPr>
            <w:tcW w:w="607" w:type="pct"/>
            <w:tcBorders>
              <w:top w:val="single" w:color="000000" w:sz="4" w:space="0"/>
              <w:left w:val="nil"/>
              <w:bottom w:val="single" w:color="000000" w:sz="4" w:space="0"/>
              <w:right w:val="single" w:color="000000" w:sz="4" w:space="0"/>
            </w:tcBorders>
            <w:vAlign w:val="center"/>
          </w:tcPr>
          <w:p w14:paraId="1E27B28A">
            <w:pPr>
              <w:jc w:val="center"/>
              <w:rPr>
                <w:kern w:val="0"/>
              </w:rPr>
            </w:pPr>
            <w:r>
              <w:rPr>
                <w:kern w:val="0"/>
              </w:rPr>
              <w:t>监测值</w:t>
            </w:r>
          </w:p>
        </w:tc>
        <w:tc>
          <w:tcPr>
            <w:tcW w:w="607" w:type="pct"/>
            <w:tcBorders>
              <w:top w:val="single" w:color="000000" w:sz="4" w:space="0"/>
              <w:left w:val="nil"/>
              <w:bottom w:val="single" w:color="000000" w:sz="4" w:space="0"/>
              <w:right w:val="single" w:color="000000" w:sz="4" w:space="0"/>
            </w:tcBorders>
            <w:vAlign w:val="center"/>
          </w:tcPr>
          <w:p w14:paraId="73F92708">
            <w:pPr>
              <w:jc w:val="center"/>
              <w:rPr>
                <w:kern w:val="0"/>
              </w:rPr>
            </w:pPr>
            <w:r>
              <w:rPr>
                <w:kern w:val="0"/>
              </w:rPr>
              <w:t>标准值</w:t>
            </w:r>
          </w:p>
        </w:tc>
        <w:tc>
          <w:tcPr>
            <w:tcW w:w="608" w:type="pct"/>
            <w:tcBorders>
              <w:top w:val="single" w:color="000000" w:sz="4" w:space="0"/>
              <w:left w:val="nil"/>
              <w:bottom w:val="single" w:color="000000" w:sz="4" w:space="0"/>
              <w:right w:val="single" w:color="000000" w:sz="8" w:space="0"/>
            </w:tcBorders>
            <w:vAlign w:val="center"/>
          </w:tcPr>
          <w:p w14:paraId="385B4203">
            <w:pPr>
              <w:jc w:val="center"/>
              <w:rPr>
                <w:kern w:val="0"/>
              </w:rPr>
            </w:pPr>
            <w:r>
              <w:rPr>
                <w:kern w:val="0"/>
              </w:rPr>
              <w:t>评价结果</w:t>
            </w:r>
          </w:p>
        </w:tc>
      </w:tr>
      <w:tr w14:paraId="47D762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1446" w:type="pct"/>
            <w:tcBorders>
              <w:top w:val="single" w:color="000000" w:sz="4" w:space="0"/>
              <w:left w:val="single" w:color="000000" w:sz="8" w:space="0"/>
              <w:bottom w:val="single" w:color="000000" w:sz="4" w:space="0"/>
              <w:right w:val="single" w:color="000000" w:sz="4" w:space="0"/>
            </w:tcBorders>
            <w:vAlign w:val="center"/>
          </w:tcPr>
          <w:p w14:paraId="43CAFFDC">
            <w:pPr>
              <w:jc w:val="center"/>
              <w:rPr>
                <w:kern w:val="0"/>
              </w:rPr>
            </w:pPr>
            <w:bookmarkStart w:id="109" w:name="_Hlk196766557"/>
            <w:r>
              <w:rPr>
                <w:rFonts w:hint="eastAsia"/>
                <w:kern w:val="0"/>
              </w:rPr>
              <w:t>大河北小学南（1#）</w:t>
            </w:r>
          </w:p>
        </w:tc>
        <w:tc>
          <w:tcPr>
            <w:tcW w:w="517" w:type="pct"/>
            <w:tcBorders>
              <w:top w:val="single" w:color="000000" w:sz="4" w:space="0"/>
              <w:left w:val="nil"/>
              <w:bottom w:val="single" w:color="000000" w:sz="4" w:space="0"/>
              <w:right w:val="single" w:color="000000" w:sz="4" w:space="0"/>
            </w:tcBorders>
            <w:vAlign w:val="center"/>
          </w:tcPr>
          <w:p w14:paraId="5DC6761C">
            <w:pPr>
              <w:jc w:val="center"/>
              <w:rPr>
                <w:kern w:val="0"/>
              </w:rPr>
            </w:pPr>
            <w:r>
              <w:rPr>
                <w:kern w:val="0"/>
              </w:rPr>
              <w:t>52.8</w:t>
            </w:r>
          </w:p>
        </w:tc>
        <w:tc>
          <w:tcPr>
            <w:tcW w:w="606" w:type="pct"/>
            <w:tcBorders>
              <w:top w:val="single" w:color="000000" w:sz="4" w:space="0"/>
              <w:left w:val="nil"/>
              <w:bottom w:val="single" w:color="000000" w:sz="4" w:space="0"/>
              <w:right w:val="single" w:color="000000" w:sz="4" w:space="0"/>
            </w:tcBorders>
            <w:vAlign w:val="center"/>
          </w:tcPr>
          <w:p w14:paraId="21ADEC30">
            <w:pPr>
              <w:jc w:val="center"/>
              <w:rPr>
                <w:kern w:val="0"/>
              </w:rPr>
            </w:pPr>
            <w:r>
              <w:rPr>
                <w:kern w:val="0"/>
              </w:rPr>
              <w:t>55</w:t>
            </w:r>
          </w:p>
        </w:tc>
        <w:tc>
          <w:tcPr>
            <w:tcW w:w="609" w:type="pct"/>
            <w:tcBorders>
              <w:top w:val="single" w:color="000000" w:sz="4" w:space="0"/>
              <w:left w:val="nil"/>
              <w:bottom w:val="single" w:color="000000" w:sz="4" w:space="0"/>
              <w:right w:val="single" w:color="000000" w:sz="4" w:space="0"/>
            </w:tcBorders>
            <w:vAlign w:val="center"/>
          </w:tcPr>
          <w:p w14:paraId="284AA303">
            <w:pPr>
              <w:jc w:val="center"/>
              <w:rPr>
                <w:kern w:val="0"/>
              </w:rPr>
            </w:pPr>
            <w:r>
              <w:rPr>
                <w:kern w:val="0"/>
              </w:rPr>
              <w:t>达标</w:t>
            </w:r>
          </w:p>
        </w:tc>
        <w:tc>
          <w:tcPr>
            <w:tcW w:w="607" w:type="pct"/>
            <w:tcBorders>
              <w:top w:val="single" w:color="000000" w:sz="4" w:space="0"/>
              <w:left w:val="nil"/>
              <w:bottom w:val="single" w:color="000000" w:sz="4" w:space="0"/>
              <w:right w:val="single" w:color="000000" w:sz="4" w:space="0"/>
            </w:tcBorders>
            <w:vAlign w:val="center"/>
          </w:tcPr>
          <w:p w14:paraId="525C7F0F">
            <w:pPr>
              <w:jc w:val="center"/>
              <w:rPr>
                <w:kern w:val="0"/>
              </w:rPr>
            </w:pPr>
            <w:r>
              <w:rPr>
                <w:kern w:val="0"/>
              </w:rPr>
              <w:t>44.1</w:t>
            </w:r>
          </w:p>
        </w:tc>
        <w:tc>
          <w:tcPr>
            <w:tcW w:w="607" w:type="pct"/>
            <w:tcBorders>
              <w:top w:val="single" w:color="000000" w:sz="4" w:space="0"/>
              <w:left w:val="nil"/>
              <w:bottom w:val="single" w:color="000000" w:sz="4" w:space="0"/>
              <w:right w:val="single" w:color="000000" w:sz="4" w:space="0"/>
            </w:tcBorders>
            <w:vAlign w:val="center"/>
          </w:tcPr>
          <w:p w14:paraId="41833B8A">
            <w:pPr>
              <w:jc w:val="center"/>
              <w:rPr>
                <w:kern w:val="0"/>
              </w:rPr>
            </w:pPr>
            <w:r>
              <w:rPr>
                <w:kern w:val="0"/>
              </w:rPr>
              <w:t>45</w:t>
            </w:r>
          </w:p>
        </w:tc>
        <w:tc>
          <w:tcPr>
            <w:tcW w:w="608" w:type="pct"/>
            <w:tcBorders>
              <w:top w:val="single" w:color="000000" w:sz="4" w:space="0"/>
              <w:left w:val="nil"/>
              <w:bottom w:val="single" w:color="000000" w:sz="4" w:space="0"/>
              <w:right w:val="single" w:color="000000" w:sz="8" w:space="0"/>
            </w:tcBorders>
            <w:vAlign w:val="center"/>
          </w:tcPr>
          <w:p w14:paraId="628FF5D9">
            <w:pPr>
              <w:jc w:val="center"/>
              <w:rPr>
                <w:kern w:val="0"/>
              </w:rPr>
            </w:pPr>
            <w:r>
              <w:rPr>
                <w:kern w:val="0"/>
              </w:rPr>
              <w:t>达标</w:t>
            </w:r>
          </w:p>
        </w:tc>
      </w:tr>
      <w:tr w14:paraId="779FC9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1446" w:type="pct"/>
            <w:tcBorders>
              <w:top w:val="single" w:color="000000" w:sz="4" w:space="0"/>
              <w:left w:val="single" w:color="000000" w:sz="8" w:space="0"/>
              <w:bottom w:val="single" w:color="000000" w:sz="4" w:space="0"/>
              <w:right w:val="single" w:color="000000" w:sz="4" w:space="0"/>
            </w:tcBorders>
            <w:vAlign w:val="center"/>
          </w:tcPr>
          <w:p w14:paraId="2CDA1705">
            <w:pPr>
              <w:jc w:val="center"/>
              <w:rPr>
                <w:kern w:val="0"/>
              </w:rPr>
            </w:pPr>
            <w:r>
              <w:rPr>
                <w:rFonts w:hint="eastAsia"/>
                <w:kern w:val="0"/>
              </w:rPr>
              <w:t>西红旗村南（2#）</w:t>
            </w:r>
          </w:p>
        </w:tc>
        <w:tc>
          <w:tcPr>
            <w:tcW w:w="517" w:type="pct"/>
            <w:tcBorders>
              <w:top w:val="single" w:color="000000" w:sz="4" w:space="0"/>
              <w:left w:val="nil"/>
              <w:bottom w:val="single" w:color="000000" w:sz="4" w:space="0"/>
              <w:right w:val="single" w:color="000000" w:sz="4" w:space="0"/>
            </w:tcBorders>
            <w:vAlign w:val="center"/>
          </w:tcPr>
          <w:p w14:paraId="45B1E36C">
            <w:pPr>
              <w:jc w:val="center"/>
              <w:rPr>
                <w:kern w:val="0"/>
              </w:rPr>
            </w:pPr>
            <w:r>
              <w:rPr>
                <w:kern w:val="0"/>
              </w:rPr>
              <w:t>53.2</w:t>
            </w:r>
          </w:p>
        </w:tc>
        <w:tc>
          <w:tcPr>
            <w:tcW w:w="606" w:type="pct"/>
            <w:tcBorders>
              <w:top w:val="single" w:color="000000" w:sz="4" w:space="0"/>
              <w:left w:val="nil"/>
              <w:bottom w:val="single" w:color="000000" w:sz="4" w:space="0"/>
              <w:right w:val="single" w:color="000000" w:sz="4" w:space="0"/>
            </w:tcBorders>
            <w:vAlign w:val="center"/>
          </w:tcPr>
          <w:p w14:paraId="546E8072">
            <w:pPr>
              <w:jc w:val="center"/>
              <w:rPr>
                <w:kern w:val="0"/>
              </w:rPr>
            </w:pPr>
            <w:r>
              <w:rPr>
                <w:kern w:val="0"/>
              </w:rPr>
              <w:t>55</w:t>
            </w:r>
          </w:p>
        </w:tc>
        <w:tc>
          <w:tcPr>
            <w:tcW w:w="609" w:type="pct"/>
            <w:tcBorders>
              <w:top w:val="single" w:color="000000" w:sz="4" w:space="0"/>
              <w:left w:val="nil"/>
              <w:bottom w:val="single" w:color="000000" w:sz="4" w:space="0"/>
              <w:right w:val="single" w:color="000000" w:sz="4" w:space="0"/>
            </w:tcBorders>
            <w:vAlign w:val="center"/>
          </w:tcPr>
          <w:p w14:paraId="2E4289EE">
            <w:pPr>
              <w:jc w:val="center"/>
              <w:rPr>
                <w:kern w:val="0"/>
              </w:rPr>
            </w:pPr>
            <w:r>
              <w:rPr>
                <w:kern w:val="0"/>
              </w:rPr>
              <w:t>达标</w:t>
            </w:r>
          </w:p>
        </w:tc>
        <w:tc>
          <w:tcPr>
            <w:tcW w:w="607" w:type="pct"/>
            <w:tcBorders>
              <w:top w:val="single" w:color="000000" w:sz="4" w:space="0"/>
              <w:left w:val="nil"/>
              <w:bottom w:val="single" w:color="000000" w:sz="4" w:space="0"/>
              <w:right w:val="single" w:color="000000" w:sz="4" w:space="0"/>
            </w:tcBorders>
            <w:vAlign w:val="center"/>
          </w:tcPr>
          <w:p w14:paraId="49B2343F">
            <w:pPr>
              <w:jc w:val="center"/>
              <w:rPr>
                <w:kern w:val="0"/>
              </w:rPr>
            </w:pPr>
            <w:r>
              <w:rPr>
                <w:kern w:val="0"/>
              </w:rPr>
              <w:t>43</w:t>
            </w:r>
            <w:r>
              <w:rPr>
                <w:rFonts w:hint="eastAsia"/>
                <w:kern w:val="0"/>
              </w:rPr>
              <w:t>.0</w:t>
            </w:r>
          </w:p>
        </w:tc>
        <w:tc>
          <w:tcPr>
            <w:tcW w:w="607" w:type="pct"/>
            <w:tcBorders>
              <w:top w:val="single" w:color="000000" w:sz="4" w:space="0"/>
              <w:left w:val="nil"/>
              <w:bottom w:val="single" w:color="000000" w:sz="4" w:space="0"/>
              <w:right w:val="single" w:color="000000" w:sz="4" w:space="0"/>
            </w:tcBorders>
            <w:vAlign w:val="center"/>
          </w:tcPr>
          <w:p w14:paraId="548B24FC">
            <w:pPr>
              <w:jc w:val="center"/>
              <w:rPr>
                <w:kern w:val="0"/>
              </w:rPr>
            </w:pPr>
            <w:r>
              <w:rPr>
                <w:kern w:val="0"/>
              </w:rPr>
              <w:t>45</w:t>
            </w:r>
          </w:p>
        </w:tc>
        <w:tc>
          <w:tcPr>
            <w:tcW w:w="608" w:type="pct"/>
            <w:tcBorders>
              <w:top w:val="single" w:color="000000" w:sz="4" w:space="0"/>
              <w:left w:val="nil"/>
              <w:bottom w:val="single" w:color="000000" w:sz="4" w:space="0"/>
              <w:right w:val="single" w:color="000000" w:sz="8" w:space="0"/>
            </w:tcBorders>
            <w:vAlign w:val="center"/>
          </w:tcPr>
          <w:p w14:paraId="7916B80D">
            <w:pPr>
              <w:jc w:val="center"/>
              <w:rPr>
                <w:kern w:val="0"/>
              </w:rPr>
            </w:pPr>
            <w:r>
              <w:rPr>
                <w:kern w:val="0"/>
              </w:rPr>
              <w:t>达标</w:t>
            </w:r>
          </w:p>
        </w:tc>
      </w:tr>
      <w:bookmarkEnd w:id="109"/>
    </w:tbl>
    <w:p w14:paraId="5A09536B">
      <w:pPr>
        <w:pStyle w:val="85"/>
        <w:ind w:firstLine="480"/>
        <w:rPr>
          <w:kern w:val="0"/>
        </w:rPr>
      </w:pPr>
      <w:r>
        <w:rPr>
          <w:kern w:val="0"/>
        </w:rPr>
        <w:t>由</w:t>
      </w:r>
      <w:r>
        <w:rPr>
          <w:kern w:val="0"/>
        </w:rPr>
        <w:fldChar w:fldCharType="begin"/>
      </w:r>
      <w:r>
        <w:rPr>
          <w:kern w:val="0"/>
        </w:rPr>
        <w:instrText xml:space="preserve"> REF _Ref127542314 \h  \* MERGEFORMAT </w:instrText>
      </w:r>
      <w:r>
        <w:rPr>
          <w:kern w:val="0"/>
        </w:rPr>
        <w:fldChar w:fldCharType="separate"/>
      </w:r>
      <w:r>
        <w:rPr>
          <w:kern w:val="0"/>
        </w:rPr>
        <w:t>表3</w:t>
      </w:r>
      <w:r>
        <w:rPr>
          <w:kern w:val="0"/>
        </w:rPr>
        <w:noBreakHyphen/>
      </w:r>
      <w:r>
        <w:rPr>
          <w:kern w:val="0"/>
        </w:rPr>
        <w:t>10</w:t>
      </w:r>
      <w:r>
        <w:rPr>
          <w:kern w:val="0"/>
        </w:rPr>
        <w:fldChar w:fldCharType="end"/>
      </w:r>
      <w:r>
        <w:rPr>
          <w:kern w:val="0"/>
        </w:rPr>
        <w:t>分析可知，</w:t>
      </w:r>
      <w:r>
        <w:rPr>
          <w:rFonts w:hint="eastAsia"/>
          <w:kern w:val="0"/>
        </w:rPr>
        <w:t>大河北小学南（1#）和西红旗村南（2#）</w:t>
      </w:r>
      <w:r>
        <w:rPr>
          <w:kern w:val="0"/>
        </w:rPr>
        <w:t>满足《声环境质量标准》(GB3096-2008)1类区标准的要求。</w:t>
      </w:r>
    </w:p>
    <w:p w14:paraId="768EB72E">
      <w:pPr>
        <w:pStyle w:val="4"/>
      </w:pPr>
      <w:r>
        <w:rPr>
          <w:rFonts w:hint="eastAsia"/>
        </w:rPr>
        <w:t>土壤</w:t>
      </w:r>
      <w:r>
        <w:t>现状监测与评价</w:t>
      </w:r>
    </w:p>
    <w:p w14:paraId="7383AB52">
      <w:pPr>
        <w:pStyle w:val="85"/>
        <w:ind w:firstLine="480"/>
      </w:pPr>
      <w:r>
        <w:rPr>
          <w:rFonts w:hint="eastAsia"/>
        </w:rPr>
        <w:t>（1）</w:t>
      </w:r>
      <w:r>
        <w:t>监测点位及监测因子</w:t>
      </w:r>
    </w:p>
    <w:p w14:paraId="1D505DE8">
      <w:pPr>
        <w:pStyle w:val="85"/>
        <w:ind w:firstLine="480"/>
      </w:pPr>
      <w:r>
        <w:t>根据《环境影响评价技术导则 土壤环境（试行）》(HJ964-2018)</w:t>
      </w:r>
      <w:r>
        <w:rPr>
          <w:rFonts w:hint="eastAsia"/>
        </w:rPr>
        <w:t>生态</w:t>
      </w:r>
      <w:r>
        <w:t>影响型建设项目现状调查的要求，本项目共设置3个</w:t>
      </w:r>
      <w:r>
        <w:rPr>
          <w:rFonts w:hint="eastAsia"/>
        </w:rPr>
        <w:t>土壤表层样</w:t>
      </w:r>
      <w:r>
        <w:t>采样点。</w:t>
      </w:r>
    </w:p>
    <w:p w14:paraId="6ACD8C14">
      <w:pPr>
        <w:pStyle w:val="85"/>
        <w:ind w:firstLine="480"/>
      </w:pPr>
    </w:p>
    <w:p w14:paraId="5FF7775F">
      <w:pPr>
        <w:pStyle w:val="85"/>
        <w:ind w:firstLine="480"/>
      </w:pPr>
    </w:p>
    <w:p w14:paraId="2F2F3D29">
      <w:pPr>
        <w:pStyle w:val="17"/>
        <w:keepNext/>
        <w:spacing w:line="520" w:lineRule="exact"/>
        <w:ind w:firstLine="480"/>
        <w:jc w:val="center"/>
        <w:rPr>
          <w:rFonts w:ascii="Times New Roman" w:hAnsi="Times New Roman" w:cs="Times New Roman"/>
          <w:kern w:val="0"/>
          <w:sz w:val="24"/>
        </w:rPr>
      </w:pPr>
      <w:bookmarkStart w:id="110" w:name="_Ref79486426"/>
      <w:r>
        <w:rPr>
          <w:rFonts w:ascii="Times New Roman" w:hAnsi="Times New Roman" w:cs="Times New Roman"/>
          <w:kern w:val="0"/>
          <w:sz w:val="24"/>
        </w:rPr>
        <w:t>表</w:t>
      </w:r>
      <w:r>
        <w:rPr>
          <w:rFonts w:ascii="Times New Roman" w:hAnsi="Times New Roman" w:cs="Times New Roman"/>
          <w:kern w:val="0"/>
          <w:sz w:val="24"/>
        </w:rPr>
        <w:fldChar w:fldCharType="begin"/>
      </w:r>
      <w:r>
        <w:rPr>
          <w:rFonts w:ascii="Times New Roman" w:hAnsi="Times New Roman" w:cs="Times New Roman"/>
          <w:kern w:val="0"/>
          <w:sz w:val="24"/>
        </w:rPr>
        <w:instrText xml:space="preserve"> STYLEREF 1 \s </w:instrText>
      </w:r>
      <w:r>
        <w:rPr>
          <w:rFonts w:ascii="Times New Roman" w:hAnsi="Times New Roman" w:cs="Times New Roman"/>
          <w:kern w:val="0"/>
          <w:sz w:val="24"/>
        </w:rPr>
        <w:fldChar w:fldCharType="separate"/>
      </w:r>
      <w:r>
        <w:rPr>
          <w:rFonts w:ascii="Times New Roman" w:hAnsi="Times New Roman" w:cs="Times New Roman"/>
          <w:kern w:val="0"/>
          <w:sz w:val="24"/>
        </w:rPr>
        <w:t>3</w:t>
      </w:r>
      <w:r>
        <w:rPr>
          <w:rFonts w:ascii="Times New Roman" w:hAnsi="Times New Roman" w:cs="Times New Roman"/>
          <w:kern w:val="0"/>
          <w:sz w:val="24"/>
        </w:rPr>
        <w:fldChar w:fldCharType="end"/>
      </w:r>
      <w:r>
        <w:rPr>
          <w:rFonts w:ascii="Times New Roman" w:hAnsi="Times New Roman" w:cs="Times New Roman"/>
          <w:kern w:val="0"/>
          <w:sz w:val="24"/>
        </w:rPr>
        <w:noBreakHyphen/>
      </w:r>
      <w:r>
        <w:rPr>
          <w:rFonts w:ascii="Times New Roman" w:hAnsi="Times New Roman" w:cs="Times New Roman"/>
          <w:kern w:val="0"/>
          <w:sz w:val="24"/>
        </w:rPr>
        <w:fldChar w:fldCharType="begin"/>
      </w:r>
      <w:r>
        <w:rPr>
          <w:rFonts w:ascii="Times New Roman" w:hAnsi="Times New Roman" w:cs="Times New Roman"/>
          <w:kern w:val="0"/>
          <w:sz w:val="24"/>
        </w:rPr>
        <w:instrText xml:space="preserve"> SEQ 表 \* ARABIC \s 1 </w:instrText>
      </w:r>
      <w:r>
        <w:rPr>
          <w:rFonts w:ascii="Times New Roman" w:hAnsi="Times New Roman" w:cs="Times New Roman"/>
          <w:kern w:val="0"/>
          <w:sz w:val="24"/>
        </w:rPr>
        <w:fldChar w:fldCharType="separate"/>
      </w:r>
      <w:r>
        <w:rPr>
          <w:rFonts w:ascii="Times New Roman" w:hAnsi="Times New Roman" w:cs="Times New Roman"/>
          <w:kern w:val="0"/>
          <w:sz w:val="24"/>
        </w:rPr>
        <w:t>11</w:t>
      </w:r>
      <w:r>
        <w:rPr>
          <w:rFonts w:ascii="Times New Roman" w:hAnsi="Times New Roman" w:cs="Times New Roman"/>
          <w:kern w:val="0"/>
          <w:sz w:val="24"/>
        </w:rPr>
        <w:fldChar w:fldCharType="end"/>
      </w:r>
      <w:bookmarkEnd w:id="110"/>
      <w:r>
        <w:rPr>
          <w:rFonts w:ascii="Times New Roman" w:hAnsi="Times New Roman" w:cs="Times New Roman"/>
          <w:kern w:val="0"/>
          <w:sz w:val="24"/>
        </w:rPr>
        <w:t xml:space="preserve">  </w:t>
      </w:r>
      <w:r>
        <w:rPr>
          <w:rFonts w:hint="eastAsia" w:ascii="Times New Roman" w:hAnsi="Times New Roman" w:cs="Times New Roman"/>
          <w:kern w:val="0"/>
          <w:sz w:val="24"/>
        </w:rPr>
        <w:t>土壤采样点及监测因子</w:t>
      </w:r>
    </w:p>
    <w:tbl>
      <w:tblPr>
        <w:tblStyle w:val="6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42"/>
        <w:gridCol w:w="3768"/>
        <w:gridCol w:w="4018"/>
      </w:tblGrid>
      <w:tr w14:paraId="140DD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5" w:type="pct"/>
            <w:vAlign w:val="center"/>
          </w:tcPr>
          <w:p w14:paraId="424A2A5B">
            <w:pPr>
              <w:jc w:val="center"/>
              <w:rPr>
                <w:szCs w:val="21"/>
              </w:rPr>
            </w:pPr>
            <w:r>
              <w:rPr>
                <w:szCs w:val="21"/>
              </w:rPr>
              <w:t>编号</w:t>
            </w:r>
          </w:p>
        </w:tc>
        <w:tc>
          <w:tcPr>
            <w:tcW w:w="2209" w:type="pct"/>
            <w:vAlign w:val="center"/>
          </w:tcPr>
          <w:p w14:paraId="3247C472">
            <w:pPr>
              <w:jc w:val="center"/>
              <w:rPr>
                <w:szCs w:val="21"/>
              </w:rPr>
            </w:pPr>
            <w:r>
              <w:rPr>
                <w:szCs w:val="21"/>
              </w:rPr>
              <w:t>监测点</w:t>
            </w:r>
          </w:p>
        </w:tc>
        <w:tc>
          <w:tcPr>
            <w:tcW w:w="2356" w:type="pct"/>
            <w:vAlign w:val="center"/>
          </w:tcPr>
          <w:p w14:paraId="064805A9">
            <w:pPr>
              <w:jc w:val="center"/>
              <w:rPr>
                <w:szCs w:val="21"/>
              </w:rPr>
            </w:pPr>
            <w:r>
              <w:rPr>
                <w:szCs w:val="21"/>
              </w:rPr>
              <w:t>监测因子</w:t>
            </w:r>
          </w:p>
        </w:tc>
      </w:tr>
      <w:tr w14:paraId="696FF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5" w:type="pct"/>
            <w:vAlign w:val="center"/>
          </w:tcPr>
          <w:p w14:paraId="7258D518">
            <w:pPr>
              <w:jc w:val="center"/>
              <w:rPr>
                <w:szCs w:val="21"/>
              </w:rPr>
            </w:pPr>
            <w:r>
              <w:rPr>
                <w:rFonts w:hint="eastAsia"/>
                <w:szCs w:val="21"/>
              </w:rPr>
              <w:t>T1</w:t>
            </w:r>
          </w:p>
        </w:tc>
        <w:tc>
          <w:tcPr>
            <w:tcW w:w="2209" w:type="pct"/>
            <w:vAlign w:val="center"/>
          </w:tcPr>
          <w:p w14:paraId="0181C861">
            <w:pPr>
              <w:jc w:val="center"/>
              <w:rPr>
                <w:szCs w:val="21"/>
              </w:rPr>
            </w:pPr>
            <w:r>
              <w:rPr>
                <w:rFonts w:hint="eastAsia"/>
                <w:szCs w:val="21"/>
              </w:rPr>
              <w:t>大河北村村南河道范围内</w:t>
            </w:r>
          </w:p>
        </w:tc>
        <w:tc>
          <w:tcPr>
            <w:tcW w:w="2356" w:type="pct"/>
            <w:vMerge w:val="restart"/>
            <w:vAlign w:val="center"/>
          </w:tcPr>
          <w:p w14:paraId="2DDBEF16">
            <w:pPr>
              <w:jc w:val="center"/>
              <w:rPr>
                <w:szCs w:val="21"/>
              </w:rPr>
            </w:pPr>
            <w:r>
              <w:rPr>
                <w:rFonts w:hint="eastAsia"/>
                <w:szCs w:val="21"/>
              </w:rPr>
              <w:t>pH、含盐量</w:t>
            </w:r>
          </w:p>
        </w:tc>
      </w:tr>
      <w:tr w14:paraId="7612E6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5" w:type="pct"/>
            <w:vAlign w:val="center"/>
          </w:tcPr>
          <w:p w14:paraId="078A367A">
            <w:pPr>
              <w:jc w:val="center"/>
              <w:rPr>
                <w:szCs w:val="21"/>
              </w:rPr>
            </w:pPr>
            <w:r>
              <w:rPr>
                <w:rFonts w:hint="eastAsia"/>
                <w:szCs w:val="21"/>
              </w:rPr>
              <w:t>T</w:t>
            </w:r>
            <w:r>
              <w:rPr>
                <w:szCs w:val="21"/>
              </w:rPr>
              <w:t>2</w:t>
            </w:r>
          </w:p>
        </w:tc>
        <w:tc>
          <w:tcPr>
            <w:tcW w:w="2209" w:type="pct"/>
            <w:vAlign w:val="center"/>
          </w:tcPr>
          <w:p w14:paraId="5C0E9587">
            <w:pPr>
              <w:jc w:val="center"/>
              <w:rPr>
                <w:szCs w:val="21"/>
              </w:rPr>
            </w:pPr>
            <w:r>
              <w:rPr>
                <w:rFonts w:hint="eastAsia"/>
                <w:szCs w:val="21"/>
              </w:rPr>
              <w:t>前沟门村西南农田</w:t>
            </w:r>
          </w:p>
        </w:tc>
        <w:tc>
          <w:tcPr>
            <w:tcW w:w="2356" w:type="pct"/>
            <w:vMerge w:val="continue"/>
            <w:vAlign w:val="center"/>
          </w:tcPr>
          <w:p w14:paraId="4F0B0D87">
            <w:pPr>
              <w:jc w:val="center"/>
              <w:rPr>
                <w:szCs w:val="21"/>
              </w:rPr>
            </w:pPr>
          </w:p>
        </w:tc>
      </w:tr>
      <w:tr w14:paraId="66BF84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5" w:type="pct"/>
            <w:vAlign w:val="center"/>
          </w:tcPr>
          <w:p w14:paraId="4E22DE3A">
            <w:pPr>
              <w:jc w:val="center"/>
              <w:rPr>
                <w:szCs w:val="21"/>
              </w:rPr>
            </w:pPr>
            <w:r>
              <w:rPr>
                <w:rFonts w:hint="eastAsia"/>
                <w:szCs w:val="21"/>
              </w:rPr>
              <w:t>T</w:t>
            </w:r>
            <w:r>
              <w:rPr>
                <w:szCs w:val="21"/>
              </w:rPr>
              <w:t>3</w:t>
            </w:r>
          </w:p>
        </w:tc>
        <w:tc>
          <w:tcPr>
            <w:tcW w:w="2209" w:type="pct"/>
            <w:vAlign w:val="center"/>
          </w:tcPr>
          <w:p w14:paraId="47941969">
            <w:pPr>
              <w:jc w:val="center"/>
              <w:rPr>
                <w:szCs w:val="21"/>
              </w:rPr>
            </w:pPr>
            <w:r>
              <w:rPr>
                <w:rFonts w:hint="eastAsia"/>
                <w:szCs w:val="21"/>
              </w:rPr>
              <w:t>西红旗村南农田</w:t>
            </w:r>
          </w:p>
        </w:tc>
        <w:tc>
          <w:tcPr>
            <w:tcW w:w="2356" w:type="pct"/>
            <w:vMerge w:val="continue"/>
            <w:vAlign w:val="center"/>
          </w:tcPr>
          <w:p w14:paraId="5BBFC398">
            <w:pPr>
              <w:jc w:val="center"/>
              <w:rPr>
                <w:szCs w:val="21"/>
              </w:rPr>
            </w:pPr>
          </w:p>
        </w:tc>
      </w:tr>
    </w:tbl>
    <w:p w14:paraId="1747A5CE">
      <w:pPr>
        <w:pStyle w:val="85"/>
        <w:ind w:firstLine="480"/>
      </w:pPr>
      <w:r>
        <w:t>（2）监测结果</w:t>
      </w:r>
    </w:p>
    <w:p w14:paraId="59757F43">
      <w:pPr>
        <w:pStyle w:val="85"/>
        <w:ind w:firstLine="480"/>
      </w:pPr>
      <w:r>
        <w:t>土壤环境质量现状监测结果见下表：</w:t>
      </w:r>
    </w:p>
    <w:p w14:paraId="3CF75434">
      <w:pPr>
        <w:pStyle w:val="17"/>
        <w:keepNext/>
        <w:spacing w:line="520" w:lineRule="exact"/>
        <w:ind w:firstLine="480"/>
        <w:jc w:val="center"/>
        <w:rPr>
          <w:rFonts w:ascii="Times New Roman" w:hAnsi="Times New Roman" w:cs="Times New Roman"/>
          <w:kern w:val="0"/>
          <w:sz w:val="24"/>
        </w:rPr>
      </w:pPr>
      <w:r>
        <w:rPr>
          <w:rFonts w:ascii="Times New Roman" w:hAnsi="Times New Roman" w:cs="Times New Roman"/>
          <w:kern w:val="0"/>
          <w:sz w:val="24"/>
        </w:rPr>
        <w:t>表</w:t>
      </w:r>
      <w:r>
        <w:rPr>
          <w:rFonts w:ascii="Times New Roman" w:hAnsi="Times New Roman" w:cs="Times New Roman"/>
          <w:kern w:val="0"/>
          <w:sz w:val="24"/>
        </w:rPr>
        <w:fldChar w:fldCharType="begin"/>
      </w:r>
      <w:r>
        <w:rPr>
          <w:rFonts w:ascii="Times New Roman" w:hAnsi="Times New Roman" w:cs="Times New Roman"/>
          <w:kern w:val="0"/>
          <w:sz w:val="24"/>
        </w:rPr>
        <w:instrText xml:space="preserve"> STYLEREF 1 \s </w:instrText>
      </w:r>
      <w:r>
        <w:rPr>
          <w:rFonts w:ascii="Times New Roman" w:hAnsi="Times New Roman" w:cs="Times New Roman"/>
          <w:kern w:val="0"/>
          <w:sz w:val="24"/>
        </w:rPr>
        <w:fldChar w:fldCharType="separate"/>
      </w:r>
      <w:r>
        <w:rPr>
          <w:rFonts w:ascii="Times New Roman" w:hAnsi="Times New Roman" w:cs="Times New Roman"/>
          <w:kern w:val="0"/>
          <w:sz w:val="24"/>
        </w:rPr>
        <w:t>3</w:t>
      </w:r>
      <w:r>
        <w:rPr>
          <w:rFonts w:ascii="Times New Roman" w:hAnsi="Times New Roman" w:cs="Times New Roman"/>
          <w:kern w:val="0"/>
          <w:sz w:val="24"/>
        </w:rPr>
        <w:fldChar w:fldCharType="end"/>
      </w:r>
      <w:r>
        <w:rPr>
          <w:rFonts w:ascii="Times New Roman" w:hAnsi="Times New Roman" w:cs="Times New Roman"/>
          <w:kern w:val="0"/>
          <w:sz w:val="24"/>
        </w:rPr>
        <w:noBreakHyphen/>
      </w:r>
      <w:r>
        <w:rPr>
          <w:rFonts w:ascii="Times New Roman" w:hAnsi="Times New Roman" w:cs="Times New Roman"/>
          <w:kern w:val="0"/>
          <w:sz w:val="24"/>
        </w:rPr>
        <w:fldChar w:fldCharType="begin"/>
      </w:r>
      <w:r>
        <w:rPr>
          <w:rFonts w:ascii="Times New Roman" w:hAnsi="Times New Roman" w:cs="Times New Roman"/>
          <w:kern w:val="0"/>
          <w:sz w:val="24"/>
        </w:rPr>
        <w:instrText xml:space="preserve"> SEQ 表 \* ARABIC \s 1 </w:instrText>
      </w:r>
      <w:r>
        <w:rPr>
          <w:rFonts w:ascii="Times New Roman" w:hAnsi="Times New Roman" w:cs="Times New Roman"/>
          <w:kern w:val="0"/>
          <w:sz w:val="24"/>
        </w:rPr>
        <w:fldChar w:fldCharType="separate"/>
      </w:r>
      <w:r>
        <w:rPr>
          <w:rFonts w:ascii="Times New Roman" w:hAnsi="Times New Roman" w:cs="Times New Roman"/>
          <w:kern w:val="0"/>
          <w:sz w:val="24"/>
        </w:rPr>
        <w:t>12</w:t>
      </w:r>
      <w:r>
        <w:rPr>
          <w:rFonts w:ascii="Times New Roman" w:hAnsi="Times New Roman" w:cs="Times New Roman"/>
          <w:kern w:val="0"/>
          <w:sz w:val="24"/>
        </w:rPr>
        <w:fldChar w:fldCharType="end"/>
      </w:r>
      <w:r>
        <w:rPr>
          <w:rFonts w:ascii="Times New Roman" w:hAnsi="Times New Roman" w:cs="Times New Roman"/>
          <w:kern w:val="0"/>
          <w:sz w:val="24"/>
        </w:rPr>
        <w:t xml:space="preserve">  土壤环境</w:t>
      </w:r>
      <w:r>
        <w:rPr>
          <w:rFonts w:hint="eastAsia" w:ascii="Times New Roman" w:hAnsi="Times New Roman" w:cs="Times New Roman"/>
          <w:kern w:val="0"/>
          <w:sz w:val="24"/>
        </w:rPr>
        <w:t>酸化或碱化、盐化</w:t>
      </w:r>
      <w:r>
        <w:rPr>
          <w:rFonts w:ascii="Times New Roman" w:hAnsi="Times New Roman" w:cs="Times New Roman"/>
          <w:kern w:val="0"/>
          <w:sz w:val="24"/>
        </w:rPr>
        <w:t>现状监测结果  单位g/kg(pH除外)</w:t>
      </w:r>
    </w:p>
    <w:tbl>
      <w:tblPr>
        <w:tblStyle w:val="63"/>
        <w:tblW w:w="5024"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1415"/>
        <w:gridCol w:w="3871"/>
        <w:gridCol w:w="3086"/>
      </w:tblGrid>
      <w:tr w14:paraId="14A2C0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4" w:hRule="atLeast"/>
        </w:trPr>
        <w:tc>
          <w:tcPr>
            <w:tcW w:w="845" w:type="pct"/>
            <w:tcBorders>
              <w:top w:val="single" w:color="auto" w:sz="4" w:space="0"/>
              <w:left w:val="single" w:color="000000" w:sz="8" w:space="0"/>
              <w:bottom w:val="single" w:color="000000" w:sz="4" w:space="0"/>
              <w:right w:val="single" w:color="000000" w:sz="4" w:space="0"/>
              <w:tl2br w:val="single" w:color="auto" w:sz="4" w:space="0"/>
            </w:tcBorders>
            <w:vAlign w:val="center"/>
          </w:tcPr>
          <w:p w14:paraId="776622CF">
            <w:pPr>
              <w:ind w:firstLine="420"/>
              <w:jc w:val="right"/>
              <w:rPr>
                <w:szCs w:val="21"/>
              </w:rPr>
            </w:pPr>
            <w:r>
              <w:rPr>
                <w:rFonts w:hint="eastAsia"/>
                <w:szCs w:val="21"/>
              </w:rPr>
              <w:t>监测</w:t>
            </w:r>
            <w:r>
              <w:rPr>
                <w:szCs w:val="21"/>
              </w:rPr>
              <w:t>因子</w:t>
            </w:r>
          </w:p>
          <w:p w14:paraId="245249D3">
            <w:pPr>
              <w:ind w:firstLine="420"/>
              <w:rPr>
                <w:szCs w:val="21"/>
              </w:rPr>
            </w:pPr>
            <w:r>
              <w:rPr>
                <w:rFonts w:hint="eastAsia"/>
                <w:szCs w:val="21"/>
              </w:rPr>
              <w:t xml:space="preserve">监测点位 </w:t>
            </w:r>
          </w:p>
        </w:tc>
        <w:tc>
          <w:tcPr>
            <w:tcW w:w="2312" w:type="pct"/>
            <w:tcBorders>
              <w:top w:val="single" w:color="000000" w:sz="8" w:space="0"/>
              <w:left w:val="nil"/>
              <w:bottom w:val="single" w:color="000000" w:sz="4" w:space="0"/>
              <w:right w:val="single" w:color="000000" w:sz="8" w:space="0"/>
            </w:tcBorders>
            <w:vAlign w:val="center"/>
          </w:tcPr>
          <w:p w14:paraId="03E6E96A">
            <w:pPr>
              <w:jc w:val="center"/>
            </w:pPr>
            <w:r>
              <w:rPr>
                <w:rFonts w:hint="eastAsia"/>
              </w:rPr>
              <w:t>pH</w:t>
            </w:r>
          </w:p>
        </w:tc>
        <w:tc>
          <w:tcPr>
            <w:tcW w:w="1843" w:type="pct"/>
            <w:tcBorders>
              <w:top w:val="single" w:color="000000" w:sz="8" w:space="0"/>
              <w:left w:val="nil"/>
              <w:bottom w:val="single" w:color="000000" w:sz="4" w:space="0"/>
              <w:right w:val="single" w:color="000000" w:sz="8" w:space="0"/>
            </w:tcBorders>
            <w:vAlign w:val="center"/>
          </w:tcPr>
          <w:p w14:paraId="4C953F1B">
            <w:pPr>
              <w:ind w:firstLine="420"/>
              <w:jc w:val="center"/>
              <w:rPr>
                <w:szCs w:val="21"/>
              </w:rPr>
            </w:pPr>
            <w:r>
              <w:rPr>
                <w:rFonts w:hint="eastAsia"/>
                <w:szCs w:val="21"/>
              </w:rPr>
              <w:t>全盐量</w:t>
            </w:r>
          </w:p>
        </w:tc>
      </w:tr>
      <w:tr w14:paraId="7C1500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845" w:type="pct"/>
            <w:tcBorders>
              <w:top w:val="nil"/>
              <w:left w:val="single" w:color="000000" w:sz="8" w:space="0"/>
              <w:bottom w:val="single" w:color="000000" w:sz="4" w:space="0"/>
              <w:right w:val="single" w:color="000000" w:sz="4" w:space="0"/>
            </w:tcBorders>
            <w:vAlign w:val="center"/>
          </w:tcPr>
          <w:p w14:paraId="42B0A8B8">
            <w:pPr>
              <w:jc w:val="center"/>
              <w:rPr>
                <w:szCs w:val="21"/>
              </w:rPr>
            </w:pPr>
            <w:r>
              <w:rPr>
                <w:rFonts w:hint="eastAsia"/>
                <w:szCs w:val="21"/>
              </w:rPr>
              <w:t>T1</w:t>
            </w:r>
          </w:p>
        </w:tc>
        <w:tc>
          <w:tcPr>
            <w:tcW w:w="2312" w:type="pct"/>
            <w:tcBorders>
              <w:top w:val="single" w:color="000000" w:sz="4" w:space="0"/>
              <w:left w:val="nil"/>
              <w:bottom w:val="single" w:color="000000" w:sz="4" w:space="0"/>
              <w:right w:val="single" w:color="000000" w:sz="4" w:space="0"/>
            </w:tcBorders>
            <w:vAlign w:val="center"/>
          </w:tcPr>
          <w:p w14:paraId="0E457DAD">
            <w:pPr>
              <w:jc w:val="center"/>
              <w:rPr>
                <w:rFonts w:eastAsiaTheme="minorEastAsia"/>
                <w:szCs w:val="21"/>
              </w:rPr>
            </w:pPr>
            <w:r>
              <w:rPr>
                <w:rFonts w:eastAsiaTheme="minorEastAsia"/>
                <w:kern w:val="0"/>
                <w:szCs w:val="21"/>
              </w:rPr>
              <w:t>7.7</w:t>
            </w:r>
          </w:p>
        </w:tc>
        <w:tc>
          <w:tcPr>
            <w:tcW w:w="1843" w:type="pct"/>
            <w:tcBorders>
              <w:top w:val="single" w:color="000000" w:sz="4" w:space="0"/>
              <w:left w:val="nil"/>
              <w:bottom w:val="single" w:color="000000" w:sz="4" w:space="0"/>
              <w:right w:val="single" w:color="000000" w:sz="4" w:space="0"/>
            </w:tcBorders>
            <w:vAlign w:val="center"/>
          </w:tcPr>
          <w:p w14:paraId="1AF31FBB">
            <w:pPr>
              <w:jc w:val="center"/>
              <w:rPr>
                <w:rFonts w:eastAsiaTheme="minorEastAsia"/>
                <w:szCs w:val="21"/>
              </w:rPr>
            </w:pPr>
            <w:r>
              <w:rPr>
                <w:rFonts w:eastAsiaTheme="minorEastAsia"/>
                <w:szCs w:val="21"/>
              </w:rPr>
              <w:t>1.3</w:t>
            </w:r>
          </w:p>
        </w:tc>
      </w:tr>
      <w:tr w14:paraId="238A50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845" w:type="pct"/>
            <w:tcBorders>
              <w:top w:val="nil"/>
              <w:left w:val="single" w:color="000000" w:sz="8" w:space="0"/>
              <w:bottom w:val="single" w:color="000000" w:sz="4" w:space="0"/>
              <w:right w:val="single" w:color="000000" w:sz="4" w:space="0"/>
            </w:tcBorders>
            <w:vAlign w:val="center"/>
          </w:tcPr>
          <w:p w14:paraId="1C093C90">
            <w:pPr>
              <w:jc w:val="center"/>
              <w:rPr>
                <w:szCs w:val="21"/>
              </w:rPr>
            </w:pPr>
            <w:r>
              <w:rPr>
                <w:rFonts w:hint="eastAsia"/>
                <w:szCs w:val="21"/>
              </w:rPr>
              <w:t>T2</w:t>
            </w:r>
          </w:p>
        </w:tc>
        <w:tc>
          <w:tcPr>
            <w:tcW w:w="2312" w:type="pct"/>
            <w:tcBorders>
              <w:top w:val="single" w:color="000000" w:sz="4" w:space="0"/>
              <w:left w:val="nil"/>
              <w:bottom w:val="single" w:color="000000" w:sz="4" w:space="0"/>
              <w:right w:val="single" w:color="000000" w:sz="4" w:space="0"/>
            </w:tcBorders>
            <w:vAlign w:val="center"/>
          </w:tcPr>
          <w:p w14:paraId="2965179C">
            <w:pPr>
              <w:jc w:val="center"/>
              <w:rPr>
                <w:rFonts w:eastAsiaTheme="minorEastAsia"/>
                <w:szCs w:val="21"/>
              </w:rPr>
            </w:pPr>
            <w:r>
              <w:rPr>
                <w:rFonts w:eastAsiaTheme="minorEastAsia"/>
                <w:szCs w:val="21"/>
              </w:rPr>
              <w:t>7.66</w:t>
            </w:r>
          </w:p>
        </w:tc>
        <w:tc>
          <w:tcPr>
            <w:tcW w:w="1843" w:type="pct"/>
            <w:tcBorders>
              <w:top w:val="single" w:color="000000" w:sz="4" w:space="0"/>
              <w:left w:val="nil"/>
              <w:bottom w:val="single" w:color="000000" w:sz="4" w:space="0"/>
              <w:right w:val="single" w:color="000000" w:sz="4" w:space="0"/>
            </w:tcBorders>
            <w:vAlign w:val="center"/>
          </w:tcPr>
          <w:p w14:paraId="26479776">
            <w:pPr>
              <w:jc w:val="center"/>
              <w:rPr>
                <w:rFonts w:eastAsiaTheme="minorEastAsia"/>
                <w:szCs w:val="21"/>
              </w:rPr>
            </w:pPr>
            <w:r>
              <w:rPr>
                <w:rFonts w:eastAsiaTheme="minorEastAsia"/>
                <w:szCs w:val="21"/>
              </w:rPr>
              <w:t>1.55</w:t>
            </w:r>
          </w:p>
        </w:tc>
      </w:tr>
      <w:tr w14:paraId="10F34F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845" w:type="pct"/>
            <w:tcBorders>
              <w:top w:val="nil"/>
              <w:left w:val="single" w:color="000000" w:sz="8" w:space="0"/>
              <w:bottom w:val="single" w:color="000000" w:sz="4" w:space="0"/>
              <w:right w:val="single" w:color="000000" w:sz="4" w:space="0"/>
            </w:tcBorders>
            <w:vAlign w:val="center"/>
          </w:tcPr>
          <w:p w14:paraId="46CC500F">
            <w:pPr>
              <w:jc w:val="center"/>
              <w:rPr>
                <w:szCs w:val="21"/>
              </w:rPr>
            </w:pPr>
            <w:r>
              <w:rPr>
                <w:rFonts w:hint="eastAsia"/>
                <w:szCs w:val="21"/>
              </w:rPr>
              <w:t>T3</w:t>
            </w:r>
          </w:p>
        </w:tc>
        <w:tc>
          <w:tcPr>
            <w:tcW w:w="2312" w:type="pct"/>
            <w:tcBorders>
              <w:top w:val="single" w:color="000000" w:sz="4" w:space="0"/>
              <w:left w:val="nil"/>
              <w:bottom w:val="single" w:color="000000" w:sz="4" w:space="0"/>
              <w:right w:val="single" w:color="000000" w:sz="4" w:space="0"/>
            </w:tcBorders>
            <w:vAlign w:val="center"/>
          </w:tcPr>
          <w:p w14:paraId="27282000">
            <w:pPr>
              <w:jc w:val="center"/>
              <w:rPr>
                <w:rFonts w:eastAsiaTheme="minorEastAsia"/>
                <w:szCs w:val="21"/>
              </w:rPr>
            </w:pPr>
            <w:r>
              <w:rPr>
                <w:rFonts w:eastAsiaTheme="minorEastAsia"/>
                <w:kern w:val="0"/>
                <w:szCs w:val="21"/>
              </w:rPr>
              <w:t>7.82</w:t>
            </w:r>
          </w:p>
        </w:tc>
        <w:tc>
          <w:tcPr>
            <w:tcW w:w="1843" w:type="pct"/>
            <w:tcBorders>
              <w:top w:val="single" w:color="000000" w:sz="4" w:space="0"/>
              <w:left w:val="nil"/>
              <w:bottom w:val="single" w:color="000000" w:sz="4" w:space="0"/>
              <w:right w:val="single" w:color="000000" w:sz="4" w:space="0"/>
            </w:tcBorders>
            <w:vAlign w:val="center"/>
          </w:tcPr>
          <w:p w14:paraId="49605D97">
            <w:pPr>
              <w:jc w:val="center"/>
              <w:rPr>
                <w:rFonts w:eastAsiaTheme="minorEastAsia"/>
                <w:szCs w:val="21"/>
              </w:rPr>
            </w:pPr>
            <w:r>
              <w:rPr>
                <w:rFonts w:eastAsiaTheme="minorEastAsia"/>
                <w:szCs w:val="21"/>
              </w:rPr>
              <w:t>1.2</w:t>
            </w:r>
          </w:p>
        </w:tc>
      </w:tr>
      <w:tr w14:paraId="4CBBDA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845" w:type="pct"/>
            <w:tcBorders>
              <w:top w:val="single" w:color="auto" w:sz="4" w:space="0"/>
              <w:left w:val="single" w:color="auto" w:sz="4" w:space="0"/>
              <w:bottom w:val="single" w:color="auto" w:sz="4" w:space="0"/>
              <w:right w:val="single" w:color="auto" w:sz="4" w:space="0"/>
            </w:tcBorders>
            <w:vAlign w:val="center"/>
          </w:tcPr>
          <w:p w14:paraId="4A190819">
            <w:pPr>
              <w:jc w:val="center"/>
              <w:rPr>
                <w:szCs w:val="21"/>
              </w:rPr>
            </w:pPr>
            <w:r>
              <w:rPr>
                <w:rFonts w:hint="eastAsia"/>
                <w:szCs w:val="21"/>
              </w:rPr>
              <w:t>样本数</w:t>
            </w:r>
          </w:p>
        </w:tc>
        <w:tc>
          <w:tcPr>
            <w:tcW w:w="2312" w:type="pct"/>
            <w:tcBorders>
              <w:top w:val="single" w:color="000000" w:sz="4" w:space="0"/>
              <w:left w:val="single" w:color="auto" w:sz="4" w:space="0"/>
              <w:bottom w:val="single" w:color="000000" w:sz="4" w:space="0"/>
              <w:right w:val="single" w:color="000000" w:sz="4" w:space="0"/>
            </w:tcBorders>
            <w:vAlign w:val="center"/>
          </w:tcPr>
          <w:p w14:paraId="3D5888DD">
            <w:pPr>
              <w:jc w:val="center"/>
              <w:rPr>
                <w:szCs w:val="21"/>
              </w:rPr>
            </w:pPr>
            <w:r>
              <w:rPr>
                <w:szCs w:val="21"/>
              </w:rPr>
              <w:t>3</w:t>
            </w:r>
          </w:p>
        </w:tc>
        <w:tc>
          <w:tcPr>
            <w:tcW w:w="1843" w:type="pct"/>
            <w:tcBorders>
              <w:top w:val="single" w:color="000000" w:sz="4" w:space="0"/>
              <w:left w:val="nil"/>
              <w:bottom w:val="single" w:color="000000" w:sz="4" w:space="0"/>
              <w:right w:val="single" w:color="000000" w:sz="4" w:space="0"/>
            </w:tcBorders>
            <w:vAlign w:val="center"/>
          </w:tcPr>
          <w:p w14:paraId="088761B4">
            <w:pPr>
              <w:jc w:val="center"/>
              <w:rPr>
                <w:szCs w:val="21"/>
              </w:rPr>
            </w:pPr>
            <w:r>
              <w:rPr>
                <w:szCs w:val="21"/>
              </w:rPr>
              <w:t>3</w:t>
            </w:r>
          </w:p>
        </w:tc>
      </w:tr>
      <w:tr w14:paraId="25F545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845" w:type="pct"/>
            <w:tcBorders>
              <w:top w:val="single" w:color="auto" w:sz="4" w:space="0"/>
              <w:left w:val="single" w:color="auto" w:sz="4" w:space="0"/>
              <w:bottom w:val="single" w:color="auto" w:sz="4" w:space="0"/>
              <w:right w:val="single" w:color="auto" w:sz="4" w:space="0"/>
            </w:tcBorders>
            <w:vAlign w:val="center"/>
          </w:tcPr>
          <w:p w14:paraId="30D43FE9">
            <w:pPr>
              <w:jc w:val="center"/>
              <w:rPr>
                <w:szCs w:val="21"/>
              </w:rPr>
            </w:pPr>
            <w:r>
              <w:rPr>
                <w:rFonts w:hint="eastAsia"/>
                <w:szCs w:val="21"/>
              </w:rPr>
              <w:t>最大值</w:t>
            </w:r>
          </w:p>
        </w:tc>
        <w:tc>
          <w:tcPr>
            <w:tcW w:w="2312" w:type="pct"/>
            <w:tcBorders>
              <w:top w:val="single" w:color="000000" w:sz="4" w:space="0"/>
              <w:left w:val="single" w:color="auto" w:sz="4" w:space="0"/>
              <w:bottom w:val="single" w:color="000000" w:sz="4" w:space="0"/>
              <w:right w:val="single" w:color="000000" w:sz="4" w:space="0"/>
            </w:tcBorders>
            <w:vAlign w:val="center"/>
          </w:tcPr>
          <w:p w14:paraId="59A48E9B">
            <w:pPr>
              <w:jc w:val="center"/>
              <w:rPr>
                <w:szCs w:val="21"/>
              </w:rPr>
            </w:pPr>
            <w:r>
              <w:rPr>
                <w:szCs w:val="21"/>
              </w:rPr>
              <w:t>7.82</w:t>
            </w:r>
          </w:p>
        </w:tc>
        <w:tc>
          <w:tcPr>
            <w:tcW w:w="1843" w:type="pct"/>
            <w:tcBorders>
              <w:top w:val="single" w:color="000000" w:sz="4" w:space="0"/>
              <w:left w:val="nil"/>
              <w:bottom w:val="single" w:color="000000" w:sz="4" w:space="0"/>
              <w:right w:val="single" w:color="000000" w:sz="4" w:space="0"/>
            </w:tcBorders>
            <w:vAlign w:val="center"/>
          </w:tcPr>
          <w:p w14:paraId="18FFBCA8">
            <w:pPr>
              <w:jc w:val="center"/>
              <w:rPr>
                <w:szCs w:val="21"/>
              </w:rPr>
            </w:pPr>
            <w:r>
              <w:rPr>
                <w:szCs w:val="21"/>
              </w:rPr>
              <w:t>1.55</w:t>
            </w:r>
          </w:p>
        </w:tc>
      </w:tr>
      <w:tr w14:paraId="5FA63E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845" w:type="pct"/>
            <w:tcBorders>
              <w:top w:val="single" w:color="auto" w:sz="4" w:space="0"/>
              <w:left w:val="single" w:color="auto" w:sz="4" w:space="0"/>
              <w:bottom w:val="single" w:color="auto" w:sz="4" w:space="0"/>
              <w:right w:val="single" w:color="auto" w:sz="4" w:space="0"/>
            </w:tcBorders>
            <w:vAlign w:val="center"/>
          </w:tcPr>
          <w:p w14:paraId="6E5F87F5">
            <w:pPr>
              <w:jc w:val="center"/>
              <w:rPr>
                <w:szCs w:val="21"/>
              </w:rPr>
            </w:pPr>
            <w:r>
              <w:rPr>
                <w:rFonts w:hint="eastAsia"/>
                <w:szCs w:val="21"/>
              </w:rPr>
              <w:t>最小值</w:t>
            </w:r>
          </w:p>
        </w:tc>
        <w:tc>
          <w:tcPr>
            <w:tcW w:w="2312" w:type="pct"/>
            <w:tcBorders>
              <w:top w:val="single" w:color="000000" w:sz="4" w:space="0"/>
              <w:left w:val="single" w:color="auto" w:sz="4" w:space="0"/>
              <w:bottom w:val="single" w:color="000000" w:sz="4" w:space="0"/>
              <w:right w:val="single" w:color="000000" w:sz="4" w:space="0"/>
            </w:tcBorders>
            <w:vAlign w:val="center"/>
          </w:tcPr>
          <w:p w14:paraId="61EFB0AC">
            <w:pPr>
              <w:jc w:val="center"/>
              <w:rPr>
                <w:szCs w:val="21"/>
              </w:rPr>
            </w:pPr>
            <w:r>
              <w:rPr>
                <w:szCs w:val="21"/>
              </w:rPr>
              <w:t>7.66</w:t>
            </w:r>
          </w:p>
        </w:tc>
        <w:tc>
          <w:tcPr>
            <w:tcW w:w="1843" w:type="pct"/>
            <w:tcBorders>
              <w:top w:val="single" w:color="000000" w:sz="4" w:space="0"/>
              <w:left w:val="nil"/>
              <w:bottom w:val="single" w:color="000000" w:sz="4" w:space="0"/>
              <w:right w:val="single" w:color="000000" w:sz="4" w:space="0"/>
            </w:tcBorders>
            <w:vAlign w:val="center"/>
          </w:tcPr>
          <w:p w14:paraId="43599B43">
            <w:pPr>
              <w:jc w:val="center"/>
              <w:rPr>
                <w:szCs w:val="21"/>
              </w:rPr>
            </w:pPr>
            <w:r>
              <w:rPr>
                <w:rFonts w:hint="eastAsia"/>
                <w:szCs w:val="21"/>
              </w:rPr>
              <w:t>1</w:t>
            </w:r>
            <w:r>
              <w:rPr>
                <w:szCs w:val="21"/>
              </w:rPr>
              <w:t>.2</w:t>
            </w:r>
          </w:p>
        </w:tc>
      </w:tr>
      <w:tr w14:paraId="77D713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845" w:type="pct"/>
            <w:tcBorders>
              <w:top w:val="single" w:color="auto" w:sz="4" w:space="0"/>
              <w:left w:val="single" w:color="auto" w:sz="4" w:space="0"/>
              <w:bottom w:val="single" w:color="auto" w:sz="4" w:space="0"/>
              <w:right w:val="single" w:color="auto" w:sz="4" w:space="0"/>
            </w:tcBorders>
            <w:vAlign w:val="center"/>
          </w:tcPr>
          <w:p w14:paraId="465E7605">
            <w:pPr>
              <w:jc w:val="center"/>
              <w:rPr>
                <w:szCs w:val="21"/>
              </w:rPr>
            </w:pPr>
            <w:r>
              <w:rPr>
                <w:rFonts w:hint="eastAsia"/>
                <w:szCs w:val="21"/>
              </w:rPr>
              <w:t>均值</w:t>
            </w:r>
          </w:p>
        </w:tc>
        <w:tc>
          <w:tcPr>
            <w:tcW w:w="2312" w:type="pct"/>
            <w:tcBorders>
              <w:top w:val="single" w:color="000000" w:sz="4" w:space="0"/>
              <w:left w:val="single" w:color="auto" w:sz="4" w:space="0"/>
              <w:bottom w:val="single" w:color="000000" w:sz="4" w:space="0"/>
              <w:right w:val="single" w:color="000000" w:sz="4" w:space="0"/>
            </w:tcBorders>
            <w:vAlign w:val="center"/>
          </w:tcPr>
          <w:p w14:paraId="30E28B23">
            <w:pPr>
              <w:jc w:val="center"/>
              <w:rPr>
                <w:szCs w:val="21"/>
              </w:rPr>
            </w:pPr>
            <w:r>
              <w:rPr>
                <w:szCs w:val="21"/>
              </w:rPr>
              <w:t>7.73</w:t>
            </w:r>
          </w:p>
        </w:tc>
        <w:tc>
          <w:tcPr>
            <w:tcW w:w="1843" w:type="pct"/>
            <w:tcBorders>
              <w:top w:val="single" w:color="000000" w:sz="4" w:space="0"/>
              <w:left w:val="nil"/>
              <w:bottom w:val="single" w:color="000000" w:sz="4" w:space="0"/>
              <w:right w:val="single" w:color="000000" w:sz="4" w:space="0"/>
            </w:tcBorders>
            <w:vAlign w:val="center"/>
          </w:tcPr>
          <w:p w14:paraId="7E009813">
            <w:pPr>
              <w:jc w:val="center"/>
              <w:rPr>
                <w:szCs w:val="21"/>
              </w:rPr>
            </w:pPr>
            <w:r>
              <w:rPr>
                <w:szCs w:val="21"/>
              </w:rPr>
              <w:t>1.35</w:t>
            </w:r>
          </w:p>
        </w:tc>
      </w:tr>
      <w:tr w14:paraId="230E70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845" w:type="pct"/>
            <w:tcBorders>
              <w:top w:val="single" w:color="auto" w:sz="4" w:space="0"/>
              <w:left w:val="single" w:color="auto" w:sz="4" w:space="0"/>
              <w:bottom w:val="single" w:color="auto" w:sz="4" w:space="0"/>
              <w:right w:val="single" w:color="auto" w:sz="4" w:space="0"/>
            </w:tcBorders>
            <w:vAlign w:val="center"/>
          </w:tcPr>
          <w:p w14:paraId="28F29694">
            <w:pPr>
              <w:jc w:val="center"/>
              <w:rPr>
                <w:szCs w:val="21"/>
              </w:rPr>
            </w:pPr>
            <w:r>
              <w:rPr>
                <w:rFonts w:hint="eastAsia"/>
                <w:szCs w:val="21"/>
              </w:rPr>
              <w:t>现状</w:t>
            </w:r>
            <w:r>
              <w:rPr>
                <w:szCs w:val="21"/>
              </w:rPr>
              <w:t>评价结论</w:t>
            </w:r>
          </w:p>
        </w:tc>
        <w:tc>
          <w:tcPr>
            <w:tcW w:w="2312" w:type="pct"/>
            <w:tcBorders>
              <w:top w:val="single" w:color="000000" w:sz="4" w:space="0"/>
              <w:left w:val="single" w:color="auto" w:sz="4" w:space="0"/>
              <w:bottom w:val="single" w:color="000000" w:sz="4" w:space="0"/>
              <w:right w:val="single" w:color="000000" w:sz="4" w:space="0"/>
            </w:tcBorders>
            <w:vAlign w:val="center"/>
          </w:tcPr>
          <w:p w14:paraId="7D8773C5">
            <w:pPr>
              <w:jc w:val="center"/>
              <w:rPr>
                <w:szCs w:val="21"/>
              </w:rPr>
            </w:pPr>
            <w:r>
              <w:rPr>
                <w:rFonts w:hint="eastAsia"/>
                <w:szCs w:val="21"/>
              </w:rPr>
              <w:t>无</w:t>
            </w:r>
            <w:r>
              <w:rPr>
                <w:szCs w:val="21"/>
              </w:rPr>
              <w:t>酸化或</w:t>
            </w:r>
            <w:r>
              <w:rPr>
                <w:rFonts w:hint="eastAsia"/>
                <w:szCs w:val="21"/>
              </w:rPr>
              <w:t>碱化</w:t>
            </w:r>
            <w:r>
              <w:rPr>
                <w:szCs w:val="21"/>
              </w:rPr>
              <w:t>（5.5</w:t>
            </w:r>
            <w:r>
              <w:rPr>
                <w:rFonts w:hint="eastAsia"/>
                <w:szCs w:val="21"/>
              </w:rPr>
              <w:t>≤</w:t>
            </w:r>
            <w:r>
              <w:rPr>
                <w:szCs w:val="21"/>
              </w:rPr>
              <w:t>pH</w:t>
            </w:r>
            <w:r>
              <w:rPr>
                <w:rFonts w:hint="eastAsia"/>
                <w:szCs w:val="21"/>
              </w:rPr>
              <w:t>＜</w:t>
            </w:r>
            <w:r>
              <w:rPr>
                <w:szCs w:val="21"/>
              </w:rPr>
              <w:t>8.5）</w:t>
            </w:r>
          </w:p>
        </w:tc>
        <w:tc>
          <w:tcPr>
            <w:tcW w:w="1843" w:type="pct"/>
            <w:tcBorders>
              <w:top w:val="single" w:color="000000" w:sz="4" w:space="0"/>
              <w:left w:val="nil"/>
              <w:bottom w:val="single" w:color="000000" w:sz="4" w:space="0"/>
              <w:right w:val="single" w:color="000000" w:sz="4" w:space="0"/>
            </w:tcBorders>
            <w:vAlign w:val="center"/>
          </w:tcPr>
          <w:p w14:paraId="50713BC2">
            <w:pPr>
              <w:jc w:val="center"/>
              <w:rPr>
                <w:szCs w:val="21"/>
              </w:rPr>
            </w:pPr>
            <w:r>
              <w:rPr>
                <w:rFonts w:hint="eastAsia"/>
                <w:szCs w:val="21"/>
              </w:rPr>
              <w:t>轻度盐化（1≤SSC＜2）</w:t>
            </w:r>
          </w:p>
        </w:tc>
      </w:tr>
    </w:tbl>
    <w:p w14:paraId="7F3C6B63">
      <w:pPr>
        <w:pStyle w:val="85"/>
        <w:ind w:firstLine="480"/>
        <w:rPr>
          <w:kern w:val="0"/>
        </w:rPr>
      </w:pPr>
      <w:r>
        <w:t>由</w:t>
      </w:r>
      <w:r>
        <w:rPr>
          <w:rFonts w:hint="eastAsia"/>
        </w:rPr>
        <w:t>上表</w:t>
      </w:r>
      <w:r>
        <w:t>分析可知，</w:t>
      </w:r>
      <w:r>
        <w:rPr>
          <w:rFonts w:hint="eastAsia"/>
        </w:rPr>
        <w:t>本次</w:t>
      </w:r>
      <w:r>
        <w:t>土壤监测</w:t>
      </w:r>
      <w:r>
        <w:rPr>
          <w:rFonts w:hint="eastAsia"/>
        </w:rPr>
        <w:t>各</w:t>
      </w:r>
      <w:r>
        <w:t>监测点pH值范围为7.66~7.82</w:t>
      </w:r>
      <w:r>
        <w:rPr>
          <w:rFonts w:hint="eastAsia"/>
        </w:rPr>
        <w:t>，按照《环境影响评价技术导则</w:t>
      </w:r>
      <w:r>
        <w:t>－</w:t>
      </w:r>
      <w:r>
        <w:rPr>
          <w:rFonts w:hint="eastAsia"/>
        </w:rPr>
        <w:t>土壤环境（试行）》(HJ964-2018)</w:t>
      </w:r>
      <w:r>
        <w:t>7.5.3.2</w:t>
      </w:r>
      <w:r>
        <w:rPr>
          <w:rFonts w:hint="eastAsia"/>
        </w:rPr>
        <w:t>之规定</w:t>
      </w:r>
      <w:r>
        <w:t>，</w:t>
      </w:r>
      <w:r>
        <w:rPr>
          <w:rFonts w:hint="eastAsia"/>
        </w:rPr>
        <w:t>应评价</w:t>
      </w:r>
      <w:r>
        <w:t>均值对应的</w:t>
      </w:r>
      <w:r>
        <w:rPr>
          <w:rFonts w:hint="eastAsia"/>
        </w:rPr>
        <w:t>级别，其均值</w:t>
      </w:r>
      <w:r>
        <w:t>为7.73</w:t>
      </w:r>
      <w:r>
        <w:rPr>
          <w:rFonts w:hint="eastAsia"/>
        </w:rPr>
        <w:t>，区域</w:t>
      </w:r>
      <w:r>
        <w:t>土壤</w:t>
      </w:r>
      <w:r>
        <w:rPr>
          <w:rFonts w:hint="eastAsia"/>
        </w:rPr>
        <w:t>酸化</w:t>
      </w:r>
      <w:r>
        <w:t>、碱化分级为：</w:t>
      </w:r>
      <w:r>
        <w:rPr>
          <w:rFonts w:hint="eastAsia"/>
        </w:rPr>
        <w:t>无酸化或碱化（5.5≤pH＜8.5）。区域</w:t>
      </w:r>
      <w:r>
        <w:t>土壤</w:t>
      </w:r>
      <w:r>
        <w:rPr>
          <w:rFonts w:hint="eastAsia"/>
        </w:rPr>
        <w:t>含盐量</w:t>
      </w:r>
      <w:r>
        <w:t>为1.2~1.6g/kg</w:t>
      </w:r>
      <w:r>
        <w:rPr>
          <w:rFonts w:hint="eastAsia"/>
        </w:rPr>
        <w:t>，按照《环境影响评价技术导则</w:t>
      </w:r>
      <w:r>
        <w:t>－</w:t>
      </w:r>
      <w:r>
        <w:rPr>
          <w:rFonts w:hint="eastAsia"/>
        </w:rPr>
        <w:t>土壤环境（试行）》(HJ964-2018)</w:t>
      </w:r>
      <w:r>
        <w:t>7.5.3.2</w:t>
      </w:r>
      <w:r>
        <w:rPr>
          <w:rFonts w:hint="eastAsia"/>
        </w:rPr>
        <w:t>之规定</w:t>
      </w:r>
      <w:r>
        <w:t>，</w:t>
      </w:r>
      <w:r>
        <w:rPr>
          <w:rFonts w:hint="eastAsia"/>
        </w:rPr>
        <w:t>应评价</w:t>
      </w:r>
      <w:r>
        <w:t>均值对应的</w:t>
      </w:r>
      <w:r>
        <w:rPr>
          <w:rFonts w:hint="eastAsia"/>
        </w:rPr>
        <w:t>级别，其均值</w:t>
      </w:r>
      <w:r>
        <w:t>为1.37</w:t>
      </w:r>
      <w:r>
        <w:rPr>
          <w:rFonts w:hint="eastAsia"/>
        </w:rPr>
        <w:t>，</w:t>
      </w:r>
      <w:r>
        <w:t>区域</w:t>
      </w:r>
      <w:r>
        <w:rPr>
          <w:rFonts w:hint="eastAsia"/>
        </w:rPr>
        <w:t>土壤</w:t>
      </w:r>
      <w:r>
        <w:t>盐化分级为：</w:t>
      </w:r>
      <w:bookmarkStart w:id="111" w:name="OLE_LINK30"/>
      <w:r>
        <w:rPr>
          <w:rFonts w:hint="eastAsia"/>
        </w:rPr>
        <w:t>轻度</w:t>
      </w:r>
      <w:r>
        <w:t>盐化</w:t>
      </w:r>
      <w:r>
        <w:rPr>
          <w:rFonts w:hint="eastAsia"/>
        </w:rPr>
        <w:t>（1≤SSC＜</w:t>
      </w:r>
      <w:r>
        <w:t>2</w:t>
      </w:r>
      <w:r>
        <w:rPr>
          <w:rFonts w:hint="eastAsia"/>
        </w:rPr>
        <w:t>）</w:t>
      </w:r>
      <w:bookmarkEnd w:id="111"/>
      <w:r>
        <w:rPr>
          <w:rFonts w:hint="eastAsia"/>
        </w:rPr>
        <w:t>。</w:t>
      </w:r>
    </w:p>
    <w:p w14:paraId="2AC81614">
      <w:pPr>
        <w:pStyle w:val="3"/>
        <w:rPr>
          <w:kern w:val="0"/>
        </w:rPr>
      </w:pPr>
      <w:bookmarkStart w:id="112" w:name="_Toc198733162"/>
      <w:r>
        <w:rPr>
          <w:rFonts w:hint="eastAsia"/>
          <w:kern w:val="0"/>
        </w:rPr>
        <w:t>生态</w:t>
      </w:r>
      <w:r>
        <w:rPr>
          <w:kern w:val="0"/>
        </w:rPr>
        <w:t>环境现状调查与评价</w:t>
      </w:r>
      <w:bookmarkEnd w:id="112"/>
    </w:p>
    <w:p w14:paraId="497C66C9">
      <w:pPr>
        <w:pStyle w:val="4"/>
      </w:pPr>
      <w:r>
        <w:rPr>
          <w:rFonts w:hint="eastAsia"/>
        </w:rPr>
        <w:t>生态</w:t>
      </w:r>
      <w:r>
        <w:t>功能定位</w:t>
      </w:r>
    </w:p>
    <w:p w14:paraId="447FFB3F">
      <w:pPr>
        <w:pStyle w:val="85"/>
        <w:ind w:firstLine="480"/>
        <w:rPr>
          <w:kern w:val="0"/>
        </w:rPr>
      </w:pPr>
      <w:r>
        <w:rPr>
          <w:rFonts w:hint="eastAsia"/>
          <w:kern w:val="0"/>
        </w:rPr>
        <w:t>（1）《全国生态功能区划》（2015年）</w:t>
      </w:r>
    </w:p>
    <w:p w14:paraId="7CD66BA3">
      <w:pPr>
        <w:pStyle w:val="85"/>
        <w:ind w:firstLine="480"/>
        <w:rPr>
          <w:kern w:val="0"/>
        </w:rPr>
      </w:pPr>
      <w:r>
        <w:rPr>
          <w:rFonts w:hint="eastAsia"/>
          <w:kern w:val="0"/>
        </w:rPr>
        <w:t>项目所在地区属于《全国生态功能区划》（2015年）中的京津冀北部水源涵养重要区（编号I-01-06）。</w:t>
      </w:r>
    </w:p>
    <w:p w14:paraId="48EC3E8E">
      <w:pPr>
        <w:pStyle w:val="85"/>
        <w:ind w:firstLine="480"/>
        <w:rPr>
          <w:kern w:val="0"/>
        </w:rPr>
      </w:pPr>
      <w:r>
        <w:rPr>
          <w:rFonts w:hint="eastAsia"/>
          <w:kern w:val="0"/>
        </w:rPr>
        <w:t>该区包括密云水库、官厅水库、于桥水库、潘家口水库等北京市、天津市重要水源地的涵养区，以及滦河、潮河上游源头。包含1个功能区：京津冀北部水源涵养功能区，行政区主要涉及北京市密云、延庆、怀柔、昌平、平谷，天津市蓟县，河北省承德、张家口、秦皇岛、唐山，面积为51129平方公里。该区植被类型主要为温带落叶阔叶林，天然林主要分布在海拔600～700米的山区，树种主要有栎类、山杨、桦树和椴树等。</w:t>
      </w:r>
    </w:p>
    <w:p w14:paraId="2A28AE9F">
      <w:pPr>
        <w:pStyle w:val="85"/>
        <w:ind w:firstLine="480"/>
        <w:rPr>
          <w:kern w:val="0"/>
        </w:rPr>
      </w:pPr>
      <w:r>
        <w:rPr>
          <w:rFonts w:hint="eastAsia"/>
          <w:kern w:val="0"/>
        </w:rPr>
        <w:t>该功能区主要生态问题：水资源过度开发，环境污染加剧；森林生态系统质量低，水源涵养功能与土壤保持功能弱，水土流失和水库泥沙淤积比较严重；水库周边地区人口较密集，农业生产及养殖业等面源污染问题比较突出；地质灾害敏感程度高，泥石流和滑坡时有发生。</w:t>
      </w:r>
    </w:p>
    <w:p w14:paraId="75BFC5DA">
      <w:pPr>
        <w:pStyle w:val="85"/>
        <w:ind w:firstLine="480"/>
        <w:rPr>
          <w:kern w:val="0"/>
        </w:rPr>
      </w:pPr>
      <w:r>
        <w:rPr>
          <w:rFonts w:hint="eastAsia"/>
          <w:kern w:val="0"/>
        </w:rPr>
        <w:t>该功能区生态保护主要措施：加强流域森林、草地生态系统保护的力度，坚持自然恢复，提高生态系统水源涵养与土壤保持功能；加强水源水库主要集水区的生态保护与恢复，控制面源污染；上游地区加快产业结构的调整，加强污染企业的关停力度，大力发展低耗水产业。</w:t>
      </w:r>
    </w:p>
    <w:p w14:paraId="59162FF5">
      <w:pPr>
        <w:pStyle w:val="85"/>
        <w:ind w:firstLine="480"/>
        <w:rPr>
          <w:kern w:val="0"/>
        </w:rPr>
      </w:pPr>
      <w:r>
        <w:rPr>
          <w:rFonts w:hint="eastAsia"/>
          <w:kern w:val="0"/>
        </w:rPr>
        <w:t>（2）《河北省生态功能区规划》</w:t>
      </w:r>
    </w:p>
    <w:p w14:paraId="433ABC45">
      <w:pPr>
        <w:pStyle w:val="85"/>
        <w:ind w:firstLine="480"/>
        <w:rPr>
          <w:kern w:val="0"/>
        </w:rPr>
      </w:pPr>
      <w:r>
        <w:rPr>
          <w:rFonts w:hint="eastAsia"/>
          <w:kern w:val="0"/>
        </w:rPr>
        <w:t>项目所在地区属于《河北省生态功能区规划》中的</w:t>
      </w:r>
      <w:r>
        <w:rPr>
          <w:kern w:val="0"/>
        </w:rPr>
        <w:t>燕山山地中部生物多样性、水资源保护服务</w:t>
      </w:r>
      <w:r>
        <w:rPr>
          <w:rFonts w:hint="eastAsia"/>
          <w:kern w:val="0"/>
        </w:rPr>
        <w:t>生态功能区（编号Ⅱ1-2）。</w:t>
      </w:r>
    </w:p>
    <w:p w14:paraId="3F557CFB">
      <w:pPr>
        <w:pStyle w:val="85"/>
        <w:ind w:firstLine="480"/>
        <w:rPr>
          <w:kern w:val="0"/>
        </w:rPr>
      </w:pPr>
      <w:r>
        <w:rPr>
          <w:rFonts w:hint="eastAsia"/>
          <w:kern w:val="0"/>
        </w:rPr>
        <w:t>①自然概况</w:t>
      </w:r>
    </w:p>
    <w:p w14:paraId="4DA881D3">
      <w:pPr>
        <w:pStyle w:val="85"/>
        <w:ind w:firstLine="480"/>
        <w:rPr>
          <w:kern w:val="0"/>
        </w:rPr>
      </w:pPr>
      <w:r>
        <w:rPr>
          <w:rFonts w:hint="eastAsia"/>
          <w:kern w:val="0"/>
        </w:rPr>
        <w:t>该生态功能区位于本亚区北部，北接坝上高原生态区，南邻燕山山地中部生物多样性、水资源保护服务功能区。行政区划包括丰宁东部，隆化北部，围场南部，面积为10030.3km</w:t>
      </w:r>
      <w:r>
        <w:rPr>
          <w:rFonts w:hint="eastAsia"/>
          <w:kern w:val="0"/>
          <w:vertAlign w:val="superscript"/>
        </w:rPr>
        <w:t>2</w:t>
      </w:r>
      <w:r>
        <w:rPr>
          <w:rFonts w:hint="eastAsia"/>
          <w:kern w:val="0"/>
        </w:rPr>
        <w:t>。</w:t>
      </w:r>
    </w:p>
    <w:p w14:paraId="548950EB">
      <w:pPr>
        <w:pStyle w:val="85"/>
        <w:ind w:firstLine="480"/>
        <w:rPr>
          <w:kern w:val="0"/>
        </w:rPr>
      </w:pPr>
      <w:r>
        <w:rPr>
          <w:rFonts w:hint="eastAsia"/>
          <w:kern w:val="0"/>
        </w:rPr>
        <w:t>本区地貌类型以中山为主，平均海拔1000米左右，有的超过2000米，如云雾山等。河谷地带海拔500-800米。地形由西北向东南倾斜。地表比较破碎，山场面积大，耕地面积小，多分布在河川谷地中。素有“八山一水一分田”之说。岩性以燕山期火山岩为主，有部分的变质岩。本区属中温带半干旱气候，光照充足，气温日较差大，年日照时数2700-2850小时，年平均气温日较差12-15℃。本区地势较高，山峦密集，气候寒冷，年平均气温3-7℃，极端最低气温可达到-35℃，无霜冻霜100-130天，年平均降水量420-490mm。气象灾害主要是冰雹、霜冻和秋旱。</w:t>
      </w:r>
    </w:p>
    <w:p w14:paraId="32F23C56">
      <w:pPr>
        <w:pStyle w:val="85"/>
        <w:ind w:firstLine="480"/>
        <w:rPr>
          <w:kern w:val="0"/>
        </w:rPr>
      </w:pPr>
      <w:r>
        <w:rPr>
          <w:rFonts w:hint="eastAsia"/>
          <w:kern w:val="0"/>
        </w:rPr>
        <w:t>本区是潮白河、滦河、辽河三大水系水源地，有滦河上游自然保护区的一部分，是重要的水源涵养区。本生态功能区以森林生态系统为主，植被类型属落叶阔叶林温性针叶林区，主要树种以白桦、山杨林占优势，其它有辽东栎、蒙古栎、栓皮栎、槲栎、华北落叶松、油松等。在低山区，以荆条、酸枣、白羊草、黄背草等灌草丛为主。</w:t>
      </w:r>
    </w:p>
    <w:p w14:paraId="1201777A">
      <w:pPr>
        <w:pStyle w:val="85"/>
        <w:ind w:firstLine="480"/>
        <w:rPr>
          <w:kern w:val="0"/>
        </w:rPr>
      </w:pPr>
      <w:r>
        <w:rPr>
          <w:rFonts w:hint="eastAsia"/>
          <w:kern w:val="0"/>
        </w:rPr>
        <w:t>本区土壤以半干旱山地棕壤、淋溶褐土为主以中温作物一年一熟为主，部分各地有两年三熟。适于种植春播低温作物，如春小麦、莜麦、马铃薯、油菜、豆类等。亦可种植玉米、谷子，个别河谷地有水稻种植。本区以裂隙水为主，水量较小，而河谷冲积层富水性强，水量较大，水质好，适于灌溉。</w:t>
      </w:r>
    </w:p>
    <w:p w14:paraId="5D513AB1">
      <w:pPr>
        <w:pStyle w:val="85"/>
        <w:ind w:firstLine="480"/>
        <w:rPr>
          <w:kern w:val="0"/>
        </w:rPr>
      </w:pPr>
      <w:r>
        <w:rPr>
          <w:rFonts w:hint="eastAsia"/>
          <w:kern w:val="0"/>
        </w:rPr>
        <w:t>总的看来，本区气温低，山地多，适于林草生长，山地土壤多呈酸性或中性反应，适宜种植华北落叶松、油松、杉木、白桦、杨树等，坡地可种牧草或绿肥。在谷地和土层厚的坡地可种花椒、板栗、黑枣、榛子和其它水果，重点发展林牧业，以促进农业发展。本区是极重要的水源涵养区和重要的水土保持区。</w:t>
      </w:r>
    </w:p>
    <w:p w14:paraId="10457B0F">
      <w:pPr>
        <w:pStyle w:val="85"/>
        <w:ind w:firstLine="480"/>
        <w:rPr>
          <w:kern w:val="0"/>
        </w:rPr>
      </w:pPr>
      <w:r>
        <w:rPr>
          <w:rFonts w:hint="eastAsia"/>
          <w:kern w:val="0"/>
        </w:rPr>
        <w:t>②生态问题</w:t>
      </w:r>
    </w:p>
    <w:p w14:paraId="548EB15C">
      <w:pPr>
        <w:pStyle w:val="85"/>
        <w:ind w:firstLine="480"/>
        <w:rPr>
          <w:kern w:val="0"/>
        </w:rPr>
      </w:pPr>
      <w:r>
        <w:rPr>
          <w:rFonts w:hint="eastAsia"/>
          <w:kern w:val="0"/>
        </w:rPr>
        <w:t>主要生态环境问题：（1）陡坡种植，监砍滥伐，过渡放牧，造成天然植被破坏比较严重，水土流失日趋严重，土壤肥力下降；（2）以人工次生林为主的森林，林相单一，森林生态功能较弱；（3）低温冷害严重，秋旱频率高，农业生产能力弱。</w:t>
      </w:r>
    </w:p>
    <w:p w14:paraId="0136F822">
      <w:pPr>
        <w:pStyle w:val="85"/>
        <w:ind w:firstLine="480"/>
        <w:rPr>
          <w:kern w:val="0"/>
        </w:rPr>
      </w:pPr>
      <w:r>
        <w:rPr>
          <w:rFonts w:hint="eastAsia"/>
          <w:kern w:val="0"/>
        </w:rPr>
        <w:t>③保护目标</w:t>
      </w:r>
    </w:p>
    <w:p w14:paraId="34D9DE6F">
      <w:pPr>
        <w:pStyle w:val="85"/>
        <w:ind w:firstLine="480"/>
        <w:rPr>
          <w:kern w:val="0"/>
        </w:rPr>
      </w:pPr>
      <w:r>
        <w:rPr>
          <w:rFonts w:hint="eastAsia"/>
          <w:kern w:val="0"/>
        </w:rPr>
        <w:t>本生态功能区在水源涵养、水土流失控制方面非常重要。重点抓好滦河、辽河、潮白河三大水系水源涵养林建设，加强滦河上游自然保护区建设，保护好现有植被。通过人工造林、封山育林相结合，恢复退化的森林草原生态系统，维护生物多样性。加强水土流失重点区域治理。</w:t>
      </w:r>
    </w:p>
    <w:p w14:paraId="25371701">
      <w:pPr>
        <w:pStyle w:val="85"/>
        <w:ind w:firstLine="480"/>
        <w:rPr>
          <w:kern w:val="0"/>
        </w:rPr>
      </w:pPr>
      <w:r>
        <w:rPr>
          <w:rFonts w:hint="eastAsia"/>
          <w:kern w:val="0"/>
        </w:rPr>
        <w:t>④保护措施和发展方向</w:t>
      </w:r>
    </w:p>
    <w:p w14:paraId="4D7A35B3">
      <w:pPr>
        <w:pStyle w:val="85"/>
        <w:ind w:firstLine="480"/>
        <w:rPr>
          <w:kern w:val="0"/>
        </w:rPr>
      </w:pPr>
      <w:r>
        <w:rPr>
          <w:rFonts w:hint="eastAsia"/>
          <w:kern w:val="0"/>
        </w:rPr>
        <w:t>生物措施和工程措施相结合，大力营造水保林、防护林，退耕还林还草，防止新的水土流失区出现。适度开发生态旅游，发展生态农业，开展生态扶贫，减轻自然环境的压力。</w:t>
      </w:r>
    </w:p>
    <w:p w14:paraId="646AFC4A">
      <w:pPr>
        <w:pStyle w:val="85"/>
        <w:ind w:firstLine="480"/>
        <w:rPr>
          <w:kern w:val="0"/>
        </w:rPr>
      </w:pPr>
      <w:r>
        <w:rPr>
          <w:rFonts w:hint="eastAsia"/>
          <w:kern w:val="0"/>
        </w:rPr>
        <w:t>（3）《承德市生态功能区划》</w:t>
      </w:r>
    </w:p>
    <w:p w14:paraId="775D8662">
      <w:pPr>
        <w:pStyle w:val="85"/>
        <w:ind w:firstLine="480"/>
        <w:rPr>
          <w:kern w:val="0"/>
        </w:rPr>
      </w:pPr>
      <w:r>
        <w:rPr>
          <w:rFonts w:hint="eastAsia"/>
          <w:kern w:val="0"/>
        </w:rPr>
        <w:t>项目所在地区</w:t>
      </w:r>
      <w:bookmarkStart w:id="113" w:name="_Hlk196894608"/>
      <w:r>
        <w:rPr>
          <w:rFonts w:hint="eastAsia"/>
          <w:kern w:val="0"/>
        </w:rPr>
        <w:t>属于《承德市生态功能区划》中的冀北及燕山山地生态区-冀北山地森林生态亚区-潮河流域水源涵养、水资源保护功能区</w:t>
      </w:r>
      <w:bookmarkEnd w:id="113"/>
      <w:r>
        <w:rPr>
          <w:rFonts w:hint="eastAsia"/>
          <w:kern w:val="0"/>
        </w:rPr>
        <w:t>。</w:t>
      </w:r>
    </w:p>
    <w:p w14:paraId="59F96632">
      <w:pPr>
        <w:pStyle w:val="85"/>
        <w:ind w:firstLine="480"/>
        <w:rPr>
          <w:kern w:val="0"/>
        </w:rPr>
      </w:pPr>
      <w:r>
        <w:rPr>
          <w:rFonts w:hint="eastAsia"/>
          <w:kern w:val="0"/>
        </w:rPr>
        <w:t>该生态功能基本情况如下：</w:t>
      </w:r>
    </w:p>
    <w:p w14:paraId="4FD26B19">
      <w:pPr>
        <w:pStyle w:val="85"/>
        <w:ind w:firstLine="480"/>
        <w:rPr>
          <w:kern w:val="0"/>
        </w:rPr>
      </w:pPr>
      <w:r>
        <w:rPr>
          <w:rFonts w:hint="eastAsia"/>
          <w:kern w:val="0"/>
        </w:rPr>
        <w:t>位置及范围：本生态功能区位于本亚区西南部，行政范围包括丰宁县的大阁镇、黄旗镇、小坝子乡、土城镇、南关乡、窟窿山乡、五道营乡、汤和乡、黑山嘴乡、天桥镇、石沟乡、胡麻营乡、黑水栅子乡13个乡镇；滦平的安纯沟门乡、虎什哈镇、平坊乡、火斗山乡、马营子乡、巴克什营镇、涝洼乡、两间房乡、付家店乡、五道营子、邓厂乡11个乡镇，总面积5576.26平方千米。</w:t>
      </w:r>
    </w:p>
    <w:p w14:paraId="56637D3D">
      <w:pPr>
        <w:pStyle w:val="85"/>
        <w:ind w:firstLine="480"/>
        <w:rPr>
          <w:kern w:val="0"/>
        </w:rPr>
      </w:pPr>
      <w:r>
        <w:rPr>
          <w:rFonts w:hint="eastAsia"/>
          <w:kern w:val="0"/>
        </w:rPr>
        <w:t>主要生态问题：生态系统结构单一，生态功能衰退；森林资源过度开发、天然草原过度放牧等导致植被破坏，北部部分区域沙漠化和土壤侵蚀现象严重，水土流失严重。</w:t>
      </w:r>
    </w:p>
    <w:p w14:paraId="41C88139">
      <w:pPr>
        <w:pStyle w:val="85"/>
        <w:ind w:firstLine="480"/>
        <w:rPr>
          <w:kern w:val="0"/>
        </w:rPr>
      </w:pPr>
      <w:r>
        <w:rPr>
          <w:rFonts w:hint="eastAsia"/>
          <w:kern w:val="0"/>
        </w:rPr>
        <w:t>主要生态服务功能：涵养水源、水资源保护、水土流失防治。</w:t>
      </w:r>
    </w:p>
    <w:p w14:paraId="44124F68">
      <w:pPr>
        <w:pStyle w:val="85"/>
        <w:ind w:firstLine="480"/>
        <w:rPr>
          <w:kern w:val="0"/>
        </w:rPr>
      </w:pPr>
      <w:r>
        <w:rPr>
          <w:rFonts w:hint="eastAsia"/>
          <w:kern w:val="0"/>
        </w:rPr>
        <w:t>建设方向及保护措施：保护现有天然林，保护河流源头水源涵养林，营造防护林网；通过人工造林、封山育林相结合，恢复退化的森林生态系统；加强云雾山、白云古洞森林公园的保护与建设；限制或禁止各种不利于保护生态系统水源涵养功能的经济社会活动和生产方式，如过度放牧、无序采矿、毁林开荒、开垦草地等；积极推进防沙治沙，做好水土流失综合防治工作，保证下游密云水库供水；积极做好矿山环境恢复工作，坚持开发与保护并举，坚持“事前预防，事中治理，事后恢复”，在河沟、河谷地带进行坡面工程；充分发挥水土保持工程蓄水、灌溉、拦沙、防洪等多功能的作用；控制生产和生活污水排放，保护河流水质，提高植被覆盖率和水源涵养能力。</w:t>
      </w:r>
    </w:p>
    <w:p w14:paraId="0D7D319C">
      <w:pPr>
        <w:pStyle w:val="4"/>
        <w:rPr>
          <w:kern w:val="0"/>
        </w:rPr>
      </w:pPr>
      <w:r>
        <w:rPr>
          <w:rFonts w:hint="eastAsia"/>
          <w:kern w:val="0"/>
        </w:rPr>
        <w:t>调查内容和调查方法</w:t>
      </w:r>
    </w:p>
    <w:p w14:paraId="16E4E592">
      <w:pPr>
        <w:pStyle w:val="85"/>
        <w:ind w:firstLine="480"/>
        <w:rPr>
          <w:kern w:val="0"/>
        </w:rPr>
      </w:pPr>
      <w:r>
        <w:rPr>
          <w:rFonts w:hint="eastAsia"/>
          <w:kern w:val="0"/>
        </w:rPr>
        <w:t>接受委托后，项目组织相关专业技术人员对评价区域生态现状进行了调查。依据《环境影响评价技术导则  生态影响》（HJ19-2022），采用资料收集、现场调查、专家和公众咨询、遥感调查等进行调查及分析评价。</w:t>
      </w:r>
    </w:p>
    <w:p w14:paraId="6647D8D8">
      <w:pPr>
        <w:pStyle w:val="5"/>
        <w:rPr>
          <w:kern w:val="0"/>
        </w:rPr>
      </w:pPr>
      <w:r>
        <w:rPr>
          <w:rFonts w:hint="eastAsia"/>
          <w:kern w:val="0"/>
        </w:rPr>
        <w:t>资料</w:t>
      </w:r>
      <w:r>
        <w:rPr>
          <w:kern w:val="0"/>
        </w:rPr>
        <w:t>收集</w:t>
      </w:r>
    </w:p>
    <w:p w14:paraId="6D56C942">
      <w:pPr>
        <w:pStyle w:val="85"/>
        <w:ind w:firstLine="480"/>
        <w:rPr>
          <w:kern w:val="0"/>
        </w:rPr>
      </w:pPr>
      <w:r>
        <w:rPr>
          <w:rFonts w:hint="eastAsia"/>
          <w:kern w:val="0"/>
        </w:rPr>
        <w:t>收集整理评价范围及邻近地区能反映区域生态环境、生物多样性现状的资料，包括自然资源、生态环境、林业和草原、水利、农业及农村、文化和旅游等部门提供的相关资料，并且参考《中国植物志》（1959-2004年）、《中国植被》（1980年）、《中国两栖纲和爬行纲动物校正名录》（赵尔宓，张学文等，2000年）、《中国鸟类分类与分布名录（第三版）》（郑光美，2017年）、《中国哺乳动物种和亚种分类名录与分布大全》（王应祥著，2003年）、《中国鸟类图鉴》（钱燕文，1995年）、《中国脊椎动物大全》（刘明玉，解玉浩等，2000年）、《中国兽类野外手册》（湖南教育出版社，2009年）、《河北高等植物名录》（科学出版社，2</w:t>
      </w:r>
      <w:r>
        <w:rPr>
          <w:kern w:val="0"/>
        </w:rPr>
        <w:t>005</w:t>
      </w:r>
      <w:r>
        <w:rPr>
          <w:rFonts w:hint="eastAsia"/>
          <w:kern w:val="0"/>
        </w:rPr>
        <w:t>年）等。在综合分析现有资料的基础上，确定实地调查的重点区域及路线。</w:t>
      </w:r>
    </w:p>
    <w:p w14:paraId="3573CD4E">
      <w:pPr>
        <w:pStyle w:val="85"/>
        <w:ind w:firstLine="480"/>
        <w:rPr>
          <w:kern w:val="0"/>
        </w:rPr>
      </w:pPr>
      <w:r>
        <w:rPr>
          <w:rFonts w:hint="eastAsia"/>
          <w:kern w:val="0"/>
        </w:rPr>
        <w:t>从涉及评价区域地方相关专业主管部门收集调查流域自然环境、社会经济发展和水生态环境以及渔业发展现状资料，调研评价区域相关研究成果。采取实地踏勘、走访等方式，获取第一手资料。</w:t>
      </w:r>
    </w:p>
    <w:p w14:paraId="36980B91">
      <w:pPr>
        <w:pStyle w:val="5"/>
        <w:rPr>
          <w:kern w:val="0"/>
        </w:rPr>
      </w:pPr>
      <w:r>
        <w:rPr>
          <w:rFonts w:hint="eastAsia"/>
          <w:kern w:val="0"/>
        </w:rPr>
        <w:t>现场</w:t>
      </w:r>
      <w:r>
        <w:rPr>
          <w:kern w:val="0"/>
        </w:rPr>
        <w:t>调查</w:t>
      </w:r>
    </w:p>
    <w:p w14:paraId="0200988A">
      <w:pPr>
        <w:pStyle w:val="85"/>
        <w:ind w:firstLine="480"/>
        <w:rPr>
          <w:kern w:val="0"/>
        </w:rPr>
      </w:pPr>
      <w:r>
        <w:rPr>
          <w:rFonts w:hint="eastAsia"/>
          <w:kern w:val="0"/>
        </w:rPr>
        <w:t>（1）植被调查取样</w:t>
      </w:r>
    </w:p>
    <w:p w14:paraId="6BE897F5">
      <w:pPr>
        <w:pStyle w:val="85"/>
        <w:ind w:firstLine="480"/>
        <w:rPr>
          <w:kern w:val="0"/>
        </w:rPr>
      </w:pPr>
      <w:r>
        <w:rPr>
          <w:rFonts w:hint="eastAsia"/>
          <w:kern w:val="0"/>
        </w:rPr>
        <w:t>根据室内遥感卫片判读的植被与土地利用类型初图，现场核实判读的正误率，并对每个取样点作如下记录：</w:t>
      </w:r>
    </w:p>
    <w:p w14:paraId="551A8A31">
      <w:pPr>
        <w:pStyle w:val="85"/>
        <w:ind w:firstLine="480"/>
        <w:rPr>
          <w:kern w:val="0"/>
        </w:rPr>
      </w:pPr>
      <w:r>
        <w:rPr>
          <w:rFonts w:hint="eastAsia"/>
          <w:kern w:val="0"/>
        </w:rPr>
        <w:t>①海拔表读出测点的海拔值和经纬度；</w:t>
      </w:r>
    </w:p>
    <w:p w14:paraId="763451D7">
      <w:pPr>
        <w:pStyle w:val="85"/>
        <w:ind w:firstLine="480"/>
        <w:rPr>
          <w:kern w:val="0"/>
        </w:rPr>
      </w:pPr>
      <w:r>
        <w:rPr>
          <w:rFonts w:hint="eastAsia"/>
          <w:kern w:val="0"/>
        </w:rPr>
        <w:t>②记录样点植被类型，以群系为单位，同时记录坡向、坡度、土壤类型等；</w:t>
      </w:r>
    </w:p>
    <w:p w14:paraId="50348F5A">
      <w:pPr>
        <w:pStyle w:val="85"/>
        <w:ind w:firstLine="480"/>
        <w:rPr>
          <w:kern w:val="0"/>
        </w:rPr>
      </w:pPr>
      <w:r>
        <w:rPr>
          <w:rFonts w:hint="eastAsia"/>
          <w:kern w:val="0"/>
        </w:rPr>
        <w:t>③记录样点优势植物以及观察动物的活动的情况；</w:t>
      </w:r>
    </w:p>
    <w:p w14:paraId="0B6C5F6B">
      <w:pPr>
        <w:pStyle w:val="85"/>
        <w:ind w:firstLine="480"/>
        <w:rPr>
          <w:kern w:val="0"/>
        </w:rPr>
      </w:pPr>
      <w:r>
        <w:rPr>
          <w:rFonts w:hint="eastAsia"/>
          <w:kern w:val="0"/>
        </w:rPr>
        <w:t>④拍摄典型植被外貌与结构特征。</w:t>
      </w:r>
    </w:p>
    <w:p w14:paraId="579538AD">
      <w:pPr>
        <w:pStyle w:val="85"/>
        <w:ind w:firstLine="480"/>
        <w:rPr>
          <w:kern w:val="0"/>
        </w:rPr>
      </w:pPr>
      <w:r>
        <w:rPr>
          <w:rFonts w:hint="eastAsia"/>
          <w:kern w:val="0"/>
        </w:rPr>
        <w:t>（2）陆生植被现状调查</w:t>
      </w:r>
    </w:p>
    <w:p w14:paraId="12AC3684">
      <w:pPr>
        <w:pStyle w:val="85"/>
        <w:ind w:firstLine="480"/>
        <w:rPr>
          <w:kern w:val="0"/>
        </w:rPr>
      </w:pPr>
      <w:r>
        <w:rPr>
          <w:rFonts w:hint="eastAsia"/>
          <w:kern w:val="0"/>
        </w:rPr>
        <w:t>在对评价区陆生生物资源历年资料检索分析的基础上，根据调查方案确定调查路线、走向及调查时间，进行现场调查。在调查过程中，确定评价区的植物种类、植被类型、重点保护野生植物、古树名木等。</w:t>
      </w:r>
    </w:p>
    <w:p w14:paraId="73B42E7B">
      <w:pPr>
        <w:pStyle w:val="85"/>
        <w:ind w:firstLine="480"/>
        <w:rPr>
          <w:kern w:val="0"/>
        </w:rPr>
      </w:pPr>
      <w:r>
        <w:rPr>
          <w:rFonts w:hint="eastAsia"/>
          <w:kern w:val="0"/>
        </w:rPr>
        <w:t>实地调查采取样方法，样方设置原则如下：</w:t>
      </w:r>
    </w:p>
    <w:p w14:paraId="62681E4A">
      <w:pPr>
        <w:pStyle w:val="85"/>
        <w:ind w:firstLine="480"/>
        <w:rPr>
          <w:kern w:val="0"/>
        </w:rPr>
      </w:pPr>
      <w:r>
        <w:rPr>
          <w:rFonts w:hint="eastAsia"/>
          <w:kern w:val="0"/>
        </w:rPr>
        <w:t>①尽量在重点工程区及植被发育良好的区域设置样点，并考虑评价区内样方布点的均匀性。</w:t>
      </w:r>
    </w:p>
    <w:p w14:paraId="4F5EF597">
      <w:pPr>
        <w:pStyle w:val="85"/>
        <w:ind w:firstLine="480"/>
        <w:rPr>
          <w:kern w:val="0"/>
        </w:rPr>
      </w:pPr>
      <w:r>
        <w:rPr>
          <w:rFonts w:hint="eastAsia"/>
          <w:kern w:val="0"/>
        </w:rPr>
        <w:t>②所选取样点的群系应为评价区内分布较普遍、较典型的类型，兼顾重点关注保护植物和狭域分布的植被类型。</w:t>
      </w:r>
    </w:p>
    <w:p w14:paraId="0900939A">
      <w:pPr>
        <w:pStyle w:val="85"/>
        <w:ind w:firstLine="480"/>
        <w:rPr>
          <w:kern w:val="0"/>
        </w:rPr>
      </w:pPr>
      <w:r>
        <w:rPr>
          <w:rFonts w:hint="eastAsia"/>
          <w:kern w:val="0"/>
        </w:rPr>
        <w:t>③样点的设置应避免对同一植被及群系进行重复设点。</w:t>
      </w:r>
    </w:p>
    <w:p w14:paraId="762B2414">
      <w:pPr>
        <w:pStyle w:val="85"/>
        <w:ind w:firstLine="480"/>
        <w:rPr>
          <w:kern w:val="0"/>
        </w:rPr>
      </w:pPr>
      <w:r>
        <w:rPr>
          <w:rFonts w:hint="eastAsia"/>
          <w:kern w:val="0"/>
        </w:rPr>
        <w:t>④按植被类型，每个植被类型样方数不少于</w:t>
      </w:r>
      <w:r>
        <w:rPr>
          <w:kern w:val="0"/>
        </w:rPr>
        <w:t>3</w:t>
      </w:r>
      <w:r>
        <w:rPr>
          <w:rFonts w:hint="eastAsia"/>
          <w:kern w:val="0"/>
        </w:rPr>
        <w:t>个，对特别重要的植被及群系内物种变化较大的情况下可增加设点。</w:t>
      </w:r>
    </w:p>
    <w:p w14:paraId="16E1FA5A">
      <w:pPr>
        <w:pStyle w:val="85"/>
        <w:ind w:firstLine="480"/>
        <w:rPr>
          <w:kern w:val="0"/>
        </w:rPr>
      </w:pPr>
      <w:r>
        <w:rPr>
          <w:rFonts w:hint="eastAsia"/>
          <w:kern w:val="0"/>
        </w:rPr>
        <w:t>根据评价范围内群落特点，乔木群落样方大小根据现场情况设置为10m×10m，灌丛样方面积设置为5m×5m，草丛样方面积设置为1m×1m，记录样方内植物种类。按照有代表性和重要性的原则每个典型群系设置</w:t>
      </w:r>
      <w:r>
        <w:rPr>
          <w:kern w:val="0"/>
        </w:rPr>
        <w:t>3</w:t>
      </w:r>
      <w:r>
        <w:rPr>
          <w:rFonts w:hint="eastAsia"/>
          <w:kern w:val="0"/>
        </w:rPr>
        <w:t>个样方，重点调查工程涉及区域的主要植被类型，能反映评价区基本的植被类型特征。</w:t>
      </w:r>
    </w:p>
    <w:p w14:paraId="764E0B02">
      <w:pPr>
        <w:pStyle w:val="85"/>
        <w:ind w:firstLine="480"/>
        <w:rPr>
          <w:kern w:val="0"/>
        </w:rPr>
      </w:pPr>
      <w:r>
        <w:rPr>
          <w:rFonts w:hint="eastAsia"/>
          <w:kern w:val="0"/>
        </w:rPr>
        <w:t>根据对评价区资料分析与现场调查，本项目共涉及蒙古栎林、毛白杨林、油松林、荆条灌丛、芦苇沼泽、杂类草甸</w:t>
      </w:r>
      <w:r>
        <w:rPr>
          <w:kern w:val="0"/>
        </w:rPr>
        <w:t>6</w:t>
      </w:r>
      <w:r>
        <w:rPr>
          <w:rFonts w:hint="eastAsia"/>
          <w:kern w:val="0"/>
        </w:rPr>
        <w:t>种自然植被类型，本次评价共设置1</w:t>
      </w:r>
      <w:r>
        <w:rPr>
          <w:kern w:val="0"/>
        </w:rPr>
        <w:t>8</w:t>
      </w:r>
      <w:r>
        <w:rPr>
          <w:rFonts w:hint="eastAsia"/>
          <w:kern w:val="0"/>
        </w:rPr>
        <w:t>个植物群落调查样方进行调查。</w:t>
      </w:r>
    </w:p>
    <w:p w14:paraId="667AFA52">
      <w:pPr>
        <w:pStyle w:val="85"/>
        <w:ind w:firstLine="480"/>
        <w:rPr>
          <w:kern w:val="0"/>
        </w:rPr>
      </w:pPr>
      <w:r>
        <w:rPr>
          <w:rFonts w:hint="eastAsia"/>
          <w:kern w:val="0"/>
        </w:rPr>
        <w:t>植被调查样方布设情况见下表。</w:t>
      </w:r>
    </w:p>
    <w:p w14:paraId="07002331">
      <w:pPr>
        <w:pStyle w:val="85"/>
        <w:ind w:firstLine="480"/>
        <w:rPr>
          <w:kern w:val="0"/>
        </w:rPr>
      </w:pPr>
    </w:p>
    <w:p w14:paraId="622DB068">
      <w:pPr>
        <w:pStyle w:val="85"/>
        <w:ind w:firstLine="480"/>
        <w:rPr>
          <w:kern w:val="0"/>
        </w:rPr>
      </w:pPr>
    </w:p>
    <w:p w14:paraId="4998884B">
      <w:pPr>
        <w:jc w:val="center"/>
        <w:rPr>
          <w:rFonts w:eastAsia="黑体"/>
          <w:kern w:val="0"/>
          <w:sz w:val="24"/>
          <w:szCs w:val="21"/>
        </w:rPr>
      </w:pPr>
      <w:r>
        <w:rPr>
          <w:kern w:val="0"/>
          <w:sz w:val="24"/>
        </w:rPr>
        <w:t>表</w:t>
      </w:r>
      <w:r>
        <w:rPr>
          <w:kern w:val="0"/>
          <w:sz w:val="24"/>
        </w:rPr>
        <w:fldChar w:fldCharType="begin"/>
      </w:r>
      <w:r>
        <w:rPr>
          <w:kern w:val="0"/>
          <w:sz w:val="24"/>
        </w:rPr>
        <w:instrText xml:space="preserve"> STYLEREF 1 \s </w:instrText>
      </w:r>
      <w:r>
        <w:rPr>
          <w:kern w:val="0"/>
          <w:sz w:val="24"/>
        </w:rPr>
        <w:fldChar w:fldCharType="separate"/>
      </w:r>
      <w:r>
        <w:rPr>
          <w:kern w:val="0"/>
          <w:sz w:val="24"/>
        </w:rPr>
        <w:t>3</w:t>
      </w:r>
      <w:r>
        <w:rPr>
          <w:kern w:val="0"/>
          <w:sz w:val="24"/>
        </w:rPr>
        <w:fldChar w:fldCharType="end"/>
      </w:r>
      <w:r>
        <w:rPr>
          <w:kern w:val="0"/>
          <w:sz w:val="24"/>
        </w:rPr>
        <w:noBreakHyphen/>
      </w:r>
      <w:r>
        <w:rPr>
          <w:kern w:val="0"/>
          <w:sz w:val="24"/>
        </w:rPr>
        <w:fldChar w:fldCharType="begin"/>
      </w:r>
      <w:r>
        <w:rPr>
          <w:kern w:val="0"/>
          <w:sz w:val="24"/>
        </w:rPr>
        <w:instrText xml:space="preserve"> SEQ 表 \* ARABIC \s 1 </w:instrText>
      </w:r>
      <w:r>
        <w:rPr>
          <w:kern w:val="0"/>
          <w:sz w:val="24"/>
        </w:rPr>
        <w:fldChar w:fldCharType="separate"/>
      </w:r>
      <w:r>
        <w:rPr>
          <w:kern w:val="0"/>
          <w:sz w:val="24"/>
        </w:rPr>
        <w:t>13</w:t>
      </w:r>
      <w:r>
        <w:rPr>
          <w:kern w:val="0"/>
          <w:sz w:val="24"/>
        </w:rPr>
        <w:fldChar w:fldCharType="end"/>
      </w:r>
      <w:r>
        <w:rPr>
          <w:kern w:val="0"/>
          <w:sz w:val="24"/>
        </w:rPr>
        <w:t xml:space="preserve">  </w:t>
      </w:r>
      <w:r>
        <w:rPr>
          <w:rFonts w:hint="eastAsia" w:eastAsia="黑体"/>
          <w:kern w:val="0"/>
          <w:sz w:val="24"/>
          <w:szCs w:val="21"/>
        </w:rPr>
        <w:t>植被现状调查样方布设情况表</w:t>
      </w:r>
    </w:p>
    <w:tbl>
      <w:tblPr>
        <w:tblStyle w:val="6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9"/>
        <w:gridCol w:w="5559"/>
        <w:gridCol w:w="1900"/>
      </w:tblGrid>
      <w:tr w14:paraId="37953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shd w:val="clear" w:color="auto" w:fill="auto"/>
          </w:tcPr>
          <w:p w14:paraId="14D2D3F2">
            <w:pPr>
              <w:spacing w:line="276" w:lineRule="auto"/>
              <w:jc w:val="center"/>
              <w:rPr>
                <w:kern w:val="0"/>
                <w:szCs w:val="21"/>
              </w:rPr>
            </w:pPr>
            <w:r>
              <w:rPr>
                <w:rFonts w:hint="eastAsia"/>
                <w:kern w:val="0"/>
                <w:szCs w:val="21"/>
              </w:rPr>
              <w:t>编号</w:t>
            </w:r>
          </w:p>
        </w:tc>
        <w:tc>
          <w:tcPr>
            <w:tcW w:w="3259" w:type="pct"/>
            <w:shd w:val="clear" w:color="auto" w:fill="auto"/>
          </w:tcPr>
          <w:p w14:paraId="7719B5D7">
            <w:pPr>
              <w:spacing w:line="276" w:lineRule="auto"/>
              <w:jc w:val="center"/>
              <w:rPr>
                <w:kern w:val="0"/>
                <w:szCs w:val="21"/>
              </w:rPr>
            </w:pPr>
            <w:r>
              <w:rPr>
                <w:rFonts w:hint="eastAsia"/>
                <w:kern w:val="0"/>
                <w:szCs w:val="21"/>
              </w:rPr>
              <w:t>坐标（°）</w:t>
            </w:r>
          </w:p>
        </w:tc>
        <w:tc>
          <w:tcPr>
            <w:tcW w:w="1114" w:type="pct"/>
            <w:shd w:val="clear" w:color="auto" w:fill="auto"/>
          </w:tcPr>
          <w:p w14:paraId="3061EB86">
            <w:pPr>
              <w:spacing w:line="276" w:lineRule="auto"/>
              <w:jc w:val="center"/>
              <w:rPr>
                <w:kern w:val="0"/>
                <w:szCs w:val="21"/>
              </w:rPr>
            </w:pPr>
            <w:r>
              <w:rPr>
                <w:rFonts w:hint="eastAsia"/>
                <w:kern w:val="0"/>
                <w:szCs w:val="21"/>
              </w:rPr>
              <w:t>植被类型</w:t>
            </w:r>
          </w:p>
        </w:tc>
      </w:tr>
      <w:tr w14:paraId="1AFB6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shd w:val="clear" w:color="auto" w:fill="auto"/>
            <w:vAlign w:val="center"/>
          </w:tcPr>
          <w:p w14:paraId="722862E3">
            <w:pPr>
              <w:spacing w:line="276" w:lineRule="auto"/>
              <w:jc w:val="center"/>
              <w:rPr>
                <w:kern w:val="0"/>
                <w:szCs w:val="21"/>
              </w:rPr>
            </w:pPr>
            <w:r>
              <w:rPr>
                <w:rFonts w:hint="eastAsia"/>
                <w:kern w:val="0"/>
                <w:szCs w:val="21"/>
              </w:rPr>
              <w:t>1</w:t>
            </w:r>
          </w:p>
        </w:tc>
        <w:tc>
          <w:tcPr>
            <w:tcW w:w="3259" w:type="pct"/>
            <w:shd w:val="clear" w:color="auto" w:fill="auto"/>
          </w:tcPr>
          <w:p w14:paraId="126696BA">
            <w:pPr>
              <w:spacing w:line="276" w:lineRule="auto"/>
              <w:jc w:val="center"/>
              <w:rPr>
                <w:kern w:val="0"/>
                <w:szCs w:val="21"/>
              </w:rPr>
            </w:pPr>
            <w:r>
              <w:t>117°0′32.083″E, 40°52′29.389″N</w:t>
            </w:r>
          </w:p>
        </w:tc>
        <w:tc>
          <w:tcPr>
            <w:tcW w:w="1114" w:type="pct"/>
            <w:shd w:val="clear" w:color="auto" w:fill="auto"/>
          </w:tcPr>
          <w:p w14:paraId="04B12595">
            <w:pPr>
              <w:spacing w:line="276" w:lineRule="auto"/>
              <w:jc w:val="center"/>
              <w:rPr>
                <w:kern w:val="0"/>
                <w:szCs w:val="21"/>
              </w:rPr>
            </w:pPr>
            <w:r>
              <w:rPr>
                <w:rFonts w:hint="eastAsia"/>
                <w:kern w:val="0"/>
                <w:szCs w:val="21"/>
              </w:rPr>
              <w:t>油松林</w:t>
            </w:r>
          </w:p>
        </w:tc>
      </w:tr>
      <w:tr w14:paraId="5D692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shd w:val="clear" w:color="auto" w:fill="auto"/>
            <w:vAlign w:val="center"/>
          </w:tcPr>
          <w:p w14:paraId="39C22157">
            <w:pPr>
              <w:spacing w:line="276" w:lineRule="auto"/>
              <w:jc w:val="center"/>
              <w:rPr>
                <w:kern w:val="0"/>
                <w:szCs w:val="21"/>
              </w:rPr>
            </w:pPr>
            <w:r>
              <w:rPr>
                <w:rFonts w:hint="eastAsia"/>
                <w:kern w:val="0"/>
                <w:szCs w:val="21"/>
              </w:rPr>
              <w:t>2</w:t>
            </w:r>
          </w:p>
        </w:tc>
        <w:tc>
          <w:tcPr>
            <w:tcW w:w="3259" w:type="pct"/>
            <w:shd w:val="clear" w:color="auto" w:fill="auto"/>
          </w:tcPr>
          <w:p w14:paraId="6785C864">
            <w:pPr>
              <w:spacing w:line="276" w:lineRule="auto"/>
              <w:jc w:val="center"/>
              <w:rPr>
                <w:kern w:val="0"/>
                <w:szCs w:val="21"/>
              </w:rPr>
            </w:pPr>
            <w:r>
              <w:t>117°2′33.290″E, 40°53′47.245″N</w:t>
            </w:r>
          </w:p>
        </w:tc>
        <w:tc>
          <w:tcPr>
            <w:tcW w:w="1114" w:type="pct"/>
            <w:shd w:val="clear" w:color="auto" w:fill="auto"/>
          </w:tcPr>
          <w:p w14:paraId="1265909A">
            <w:pPr>
              <w:spacing w:line="276" w:lineRule="auto"/>
              <w:jc w:val="center"/>
              <w:rPr>
                <w:kern w:val="0"/>
                <w:szCs w:val="21"/>
              </w:rPr>
            </w:pPr>
            <w:r>
              <w:rPr>
                <w:rFonts w:hint="eastAsia"/>
                <w:kern w:val="0"/>
                <w:szCs w:val="21"/>
              </w:rPr>
              <w:t>油松林</w:t>
            </w:r>
          </w:p>
        </w:tc>
      </w:tr>
      <w:tr w14:paraId="2C77A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shd w:val="clear" w:color="auto" w:fill="auto"/>
            <w:vAlign w:val="center"/>
          </w:tcPr>
          <w:p w14:paraId="26691CBE">
            <w:pPr>
              <w:spacing w:line="276" w:lineRule="auto"/>
              <w:jc w:val="center"/>
              <w:rPr>
                <w:kern w:val="0"/>
                <w:szCs w:val="21"/>
              </w:rPr>
            </w:pPr>
            <w:r>
              <w:rPr>
                <w:rFonts w:hint="eastAsia"/>
                <w:kern w:val="0"/>
                <w:szCs w:val="21"/>
              </w:rPr>
              <w:t>3</w:t>
            </w:r>
          </w:p>
        </w:tc>
        <w:tc>
          <w:tcPr>
            <w:tcW w:w="3259" w:type="pct"/>
            <w:shd w:val="clear" w:color="auto" w:fill="auto"/>
          </w:tcPr>
          <w:p w14:paraId="29805C52">
            <w:pPr>
              <w:spacing w:line="276" w:lineRule="auto"/>
              <w:jc w:val="center"/>
              <w:rPr>
                <w:kern w:val="0"/>
                <w:szCs w:val="21"/>
              </w:rPr>
            </w:pPr>
            <w:r>
              <w:t>117°3′33.504″E, 40°55′17.551″N</w:t>
            </w:r>
          </w:p>
        </w:tc>
        <w:tc>
          <w:tcPr>
            <w:tcW w:w="1114" w:type="pct"/>
            <w:shd w:val="clear" w:color="auto" w:fill="auto"/>
          </w:tcPr>
          <w:p w14:paraId="3C629194">
            <w:pPr>
              <w:spacing w:line="276" w:lineRule="auto"/>
              <w:jc w:val="center"/>
              <w:rPr>
                <w:kern w:val="0"/>
                <w:szCs w:val="21"/>
              </w:rPr>
            </w:pPr>
            <w:r>
              <w:rPr>
                <w:rFonts w:hint="eastAsia"/>
                <w:kern w:val="0"/>
                <w:szCs w:val="21"/>
              </w:rPr>
              <w:t>油松林</w:t>
            </w:r>
          </w:p>
        </w:tc>
      </w:tr>
      <w:tr w14:paraId="00E5F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shd w:val="clear" w:color="auto" w:fill="auto"/>
            <w:vAlign w:val="center"/>
          </w:tcPr>
          <w:p w14:paraId="0486F072">
            <w:pPr>
              <w:spacing w:line="276" w:lineRule="auto"/>
              <w:jc w:val="center"/>
              <w:rPr>
                <w:kern w:val="0"/>
                <w:szCs w:val="21"/>
              </w:rPr>
            </w:pPr>
            <w:r>
              <w:rPr>
                <w:rFonts w:hint="eastAsia"/>
                <w:kern w:val="0"/>
                <w:szCs w:val="21"/>
              </w:rPr>
              <w:t>4</w:t>
            </w:r>
          </w:p>
        </w:tc>
        <w:tc>
          <w:tcPr>
            <w:tcW w:w="3259" w:type="pct"/>
            <w:shd w:val="clear" w:color="auto" w:fill="auto"/>
          </w:tcPr>
          <w:p w14:paraId="47C2F704">
            <w:pPr>
              <w:spacing w:line="276" w:lineRule="auto"/>
              <w:jc w:val="center"/>
              <w:rPr>
                <w:kern w:val="0"/>
                <w:szCs w:val="21"/>
              </w:rPr>
            </w:pPr>
            <w:r>
              <w:t>117°4′3.696″E, 40°54′46.897″N</w:t>
            </w:r>
          </w:p>
        </w:tc>
        <w:tc>
          <w:tcPr>
            <w:tcW w:w="1114" w:type="pct"/>
            <w:shd w:val="clear" w:color="auto" w:fill="auto"/>
          </w:tcPr>
          <w:p w14:paraId="1D8B37BC">
            <w:pPr>
              <w:spacing w:line="276" w:lineRule="auto"/>
              <w:jc w:val="center"/>
              <w:rPr>
                <w:kern w:val="0"/>
                <w:szCs w:val="21"/>
              </w:rPr>
            </w:pPr>
            <w:r>
              <w:rPr>
                <w:rFonts w:hint="eastAsia"/>
                <w:kern w:val="0"/>
                <w:szCs w:val="21"/>
              </w:rPr>
              <w:t>蒙古栎林</w:t>
            </w:r>
          </w:p>
        </w:tc>
      </w:tr>
      <w:tr w14:paraId="133D0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shd w:val="clear" w:color="auto" w:fill="auto"/>
            <w:vAlign w:val="center"/>
          </w:tcPr>
          <w:p w14:paraId="10E662FD">
            <w:pPr>
              <w:spacing w:line="276" w:lineRule="auto"/>
              <w:jc w:val="center"/>
              <w:rPr>
                <w:kern w:val="0"/>
                <w:szCs w:val="21"/>
              </w:rPr>
            </w:pPr>
            <w:r>
              <w:rPr>
                <w:rFonts w:hint="eastAsia"/>
                <w:kern w:val="0"/>
                <w:szCs w:val="21"/>
              </w:rPr>
              <w:t>5</w:t>
            </w:r>
          </w:p>
        </w:tc>
        <w:tc>
          <w:tcPr>
            <w:tcW w:w="3259" w:type="pct"/>
            <w:shd w:val="clear" w:color="auto" w:fill="auto"/>
          </w:tcPr>
          <w:p w14:paraId="7170349D">
            <w:pPr>
              <w:spacing w:line="276" w:lineRule="auto"/>
              <w:jc w:val="center"/>
              <w:rPr>
                <w:kern w:val="0"/>
                <w:szCs w:val="21"/>
              </w:rPr>
            </w:pPr>
            <w:r>
              <w:t>117°2′9.178″E, 40°53′11.106″N</w:t>
            </w:r>
          </w:p>
        </w:tc>
        <w:tc>
          <w:tcPr>
            <w:tcW w:w="1114" w:type="pct"/>
            <w:shd w:val="clear" w:color="auto" w:fill="auto"/>
          </w:tcPr>
          <w:p w14:paraId="789F52EC">
            <w:pPr>
              <w:spacing w:line="276" w:lineRule="auto"/>
              <w:jc w:val="center"/>
              <w:rPr>
                <w:kern w:val="0"/>
                <w:szCs w:val="21"/>
              </w:rPr>
            </w:pPr>
            <w:r>
              <w:rPr>
                <w:rFonts w:hint="eastAsia"/>
                <w:kern w:val="0"/>
                <w:szCs w:val="21"/>
              </w:rPr>
              <w:t>蒙古栎林</w:t>
            </w:r>
          </w:p>
        </w:tc>
      </w:tr>
      <w:tr w14:paraId="43C6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shd w:val="clear" w:color="auto" w:fill="auto"/>
            <w:vAlign w:val="center"/>
          </w:tcPr>
          <w:p w14:paraId="2871DF22">
            <w:pPr>
              <w:spacing w:line="276" w:lineRule="auto"/>
              <w:jc w:val="center"/>
              <w:rPr>
                <w:kern w:val="0"/>
                <w:szCs w:val="21"/>
              </w:rPr>
            </w:pPr>
            <w:r>
              <w:rPr>
                <w:rFonts w:hint="eastAsia"/>
                <w:kern w:val="0"/>
                <w:szCs w:val="21"/>
              </w:rPr>
              <w:t>6</w:t>
            </w:r>
          </w:p>
        </w:tc>
        <w:tc>
          <w:tcPr>
            <w:tcW w:w="3259" w:type="pct"/>
            <w:shd w:val="clear" w:color="auto" w:fill="auto"/>
          </w:tcPr>
          <w:p w14:paraId="3389D0B4">
            <w:pPr>
              <w:spacing w:line="276" w:lineRule="auto"/>
              <w:jc w:val="center"/>
              <w:rPr>
                <w:kern w:val="0"/>
                <w:szCs w:val="21"/>
              </w:rPr>
            </w:pPr>
            <w:r>
              <w:t>117°0′9.730″E, 40°52′26.468″N</w:t>
            </w:r>
          </w:p>
        </w:tc>
        <w:tc>
          <w:tcPr>
            <w:tcW w:w="1114" w:type="pct"/>
            <w:shd w:val="clear" w:color="auto" w:fill="auto"/>
          </w:tcPr>
          <w:p w14:paraId="49184974">
            <w:pPr>
              <w:spacing w:line="276" w:lineRule="auto"/>
              <w:jc w:val="center"/>
              <w:rPr>
                <w:kern w:val="0"/>
                <w:szCs w:val="21"/>
              </w:rPr>
            </w:pPr>
            <w:r>
              <w:rPr>
                <w:rFonts w:hint="eastAsia"/>
                <w:kern w:val="0"/>
                <w:szCs w:val="21"/>
              </w:rPr>
              <w:t>蒙古栎林</w:t>
            </w:r>
          </w:p>
        </w:tc>
      </w:tr>
      <w:tr w14:paraId="157F3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shd w:val="clear" w:color="auto" w:fill="auto"/>
            <w:vAlign w:val="center"/>
          </w:tcPr>
          <w:p w14:paraId="3CA3BACF">
            <w:pPr>
              <w:spacing w:line="276" w:lineRule="auto"/>
              <w:jc w:val="center"/>
              <w:rPr>
                <w:kern w:val="0"/>
                <w:szCs w:val="21"/>
              </w:rPr>
            </w:pPr>
            <w:r>
              <w:rPr>
                <w:rFonts w:hint="eastAsia"/>
                <w:kern w:val="0"/>
                <w:szCs w:val="21"/>
              </w:rPr>
              <w:t>7</w:t>
            </w:r>
          </w:p>
        </w:tc>
        <w:tc>
          <w:tcPr>
            <w:tcW w:w="3259" w:type="pct"/>
            <w:shd w:val="clear" w:color="auto" w:fill="auto"/>
          </w:tcPr>
          <w:p w14:paraId="70427E00">
            <w:pPr>
              <w:spacing w:line="276" w:lineRule="auto"/>
              <w:jc w:val="center"/>
              <w:rPr>
                <w:kern w:val="0"/>
                <w:szCs w:val="21"/>
              </w:rPr>
            </w:pPr>
            <w:r>
              <w:t>117°1′59.796″E, 40°54′1.935″N</w:t>
            </w:r>
          </w:p>
        </w:tc>
        <w:tc>
          <w:tcPr>
            <w:tcW w:w="1114" w:type="pct"/>
            <w:shd w:val="clear" w:color="auto" w:fill="auto"/>
          </w:tcPr>
          <w:p w14:paraId="41E8A7EE">
            <w:pPr>
              <w:spacing w:line="276" w:lineRule="auto"/>
              <w:jc w:val="center"/>
              <w:rPr>
                <w:kern w:val="0"/>
                <w:szCs w:val="21"/>
              </w:rPr>
            </w:pPr>
            <w:r>
              <w:rPr>
                <w:rFonts w:hint="eastAsia"/>
                <w:kern w:val="0"/>
                <w:szCs w:val="21"/>
              </w:rPr>
              <w:t>毛白杨林</w:t>
            </w:r>
          </w:p>
        </w:tc>
      </w:tr>
      <w:tr w14:paraId="0400E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shd w:val="clear" w:color="auto" w:fill="auto"/>
            <w:vAlign w:val="center"/>
          </w:tcPr>
          <w:p w14:paraId="4D9C53BF">
            <w:pPr>
              <w:spacing w:line="276" w:lineRule="auto"/>
              <w:jc w:val="center"/>
              <w:rPr>
                <w:kern w:val="0"/>
                <w:szCs w:val="21"/>
              </w:rPr>
            </w:pPr>
            <w:r>
              <w:rPr>
                <w:rFonts w:hint="eastAsia"/>
                <w:kern w:val="0"/>
                <w:szCs w:val="21"/>
              </w:rPr>
              <w:t>8</w:t>
            </w:r>
          </w:p>
        </w:tc>
        <w:tc>
          <w:tcPr>
            <w:tcW w:w="3259" w:type="pct"/>
            <w:shd w:val="clear" w:color="auto" w:fill="auto"/>
          </w:tcPr>
          <w:p w14:paraId="01459298">
            <w:pPr>
              <w:spacing w:line="276" w:lineRule="auto"/>
              <w:jc w:val="center"/>
              <w:rPr>
                <w:kern w:val="0"/>
                <w:szCs w:val="21"/>
              </w:rPr>
            </w:pPr>
            <w:r>
              <w:t>117°3′49.612″E, 40°55′19.529″N</w:t>
            </w:r>
          </w:p>
        </w:tc>
        <w:tc>
          <w:tcPr>
            <w:tcW w:w="1114" w:type="pct"/>
            <w:shd w:val="clear" w:color="auto" w:fill="auto"/>
          </w:tcPr>
          <w:p w14:paraId="65157A47">
            <w:pPr>
              <w:spacing w:line="276" w:lineRule="auto"/>
              <w:jc w:val="center"/>
              <w:rPr>
                <w:kern w:val="0"/>
                <w:szCs w:val="21"/>
              </w:rPr>
            </w:pPr>
            <w:r>
              <w:rPr>
                <w:rFonts w:hint="eastAsia"/>
                <w:kern w:val="0"/>
                <w:szCs w:val="21"/>
              </w:rPr>
              <w:t>毛白杨林</w:t>
            </w:r>
          </w:p>
        </w:tc>
      </w:tr>
      <w:tr w14:paraId="4BCC2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shd w:val="clear" w:color="auto" w:fill="auto"/>
            <w:vAlign w:val="center"/>
          </w:tcPr>
          <w:p w14:paraId="3143B34B">
            <w:pPr>
              <w:spacing w:line="276" w:lineRule="auto"/>
              <w:jc w:val="center"/>
              <w:rPr>
                <w:kern w:val="0"/>
                <w:szCs w:val="21"/>
              </w:rPr>
            </w:pPr>
            <w:r>
              <w:rPr>
                <w:rFonts w:hint="eastAsia"/>
                <w:kern w:val="0"/>
                <w:szCs w:val="21"/>
              </w:rPr>
              <w:t>9</w:t>
            </w:r>
          </w:p>
        </w:tc>
        <w:tc>
          <w:tcPr>
            <w:tcW w:w="3259" w:type="pct"/>
            <w:shd w:val="clear" w:color="auto" w:fill="auto"/>
          </w:tcPr>
          <w:p w14:paraId="0D42231C">
            <w:pPr>
              <w:spacing w:line="276" w:lineRule="auto"/>
              <w:jc w:val="center"/>
              <w:rPr>
                <w:kern w:val="0"/>
                <w:szCs w:val="21"/>
              </w:rPr>
            </w:pPr>
            <w:r>
              <w:t>116°59′58.207″E, 40°52′34.896″N</w:t>
            </w:r>
          </w:p>
        </w:tc>
        <w:tc>
          <w:tcPr>
            <w:tcW w:w="1114" w:type="pct"/>
            <w:shd w:val="clear" w:color="auto" w:fill="auto"/>
          </w:tcPr>
          <w:p w14:paraId="3D499B00">
            <w:pPr>
              <w:spacing w:line="276" w:lineRule="auto"/>
              <w:jc w:val="center"/>
              <w:rPr>
                <w:kern w:val="0"/>
                <w:szCs w:val="21"/>
              </w:rPr>
            </w:pPr>
            <w:r>
              <w:rPr>
                <w:rFonts w:hint="eastAsia"/>
                <w:kern w:val="0"/>
                <w:szCs w:val="21"/>
              </w:rPr>
              <w:t>毛白杨林</w:t>
            </w:r>
          </w:p>
        </w:tc>
      </w:tr>
      <w:tr w14:paraId="0F9BE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shd w:val="clear" w:color="auto" w:fill="auto"/>
            <w:vAlign w:val="center"/>
          </w:tcPr>
          <w:p w14:paraId="7113FF9D">
            <w:pPr>
              <w:spacing w:line="276" w:lineRule="auto"/>
              <w:jc w:val="center"/>
              <w:rPr>
                <w:kern w:val="0"/>
                <w:szCs w:val="21"/>
              </w:rPr>
            </w:pPr>
            <w:r>
              <w:rPr>
                <w:rFonts w:hint="eastAsia"/>
                <w:kern w:val="0"/>
                <w:szCs w:val="21"/>
              </w:rPr>
              <w:t>1</w:t>
            </w:r>
            <w:r>
              <w:rPr>
                <w:kern w:val="0"/>
                <w:szCs w:val="21"/>
              </w:rPr>
              <w:t>0</w:t>
            </w:r>
          </w:p>
        </w:tc>
        <w:tc>
          <w:tcPr>
            <w:tcW w:w="3259" w:type="pct"/>
            <w:shd w:val="clear" w:color="auto" w:fill="auto"/>
          </w:tcPr>
          <w:p w14:paraId="27421662">
            <w:pPr>
              <w:spacing w:line="276" w:lineRule="auto"/>
              <w:jc w:val="center"/>
              <w:rPr>
                <w:kern w:val="0"/>
                <w:szCs w:val="21"/>
              </w:rPr>
            </w:pPr>
            <w:r>
              <w:t>117°3′48.103″E, 40°54′57.327″N</w:t>
            </w:r>
          </w:p>
        </w:tc>
        <w:tc>
          <w:tcPr>
            <w:tcW w:w="1114" w:type="pct"/>
            <w:shd w:val="clear" w:color="auto" w:fill="auto"/>
          </w:tcPr>
          <w:p w14:paraId="2D617A41">
            <w:pPr>
              <w:spacing w:line="276" w:lineRule="auto"/>
              <w:jc w:val="center"/>
              <w:rPr>
                <w:kern w:val="0"/>
                <w:szCs w:val="21"/>
              </w:rPr>
            </w:pPr>
            <w:r>
              <w:rPr>
                <w:rFonts w:hint="eastAsia"/>
                <w:kern w:val="0"/>
                <w:szCs w:val="21"/>
              </w:rPr>
              <w:t>荆条灌丛</w:t>
            </w:r>
          </w:p>
        </w:tc>
      </w:tr>
      <w:tr w14:paraId="799D5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shd w:val="clear" w:color="auto" w:fill="auto"/>
            <w:vAlign w:val="center"/>
          </w:tcPr>
          <w:p w14:paraId="6A4C84D6">
            <w:pPr>
              <w:spacing w:line="276" w:lineRule="auto"/>
              <w:jc w:val="center"/>
              <w:rPr>
                <w:kern w:val="0"/>
                <w:szCs w:val="21"/>
              </w:rPr>
            </w:pPr>
            <w:r>
              <w:rPr>
                <w:rFonts w:hint="eastAsia"/>
                <w:kern w:val="0"/>
                <w:szCs w:val="21"/>
              </w:rPr>
              <w:t>1</w:t>
            </w:r>
            <w:r>
              <w:rPr>
                <w:kern w:val="0"/>
                <w:szCs w:val="21"/>
              </w:rPr>
              <w:t>1</w:t>
            </w:r>
          </w:p>
        </w:tc>
        <w:tc>
          <w:tcPr>
            <w:tcW w:w="3259" w:type="pct"/>
            <w:shd w:val="clear" w:color="auto" w:fill="auto"/>
          </w:tcPr>
          <w:p w14:paraId="14910520">
            <w:pPr>
              <w:spacing w:line="276" w:lineRule="auto"/>
              <w:jc w:val="center"/>
              <w:rPr>
                <w:kern w:val="0"/>
                <w:szCs w:val="21"/>
              </w:rPr>
            </w:pPr>
            <w:r>
              <w:t>117°3′29.825″E, 40°55′19.722″N</w:t>
            </w:r>
          </w:p>
        </w:tc>
        <w:tc>
          <w:tcPr>
            <w:tcW w:w="1114" w:type="pct"/>
            <w:shd w:val="clear" w:color="auto" w:fill="auto"/>
          </w:tcPr>
          <w:p w14:paraId="1A7E4803">
            <w:pPr>
              <w:spacing w:line="276" w:lineRule="auto"/>
              <w:jc w:val="center"/>
              <w:rPr>
                <w:kern w:val="0"/>
                <w:szCs w:val="21"/>
              </w:rPr>
            </w:pPr>
            <w:r>
              <w:rPr>
                <w:rFonts w:hint="eastAsia"/>
                <w:kern w:val="0"/>
                <w:szCs w:val="21"/>
              </w:rPr>
              <w:t>荆条灌丛</w:t>
            </w:r>
          </w:p>
        </w:tc>
      </w:tr>
      <w:tr w14:paraId="15ED6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shd w:val="clear" w:color="auto" w:fill="auto"/>
            <w:vAlign w:val="center"/>
          </w:tcPr>
          <w:p w14:paraId="23D5F719">
            <w:pPr>
              <w:spacing w:line="276" w:lineRule="auto"/>
              <w:jc w:val="center"/>
              <w:rPr>
                <w:kern w:val="0"/>
                <w:szCs w:val="21"/>
              </w:rPr>
            </w:pPr>
            <w:r>
              <w:rPr>
                <w:rFonts w:hint="eastAsia"/>
                <w:kern w:val="0"/>
                <w:szCs w:val="21"/>
              </w:rPr>
              <w:t>1</w:t>
            </w:r>
            <w:r>
              <w:rPr>
                <w:kern w:val="0"/>
                <w:szCs w:val="21"/>
              </w:rPr>
              <w:t>2</w:t>
            </w:r>
          </w:p>
        </w:tc>
        <w:tc>
          <w:tcPr>
            <w:tcW w:w="3259" w:type="pct"/>
            <w:shd w:val="clear" w:color="auto" w:fill="auto"/>
          </w:tcPr>
          <w:p w14:paraId="62754648">
            <w:pPr>
              <w:spacing w:line="276" w:lineRule="auto"/>
              <w:jc w:val="center"/>
              <w:rPr>
                <w:kern w:val="0"/>
                <w:szCs w:val="21"/>
              </w:rPr>
            </w:pPr>
            <w:r>
              <w:t>117°2′0.365″E, 40°54′12.027″N</w:t>
            </w:r>
          </w:p>
        </w:tc>
        <w:tc>
          <w:tcPr>
            <w:tcW w:w="1114" w:type="pct"/>
            <w:shd w:val="clear" w:color="auto" w:fill="auto"/>
          </w:tcPr>
          <w:p w14:paraId="48162DF1">
            <w:pPr>
              <w:spacing w:line="276" w:lineRule="auto"/>
              <w:jc w:val="center"/>
              <w:rPr>
                <w:kern w:val="0"/>
                <w:szCs w:val="21"/>
              </w:rPr>
            </w:pPr>
            <w:r>
              <w:rPr>
                <w:rFonts w:hint="eastAsia"/>
                <w:kern w:val="0"/>
                <w:szCs w:val="21"/>
              </w:rPr>
              <w:t>荆条灌丛</w:t>
            </w:r>
          </w:p>
        </w:tc>
      </w:tr>
      <w:tr w14:paraId="46535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shd w:val="clear" w:color="auto" w:fill="auto"/>
            <w:vAlign w:val="center"/>
          </w:tcPr>
          <w:p w14:paraId="4F4B3A4E">
            <w:pPr>
              <w:spacing w:line="276" w:lineRule="auto"/>
              <w:jc w:val="center"/>
              <w:rPr>
                <w:kern w:val="0"/>
                <w:szCs w:val="21"/>
              </w:rPr>
            </w:pPr>
            <w:r>
              <w:rPr>
                <w:rFonts w:hint="eastAsia"/>
                <w:kern w:val="0"/>
                <w:szCs w:val="21"/>
              </w:rPr>
              <w:t>1</w:t>
            </w:r>
            <w:r>
              <w:rPr>
                <w:kern w:val="0"/>
                <w:szCs w:val="21"/>
              </w:rPr>
              <w:t>3</w:t>
            </w:r>
          </w:p>
        </w:tc>
        <w:tc>
          <w:tcPr>
            <w:tcW w:w="3259" w:type="pct"/>
            <w:shd w:val="clear" w:color="auto" w:fill="auto"/>
          </w:tcPr>
          <w:p w14:paraId="1408A937">
            <w:pPr>
              <w:spacing w:line="276" w:lineRule="auto"/>
              <w:jc w:val="center"/>
              <w:rPr>
                <w:kern w:val="0"/>
                <w:szCs w:val="21"/>
              </w:rPr>
            </w:pPr>
            <w:r>
              <w:t>117°1′0.097″E, 40°52′37.046″N</w:t>
            </w:r>
          </w:p>
        </w:tc>
        <w:tc>
          <w:tcPr>
            <w:tcW w:w="1114" w:type="pct"/>
            <w:shd w:val="clear" w:color="auto" w:fill="auto"/>
          </w:tcPr>
          <w:p w14:paraId="2B506585">
            <w:pPr>
              <w:spacing w:line="276" w:lineRule="auto"/>
              <w:jc w:val="center"/>
              <w:rPr>
                <w:kern w:val="0"/>
                <w:szCs w:val="21"/>
              </w:rPr>
            </w:pPr>
            <w:r>
              <w:rPr>
                <w:rFonts w:hint="eastAsia"/>
                <w:kern w:val="0"/>
              </w:rPr>
              <w:t>芦苇沼泽</w:t>
            </w:r>
          </w:p>
        </w:tc>
      </w:tr>
      <w:tr w14:paraId="470A7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shd w:val="clear" w:color="auto" w:fill="auto"/>
            <w:vAlign w:val="center"/>
          </w:tcPr>
          <w:p w14:paraId="0750F3C4">
            <w:pPr>
              <w:spacing w:line="276" w:lineRule="auto"/>
              <w:jc w:val="center"/>
              <w:rPr>
                <w:kern w:val="0"/>
                <w:szCs w:val="21"/>
              </w:rPr>
            </w:pPr>
            <w:r>
              <w:rPr>
                <w:rFonts w:hint="eastAsia"/>
                <w:kern w:val="0"/>
                <w:szCs w:val="21"/>
              </w:rPr>
              <w:t>1</w:t>
            </w:r>
            <w:r>
              <w:rPr>
                <w:kern w:val="0"/>
                <w:szCs w:val="21"/>
              </w:rPr>
              <w:t>4</w:t>
            </w:r>
          </w:p>
        </w:tc>
        <w:tc>
          <w:tcPr>
            <w:tcW w:w="3259" w:type="pct"/>
            <w:shd w:val="clear" w:color="auto" w:fill="auto"/>
          </w:tcPr>
          <w:p w14:paraId="47A44CA4">
            <w:pPr>
              <w:spacing w:line="276" w:lineRule="auto"/>
              <w:jc w:val="center"/>
              <w:rPr>
                <w:kern w:val="0"/>
                <w:szCs w:val="21"/>
              </w:rPr>
            </w:pPr>
            <w:r>
              <w:t>117°2′4.775″E, 40°53′27.171″N</w:t>
            </w:r>
          </w:p>
        </w:tc>
        <w:tc>
          <w:tcPr>
            <w:tcW w:w="1114" w:type="pct"/>
            <w:shd w:val="clear" w:color="auto" w:fill="auto"/>
          </w:tcPr>
          <w:p w14:paraId="051D1064">
            <w:pPr>
              <w:spacing w:line="276" w:lineRule="auto"/>
              <w:jc w:val="center"/>
              <w:rPr>
                <w:kern w:val="0"/>
                <w:szCs w:val="21"/>
              </w:rPr>
            </w:pPr>
            <w:r>
              <w:rPr>
                <w:rFonts w:hint="eastAsia"/>
                <w:kern w:val="0"/>
              </w:rPr>
              <w:t>芦苇沼泽</w:t>
            </w:r>
          </w:p>
        </w:tc>
      </w:tr>
      <w:tr w14:paraId="4B0B6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shd w:val="clear" w:color="auto" w:fill="auto"/>
            <w:vAlign w:val="center"/>
          </w:tcPr>
          <w:p w14:paraId="76FE68B7">
            <w:pPr>
              <w:spacing w:line="276" w:lineRule="auto"/>
              <w:jc w:val="center"/>
              <w:rPr>
                <w:kern w:val="0"/>
                <w:szCs w:val="21"/>
              </w:rPr>
            </w:pPr>
            <w:r>
              <w:rPr>
                <w:rFonts w:hint="eastAsia"/>
                <w:kern w:val="0"/>
                <w:szCs w:val="21"/>
              </w:rPr>
              <w:t>1</w:t>
            </w:r>
            <w:r>
              <w:rPr>
                <w:kern w:val="0"/>
                <w:szCs w:val="21"/>
              </w:rPr>
              <w:t>5</w:t>
            </w:r>
          </w:p>
        </w:tc>
        <w:tc>
          <w:tcPr>
            <w:tcW w:w="3259" w:type="pct"/>
            <w:shd w:val="clear" w:color="auto" w:fill="auto"/>
          </w:tcPr>
          <w:p w14:paraId="1904258D">
            <w:pPr>
              <w:spacing w:line="276" w:lineRule="auto"/>
              <w:jc w:val="center"/>
              <w:rPr>
                <w:kern w:val="0"/>
                <w:szCs w:val="21"/>
              </w:rPr>
            </w:pPr>
            <w:r>
              <w:t>117°2′17.102″E, 40°55′59.739″N</w:t>
            </w:r>
          </w:p>
        </w:tc>
        <w:tc>
          <w:tcPr>
            <w:tcW w:w="1114" w:type="pct"/>
            <w:shd w:val="clear" w:color="auto" w:fill="auto"/>
          </w:tcPr>
          <w:p w14:paraId="4F214972">
            <w:pPr>
              <w:spacing w:line="276" w:lineRule="auto"/>
              <w:jc w:val="center"/>
              <w:rPr>
                <w:kern w:val="0"/>
                <w:szCs w:val="21"/>
              </w:rPr>
            </w:pPr>
            <w:r>
              <w:rPr>
                <w:rFonts w:hint="eastAsia"/>
                <w:kern w:val="0"/>
              </w:rPr>
              <w:t>芦苇沼泽</w:t>
            </w:r>
          </w:p>
        </w:tc>
      </w:tr>
      <w:tr w14:paraId="04FC0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shd w:val="clear" w:color="auto" w:fill="auto"/>
            <w:vAlign w:val="center"/>
          </w:tcPr>
          <w:p w14:paraId="10B71BF4">
            <w:pPr>
              <w:spacing w:line="276" w:lineRule="auto"/>
              <w:jc w:val="center"/>
              <w:rPr>
                <w:kern w:val="0"/>
                <w:szCs w:val="21"/>
              </w:rPr>
            </w:pPr>
            <w:r>
              <w:rPr>
                <w:rFonts w:hint="eastAsia"/>
                <w:kern w:val="0"/>
                <w:szCs w:val="21"/>
              </w:rPr>
              <w:t>1</w:t>
            </w:r>
            <w:r>
              <w:rPr>
                <w:kern w:val="0"/>
                <w:szCs w:val="21"/>
              </w:rPr>
              <w:t>6</w:t>
            </w:r>
          </w:p>
        </w:tc>
        <w:tc>
          <w:tcPr>
            <w:tcW w:w="3259" w:type="pct"/>
            <w:shd w:val="clear" w:color="auto" w:fill="auto"/>
          </w:tcPr>
          <w:p w14:paraId="5BB81A3C">
            <w:pPr>
              <w:spacing w:line="276" w:lineRule="auto"/>
              <w:jc w:val="center"/>
              <w:rPr>
                <w:kern w:val="0"/>
                <w:szCs w:val="21"/>
              </w:rPr>
            </w:pPr>
            <w:r>
              <w:t>117°3′2.089″E, 40°54′21.416″N</w:t>
            </w:r>
          </w:p>
        </w:tc>
        <w:tc>
          <w:tcPr>
            <w:tcW w:w="1114" w:type="pct"/>
            <w:shd w:val="clear" w:color="auto" w:fill="auto"/>
          </w:tcPr>
          <w:p w14:paraId="40D34B49">
            <w:pPr>
              <w:spacing w:line="276" w:lineRule="auto"/>
              <w:jc w:val="center"/>
              <w:rPr>
                <w:kern w:val="0"/>
                <w:szCs w:val="21"/>
              </w:rPr>
            </w:pPr>
            <w:r>
              <w:rPr>
                <w:rFonts w:hint="eastAsia"/>
                <w:kern w:val="0"/>
              </w:rPr>
              <w:t>杂类草甸</w:t>
            </w:r>
          </w:p>
        </w:tc>
      </w:tr>
      <w:tr w14:paraId="339E9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shd w:val="clear" w:color="auto" w:fill="auto"/>
            <w:vAlign w:val="center"/>
          </w:tcPr>
          <w:p w14:paraId="52C0CE73">
            <w:pPr>
              <w:spacing w:line="276" w:lineRule="auto"/>
              <w:jc w:val="center"/>
              <w:rPr>
                <w:kern w:val="0"/>
                <w:szCs w:val="21"/>
              </w:rPr>
            </w:pPr>
            <w:r>
              <w:rPr>
                <w:rFonts w:hint="eastAsia"/>
                <w:kern w:val="0"/>
                <w:szCs w:val="21"/>
              </w:rPr>
              <w:t>1</w:t>
            </w:r>
            <w:r>
              <w:rPr>
                <w:kern w:val="0"/>
                <w:szCs w:val="21"/>
              </w:rPr>
              <w:t>7</w:t>
            </w:r>
          </w:p>
        </w:tc>
        <w:tc>
          <w:tcPr>
            <w:tcW w:w="3259" w:type="pct"/>
            <w:shd w:val="clear" w:color="auto" w:fill="auto"/>
          </w:tcPr>
          <w:p w14:paraId="49BCE83F">
            <w:pPr>
              <w:spacing w:line="276" w:lineRule="auto"/>
              <w:jc w:val="center"/>
              <w:rPr>
                <w:kern w:val="0"/>
                <w:szCs w:val="21"/>
              </w:rPr>
            </w:pPr>
            <w:r>
              <w:t>117°1′51.474″E, 40°53′2.586″N</w:t>
            </w:r>
          </w:p>
        </w:tc>
        <w:tc>
          <w:tcPr>
            <w:tcW w:w="1114" w:type="pct"/>
            <w:shd w:val="clear" w:color="auto" w:fill="auto"/>
          </w:tcPr>
          <w:p w14:paraId="6F2683E3">
            <w:pPr>
              <w:spacing w:line="276" w:lineRule="auto"/>
              <w:jc w:val="center"/>
              <w:rPr>
                <w:kern w:val="0"/>
                <w:szCs w:val="21"/>
              </w:rPr>
            </w:pPr>
            <w:r>
              <w:rPr>
                <w:rFonts w:hint="eastAsia"/>
                <w:kern w:val="0"/>
              </w:rPr>
              <w:t>杂类草甸</w:t>
            </w:r>
          </w:p>
        </w:tc>
      </w:tr>
      <w:tr w14:paraId="0D26A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shd w:val="clear" w:color="auto" w:fill="auto"/>
            <w:vAlign w:val="center"/>
          </w:tcPr>
          <w:p w14:paraId="65C12C8F">
            <w:pPr>
              <w:spacing w:line="276" w:lineRule="auto"/>
              <w:jc w:val="center"/>
              <w:rPr>
                <w:kern w:val="0"/>
                <w:szCs w:val="21"/>
              </w:rPr>
            </w:pPr>
            <w:r>
              <w:rPr>
                <w:rFonts w:hint="eastAsia"/>
                <w:kern w:val="0"/>
                <w:szCs w:val="21"/>
              </w:rPr>
              <w:t>1</w:t>
            </w:r>
            <w:r>
              <w:rPr>
                <w:kern w:val="0"/>
                <w:szCs w:val="21"/>
              </w:rPr>
              <w:t>8</w:t>
            </w:r>
          </w:p>
        </w:tc>
        <w:tc>
          <w:tcPr>
            <w:tcW w:w="3259" w:type="pct"/>
            <w:shd w:val="clear" w:color="auto" w:fill="auto"/>
          </w:tcPr>
          <w:p w14:paraId="3ED76116">
            <w:pPr>
              <w:spacing w:line="276" w:lineRule="auto"/>
              <w:jc w:val="center"/>
              <w:rPr>
                <w:kern w:val="0"/>
                <w:szCs w:val="21"/>
              </w:rPr>
            </w:pPr>
            <w:r>
              <w:t>117°3′57.301″E, 40°55′5.987″N</w:t>
            </w:r>
          </w:p>
        </w:tc>
        <w:tc>
          <w:tcPr>
            <w:tcW w:w="1114" w:type="pct"/>
            <w:shd w:val="clear" w:color="auto" w:fill="auto"/>
          </w:tcPr>
          <w:p w14:paraId="67B45B7C">
            <w:pPr>
              <w:spacing w:line="276" w:lineRule="auto"/>
              <w:jc w:val="center"/>
              <w:rPr>
                <w:kern w:val="0"/>
                <w:szCs w:val="21"/>
              </w:rPr>
            </w:pPr>
            <w:r>
              <w:rPr>
                <w:rFonts w:hint="eastAsia"/>
                <w:kern w:val="0"/>
              </w:rPr>
              <w:t>杂类草甸</w:t>
            </w:r>
          </w:p>
        </w:tc>
      </w:tr>
    </w:tbl>
    <w:p w14:paraId="21DD8087">
      <w:pPr>
        <w:pStyle w:val="85"/>
        <w:ind w:firstLine="480"/>
        <w:rPr>
          <w:kern w:val="0"/>
        </w:rPr>
      </w:pPr>
    </w:p>
    <w:tbl>
      <w:tblPr>
        <w:tblStyle w:val="63"/>
        <w:tblW w:w="0" w:type="auto"/>
        <w:tblInd w:w="108" w:type="dxa"/>
        <w:tblLayout w:type="autofit"/>
        <w:tblCellMar>
          <w:top w:w="0" w:type="dxa"/>
          <w:left w:w="108" w:type="dxa"/>
          <w:bottom w:w="0" w:type="dxa"/>
          <w:right w:w="108" w:type="dxa"/>
        </w:tblCellMar>
      </w:tblPr>
      <w:tblGrid>
        <w:gridCol w:w="8266"/>
      </w:tblGrid>
      <w:tr w14:paraId="171D2210">
        <w:tblPrEx>
          <w:tblCellMar>
            <w:top w:w="0" w:type="dxa"/>
            <w:left w:w="108" w:type="dxa"/>
            <w:bottom w:w="0" w:type="dxa"/>
            <w:right w:w="108" w:type="dxa"/>
          </w:tblCellMar>
        </w:tblPrEx>
        <w:tc>
          <w:tcPr>
            <w:tcW w:w="7982" w:type="dxa"/>
            <w:shd w:val="clear" w:color="auto" w:fill="auto"/>
          </w:tcPr>
          <w:p w14:paraId="1761578C">
            <w:pPr>
              <w:jc w:val="center"/>
              <w:rPr>
                <w:kern w:val="0"/>
                <w:szCs w:val="21"/>
              </w:rPr>
            </w:pPr>
            <w:r>
              <w:drawing>
                <wp:inline distT="0" distB="0" distL="0" distR="0">
                  <wp:extent cx="5111750" cy="1901825"/>
                  <wp:effectExtent l="0" t="0" r="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a:stretch>
                            <a:fillRect/>
                          </a:stretch>
                        </pic:blipFill>
                        <pic:spPr>
                          <a:xfrm>
                            <a:off x="0" y="0"/>
                            <a:ext cx="5112000" cy="1902240"/>
                          </a:xfrm>
                          <a:prstGeom prst="rect">
                            <a:avLst/>
                          </a:prstGeom>
                        </pic:spPr>
                      </pic:pic>
                    </a:graphicData>
                  </a:graphic>
                </wp:inline>
              </w:drawing>
            </w:r>
          </w:p>
        </w:tc>
      </w:tr>
    </w:tbl>
    <w:p w14:paraId="53B09049">
      <w:pPr>
        <w:jc w:val="center"/>
        <w:rPr>
          <w:rFonts w:eastAsia="黑体"/>
          <w:kern w:val="0"/>
          <w:sz w:val="24"/>
        </w:rPr>
      </w:pPr>
      <w:r>
        <w:rPr>
          <w:rFonts w:eastAsia="黑体"/>
          <w:kern w:val="0"/>
          <w:sz w:val="24"/>
        </w:rPr>
        <w:t>图</w:t>
      </w:r>
      <w:r>
        <w:rPr>
          <w:rFonts w:eastAsia="黑体"/>
          <w:kern w:val="0"/>
          <w:sz w:val="24"/>
        </w:rPr>
        <w:fldChar w:fldCharType="begin"/>
      </w:r>
      <w:r>
        <w:rPr>
          <w:rFonts w:eastAsia="黑体"/>
          <w:kern w:val="0"/>
          <w:sz w:val="24"/>
        </w:rPr>
        <w:instrText xml:space="preserve"> STYLEREF 1 \s </w:instrText>
      </w:r>
      <w:r>
        <w:rPr>
          <w:rFonts w:eastAsia="黑体"/>
          <w:kern w:val="0"/>
          <w:sz w:val="24"/>
        </w:rPr>
        <w:fldChar w:fldCharType="separate"/>
      </w:r>
      <w:r>
        <w:rPr>
          <w:rFonts w:eastAsia="黑体"/>
          <w:kern w:val="0"/>
          <w:sz w:val="24"/>
        </w:rPr>
        <w:t>3</w:t>
      </w:r>
      <w:r>
        <w:rPr>
          <w:rFonts w:eastAsia="黑体"/>
          <w:kern w:val="0"/>
          <w:sz w:val="24"/>
        </w:rPr>
        <w:fldChar w:fldCharType="end"/>
      </w:r>
      <w:r>
        <w:rPr>
          <w:rFonts w:eastAsia="黑体"/>
          <w:kern w:val="0"/>
          <w:sz w:val="24"/>
        </w:rPr>
        <w:noBreakHyphen/>
      </w:r>
      <w:r>
        <w:rPr>
          <w:rFonts w:eastAsia="黑体"/>
          <w:kern w:val="0"/>
          <w:sz w:val="24"/>
        </w:rPr>
        <w:fldChar w:fldCharType="begin"/>
      </w:r>
      <w:r>
        <w:rPr>
          <w:rFonts w:eastAsia="黑体"/>
          <w:kern w:val="0"/>
          <w:sz w:val="24"/>
        </w:rPr>
        <w:instrText xml:space="preserve"> SEQ 图 \* ARABIC \s 1 </w:instrText>
      </w:r>
      <w:r>
        <w:rPr>
          <w:rFonts w:eastAsia="黑体"/>
          <w:kern w:val="0"/>
          <w:sz w:val="24"/>
        </w:rPr>
        <w:fldChar w:fldCharType="separate"/>
      </w:r>
      <w:r>
        <w:rPr>
          <w:rFonts w:eastAsia="黑体"/>
          <w:kern w:val="0"/>
          <w:sz w:val="24"/>
        </w:rPr>
        <w:t>1</w:t>
      </w:r>
      <w:r>
        <w:rPr>
          <w:rFonts w:eastAsia="黑体"/>
          <w:kern w:val="0"/>
          <w:sz w:val="24"/>
        </w:rPr>
        <w:fldChar w:fldCharType="end"/>
      </w:r>
      <w:r>
        <w:rPr>
          <w:rFonts w:eastAsia="黑体"/>
          <w:kern w:val="0"/>
          <w:sz w:val="24"/>
        </w:rPr>
        <w:t xml:space="preserve">  </w:t>
      </w:r>
      <w:r>
        <w:rPr>
          <w:rFonts w:hint="eastAsia" w:eastAsia="黑体"/>
          <w:kern w:val="0"/>
          <w:sz w:val="24"/>
        </w:rPr>
        <w:t>评价区现状照片</w:t>
      </w:r>
    </w:p>
    <w:p w14:paraId="379C1D82">
      <w:pPr>
        <w:pStyle w:val="85"/>
        <w:ind w:firstLine="480"/>
        <w:rPr>
          <w:bCs/>
          <w:kern w:val="0"/>
        </w:rPr>
      </w:pPr>
      <w:r>
        <w:rPr>
          <w:rFonts w:hint="eastAsia"/>
          <w:bCs/>
          <w:kern w:val="0"/>
        </w:rPr>
        <w:t>（3）陆生动物调查</w:t>
      </w:r>
    </w:p>
    <w:p w14:paraId="7B24C7A9">
      <w:pPr>
        <w:pStyle w:val="85"/>
        <w:ind w:firstLine="480"/>
        <w:rPr>
          <w:kern w:val="0"/>
        </w:rPr>
      </w:pPr>
      <w:r>
        <w:rPr>
          <w:rFonts w:hint="eastAsia"/>
          <w:kern w:val="0"/>
        </w:rPr>
        <w:t xml:space="preserve">参照《生物多样性观测技术导则 </w:t>
      </w:r>
      <w:r>
        <w:rPr>
          <w:kern w:val="0"/>
        </w:rPr>
        <w:t xml:space="preserve"> </w:t>
      </w:r>
      <w:r>
        <w:rPr>
          <w:rFonts w:hint="eastAsia"/>
          <w:kern w:val="0"/>
        </w:rPr>
        <w:t xml:space="preserve">陆生哺乳动物》（HJ 710.3-2014）、《生物多样性观测技术导则 </w:t>
      </w:r>
      <w:r>
        <w:rPr>
          <w:kern w:val="0"/>
        </w:rPr>
        <w:t xml:space="preserve"> </w:t>
      </w:r>
      <w:r>
        <w:rPr>
          <w:rFonts w:hint="eastAsia"/>
          <w:kern w:val="0"/>
        </w:rPr>
        <w:t xml:space="preserve">鸟类》（HJ 710.4-2014）、《生物多样性观测技术导则 </w:t>
      </w:r>
      <w:r>
        <w:rPr>
          <w:kern w:val="0"/>
        </w:rPr>
        <w:t xml:space="preserve"> </w:t>
      </w:r>
      <w:r>
        <w:rPr>
          <w:rFonts w:hint="eastAsia"/>
          <w:kern w:val="0"/>
        </w:rPr>
        <w:t xml:space="preserve">爬行动物》（HJ 710.5-2014）、《生物多样性观测技术导则 </w:t>
      </w:r>
      <w:r>
        <w:rPr>
          <w:kern w:val="0"/>
        </w:rPr>
        <w:t xml:space="preserve"> </w:t>
      </w:r>
      <w:r>
        <w:rPr>
          <w:rFonts w:hint="eastAsia"/>
          <w:kern w:val="0"/>
        </w:rPr>
        <w:t>两栖动物》（HJ710.6-2014）、《全国动物物种资源调查技术规定（试行）》等陆生动物调查方法主要采用样线法、样方法对评价区陆生动物进行调查。</w:t>
      </w:r>
    </w:p>
    <w:p w14:paraId="4D0C8A84">
      <w:pPr>
        <w:pStyle w:val="85"/>
        <w:ind w:firstLine="480"/>
        <w:rPr>
          <w:kern w:val="0"/>
        </w:rPr>
      </w:pPr>
      <w:r>
        <w:rPr>
          <w:rFonts w:hint="eastAsia"/>
          <w:kern w:val="0"/>
        </w:rPr>
        <w:t>鸟类样线法调查：鸟类调查采用样线法，依据生境类型和地形布设样线，各样线互不重叠；样线长度以</w:t>
      </w:r>
      <w:r>
        <w:rPr>
          <w:kern w:val="0"/>
        </w:rPr>
        <w:t>1~3km</w:t>
      </w:r>
      <w:r>
        <w:rPr>
          <w:rFonts w:hint="eastAsia"/>
          <w:kern w:val="0"/>
        </w:rPr>
        <w:t>为宜。通过望远镜、数码相机等观察样带两侧约200m以内的鸟类，辅以鸟类鸣叫声、飞行姿势、生态习性和羽毛等辨认。仔细记录发现鸟类的名称、数量、距离，并利用奥维互动地图软件或轨迹记录仪记录鸟类物种发现点的经纬度、海拔、生境、样带长度及航迹等信息。如未观察到鸟类，但能听到鸟类鸣叫声的，借助录音笔记录其鸣声，以此作为识别物种的依据。</w:t>
      </w:r>
    </w:p>
    <w:p w14:paraId="752AC7FC">
      <w:pPr>
        <w:pStyle w:val="85"/>
        <w:ind w:firstLine="480"/>
        <w:rPr>
          <w:kern w:val="0"/>
        </w:rPr>
      </w:pPr>
      <w:r>
        <w:rPr>
          <w:rFonts w:hint="eastAsia"/>
          <w:kern w:val="0"/>
        </w:rPr>
        <w:t>兽类样线法调查：兽类调查与鸟类调查同时进行。调查时统计样线两侧的兽类足迹、粪便、叫声及活体的活动情况等，并在发现动物实体或其痕迹时，利用奥维互动地图软件或轨迹记录仪记录动物名称、数量、痕迹种类及地理位置、航迹等信息。</w:t>
      </w:r>
    </w:p>
    <w:p w14:paraId="05470D2E">
      <w:pPr>
        <w:pStyle w:val="85"/>
        <w:ind w:firstLine="480"/>
        <w:rPr>
          <w:kern w:val="0"/>
        </w:rPr>
      </w:pPr>
      <w:r>
        <w:rPr>
          <w:rFonts w:hint="eastAsia"/>
          <w:kern w:val="0"/>
        </w:rPr>
        <w:t>两栖类与爬行类样线法调查：调查方法以样线法为主，具体操作为：3人一组，样线左右两侧各1人负责观察寻找，剩余1人负责记录，调查人员沿选定的路线匀速前进，一般行进速度为2km/h。在实地调查过程中，仔细搜寻样线两侧的两栖动物和爬行动物。</w:t>
      </w:r>
    </w:p>
    <w:p w14:paraId="2952622D">
      <w:pPr>
        <w:pStyle w:val="85"/>
        <w:ind w:firstLine="480"/>
        <w:rPr>
          <w:kern w:val="0"/>
        </w:rPr>
      </w:pPr>
      <w:r>
        <w:rPr>
          <w:rFonts w:hint="eastAsia"/>
          <w:kern w:val="0"/>
        </w:rPr>
        <w:t>2</w:t>
      </w:r>
      <w:r>
        <w:rPr>
          <w:kern w:val="0"/>
        </w:rPr>
        <w:t>025</w:t>
      </w:r>
      <w:r>
        <w:rPr>
          <w:rFonts w:hint="eastAsia"/>
          <w:kern w:val="0"/>
        </w:rPr>
        <w:t>年</w:t>
      </w:r>
      <w:r>
        <w:rPr>
          <w:kern w:val="0"/>
        </w:rPr>
        <w:t>5</w:t>
      </w:r>
      <w:r>
        <w:rPr>
          <w:rFonts w:hint="eastAsia"/>
          <w:kern w:val="0"/>
        </w:rPr>
        <w:t>月，技术人员对本项目生态影响评价区内陆生野生动物进行了现场调查，评价区涉及乔木林、灌丛及湿地生境，动物调查样线布设情况见下表。</w:t>
      </w:r>
    </w:p>
    <w:p w14:paraId="588D322F">
      <w:pPr>
        <w:jc w:val="center"/>
        <w:rPr>
          <w:rFonts w:eastAsia="黑体"/>
          <w:kern w:val="0"/>
          <w:sz w:val="24"/>
          <w:szCs w:val="21"/>
        </w:rPr>
      </w:pPr>
      <w:r>
        <w:rPr>
          <w:kern w:val="0"/>
          <w:sz w:val="24"/>
        </w:rPr>
        <w:t>表</w:t>
      </w:r>
      <w:r>
        <w:rPr>
          <w:kern w:val="0"/>
          <w:sz w:val="24"/>
        </w:rPr>
        <w:fldChar w:fldCharType="begin"/>
      </w:r>
      <w:r>
        <w:rPr>
          <w:kern w:val="0"/>
          <w:sz w:val="24"/>
        </w:rPr>
        <w:instrText xml:space="preserve"> STYLEREF 1 \s </w:instrText>
      </w:r>
      <w:r>
        <w:rPr>
          <w:kern w:val="0"/>
          <w:sz w:val="24"/>
        </w:rPr>
        <w:fldChar w:fldCharType="separate"/>
      </w:r>
      <w:r>
        <w:rPr>
          <w:kern w:val="0"/>
          <w:sz w:val="24"/>
        </w:rPr>
        <w:t>3</w:t>
      </w:r>
      <w:r>
        <w:rPr>
          <w:kern w:val="0"/>
          <w:sz w:val="24"/>
        </w:rPr>
        <w:fldChar w:fldCharType="end"/>
      </w:r>
      <w:r>
        <w:rPr>
          <w:kern w:val="0"/>
          <w:sz w:val="24"/>
        </w:rPr>
        <w:noBreakHyphen/>
      </w:r>
      <w:r>
        <w:rPr>
          <w:kern w:val="0"/>
          <w:sz w:val="24"/>
        </w:rPr>
        <w:fldChar w:fldCharType="begin"/>
      </w:r>
      <w:r>
        <w:rPr>
          <w:kern w:val="0"/>
          <w:sz w:val="24"/>
        </w:rPr>
        <w:instrText xml:space="preserve"> SEQ 表 \* ARABIC \s 1 </w:instrText>
      </w:r>
      <w:r>
        <w:rPr>
          <w:kern w:val="0"/>
          <w:sz w:val="24"/>
        </w:rPr>
        <w:fldChar w:fldCharType="separate"/>
      </w:r>
      <w:r>
        <w:rPr>
          <w:kern w:val="0"/>
          <w:sz w:val="24"/>
        </w:rPr>
        <w:t>14</w:t>
      </w:r>
      <w:r>
        <w:rPr>
          <w:kern w:val="0"/>
          <w:sz w:val="24"/>
        </w:rPr>
        <w:fldChar w:fldCharType="end"/>
      </w:r>
      <w:r>
        <w:rPr>
          <w:kern w:val="0"/>
          <w:sz w:val="24"/>
        </w:rPr>
        <w:t xml:space="preserve">  </w:t>
      </w:r>
      <w:r>
        <w:rPr>
          <w:rFonts w:hint="eastAsia" w:eastAsia="黑体"/>
          <w:kern w:val="0"/>
          <w:sz w:val="24"/>
          <w:szCs w:val="21"/>
        </w:rPr>
        <w:t>动物调查样线布设概况表</w:t>
      </w:r>
    </w:p>
    <w:tbl>
      <w:tblPr>
        <w:tblStyle w:val="6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4223"/>
        <w:gridCol w:w="1457"/>
        <w:gridCol w:w="2125"/>
      </w:tblGrid>
      <w:tr w14:paraId="5AD11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shd w:val="clear" w:color="auto" w:fill="auto"/>
            <w:vAlign w:val="center"/>
          </w:tcPr>
          <w:p w14:paraId="579A8593">
            <w:pPr>
              <w:jc w:val="center"/>
              <w:rPr>
                <w:kern w:val="0"/>
                <w:szCs w:val="21"/>
              </w:rPr>
            </w:pPr>
            <w:r>
              <w:rPr>
                <w:rFonts w:hint="eastAsia"/>
                <w:kern w:val="0"/>
                <w:szCs w:val="21"/>
              </w:rPr>
              <w:t>编号</w:t>
            </w:r>
          </w:p>
        </w:tc>
        <w:tc>
          <w:tcPr>
            <w:tcW w:w="2476" w:type="pct"/>
          </w:tcPr>
          <w:p w14:paraId="5E033D1B">
            <w:pPr>
              <w:jc w:val="center"/>
              <w:rPr>
                <w:kern w:val="0"/>
                <w:szCs w:val="21"/>
              </w:rPr>
            </w:pPr>
            <w:r>
              <w:rPr>
                <w:rFonts w:hint="eastAsia"/>
                <w:kern w:val="0"/>
                <w:szCs w:val="21"/>
              </w:rPr>
              <w:t>起止点</w:t>
            </w:r>
          </w:p>
        </w:tc>
        <w:tc>
          <w:tcPr>
            <w:tcW w:w="854" w:type="pct"/>
            <w:shd w:val="clear" w:color="auto" w:fill="auto"/>
            <w:vAlign w:val="center"/>
          </w:tcPr>
          <w:p w14:paraId="3D4C1372">
            <w:pPr>
              <w:jc w:val="center"/>
              <w:rPr>
                <w:kern w:val="0"/>
                <w:szCs w:val="21"/>
              </w:rPr>
            </w:pPr>
            <w:r>
              <w:rPr>
                <w:rFonts w:hint="eastAsia"/>
                <w:kern w:val="0"/>
                <w:szCs w:val="21"/>
              </w:rPr>
              <w:t>长度（km）</w:t>
            </w:r>
          </w:p>
        </w:tc>
        <w:tc>
          <w:tcPr>
            <w:tcW w:w="1246" w:type="pct"/>
            <w:shd w:val="clear" w:color="auto" w:fill="auto"/>
            <w:vAlign w:val="center"/>
          </w:tcPr>
          <w:p w14:paraId="2A92BFB4">
            <w:pPr>
              <w:jc w:val="center"/>
              <w:rPr>
                <w:kern w:val="0"/>
                <w:szCs w:val="21"/>
              </w:rPr>
            </w:pPr>
            <w:r>
              <w:rPr>
                <w:rFonts w:hint="eastAsia"/>
                <w:kern w:val="0"/>
                <w:szCs w:val="21"/>
              </w:rPr>
              <w:t>生境特征</w:t>
            </w:r>
          </w:p>
        </w:tc>
      </w:tr>
      <w:tr w14:paraId="702B7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shd w:val="clear" w:color="auto" w:fill="auto"/>
            <w:vAlign w:val="center"/>
          </w:tcPr>
          <w:p w14:paraId="220141D2">
            <w:pPr>
              <w:jc w:val="center"/>
              <w:rPr>
                <w:kern w:val="0"/>
                <w:szCs w:val="21"/>
              </w:rPr>
            </w:pPr>
            <w:r>
              <w:rPr>
                <w:rFonts w:hint="eastAsia"/>
                <w:kern w:val="0"/>
                <w:szCs w:val="21"/>
              </w:rPr>
              <w:t>1</w:t>
            </w:r>
          </w:p>
        </w:tc>
        <w:tc>
          <w:tcPr>
            <w:tcW w:w="2476" w:type="pct"/>
          </w:tcPr>
          <w:p w14:paraId="2546E5D7">
            <w:pPr>
              <w:jc w:val="center"/>
              <w:rPr>
                <w:kern w:val="0"/>
                <w:szCs w:val="21"/>
              </w:rPr>
            </w:pPr>
            <w:r>
              <w:rPr>
                <w:kern w:val="0"/>
                <w:szCs w:val="21"/>
              </w:rPr>
              <w:t>起点：116°59′53.496″E, 40°52′42.111″N</w:t>
            </w:r>
          </w:p>
          <w:p w14:paraId="2BEC26B3">
            <w:pPr>
              <w:jc w:val="center"/>
              <w:rPr>
                <w:kern w:val="0"/>
                <w:szCs w:val="21"/>
              </w:rPr>
            </w:pPr>
            <w:r>
              <w:rPr>
                <w:kern w:val="0"/>
                <w:szCs w:val="21"/>
              </w:rPr>
              <w:t>终点：</w:t>
            </w:r>
            <w:r>
              <w:t>117°1′5.259″E, 40°52′37.205″N</w:t>
            </w:r>
          </w:p>
        </w:tc>
        <w:tc>
          <w:tcPr>
            <w:tcW w:w="854" w:type="pct"/>
            <w:shd w:val="clear" w:color="auto" w:fill="auto"/>
            <w:vAlign w:val="center"/>
          </w:tcPr>
          <w:p w14:paraId="1D956058">
            <w:pPr>
              <w:jc w:val="center"/>
              <w:rPr>
                <w:kern w:val="0"/>
                <w:szCs w:val="21"/>
              </w:rPr>
            </w:pPr>
            <w:r>
              <w:rPr>
                <w:rFonts w:hint="eastAsia"/>
                <w:kern w:val="0"/>
                <w:szCs w:val="21"/>
              </w:rPr>
              <w:t>1</w:t>
            </w:r>
            <w:r>
              <w:rPr>
                <w:kern w:val="0"/>
                <w:szCs w:val="21"/>
              </w:rPr>
              <w:t>.76</w:t>
            </w:r>
          </w:p>
        </w:tc>
        <w:tc>
          <w:tcPr>
            <w:tcW w:w="1246" w:type="pct"/>
            <w:shd w:val="clear" w:color="auto" w:fill="auto"/>
            <w:vAlign w:val="center"/>
          </w:tcPr>
          <w:p w14:paraId="069DD61B">
            <w:pPr>
              <w:jc w:val="center"/>
              <w:rPr>
                <w:kern w:val="0"/>
                <w:szCs w:val="21"/>
              </w:rPr>
            </w:pPr>
            <w:r>
              <w:rPr>
                <w:rFonts w:hint="eastAsia"/>
                <w:kern w:val="0"/>
                <w:szCs w:val="21"/>
              </w:rPr>
              <w:t>湿地</w:t>
            </w:r>
          </w:p>
        </w:tc>
      </w:tr>
      <w:tr w14:paraId="1EB24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shd w:val="clear" w:color="auto" w:fill="auto"/>
            <w:vAlign w:val="center"/>
          </w:tcPr>
          <w:p w14:paraId="4F892A28">
            <w:pPr>
              <w:jc w:val="center"/>
              <w:rPr>
                <w:kern w:val="0"/>
                <w:szCs w:val="21"/>
              </w:rPr>
            </w:pPr>
            <w:r>
              <w:rPr>
                <w:rFonts w:hint="eastAsia"/>
                <w:kern w:val="0"/>
                <w:szCs w:val="21"/>
              </w:rPr>
              <w:t>2</w:t>
            </w:r>
          </w:p>
        </w:tc>
        <w:tc>
          <w:tcPr>
            <w:tcW w:w="2476" w:type="pct"/>
          </w:tcPr>
          <w:p w14:paraId="5C231F77">
            <w:pPr>
              <w:jc w:val="center"/>
              <w:rPr>
                <w:kern w:val="0"/>
                <w:szCs w:val="21"/>
              </w:rPr>
            </w:pPr>
            <w:r>
              <w:rPr>
                <w:kern w:val="0"/>
                <w:szCs w:val="21"/>
              </w:rPr>
              <w:t>起点：</w:t>
            </w:r>
            <w:r>
              <w:t>117°3′11.713″E, 40°54′26.461″N</w:t>
            </w:r>
          </w:p>
          <w:p w14:paraId="4A7AF764">
            <w:pPr>
              <w:jc w:val="center"/>
              <w:rPr>
                <w:kern w:val="0"/>
                <w:szCs w:val="21"/>
              </w:rPr>
            </w:pPr>
            <w:r>
              <w:rPr>
                <w:kern w:val="0"/>
                <w:szCs w:val="21"/>
              </w:rPr>
              <w:t>终点：</w:t>
            </w:r>
            <w:r>
              <w:t>117°4′10.035″E, 40°55′11.528″N</w:t>
            </w:r>
          </w:p>
        </w:tc>
        <w:tc>
          <w:tcPr>
            <w:tcW w:w="854" w:type="pct"/>
            <w:shd w:val="clear" w:color="auto" w:fill="auto"/>
            <w:vAlign w:val="center"/>
          </w:tcPr>
          <w:p w14:paraId="6A718507">
            <w:pPr>
              <w:jc w:val="center"/>
              <w:rPr>
                <w:kern w:val="0"/>
                <w:szCs w:val="21"/>
              </w:rPr>
            </w:pPr>
            <w:r>
              <w:rPr>
                <w:rFonts w:hint="eastAsia"/>
                <w:kern w:val="0"/>
                <w:szCs w:val="21"/>
              </w:rPr>
              <w:t>2</w:t>
            </w:r>
            <w:r>
              <w:rPr>
                <w:kern w:val="0"/>
                <w:szCs w:val="21"/>
              </w:rPr>
              <w:t>.11</w:t>
            </w:r>
          </w:p>
        </w:tc>
        <w:tc>
          <w:tcPr>
            <w:tcW w:w="1246" w:type="pct"/>
            <w:shd w:val="clear" w:color="auto" w:fill="auto"/>
            <w:vAlign w:val="center"/>
          </w:tcPr>
          <w:p w14:paraId="2009453F">
            <w:pPr>
              <w:jc w:val="center"/>
              <w:rPr>
                <w:kern w:val="0"/>
                <w:szCs w:val="21"/>
              </w:rPr>
            </w:pPr>
            <w:r>
              <w:rPr>
                <w:rFonts w:hint="eastAsia"/>
                <w:kern w:val="0"/>
                <w:szCs w:val="21"/>
              </w:rPr>
              <w:t>湿地</w:t>
            </w:r>
          </w:p>
        </w:tc>
      </w:tr>
      <w:tr w14:paraId="741CE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shd w:val="clear" w:color="auto" w:fill="auto"/>
            <w:vAlign w:val="center"/>
          </w:tcPr>
          <w:p w14:paraId="37F4E898">
            <w:pPr>
              <w:jc w:val="center"/>
              <w:rPr>
                <w:kern w:val="0"/>
                <w:szCs w:val="21"/>
              </w:rPr>
            </w:pPr>
            <w:r>
              <w:rPr>
                <w:rFonts w:hint="eastAsia"/>
                <w:kern w:val="0"/>
                <w:szCs w:val="21"/>
              </w:rPr>
              <w:t>3</w:t>
            </w:r>
          </w:p>
        </w:tc>
        <w:tc>
          <w:tcPr>
            <w:tcW w:w="2476" w:type="pct"/>
          </w:tcPr>
          <w:p w14:paraId="498BD607">
            <w:pPr>
              <w:jc w:val="center"/>
              <w:rPr>
                <w:kern w:val="0"/>
                <w:szCs w:val="21"/>
              </w:rPr>
            </w:pPr>
            <w:r>
              <w:rPr>
                <w:kern w:val="0"/>
                <w:szCs w:val="21"/>
              </w:rPr>
              <w:t>起点：</w:t>
            </w:r>
            <w:r>
              <w:t>117°2′25.210″E, 40°55′39.077″N</w:t>
            </w:r>
          </w:p>
          <w:p w14:paraId="149E96F9">
            <w:pPr>
              <w:jc w:val="center"/>
              <w:rPr>
                <w:kern w:val="0"/>
                <w:szCs w:val="21"/>
              </w:rPr>
            </w:pPr>
            <w:r>
              <w:rPr>
                <w:kern w:val="0"/>
                <w:szCs w:val="21"/>
              </w:rPr>
              <w:t>终点：</w:t>
            </w:r>
            <w:r>
              <w:t>117°1′34.999″E, 40°55′42.520″N</w:t>
            </w:r>
          </w:p>
        </w:tc>
        <w:tc>
          <w:tcPr>
            <w:tcW w:w="854" w:type="pct"/>
            <w:shd w:val="clear" w:color="auto" w:fill="auto"/>
            <w:vAlign w:val="center"/>
          </w:tcPr>
          <w:p w14:paraId="23128C6D">
            <w:pPr>
              <w:jc w:val="center"/>
              <w:rPr>
                <w:kern w:val="0"/>
                <w:szCs w:val="21"/>
              </w:rPr>
            </w:pPr>
            <w:r>
              <w:rPr>
                <w:rFonts w:hint="eastAsia"/>
                <w:kern w:val="0"/>
                <w:szCs w:val="21"/>
              </w:rPr>
              <w:t>1</w:t>
            </w:r>
            <w:r>
              <w:rPr>
                <w:kern w:val="0"/>
                <w:szCs w:val="21"/>
              </w:rPr>
              <w:t>.60</w:t>
            </w:r>
          </w:p>
        </w:tc>
        <w:tc>
          <w:tcPr>
            <w:tcW w:w="1246" w:type="pct"/>
            <w:shd w:val="clear" w:color="auto" w:fill="auto"/>
            <w:vAlign w:val="center"/>
          </w:tcPr>
          <w:p w14:paraId="19A1ED65">
            <w:pPr>
              <w:jc w:val="center"/>
              <w:rPr>
                <w:kern w:val="0"/>
                <w:szCs w:val="21"/>
              </w:rPr>
            </w:pPr>
            <w:r>
              <w:rPr>
                <w:rFonts w:hint="eastAsia"/>
                <w:kern w:val="0"/>
                <w:szCs w:val="21"/>
              </w:rPr>
              <w:t>湿地</w:t>
            </w:r>
          </w:p>
        </w:tc>
      </w:tr>
      <w:tr w14:paraId="66C1A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shd w:val="clear" w:color="auto" w:fill="auto"/>
            <w:vAlign w:val="center"/>
          </w:tcPr>
          <w:p w14:paraId="14C559A9">
            <w:pPr>
              <w:jc w:val="center"/>
              <w:rPr>
                <w:kern w:val="0"/>
                <w:szCs w:val="21"/>
              </w:rPr>
            </w:pPr>
            <w:r>
              <w:rPr>
                <w:rFonts w:hint="eastAsia"/>
                <w:kern w:val="0"/>
                <w:szCs w:val="21"/>
              </w:rPr>
              <w:t>4</w:t>
            </w:r>
          </w:p>
        </w:tc>
        <w:tc>
          <w:tcPr>
            <w:tcW w:w="2476" w:type="pct"/>
          </w:tcPr>
          <w:p w14:paraId="720D537A">
            <w:pPr>
              <w:jc w:val="center"/>
              <w:rPr>
                <w:kern w:val="0"/>
                <w:szCs w:val="21"/>
              </w:rPr>
            </w:pPr>
            <w:r>
              <w:rPr>
                <w:kern w:val="0"/>
                <w:szCs w:val="21"/>
              </w:rPr>
              <w:t>起点：</w:t>
            </w:r>
            <w:r>
              <w:t>117°3′27.008″E, 40°55′3.268″N</w:t>
            </w:r>
          </w:p>
          <w:p w14:paraId="04485A2C">
            <w:pPr>
              <w:jc w:val="center"/>
              <w:rPr>
                <w:kern w:val="0"/>
                <w:szCs w:val="21"/>
              </w:rPr>
            </w:pPr>
            <w:r>
              <w:rPr>
                <w:kern w:val="0"/>
                <w:szCs w:val="21"/>
              </w:rPr>
              <w:t>终点：</w:t>
            </w:r>
            <w:r>
              <w:t>117°3′28.785″E, 40°54′48.062″N</w:t>
            </w:r>
          </w:p>
        </w:tc>
        <w:tc>
          <w:tcPr>
            <w:tcW w:w="854" w:type="pct"/>
            <w:shd w:val="clear" w:color="auto" w:fill="auto"/>
            <w:vAlign w:val="center"/>
          </w:tcPr>
          <w:p w14:paraId="66B7FE5B">
            <w:pPr>
              <w:jc w:val="center"/>
              <w:rPr>
                <w:kern w:val="0"/>
                <w:szCs w:val="21"/>
              </w:rPr>
            </w:pPr>
            <w:r>
              <w:rPr>
                <w:rFonts w:hint="eastAsia"/>
                <w:kern w:val="0"/>
                <w:szCs w:val="21"/>
              </w:rPr>
              <w:t>0</w:t>
            </w:r>
            <w:r>
              <w:rPr>
                <w:kern w:val="0"/>
                <w:szCs w:val="21"/>
              </w:rPr>
              <w:t>.92</w:t>
            </w:r>
          </w:p>
        </w:tc>
        <w:tc>
          <w:tcPr>
            <w:tcW w:w="1246" w:type="pct"/>
            <w:shd w:val="clear" w:color="auto" w:fill="auto"/>
            <w:vAlign w:val="center"/>
          </w:tcPr>
          <w:p w14:paraId="3BA5E7FD">
            <w:pPr>
              <w:jc w:val="center"/>
              <w:rPr>
                <w:kern w:val="0"/>
                <w:szCs w:val="21"/>
              </w:rPr>
            </w:pPr>
            <w:r>
              <w:rPr>
                <w:rFonts w:hint="eastAsia"/>
                <w:kern w:val="0"/>
                <w:szCs w:val="21"/>
              </w:rPr>
              <w:t>乔木林</w:t>
            </w:r>
          </w:p>
        </w:tc>
      </w:tr>
      <w:tr w14:paraId="51FD8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shd w:val="clear" w:color="auto" w:fill="auto"/>
            <w:vAlign w:val="center"/>
          </w:tcPr>
          <w:p w14:paraId="2D9F2157">
            <w:pPr>
              <w:jc w:val="center"/>
              <w:rPr>
                <w:kern w:val="0"/>
                <w:szCs w:val="21"/>
              </w:rPr>
            </w:pPr>
            <w:r>
              <w:rPr>
                <w:rFonts w:hint="eastAsia"/>
                <w:kern w:val="0"/>
                <w:szCs w:val="21"/>
              </w:rPr>
              <w:t>5</w:t>
            </w:r>
          </w:p>
        </w:tc>
        <w:tc>
          <w:tcPr>
            <w:tcW w:w="2476" w:type="pct"/>
          </w:tcPr>
          <w:p w14:paraId="4CCECE76">
            <w:pPr>
              <w:jc w:val="center"/>
              <w:rPr>
                <w:kern w:val="0"/>
                <w:szCs w:val="21"/>
              </w:rPr>
            </w:pPr>
            <w:r>
              <w:rPr>
                <w:kern w:val="0"/>
                <w:szCs w:val="21"/>
              </w:rPr>
              <w:t>起点：</w:t>
            </w:r>
            <w:r>
              <w:t>117°3′51.843″E, 40°54′39.159″N</w:t>
            </w:r>
          </w:p>
          <w:p w14:paraId="34D36620">
            <w:pPr>
              <w:jc w:val="center"/>
              <w:rPr>
                <w:kern w:val="0"/>
                <w:szCs w:val="21"/>
              </w:rPr>
            </w:pPr>
            <w:r>
              <w:rPr>
                <w:kern w:val="0"/>
                <w:szCs w:val="21"/>
              </w:rPr>
              <w:t>终点：</w:t>
            </w:r>
            <w:r>
              <w:t>117°4′12.353″E, 40°54′26.753″N</w:t>
            </w:r>
          </w:p>
        </w:tc>
        <w:tc>
          <w:tcPr>
            <w:tcW w:w="854" w:type="pct"/>
            <w:shd w:val="clear" w:color="auto" w:fill="auto"/>
            <w:vAlign w:val="center"/>
          </w:tcPr>
          <w:p w14:paraId="2D01AAA0">
            <w:pPr>
              <w:jc w:val="center"/>
              <w:rPr>
                <w:kern w:val="0"/>
                <w:szCs w:val="21"/>
              </w:rPr>
            </w:pPr>
            <w:r>
              <w:rPr>
                <w:rFonts w:hint="eastAsia"/>
                <w:kern w:val="0"/>
                <w:szCs w:val="21"/>
              </w:rPr>
              <w:t>1</w:t>
            </w:r>
            <w:r>
              <w:rPr>
                <w:kern w:val="0"/>
                <w:szCs w:val="21"/>
              </w:rPr>
              <w:t>.13</w:t>
            </w:r>
          </w:p>
        </w:tc>
        <w:tc>
          <w:tcPr>
            <w:tcW w:w="1246" w:type="pct"/>
            <w:shd w:val="clear" w:color="auto" w:fill="auto"/>
            <w:vAlign w:val="center"/>
          </w:tcPr>
          <w:p w14:paraId="33FB7D2A">
            <w:pPr>
              <w:jc w:val="center"/>
              <w:rPr>
                <w:kern w:val="0"/>
                <w:szCs w:val="21"/>
              </w:rPr>
            </w:pPr>
            <w:r>
              <w:rPr>
                <w:rFonts w:hint="eastAsia"/>
                <w:kern w:val="0"/>
                <w:szCs w:val="21"/>
              </w:rPr>
              <w:t>乔木林</w:t>
            </w:r>
          </w:p>
        </w:tc>
      </w:tr>
      <w:tr w14:paraId="3E161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shd w:val="clear" w:color="auto" w:fill="auto"/>
            <w:vAlign w:val="center"/>
          </w:tcPr>
          <w:p w14:paraId="0552BD00">
            <w:pPr>
              <w:jc w:val="center"/>
              <w:rPr>
                <w:kern w:val="0"/>
                <w:szCs w:val="21"/>
              </w:rPr>
            </w:pPr>
            <w:r>
              <w:rPr>
                <w:rFonts w:hint="eastAsia"/>
                <w:kern w:val="0"/>
                <w:szCs w:val="21"/>
              </w:rPr>
              <w:t>6</w:t>
            </w:r>
          </w:p>
        </w:tc>
        <w:tc>
          <w:tcPr>
            <w:tcW w:w="2476" w:type="pct"/>
          </w:tcPr>
          <w:p w14:paraId="52296E4F">
            <w:pPr>
              <w:jc w:val="center"/>
            </w:pPr>
            <w:r>
              <w:rPr>
                <w:kern w:val="0"/>
                <w:szCs w:val="21"/>
              </w:rPr>
              <w:t>起点：</w:t>
            </w:r>
            <w:r>
              <w:t>117°2′24.148″E, 40°53′31.927″N</w:t>
            </w:r>
          </w:p>
          <w:p w14:paraId="1A79A737">
            <w:pPr>
              <w:jc w:val="center"/>
              <w:rPr>
                <w:kern w:val="0"/>
                <w:szCs w:val="21"/>
              </w:rPr>
            </w:pPr>
            <w:r>
              <w:rPr>
                <w:kern w:val="0"/>
                <w:szCs w:val="21"/>
              </w:rPr>
              <w:t>终点：</w:t>
            </w:r>
            <w:r>
              <w:t>117°2′17.833″E, 40°53′22.452″N</w:t>
            </w:r>
          </w:p>
        </w:tc>
        <w:tc>
          <w:tcPr>
            <w:tcW w:w="854" w:type="pct"/>
            <w:shd w:val="clear" w:color="auto" w:fill="auto"/>
            <w:vAlign w:val="center"/>
          </w:tcPr>
          <w:p w14:paraId="4810ACA4">
            <w:pPr>
              <w:jc w:val="center"/>
              <w:rPr>
                <w:kern w:val="0"/>
                <w:szCs w:val="21"/>
              </w:rPr>
            </w:pPr>
            <w:r>
              <w:rPr>
                <w:rFonts w:hint="eastAsia"/>
                <w:kern w:val="0"/>
                <w:szCs w:val="21"/>
              </w:rPr>
              <w:t>0</w:t>
            </w:r>
            <w:r>
              <w:rPr>
                <w:kern w:val="0"/>
                <w:szCs w:val="21"/>
              </w:rPr>
              <w:t>.89</w:t>
            </w:r>
          </w:p>
        </w:tc>
        <w:tc>
          <w:tcPr>
            <w:tcW w:w="1246" w:type="pct"/>
            <w:shd w:val="clear" w:color="auto" w:fill="auto"/>
            <w:vAlign w:val="center"/>
          </w:tcPr>
          <w:p w14:paraId="42BBEA3E">
            <w:pPr>
              <w:jc w:val="center"/>
              <w:rPr>
                <w:kern w:val="0"/>
                <w:szCs w:val="21"/>
              </w:rPr>
            </w:pPr>
            <w:r>
              <w:rPr>
                <w:rFonts w:hint="eastAsia"/>
                <w:kern w:val="0"/>
                <w:szCs w:val="21"/>
              </w:rPr>
              <w:t>乔木林</w:t>
            </w:r>
          </w:p>
        </w:tc>
      </w:tr>
      <w:tr w14:paraId="54218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shd w:val="clear" w:color="auto" w:fill="auto"/>
            <w:vAlign w:val="center"/>
          </w:tcPr>
          <w:p w14:paraId="718E5DAE">
            <w:pPr>
              <w:jc w:val="center"/>
              <w:rPr>
                <w:kern w:val="0"/>
                <w:szCs w:val="21"/>
              </w:rPr>
            </w:pPr>
            <w:r>
              <w:rPr>
                <w:rFonts w:hint="eastAsia"/>
                <w:kern w:val="0"/>
                <w:szCs w:val="21"/>
              </w:rPr>
              <w:t>7</w:t>
            </w:r>
          </w:p>
        </w:tc>
        <w:tc>
          <w:tcPr>
            <w:tcW w:w="2476" w:type="pct"/>
          </w:tcPr>
          <w:p w14:paraId="7DACD4EB">
            <w:pPr>
              <w:jc w:val="center"/>
            </w:pPr>
            <w:r>
              <w:rPr>
                <w:kern w:val="0"/>
                <w:szCs w:val="21"/>
              </w:rPr>
              <w:t>起点：</w:t>
            </w:r>
            <w:r>
              <w:t>116°59′28.236″E, 40°52′51.865″N</w:t>
            </w:r>
          </w:p>
          <w:p w14:paraId="6A712D2F">
            <w:pPr>
              <w:jc w:val="center"/>
              <w:rPr>
                <w:kern w:val="0"/>
                <w:szCs w:val="21"/>
              </w:rPr>
            </w:pPr>
            <w:r>
              <w:rPr>
                <w:kern w:val="0"/>
                <w:szCs w:val="21"/>
              </w:rPr>
              <w:t>终点：</w:t>
            </w:r>
            <w:r>
              <w:t>116°59′39.823″E, 40°52′20.616″N</w:t>
            </w:r>
          </w:p>
        </w:tc>
        <w:tc>
          <w:tcPr>
            <w:tcW w:w="854" w:type="pct"/>
            <w:shd w:val="clear" w:color="auto" w:fill="auto"/>
            <w:vAlign w:val="center"/>
          </w:tcPr>
          <w:p w14:paraId="12DF60FC">
            <w:pPr>
              <w:jc w:val="center"/>
              <w:rPr>
                <w:kern w:val="0"/>
                <w:szCs w:val="21"/>
              </w:rPr>
            </w:pPr>
            <w:r>
              <w:rPr>
                <w:rFonts w:hint="eastAsia"/>
                <w:kern w:val="0"/>
                <w:szCs w:val="21"/>
              </w:rPr>
              <w:t>1</w:t>
            </w:r>
            <w:r>
              <w:rPr>
                <w:kern w:val="0"/>
                <w:szCs w:val="21"/>
              </w:rPr>
              <w:t>.12</w:t>
            </w:r>
          </w:p>
        </w:tc>
        <w:tc>
          <w:tcPr>
            <w:tcW w:w="1246" w:type="pct"/>
            <w:shd w:val="clear" w:color="auto" w:fill="auto"/>
            <w:vAlign w:val="center"/>
          </w:tcPr>
          <w:p w14:paraId="1E984F28">
            <w:pPr>
              <w:jc w:val="center"/>
              <w:rPr>
                <w:kern w:val="0"/>
                <w:szCs w:val="21"/>
              </w:rPr>
            </w:pPr>
            <w:r>
              <w:rPr>
                <w:rFonts w:hint="eastAsia"/>
                <w:kern w:val="0"/>
                <w:szCs w:val="21"/>
              </w:rPr>
              <w:t>灌草丛</w:t>
            </w:r>
          </w:p>
        </w:tc>
      </w:tr>
      <w:tr w14:paraId="0EDC3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shd w:val="clear" w:color="auto" w:fill="auto"/>
            <w:vAlign w:val="center"/>
          </w:tcPr>
          <w:p w14:paraId="2448E011">
            <w:pPr>
              <w:jc w:val="center"/>
              <w:rPr>
                <w:kern w:val="0"/>
                <w:szCs w:val="21"/>
              </w:rPr>
            </w:pPr>
            <w:r>
              <w:rPr>
                <w:rFonts w:hint="eastAsia"/>
                <w:kern w:val="0"/>
                <w:szCs w:val="21"/>
              </w:rPr>
              <w:t>8</w:t>
            </w:r>
          </w:p>
        </w:tc>
        <w:tc>
          <w:tcPr>
            <w:tcW w:w="2476" w:type="pct"/>
          </w:tcPr>
          <w:p w14:paraId="1AC8B96E">
            <w:pPr>
              <w:jc w:val="center"/>
            </w:pPr>
            <w:r>
              <w:rPr>
                <w:kern w:val="0"/>
                <w:szCs w:val="21"/>
              </w:rPr>
              <w:t>起点：</w:t>
            </w:r>
            <w:r>
              <w:t>117°2′22.584″E, 40°54′38.896″N</w:t>
            </w:r>
          </w:p>
          <w:p w14:paraId="217E6EDB">
            <w:pPr>
              <w:jc w:val="center"/>
              <w:rPr>
                <w:kern w:val="0"/>
                <w:szCs w:val="21"/>
              </w:rPr>
            </w:pPr>
            <w:r>
              <w:rPr>
                <w:kern w:val="0"/>
                <w:szCs w:val="21"/>
              </w:rPr>
              <w:t>终点：</w:t>
            </w:r>
            <w:r>
              <w:t>117°1′48.595″E, 40°53′58.670″N</w:t>
            </w:r>
          </w:p>
        </w:tc>
        <w:tc>
          <w:tcPr>
            <w:tcW w:w="854" w:type="pct"/>
            <w:shd w:val="clear" w:color="auto" w:fill="auto"/>
            <w:vAlign w:val="center"/>
          </w:tcPr>
          <w:p w14:paraId="0A6F7C63">
            <w:pPr>
              <w:jc w:val="center"/>
              <w:rPr>
                <w:kern w:val="0"/>
                <w:szCs w:val="21"/>
              </w:rPr>
            </w:pPr>
            <w:r>
              <w:rPr>
                <w:rFonts w:hint="eastAsia"/>
                <w:kern w:val="0"/>
                <w:szCs w:val="21"/>
              </w:rPr>
              <w:t>1</w:t>
            </w:r>
            <w:r>
              <w:rPr>
                <w:kern w:val="0"/>
                <w:szCs w:val="21"/>
              </w:rPr>
              <w:t>.47</w:t>
            </w:r>
          </w:p>
        </w:tc>
        <w:tc>
          <w:tcPr>
            <w:tcW w:w="1246" w:type="pct"/>
            <w:shd w:val="clear" w:color="auto" w:fill="auto"/>
            <w:vAlign w:val="center"/>
          </w:tcPr>
          <w:p w14:paraId="7203979C">
            <w:pPr>
              <w:jc w:val="center"/>
              <w:rPr>
                <w:kern w:val="0"/>
                <w:szCs w:val="21"/>
              </w:rPr>
            </w:pPr>
            <w:r>
              <w:rPr>
                <w:rFonts w:hint="eastAsia"/>
                <w:kern w:val="0"/>
                <w:szCs w:val="21"/>
              </w:rPr>
              <w:t>灌草丛</w:t>
            </w:r>
          </w:p>
        </w:tc>
      </w:tr>
      <w:tr w14:paraId="6A062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shd w:val="clear" w:color="auto" w:fill="auto"/>
            <w:vAlign w:val="center"/>
          </w:tcPr>
          <w:p w14:paraId="32424E80">
            <w:pPr>
              <w:jc w:val="center"/>
              <w:rPr>
                <w:kern w:val="0"/>
                <w:szCs w:val="21"/>
              </w:rPr>
            </w:pPr>
            <w:r>
              <w:rPr>
                <w:rFonts w:hint="eastAsia"/>
                <w:kern w:val="0"/>
                <w:szCs w:val="21"/>
              </w:rPr>
              <w:t>9</w:t>
            </w:r>
          </w:p>
        </w:tc>
        <w:tc>
          <w:tcPr>
            <w:tcW w:w="2476" w:type="pct"/>
          </w:tcPr>
          <w:p w14:paraId="34CA648F">
            <w:pPr>
              <w:jc w:val="center"/>
            </w:pPr>
            <w:r>
              <w:rPr>
                <w:kern w:val="0"/>
                <w:szCs w:val="21"/>
              </w:rPr>
              <w:t>起点：</w:t>
            </w:r>
            <w:r>
              <w:t>117°2′51.745″E, 40°55′18.649″N</w:t>
            </w:r>
          </w:p>
          <w:p w14:paraId="5380968B">
            <w:pPr>
              <w:jc w:val="center"/>
              <w:rPr>
                <w:kern w:val="0"/>
                <w:szCs w:val="21"/>
              </w:rPr>
            </w:pPr>
            <w:r>
              <w:rPr>
                <w:kern w:val="0"/>
                <w:szCs w:val="21"/>
              </w:rPr>
              <w:t>终点：</w:t>
            </w:r>
            <w:r>
              <w:t>117°3′43.925″E, 40°55′10.740″N</w:t>
            </w:r>
          </w:p>
        </w:tc>
        <w:tc>
          <w:tcPr>
            <w:tcW w:w="854" w:type="pct"/>
            <w:shd w:val="clear" w:color="auto" w:fill="auto"/>
            <w:vAlign w:val="center"/>
          </w:tcPr>
          <w:p w14:paraId="071C2F1C">
            <w:pPr>
              <w:jc w:val="center"/>
              <w:rPr>
                <w:kern w:val="0"/>
                <w:szCs w:val="21"/>
              </w:rPr>
            </w:pPr>
            <w:r>
              <w:rPr>
                <w:rFonts w:hint="eastAsia"/>
                <w:kern w:val="0"/>
                <w:szCs w:val="21"/>
              </w:rPr>
              <w:t>1</w:t>
            </w:r>
            <w:r>
              <w:rPr>
                <w:kern w:val="0"/>
                <w:szCs w:val="21"/>
              </w:rPr>
              <w:t>.35</w:t>
            </w:r>
          </w:p>
        </w:tc>
        <w:tc>
          <w:tcPr>
            <w:tcW w:w="1246" w:type="pct"/>
            <w:shd w:val="clear" w:color="auto" w:fill="auto"/>
            <w:vAlign w:val="center"/>
          </w:tcPr>
          <w:p w14:paraId="5F480C21">
            <w:pPr>
              <w:jc w:val="center"/>
              <w:rPr>
                <w:kern w:val="0"/>
                <w:szCs w:val="21"/>
              </w:rPr>
            </w:pPr>
            <w:r>
              <w:rPr>
                <w:rFonts w:hint="eastAsia"/>
                <w:kern w:val="0"/>
                <w:szCs w:val="21"/>
              </w:rPr>
              <w:t>灌草丛</w:t>
            </w:r>
          </w:p>
        </w:tc>
      </w:tr>
    </w:tbl>
    <w:p w14:paraId="06078E04">
      <w:pPr>
        <w:pStyle w:val="85"/>
        <w:ind w:firstLine="480"/>
        <w:rPr>
          <w:bCs/>
          <w:kern w:val="0"/>
        </w:rPr>
      </w:pPr>
      <w:r>
        <w:rPr>
          <w:bCs/>
          <w:kern w:val="0"/>
        </w:rPr>
        <w:t>（</w:t>
      </w:r>
      <w:r>
        <w:rPr>
          <w:rFonts w:hint="eastAsia"/>
          <w:bCs/>
          <w:kern w:val="0"/>
        </w:rPr>
        <w:t>4</w:t>
      </w:r>
      <w:r>
        <w:rPr>
          <w:bCs/>
          <w:kern w:val="0"/>
        </w:rPr>
        <w:t>）</w:t>
      </w:r>
      <w:r>
        <w:rPr>
          <w:rFonts w:hint="eastAsia"/>
          <w:bCs/>
          <w:kern w:val="0"/>
        </w:rPr>
        <w:t>水生生物调查</w:t>
      </w:r>
    </w:p>
    <w:p w14:paraId="6ADFEA32">
      <w:pPr>
        <w:pStyle w:val="85"/>
        <w:ind w:firstLine="480"/>
        <w:rPr>
          <w:kern w:val="0"/>
        </w:rPr>
      </w:pPr>
      <w:r>
        <w:rPr>
          <w:rFonts w:hint="eastAsia"/>
          <w:kern w:val="0"/>
        </w:rPr>
        <w:t xml:space="preserve">水生生物野外调查方法主要依据《渔业生态环境监测规范第3部分：淡水》（SC/T 9102.3-2007）、《生物多样性观测技术导则 </w:t>
      </w:r>
      <w:r>
        <w:rPr>
          <w:kern w:val="0"/>
        </w:rPr>
        <w:t xml:space="preserve"> </w:t>
      </w:r>
      <w:r>
        <w:rPr>
          <w:rFonts w:hint="eastAsia"/>
          <w:kern w:val="0"/>
        </w:rPr>
        <w:t>内陆水域鱼类》（HJ 710.7-2014）等的相关要求进行。</w:t>
      </w:r>
    </w:p>
    <w:p w14:paraId="2B286997">
      <w:pPr>
        <w:pStyle w:val="85"/>
        <w:ind w:firstLine="480"/>
        <w:rPr>
          <w:bCs/>
          <w:kern w:val="0"/>
        </w:rPr>
      </w:pPr>
      <w:r>
        <w:rPr>
          <w:rFonts w:hint="eastAsia"/>
          <w:bCs/>
          <w:kern w:val="0"/>
        </w:rPr>
        <w:t>1）浮游植物</w:t>
      </w:r>
    </w:p>
    <w:p w14:paraId="48678F36">
      <w:pPr>
        <w:pStyle w:val="85"/>
        <w:ind w:firstLine="480"/>
        <w:rPr>
          <w:kern w:val="0"/>
        </w:rPr>
      </w:pPr>
      <w:r>
        <w:rPr>
          <w:rFonts w:hint="eastAsia"/>
          <w:kern w:val="0"/>
        </w:rPr>
        <w:t>浮游植物定量样品采集方法如下：采集1升水样加入鲁哥氏液固定，静置48小时后，用虹吸管吸取转移掉上清液，把沉淀物转入50mL塑料标本瓶中，定容到30mL保存，待分析鉴定。定性样品采集方法如下：将25#定性网缚于长2米的竹竿上，将网置于待测水中，使网口在水面以下深约50厘米处，做“∞”形反复拖曳，拖曳速度每秒约20-30厘米，时间为3-5分钟。然后将网提起抖动，待水滤去后，打开集中杯，倒入贴有标签的标本瓶中。用4％福尔马林液固定样品，带到实验室后进行属种鉴定。</w:t>
      </w:r>
    </w:p>
    <w:p w14:paraId="47EDDDCA">
      <w:pPr>
        <w:pStyle w:val="85"/>
        <w:ind w:firstLine="480"/>
        <w:rPr>
          <w:kern w:val="0"/>
        </w:rPr>
      </w:pPr>
      <w:r>
        <w:rPr>
          <w:rFonts w:hint="eastAsia"/>
          <w:kern w:val="0"/>
        </w:rPr>
        <w:t>浮游植物的计数方法参照《淡水浮游生物研究方法》进行。浮游藻类的鉴定在显微镜下，根据《中国淡水藻类》（胡鸿均等，1980，2006）、《中国淡水藻类志》（施之新，2004）和《水生生物监测》（国家环境保护总局，1993）等文献进行，同时进行计数。分析时取均匀样品0.1mL滴于0.1mL显微镜计数框中，在400倍显微镜下进行镜检和计数。每个水样需要重复计数两次，当两次数量之差不大于15%时进行计数，否则需要进行下一次计数，取多次计数的平均数作为该样点的显微镜计数。每1L水样中浮游藻类的细胞数以细胞密度（N）表示：</w:t>
      </w:r>
    </w:p>
    <w:p w14:paraId="0B6259B0">
      <w:pPr>
        <w:pStyle w:val="85"/>
        <w:spacing w:line="240" w:lineRule="auto"/>
        <w:ind w:firstLine="482"/>
        <w:jc w:val="center"/>
        <w:rPr>
          <w:kern w:val="0"/>
        </w:rPr>
      </w:pPr>
      <w:r>
        <w:rPr>
          <w:rFonts w:eastAsia="仿宋_GB2312"/>
          <w:b/>
          <w:kern w:val="0"/>
          <w:position w:val="-30"/>
        </w:rPr>
        <w:drawing>
          <wp:inline distT="0" distB="0" distL="0" distR="0">
            <wp:extent cx="1034415" cy="54419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3" cstate="print"/>
                    <a:srcRect/>
                    <a:stretch>
                      <a:fillRect/>
                    </a:stretch>
                  </pic:blipFill>
                  <pic:spPr>
                    <a:xfrm>
                      <a:off x="0" y="0"/>
                      <a:ext cx="1050318" cy="552577"/>
                    </a:xfrm>
                    <a:prstGeom prst="rect">
                      <a:avLst/>
                    </a:prstGeom>
                    <a:noFill/>
                    <a:ln>
                      <a:noFill/>
                    </a:ln>
                  </pic:spPr>
                </pic:pic>
              </a:graphicData>
            </a:graphic>
          </wp:inline>
        </w:drawing>
      </w:r>
    </w:p>
    <w:p w14:paraId="57177D78">
      <w:pPr>
        <w:pStyle w:val="85"/>
        <w:ind w:firstLine="480"/>
        <w:rPr>
          <w:kern w:val="0"/>
        </w:rPr>
      </w:pPr>
      <w:r>
        <w:rPr>
          <w:kern w:val="0"/>
        </w:rPr>
        <w:t>其中：A为记数框面积（mm</w:t>
      </w:r>
      <w:r>
        <w:rPr>
          <w:kern w:val="0"/>
          <w:vertAlign w:val="superscript"/>
        </w:rPr>
        <w:t>2</w:t>
      </w:r>
      <w:r>
        <w:rPr>
          <w:kern w:val="0"/>
        </w:rPr>
        <w:t>），Ac为计数面积（mm</w:t>
      </w:r>
      <w:r>
        <w:rPr>
          <w:kern w:val="0"/>
          <w:vertAlign w:val="superscript"/>
        </w:rPr>
        <w:t>2</w:t>
      </w:r>
      <w:r>
        <w:rPr>
          <w:kern w:val="0"/>
        </w:rPr>
        <w:t>，即视野面积×视野数）、Vw为1L水样经沉淀浓缩后的样品体积（m</w:t>
      </w:r>
      <w:r>
        <w:rPr>
          <w:rFonts w:hint="eastAsia"/>
          <w:kern w:val="0"/>
        </w:rPr>
        <w:t>L</w:t>
      </w:r>
      <w:r>
        <w:rPr>
          <w:kern w:val="0"/>
        </w:rPr>
        <w:t>）、V为记数框的体积（m</w:t>
      </w:r>
      <w:r>
        <w:rPr>
          <w:rFonts w:hint="eastAsia"/>
          <w:kern w:val="0"/>
        </w:rPr>
        <w:t>L</w:t>
      </w:r>
      <w:r>
        <w:rPr>
          <w:kern w:val="0"/>
        </w:rPr>
        <w:t>）、n为计数所得浮游藻类个体数。浮游植物计数单位用细胞个数表示。对不易用细胞数表示的群体或丝状体，可求出平均细胞数。</w:t>
      </w:r>
    </w:p>
    <w:p w14:paraId="3B3537D7">
      <w:pPr>
        <w:pStyle w:val="85"/>
        <w:ind w:firstLine="480"/>
        <w:rPr>
          <w:kern w:val="0"/>
        </w:rPr>
      </w:pPr>
      <w:r>
        <w:rPr>
          <w:kern w:val="0"/>
        </w:rPr>
        <w:t>由于藻类的比重接近于1，故可以直接由藻类的体积换算为生物量，生物量为各种浮游藻类的数量乘以各自的平均体积。因浮游植物因季节不同或地域的差别，则体积也不尽相同。但条件不具备时，可依据资料求得：即将每种浮游植物定量计数的个体数量与该种的平均湿重相乘即可得其生物量。再将各类浮游植物的生物量相加，即为浮游植物总生物量。浮游动物定量样品用采水器取上、中、下层混合水样20L，用25#浮游生物网过滤后，甲醛溶液固定待检。</w:t>
      </w:r>
    </w:p>
    <w:p w14:paraId="03AC0561">
      <w:pPr>
        <w:pStyle w:val="85"/>
        <w:ind w:firstLine="480"/>
        <w:rPr>
          <w:bCs/>
          <w:kern w:val="0"/>
        </w:rPr>
      </w:pPr>
      <w:r>
        <w:rPr>
          <w:rFonts w:hint="eastAsia"/>
          <w:bCs/>
          <w:kern w:val="0"/>
        </w:rPr>
        <w:t>（2）浮游动物</w:t>
      </w:r>
    </w:p>
    <w:p w14:paraId="79571EA5">
      <w:pPr>
        <w:pStyle w:val="85"/>
        <w:ind w:firstLine="480"/>
        <w:rPr>
          <w:kern w:val="0"/>
        </w:rPr>
      </w:pPr>
      <w:r>
        <w:rPr>
          <w:rFonts w:hint="eastAsia"/>
          <w:kern w:val="0"/>
        </w:rPr>
        <w:t>浮游动物的采样方法参照《淡水浮游生物研究方法》。定量样品采集方法如下：轮虫标本采集取1升水样加入鲁哥氏液固定，静置24小时后，用虹吸管吸取转移掉上清液，把沉淀物转入50mL塑料标本瓶中，定容到30mL。桡足类和枝角类的定量样品通过取20L水样用25号（孔径64μm）浓缩过滤的方法收集到50mL塑料标本瓶中，现场加10%福尔马林溶液10mL固定保存。浮游动物定性样品采集方法与上述浮游植物的定性采集方法相同，网具为13#定性网。</w:t>
      </w:r>
    </w:p>
    <w:p w14:paraId="1E3F99ED">
      <w:pPr>
        <w:pStyle w:val="85"/>
        <w:ind w:firstLine="480"/>
        <w:rPr>
          <w:kern w:val="0"/>
        </w:rPr>
      </w:pPr>
      <w:r>
        <w:rPr>
          <w:rFonts w:hint="eastAsia"/>
          <w:kern w:val="0"/>
        </w:rPr>
        <w:t>浮游动物的计数方法参照《淡水浮游生物研究方法》进行。计数轮虫时，取沉淀好的水样</w:t>
      </w:r>
      <w:r>
        <w:rPr>
          <w:kern w:val="0"/>
        </w:rPr>
        <w:t>1mL</w:t>
      </w:r>
      <w:r>
        <w:rPr>
          <w:rFonts w:hint="eastAsia"/>
          <w:kern w:val="0"/>
        </w:rPr>
        <w:t>全片计数。计数枝角类和桡足类时，将过滤采集的浮游动物样品使用虎红染色</w:t>
      </w:r>
      <w:r>
        <w:rPr>
          <w:kern w:val="0"/>
        </w:rPr>
        <w:t>24</w:t>
      </w:r>
      <w:r>
        <w:rPr>
          <w:rFonts w:hint="eastAsia"/>
          <w:kern w:val="0"/>
        </w:rPr>
        <w:t>小时，在缓慢的自来水水流下用孔径</w:t>
      </w:r>
      <w:r>
        <w:rPr>
          <w:kern w:val="0"/>
        </w:rPr>
        <w:t>0.038μm</w:t>
      </w:r>
      <w:r>
        <w:rPr>
          <w:rFonts w:hint="eastAsia"/>
          <w:kern w:val="0"/>
        </w:rPr>
        <w:t>的不锈钢网筛（直径</w:t>
      </w:r>
      <w:r>
        <w:rPr>
          <w:kern w:val="0"/>
        </w:rPr>
        <w:t>10cm</w:t>
      </w:r>
      <w:r>
        <w:rPr>
          <w:rFonts w:hint="eastAsia"/>
          <w:kern w:val="0"/>
        </w:rPr>
        <w:t>）冲洗干净福尔马林，然后转移到</w:t>
      </w:r>
      <w:r>
        <w:rPr>
          <w:kern w:val="0"/>
        </w:rPr>
        <w:t>10mL</w:t>
      </w:r>
      <w:r>
        <w:rPr>
          <w:rFonts w:hint="eastAsia"/>
          <w:kern w:val="0"/>
        </w:rPr>
        <w:t>浮游动物计数板上全部计数。把个体数换算成生物量（湿重）时，每只轮虫为</w:t>
      </w:r>
      <w:r>
        <w:rPr>
          <w:kern w:val="0"/>
        </w:rPr>
        <w:t>0.0012mg</w:t>
      </w:r>
      <w:r>
        <w:rPr>
          <w:rFonts w:hint="eastAsia"/>
          <w:kern w:val="0"/>
        </w:rPr>
        <w:t>，枝角类为</w:t>
      </w:r>
      <w:r>
        <w:rPr>
          <w:kern w:val="0"/>
        </w:rPr>
        <w:t>0.02mg</w:t>
      </w:r>
      <w:r>
        <w:rPr>
          <w:rFonts w:hint="eastAsia"/>
          <w:kern w:val="0"/>
        </w:rPr>
        <w:t>，桡足类成虫为</w:t>
      </w:r>
      <w:r>
        <w:rPr>
          <w:kern w:val="0"/>
        </w:rPr>
        <w:t>0.007mg</w:t>
      </w:r>
      <w:r>
        <w:rPr>
          <w:rFonts w:hint="eastAsia"/>
          <w:kern w:val="0"/>
        </w:rPr>
        <w:t>，无节幼体为</w:t>
      </w:r>
      <w:r>
        <w:rPr>
          <w:kern w:val="0"/>
        </w:rPr>
        <w:t>0.003mg</w:t>
      </w:r>
      <w:r>
        <w:rPr>
          <w:rFonts w:hint="eastAsia"/>
          <w:kern w:val="0"/>
        </w:rPr>
        <w:t>。浮游动物种类鉴定参考《中国淡水轮虫志》《中国动物志</w:t>
      </w:r>
      <w:r>
        <w:rPr>
          <w:kern w:val="0"/>
        </w:rPr>
        <w:t>∙</w:t>
      </w:r>
      <w:r>
        <w:rPr>
          <w:rFonts w:hint="eastAsia"/>
          <w:kern w:val="0"/>
        </w:rPr>
        <w:t>淡水枝角类》和《中国动物志</w:t>
      </w:r>
      <w:r>
        <w:rPr>
          <w:kern w:val="0"/>
        </w:rPr>
        <w:t>∙</w:t>
      </w:r>
      <w:r>
        <w:rPr>
          <w:rFonts w:hint="eastAsia"/>
          <w:kern w:val="0"/>
        </w:rPr>
        <w:t>淡水桡足类》。</w:t>
      </w:r>
    </w:p>
    <w:p w14:paraId="0900E7DA">
      <w:pPr>
        <w:pStyle w:val="85"/>
        <w:ind w:firstLine="480"/>
        <w:rPr>
          <w:bCs/>
          <w:kern w:val="0"/>
        </w:rPr>
      </w:pPr>
      <w:r>
        <w:rPr>
          <w:rFonts w:hint="eastAsia"/>
          <w:bCs/>
          <w:kern w:val="0"/>
        </w:rPr>
        <w:t>（3）着生藻类</w:t>
      </w:r>
    </w:p>
    <w:p w14:paraId="02CB4601">
      <w:pPr>
        <w:pStyle w:val="85"/>
        <w:ind w:firstLine="480"/>
        <w:rPr>
          <w:kern w:val="0"/>
        </w:rPr>
      </w:pPr>
      <w:r>
        <w:rPr>
          <w:rFonts w:hint="eastAsia"/>
          <w:kern w:val="0"/>
        </w:rPr>
        <w:t>在采样点50m范围内，依据河流生境的不同（流速、水深和透明度），挑选3个石块，用底面直径5.5cm培养皿盖划定取样范围，用硬毛刷刮取该范围内着生藻，用纯净水冲刷至小塑料盆中，移到塑料样品瓶中用4%甲醛保存，作为着生藻类的定量样品。对于没有石头的点位，刷取枯枝、落叶等基质的着生藻类样品。</w:t>
      </w:r>
    </w:p>
    <w:p w14:paraId="4B49437E">
      <w:pPr>
        <w:pStyle w:val="85"/>
        <w:ind w:firstLine="480"/>
        <w:rPr>
          <w:kern w:val="0"/>
        </w:rPr>
      </w:pPr>
      <w:r>
        <w:rPr>
          <w:rFonts w:hint="eastAsia"/>
          <w:kern w:val="0"/>
        </w:rPr>
        <w:t>样品运回实验室后，进行酸化处理(浓硝酸和浓硫酸体积比为1:1)，并制成硅藻封片，在1000倍光学显微镜下进行鉴定计数，每张封片观察到的硅藻细胞个数不少于400个。</w:t>
      </w:r>
    </w:p>
    <w:p w14:paraId="54AF1C48">
      <w:pPr>
        <w:pStyle w:val="85"/>
        <w:ind w:firstLine="480"/>
        <w:rPr>
          <w:bCs/>
          <w:kern w:val="0"/>
        </w:rPr>
      </w:pPr>
      <w:r>
        <w:rPr>
          <w:rFonts w:hint="eastAsia"/>
          <w:bCs/>
          <w:kern w:val="0"/>
        </w:rPr>
        <w:t>（4）底栖动物</w:t>
      </w:r>
    </w:p>
    <w:p w14:paraId="5CDCC907">
      <w:pPr>
        <w:pStyle w:val="85"/>
        <w:ind w:firstLine="480"/>
        <w:rPr>
          <w:kern w:val="0"/>
        </w:rPr>
      </w:pPr>
      <w:r>
        <w:rPr>
          <w:rFonts w:hint="eastAsia"/>
          <w:kern w:val="0"/>
        </w:rPr>
        <w:t>底栖动物调查根据生态环境部发布的《河流水生态环境质量监测与评价技术指南》进行样点设定和样品采集、分拣、鉴定与统计分析。采集位点和断面依据水体环境状况和形态特征一字布设。在每个采样点或采集断面，基于不同水深、流速和流态，选择多种微型生境（如植物区、砾石区、腐泥区等），用D形网（0.09m</w:t>
      </w:r>
      <w:r>
        <w:rPr>
          <w:rFonts w:hint="eastAsia"/>
          <w:kern w:val="0"/>
          <w:vertAlign w:val="superscript"/>
        </w:rPr>
        <w:t>2</w:t>
      </w:r>
      <w:r>
        <w:rPr>
          <w:rFonts w:hint="eastAsia"/>
          <w:kern w:val="0"/>
        </w:rPr>
        <w:t>，网目尺寸450</w:t>
      </w:r>
      <w:r>
        <w:rPr>
          <w:kern w:val="0"/>
        </w:rPr>
        <w:t>μm</w:t>
      </w:r>
      <w:r>
        <w:rPr>
          <w:rFonts w:hint="eastAsia"/>
          <w:kern w:val="0"/>
        </w:rPr>
        <w:t>）沿河流约100m河段采集2</w:t>
      </w:r>
      <w:r>
        <w:rPr>
          <w:kern w:val="0"/>
        </w:rPr>
        <w:t>-</w:t>
      </w:r>
      <w:r>
        <w:rPr>
          <w:rFonts w:hint="eastAsia"/>
          <w:kern w:val="0"/>
        </w:rPr>
        <w:t>3个样品，混合后在采样现场清洗干净，淘洗后剩余物质单独保存在自封袋中并标准完整样点信息和采样时间，置于放有冰块的保温箱中带回实验室或野外实验室。将样品倒入事先准备好的白色解剖盘内，并用清水将样品袋中残留物全部冲洗进样品盘中，然后用眼科镊手工将其中的底栖动物挑拣出来放入样品瓶，并加70%乙醇或5%甲醛溶液保存，待鉴定。在实验室内，样品经冲洗后在解剖显微镜（Olympus®SZ61）和显微镜（Olympus®BX53）下根据相关鉴定资料进行分类鉴定至最低分类单元，利用成像系统对每个种类形态和主要特征拍照。每个样品鉴定完毕后，计算每个种类数量，同时用吸水纸吸干表面水分后称取重量，再根据采样面积换算成每个样点每种的密度（ind</w:t>
      </w:r>
      <w:r>
        <w:rPr>
          <w:kern w:val="0"/>
        </w:rPr>
        <w:t>.</w:t>
      </w:r>
      <w:r>
        <w:rPr>
          <w:rFonts w:hint="eastAsia"/>
          <w:kern w:val="0"/>
        </w:rPr>
        <w:t>/m</w:t>
      </w:r>
      <w:r>
        <w:rPr>
          <w:rFonts w:hint="eastAsia"/>
          <w:kern w:val="0"/>
          <w:vertAlign w:val="superscript"/>
        </w:rPr>
        <w:t>2</w:t>
      </w:r>
      <w:r>
        <w:rPr>
          <w:rFonts w:hint="eastAsia"/>
          <w:kern w:val="0"/>
        </w:rPr>
        <w:t>）和生物量（g/m</w:t>
      </w:r>
      <w:r>
        <w:rPr>
          <w:rFonts w:hint="eastAsia"/>
          <w:kern w:val="0"/>
          <w:vertAlign w:val="superscript"/>
        </w:rPr>
        <w:t>2</w:t>
      </w:r>
      <w:r>
        <w:rPr>
          <w:rFonts w:hint="eastAsia"/>
          <w:kern w:val="0"/>
        </w:rPr>
        <w:t>），并根据对应统计公式计算多样性指数等。</w:t>
      </w:r>
    </w:p>
    <w:p w14:paraId="1D18E757">
      <w:pPr>
        <w:pStyle w:val="85"/>
        <w:ind w:firstLine="480"/>
        <w:rPr>
          <w:bCs/>
          <w:kern w:val="0"/>
        </w:rPr>
      </w:pPr>
      <w:r>
        <w:rPr>
          <w:rFonts w:hint="eastAsia"/>
          <w:bCs/>
          <w:kern w:val="0"/>
        </w:rPr>
        <w:t>（</w:t>
      </w:r>
      <w:r>
        <w:rPr>
          <w:bCs/>
          <w:kern w:val="0"/>
        </w:rPr>
        <w:t>5</w:t>
      </w:r>
      <w:r>
        <w:rPr>
          <w:rFonts w:hint="eastAsia"/>
          <w:bCs/>
          <w:kern w:val="0"/>
        </w:rPr>
        <w:t>）</w:t>
      </w:r>
      <w:r>
        <w:rPr>
          <w:bCs/>
          <w:kern w:val="0"/>
        </w:rPr>
        <w:t>水生维管束植物</w:t>
      </w:r>
    </w:p>
    <w:p w14:paraId="5F6FA741">
      <w:pPr>
        <w:pStyle w:val="85"/>
        <w:ind w:firstLine="480"/>
        <w:rPr>
          <w:kern w:val="0"/>
        </w:rPr>
      </w:pPr>
      <w:r>
        <w:rPr>
          <w:rFonts w:hint="eastAsia"/>
          <w:kern w:val="0"/>
        </w:rPr>
        <w:t>采用样方法对植物群落特征进行调查，在评价区内进行随机取1m×1m小样方，分别记录群落物种、多度、盖度和其它群落特征以及群落分布的环境特征，每种群落重复取样</w:t>
      </w:r>
      <w:r>
        <w:rPr>
          <w:kern w:val="0"/>
        </w:rPr>
        <w:t>5</w:t>
      </w:r>
      <w:r>
        <w:rPr>
          <w:rFonts w:hint="eastAsia"/>
          <w:kern w:val="0"/>
        </w:rPr>
        <w:t>次，掌握湿地植物群落的垂直分布格局。根据高等植物分类工具书《中国植物志》及《中国水生高等植物图说》对采集到的植物标本进行鉴定。</w:t>
      </w:r>
    </w:p>
    <w:p w14:paraId="597060B9">
      <w:pPr>
        <w:pStyle w:val="85"/>
        <w:ind w:firstLine="480"/>
        <w:rPr>
          <w:bCs/>
          <w:kern w:val="0"/>
        </w:rPr>
      </w:pPr>
      <w:r>
        <w:rPr>
          <w:rFonts w:hint="eastAsia"/>
          <w:bCs/>
          <w:kern w:val="0"/>
        </w:rPr>
        <w:t>（6）鱼类</w:t>
      </w:r>
    </w:p>
    <w:p w14:paraId="473B7991">
      <w:pPr>
        <w:pStyle w:val="85"/>
        <w:ind w:firstLine="480"/>
        <w:rPr>
          <w:kern w:val="0"/>
        </w:rPr>
      </w:pPr>
      <w:r>
        <w:rPr>
          <w:rFonts w:hint="eastAsia"/>
          <w:kern w:val="0"/>
        </w:rPr>
        <w:t>采用自主捕捞结合调查走访的方法，对该区域范围内的鱼类资源进行全面调查。采集鱼类标本、收集相关资料并做好记录。自主捕捞使用的渔具主要为刺网和地笼，采集鱼类现场鉴定种类，进行全长、体长、体重等生物学测量。现场未能鉴定的种类，使用75%浓度的乙醇固定保存标本，带回室内依据《中国淡水鱼类检索》《中国动物志》《河北动物志：鱼类》《河北省鱼类》及《中国鱼类图鉴》等相关文献进行鉴定。通过对标本的分类鉴定，资料的分析整理，编制出鱼类物种组成名录。对渔获物资料进行整理分析，计算鱼类生物多样性指数，分析流域渔获物数量和重量的组成和占比，判断鱼类资源状况。现场察看、走访沿河居民、渔业部门和主要捕捞人员，并结合沿河鱼类产卵的历史记录，了解不同季节鱼类主要集中地和鱼类种群组成，结合鱼类生物学特性和水文学特征，分析鱼类“三场”分布情况。</w:t>
      </w:r>
    </w:p>
    <w:p w14:paraId="7BFCD07A">
      <w:pPr>
        <w:pStyle w:val="85"/>
        <w:ind w:firstLine="480"/>
        <w:rPr>
          <w:kern w:val="0"/>
        </w:rPr>
      </w:pPr>
      <w:r>
        <w:rPr>
          <w:kern w:val="0"/>
        </w:rPr>
        <w:t>2025</w:t>
      </w:r>
      <w:r>
        <w:rPr>
          <w:rFonts w:hint="eastAsia"/>
          <w:kern w:val="0"/>
        </w:rPr>
        <w:t>年</w:t>
      </w:r>
      <w:r>
        <w:rPr>
          <w:kern w:val="0"/>
        </w:rPr>
        <w:t>5</w:t>
      </w:r>
      <w:r>
        <w:rPr>
          <w:rFonts w:hint="eastAsia"/>
          <w:kern w:val="0"/>
        </w:rPr>
        <w:t>月对评价区内水生生物进行了调查，水生生态调查点位布设情况见下表。</w:t>
      </w:r>
    </w:p>
    <w:p w14:paraId="4DB3C914">
      <w:pPr>
        <w:pStyle w:val="85"/>
        <w:ind w:firstLine="480"/>
        <w:rPr>
          <w:kern w:val="0"/>
        </w:rPr>
      </w:pPr>
    </w:p>
    <w:p w14:paraId="019BC0B2">
      <w:pPr>
        <w:pStyle w:val="85"/>
        <w:ind w:firstLine="480"/>
        <w:rPr>
          <w:kern w:val="0"/>
        </w:rPr>
      </w:pPr>
    </w:p>
    <w:p w14:paraId="2CD6CB90">
      <w:pPr>
        <w:jc w:val="center"/>
        <w:rPr>
          <w:rFonts w:eastAsia="黑体"/>
          <w:kern w:val="0"/>
          <w:sz w:val="24"/>
          <w:szCs w:val="21"/>
        </w:rPr>
      </w:pPr>
      <w:r>
        <w:rPr>
          <w:kern w:val="0"/>
          <w:sz w:val="24"/>
        </w:rPr>
        <w:t>表</w:t>
      </w:r>
      <w:r>
        <w:rPr>
          <w:kern w:val="0"/>
          <w:sz w:val="24"/>
        </w:rPr>
        <w:fldChar w:fldCharType="begin"/>
      </w:r>
      <w:r>
        <w:rPr>
          <w:kern w:val="0"/>
          <w:sz w:val="24"/>
        </w:rPr>
        <w:instrText xml:space="preserve"> STYLEREF 1 \s </w:instrText>
      </w:r>
      <w:r>
        <w:rPr>
          <w:kern w:val="0"/>
          <w:sz w:val="24"/>
        </w:rPr>
        <w:fldChar w:fldCharType="separate"/>
      </w:r>
      <w:r>
        <w:rPr>
          <w:kern w:val="0"/>
          <w:sz w:val="24"/>
        </w:rPr>
        <w:t>3</w:t>
      </w:r>
      <w:r>
        <w:rPr>
          <w:kern w:val="0"/>
          <w:sz w:val="24"/>
        </w:rPr>
        <w:fldChar w:fldCharType="end"/>
      </w:r>
      <w:r>
        <w:rPr>
          <w:kern w:val="0"/>
          <w:sz w:val="24"/>
        </w:rPr>
        <w:noBreakHyphen/>
      </w:r>
      <w:r>
        <w:rPr>
          <w:kern w:val="0"/>
          <w:sz w:val="24"/>
        </w:rPr>
        <w:fldChar w:fldCharType="begin"/>
      </w:r>
      <w:r>
        <w:rPr>
          <w:kern w:val="0"/>
          <w:sz w:val="24"/>
        </w:rPr>
        <w:instrText xml:space="preserve"> SEQ 表 \* ARABIC \s 1 </w:instrText>
      </w:r>
      <w:r>
        <w:rPr>
          <w:kern w:val="0"/>
          <w:sz w:val="24"/>
        </w:rPr>
        <w:fldChar w:fldCharType="separate"/>
      </w:r>
      <w:r>
        <w:rPr>
          <w:kern w:val="0"/>
          <w:sz w:val="24"/>
        </w:rPr>
        <w:t>15</w:t>
      </w:r>
      <w:r>
        <w:rPr>
          <w:kern w:val="0"/>
          <w:sz w:val="24"/>
        </w:rPr>
        <w:fldChar w:fldCharType="end"/>
      </w:r>
      <w:r>
        <w:rPr>
          <w:kern w:val="0"/>
          <w:sz w:val="24"/>
        </w:rPr>
        <w:t xml:space="preserve">  </w:t>
      </w:r>
      <w:r>
        <w:rPr>
          <w:rFonts w:hint="eastAsia" w:eastAsia="黑体"/>
          <w:kern w:val="0"/>
          <w:sz w:val="24"/>
          <w:szCs w:val="21"/>
        </w:rPr>
        <w:t>水生生态调查点位布设概况表</w:t>
      </w:r>
    </w:p>
    <w:tbl>
      <w:tblPr>
        <w:tblStyle w:val="6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4226"/>
        <w:gridCol w:w="3436"/>
      </w:tblGrid>
      <w:tr w14:paraId="1C801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shd w:val="clear" w:color="auto" w:fill="auto"/>
            <w:vAlign w:val="center"/>
          </w:tcPr>
          <w:p w14:paraId="474C14E0">
            <w:pPr>
              <w:spacing w:line="276" w:lineRule="auto"/>
              <w:jc w:val="center"/>
              <w:rPr>
                <w:kern w:val="0"/>
                <w:szCs w:val="21"/>
              </w:rPr>
            </w:pPr>
            <w:r>
              <w:rPr>
                <w:rFonts w:hint="eastAsia"/>
                <w:kern w:val="0"/>
                <w:szCs w:val="21"/>
              </w:rPr>
              <w:t>编号</w:t>
            </w:r>
          </w:p>
        </w:tc>
        <w:tc>
          <w:tcPr>
            <w:tcW w:w="2478" w:type="pct"/>
            <w:shd w:val="clear" w:color="auto" w:fill="auto"/>
            <w:vAlign w:val="center"/>
          </w:tcPr>
          <w:p w14:paraId="4CC9ACBE">
            <w:pPr>
              <w:spacing w:line="276" w:lineRule="auto"/>
              <w:jc w:val="center"/>
              <w:rPr>
                <w:kern w:val="0"/>
                <w:szCs w:val="21"/>
              </w:rPr>
            </w:pPr>
            <w:r>
              <w:rPr>
                <w:rFonts w:hint="eastAsia"/>
                <w:kern w:val="0"/>
                <w:szCs w:val="21"/>
              </w:rPr>
              <w:t>中心坐标（°）</w:t>
            </w:r>
          </w:p>
        </w:tc>
        <w:tc>
          <w:tcPr>
            <w:tcW w:w="2015" w:type="pct"/>
            <w:shd w:val="clear" w:color="auto" w:fill="auto"/>
            <w:vAlign w:val="center"/>
          </w:tcPr>
          <w:p w14:paraId="6FF4C6EB">
            <w:pPr>
              <w:spacing w:line="276" w:lineRule="auto"/>
              <w:jc w:val="center"/>
              <w:rPr>
                <w:kern w:val="0"/>
                <w:szCs w:val="21"/>
              </w:rPr>
            </w:pPr>
            <w:r>
              <w:rPr>
                <w:rFonts w:hint="eastAsia"/>
                <w:kern w:val="0"/>
                <w:szCs w:val="21"/>
              </w:rPr>
              <w:t>地理位置</w:t>
            </w:r>
          </w:p>
        </w:tc>
      </w:tr>
      <w:tr w14:paraId="07CDC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shd w:val="clear" w:color="auto" w:fill="auto"/>
            <w:vAlign w:val="center"/>
          </w:tcPr>
          <w:p w14:paraId="787F48FB">
            <w:pPr>
              <w:spacing w:line="276" w:lineRule="auto"/>
              <w:jc w:val="center"/>
              <w:rPr>
                <w:kern w:val="0"/>
                <w:szCs w:val="21"/>
              </w:rPr>
            </w:pPr>
            <w:r>
              <w:rPr>
                <w:rFonts w:hint="eastAsia"/>
                <w:kern w:val="0"/>
                <w:szCs w:val="21"/>
              </w:rPr>
              <w:t>1#</w:t>
            </w:r>
          </w:p>
        </w:tc>
        <w:tc>
          <w:tcPr>
            <w:tcW w:w="2478" w:type="pct"/>
            <w:shd w:val="clear" w:color="auto" w:fill="auto"/>
            <w:vAlign w:val="center"/>
          </w:tcPr>
          <w:p w14:paraId="461FB86C">
            <w:pPr>
              <w:spacing w:line="276" w:lineRule="auto"/>
              <w:jc w:val="center"/>
              <w:rPr>
                <w:kern w:val="0"/>
                <w:szCs w:val="21"/>
              </w:rPr>
            </w:pPr>
            <w:r>
              <w:rPr>
                <w:rFonts w:hint="eastAsia"/>
                <w:kern w:val="0"/>
                <w:szCs w:val="21"/>
              </w:rPr>
              <w:t>117°2′56.959″E, 40°55′33.844″N</w:t>
            </w:r>
          </w:p>
        </w:tc>
        <w:tc>
          <w:tcPr>
            <w:tcW w:w="2015" w:type="pct"/>
            <w:shd w:val="clear" w:color="auto" w:fill="auto"/>
            <w:vAlign w:val="center"/>
          </w:tcPr>
          <w:p w14:paraId="49F2EF29">
            <w:pPr>
              <w:spacing w:line="276" w:lineRule="auto"/>
              <w:jc w:val="center"/>
              <w:rPr>
                <w:kern w:val="0"/>
                <w:szCs w:val="21"/>
              </w:rPr>
            </w:pPr>
            <w:r>
              <w:rPr>
                <w:rFonts w:hint="eastAsia"/>
                <w:kern w:val="0"/>
                <w:szCs w:val="21"/>
              </w:rPr>
              <w:t>前沟门</w:t>
            </w:r>
          </w:p>
        </w:tc>
      </w:tr>
      <w:tr w14:paraId="29836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shd w:val="clear" w:color="auto" w:fill="auto"/>
            <w:vAlign w:val="center"/>
          </w:tcPr>
          <w:p w14:paraId="7D950F3C">
            <w:pPr>
              <w:spacing w:line="276" w:lineRule="auto"/>
              <w:jc w:val="center"/>
              <w:rPr>
                <w:kern w:val="0"/>
                <w:szCs w:val="21"/>
              </w:rPr>
            </w:pPr>
            <w:r>
              <w:rPr>
                <w:rFonts w:hint="eastAsia"/>
                <w:kern w:val="0"/>
                <w:szCs w:val="21"/>
              </w:rPr>
              <w:t>2#</w:t>
            </w:r>
          </w:p>
        </w:tc>
        <w:tc>
          <w:tcPr>
            <w:tcW w:w="2478" w:type="pct"/>
            <w:shd w:val="clear" w:color="auto" w:fill="auto"/>
            <w:vAlign w:val="center"/>
          </w:tcPr>
          <w:p w14:paraId="5A765F17">
            <w:pPr>
              <w:spacing w:line="276" w:lineRule="auto"/>
              <w:jc w:val="center"/>
              <w:rPr>
                <w:kern w:val="0"/>
                <w:szCs w:val="21"/>
              </w:rPr>
            </w:pPr>
            <w:r>
              <w:rPr>
                <w:rFonts w:hint="eastAsia"/>
                <w:kern w:val="0"/>
                <w:szCs w:val="21"/>
              </w:rPr>
              <w:t>117°2′3.890″E, 40°54′15.052″N</w:t>
            </w:r>
          </w:p>
        </w:tc>
        <w:tc>
          <w:tcPr>
            <w:tcW w:w="2015" w:type="pct"/>
            <w:shd w:val="clear" w:color="auto" w:fill="auto"/>
            <w:vAlign w:val="center"/>
          </w:tcPr>
          <w:p w14:paraId="0A2ADD96">
            <w:pPr>
              <w:spacing w:line="276" w:lineRule="auto"/>
              <w:jc w:val="center"/>
              <w:rPr>
                <w:kern w:val="0"/>
                <w:szCs w:val="21"/>
              </w:rPr>
            </w:pPr>
            <w:r>
              <w:rPr>
                <w:rFonts w:hint="eastAsia"/>
                <w:kern w:val="0"/>
                <w:szCs w:val="21"/>
              </w:rPr>
              <w:t>岗子西</w:t>
            </w:r>
          </w:p>
        </w:tc>
      </w:tr>
      <w:tr w14:paraId="09D4A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shd w:val="clear" w:color="auto" w:fill="auto"/>
            <w:vAlign w:val="center"/>
          </w:tcPr>
          <w:p w14:paraId="31869024">
            <w:pPr>
              <w:spacing w:line="276" w:lineRule="auto"/>
              <w:jc w:val="center"/>
              <w:rPr>
                <w:kern w:val="0"/>
                <w:szCs w:val="21"/>
              </w:rPr>
            </w:pPr>
            <w:r>
              <w:rPr>
                <w:rFonts w:hint="eastAsia"/>
                <w:kern w:val="0"/>
                <w:szCs w:val="21"/>
              </w:rPr>
              <w:t>3#</w:t>
            </w:r>
          </w:p>
        </w:tc>
        <w:tc>
          <w:tcPr>
            <w:tcW w:w="2478" w:type="pct"/>
            <w:shd w:val="clear" w:color="auto" w:fill="auto"/>
            <w:vAlign w:val="center"/>
          </w:tcPr>
          <w:p w14:paraId="12547E83">
            <w:pPr>
              <w:spacing w:line="276" w:lineRule="auto"/>
              <w:jc w:val="center"/>
              <w:rPr>
                <w:kern w:val="0"/>
                <w:szCs w:val="21"/>
              </w:rPr>
            </w:pPr>
            <w:r>
              <w:rPr>
                <w:rFonts w:hint="eastAsia"/>
                <w:kern w:val="0"/>
                <w:szCs w:val="21"/>
              </w:rPr>
              <w:t>116°59′58.980″E, 40°52′36.097″N</w:t>
            </w:r>
          </w:p>
        </w:tc>
        <w:tc>
          <w:tcPr>
            <w:tcW w:w="2015" w:type="pct"/>
            <w:shd w:val="clear" w:color="auto" w:fill="auto"/>
            <w:vAlign w:val="center"/>
          </w:tcPr>
          <w:p w14:paraId="4E861B5D">
            <w:pPr>
              <w:spacing w:line="276" w:lineRule="auto"/>
              <w:jc w:val="center"/>
              <w:rPr>
                <w:kern w:val="0"/>
                <w:szCs w:val="21"/>
              </w:rPr>
            </w:pPr>
            <w:r>
              <w:rPr>
                <w:rFonts w:hint="eastAsia"/>
                <w:kern w:val="0"/>
                <w:szCs w:val="21"/>
              </w:rPr>
              <w:t>虎什哈镇南</w:t>
            </w:r>
          </w:p>
        </w:tc>
      </w:tr>
    </w:tbl>
    <w:p w14:paraId="3EE401C9">
      <w:pPr>
        <w:pStyle w:val="85"/>
        <w:ind w:firstLine="480"/>
        <w:rPr>
          <w:kern w:val="0"/>
        </w:rPr>
      </w:pPr>
      <w:r>
        <w:rPr>
          <w:rFonts w:hint="eastAsia"/>
          <w:kern w:val="0"/>
        </w:rPr>
        <w:t>陆生生态和水生生态调查点位路线布设情况见附图。</w:t>
      </w:r>
    </w:p>
    <w:p w14:paraId="156D2370">
      <w:pPr>
        <w:pStyle w:val="5"/>
        <w:rPr>
          <w:kern w:val="0"/>
        </w:rPr>
      </w:pPr>
      <w:r>
        <w:rPr>
          <w:rFonts w:hint="eastAsia"/>
          <w:kern w:val="0"/>
        </w:rPr>
        <w:t>专家</w:t>
      </w:r>
      <w:r>
        <w:rPr>
          <w:kern w:val="0"/>
        </w:rPr>
        <w:t>和公众咨询法</w:t>
      </w:r>
    </w:p>
    <w:p w14:paraId="16F54380">
      <w:pPr>
        <w:pStyle w:val="85"/>
        <w:ind w:firstLine="480"/>
        <w:rPr>
          <w:kern w:val="0"/>
        </w:rPr>
      </w:pPr>
      <w:r>
        <w:rPr>
          <w:rFonts w:hint="eastAsia"/>
          <w:kern w:val="0"/>
        </w:rPr>
        <w:t>咨询有关专家、通过走访当地自然资源和规划局林草相关技术人员及访问当地居民，详细调查两栖、爬行动物、鸟类、哺乳动物种类，并提供图谱予以确认。</w:t>
      </w:r>
    </w:p>
    <w:p w14:paraId="5A2B47BC">
      <w:pPr>
        <w:pStyle w:val="5"/>
        <w:rPr>
          <w:kern w:val="0"/>
        </w:rPr>
      </w:pPr>
      <w:r>
        <w:rPr>
          <w:rFonts w:hint="eastAsia"/>
          <w:kern w:val="0"/>
        </w:rPr>
        <w:t>遥感</w:t>
      </w:r>
      <w:r>
        <w:rPr>
          <w:kern w:val="0"/>
        </w:rPr>
        <w:t>调查</w:t>
      </w:r>
    </w:p>
    <w:p w14:paraId="496BE704">
      <w:pPr>
        <w:pStyle w:val="85"/>
        <w:ind w:firstLine="480"/>
        <w:rPr>
          <w:kern w:val="0"/>
        </w:rPr>
      </w:pPr>
      <w:r>
        <w:rPr>
          <w:rFonts w:hint="eastAsia"/>
          <w:kern w:val="0"/>
        </w:rPr>
        <w:t>采用GPS、RS和GIS相结合的空间信息技术，进行地面类型的数字化判读，完成数字化的植被图和土地利用类型图，进行景观质量和生态环境质量的定性和定量评价。</w:t>
      </w:r>
    </w:p>
    <w:p w14:paraId="4B8A57A0">
      <w:pPr>
        <w:pStyle w:val="85"/>
        <w:ind w:firstLine="480"/>
        <w:rPr>
          <w:kern w:val="0"/>
        </w:rPr>
      </w:pPr>
      <w:r>
        <w:rPr>
          <w:rFonts w:hint="eastAsia"/>
          <w:kern w:val="0"/>
        </w:rPr>
        <w:t>从遥感信息获取的地面覆盖类型，必须在地面调查和历史植被基础上进行综合判读，才能最终赋予生态学的含义。生态环境现状遥感信息提取将以</w:t>
      </w:r>
      <w:r>
        <w:rPr>
          <w:kern w:val="0"/>
        </w:rPr>
        <w:t>2023</w:t>
      </w:r>
      <w:r>
        <w:rPr>
          <w:rFonts w:hint="eastAsia"/>
          <w:kern w:val="0"/>
        </w:rPr>
        <w:t>年高分辨率卫星影像作为主要数据源进行评价范围内土地利用/土地覆被现状解析（包括数据几何校正、地表覆盖分类判读等）。</w:t>
      </w:r>
    </w:p>
    <w:p w14:paraId="1550606E">
      <w:pPr>
        <w:pStyle w:val="85"/>
        <w:ind w:firstLine="480"/>
        <w:rPr>
          <w:kern w:val="0"/>
        </w:rPr>
      </w:pPr>
      <w:r>
        <w:rPr>
          <w:rFonts w:hint="eastAsia"/>
          <w:kern w:val="0"/>
        </w:rPr>
        <w:t>根据评价区生态环境特征，结合遥感手段的优势，对构成生态环境的某一专题要素进行信息提取，分析其现状、变化及趋势。结合地面的GPS样点和等高线、坡度、坡向等信息，对植被图进行目视解译校正，得到符合精度要求的植被图。在植被图的基础上，进一步合并有关地面类型，得到土地利用现状类型图。</w:t>
      </w:r>
    </w:p>
    <w:p w14:paraId="4790247E">
      <w:pPr>
        <w:pStyle w:val="85"/>
        <w:ind w:firstLine="480"/>
        <w:rPr>
          <w:kern w:val="0"/>
        </w:rPr>
      </w:pPr>
      <w:r>
        <w:rPr>
          <w:rFonts w:hint="eastAsia"/>
          <w:kern w:val="0"/>
        </w:rPr>
        <w:t>本次遥感数据采用2</w:t>
      </w:r>
      <w:r>
        <w:rPr>
          <w:kern w:val="0"/>
        </w:rPr>
        <w:t>024</w:t>
      </w:r>
      <w:r>
        <w:rPr>
          <w:rFonts w:hint="eastAsia"/>
          <w:kern w:val="0"/>
        </w:rPr>
        <w:t>年</w:t>
      </w:r>
      <w:r>
        <w:rPr>
          <w:kern w:val="0"/>
        </w:rPr>
        <w:t>8</w:t>
      </w:r>
      <w:r>
        <w:rPr>
          <w:rFonts w:hint="eastAsia"/>
          <w:kern w:val="0"/>
        </w:rPr>
        <w:t>月17日Landsat 8 OLI卫星遥感影像，分辨率为15m。分析方法为首先应用ArcGIS</w:t>
      </w:r>
      <w:r>
        <w:rPr>
          <w:kern w:val="0"/>
        </w:rPr>
        <w:t xml:space="preserve"> 10.8</w:t>
      </w:r>
      <w:r>
        <w:rPr>
          <w:rFonts w:hint="eastAsia"/>
          <w:kern w:val="0"/>
        </w:rPr>
        <w:t>中影像分割与分类工具进行手工解译，然后进行现场校验，土地类型划分参照《土地利用现状分类》（GB</w:t>
      </w:r>
      <w:r>
        <w:rPr>
          <w:kern w:val="0"/>
        </w:rPr>
        <w:t>/</w:t>
      </w:r>
      <w:r>
        <w:rPr>
          <w:rFonts w:hint="eastAsia"/>
          <w:kern w:val="0"/>
        </w:rPr>
        <w:t>T21010-2017），植被类型参照《中国植被》《河北植被》分类系统经综合分析而完成，得到评价区内生态环境研究所需的相关数据和生态图件。其工作程序如下：</w:t>
      </w:r>
    </w:p>
    <w:p w14:paraId="7FD4C904">
      <w:pPr>
        <w:pStyle w:val="278"/>
        <w:keepNext/>
        <w:ind w:firstLine="480"/>
        <w:jc w:val="center"/>
        <w:rPr>
          <w:kern w:val="0"/>
        </w:rPr>
      </w:pPr>
      <w:r>
        <w:rPr>
          <w:kern w:val="0"/>
        </w:rPr>
        <w:drawing>
          <wp:inline distT="0" distB="0" distL="0" distR="0">
            <wp:extent cx="3887470" cy="4643755"/>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4" cstate="print"/>
                    <a:srcRect/>
                    <a:stretch>
                      <a:fillRect/>
                    </a:stretch>
                  </pic:blipFill>
                  <pic:spPr>
                    <a:xfrm>
                      <a:off x="0" y="0"/>
                      <a:ext cx="3887534" cy="4644000"/>
                    </a:xfrm>
                    <a:prstGeom prst="rect">
                      <a:avLst/>
                    </a:prstGeom>
                    <a:noFill/>
                    <a:ln>
                      <a:noFill/>
                    </a:ln>
                  </pic:spPr>
                </pic:pic>
              </a:graphicData>
            </a:graphic>
          </wp:inline>
        </w:drawing>
      </w:r>
    </w:p>
    <w:p w14:paraId="21309717">
      <w:pPr>
        <w:pStyle w:val="229"/>
        <w:rPr>
          <w:kern w:val="0"/>
        </w:rPr>
      </w:pPr>
      <w:r>
        <w:rPr>
          <w:kern w:val="0"/>
          <w:szCs w:val="24"/>
        </w:rPr>
        <w:t>图</w:t>
      </w:r>
      <w:r>
        <w:rPr>
          <w:kern w:val="0"/>
          <w:szCs w:val="24"/>
        </w:rPr>
        <w:fldChar w:fldCharType="begin"/>
      </w:r>
      <w:r>
        <w:rPr>
          <w:kern w:val="0"/>
          <w:szCs w:val="24"/>
        </w:rPr>
        <w:instrText xml:space="preserve"> STYLEREF 1 \s </w:instrText>
      </w:r>
      <w:r>
        <w:rPr>
          <w:kern w:val="0"/>
          <w:szCs w:val="24"/>
        </w:rPr>
        <w:fldChar w:fldCharType="separate"/>
      </w:r>
      <w:r>
        <w:rPr>
          <w:kern w:val="0"/>
          <w:szCs w:val="24"/>
        </w:rPr>
        <w:t>3</w:t>
      </w:r>
      <w:r>
        <w:rPr>
          <w:kern w:val="0"/>
          <w:szCs w:val="24"/>
        </w:rPr>
        <w:fldChar w:fldCharType="end"/>
      </w:r>
      <w:r>
        <w:rPr>
          <w:kern w:val="0"/>
          <w:szCs w:val="24"/>
        </w:rPr>
        <w:noBreakHyphen/>
      </w:r>
      <w:r>
        <w:rPr>
          <w:kern w:val="0"/>
          <w:szCs w:val="24"/>
        </w:rPr>
        <w:fldChar w:fldCharType="begin"/>
      </w:r>
      <w:r>
        <w:rPr>
          <w:kern w:val="0"/>
          <w:szCs w:val="24"/>
        </w:rPr>
        <w:instrText xml:space="preserve"> SEQ 图 \* ARABIC \s 1 </w:instrText>
      </w:r>
      <w:r>
        <w:rPr>
          <w:kern w:val="0"/>
          <w:szCs w:val="24"/>
        </w:rPr>
        <w:fldChar w:fldCharType="separate"/>
      </w:r>
      <w:r>
        <w:rPr>
          <w:kern w:val="0"/>
          <w:szCs w:val="24"/>
        </w:rPr>
        <w:t>2</w:t>
      </w:r>
      <w:r>
        <w:rPr>
          <w:kern w:val="0"/>
          <w:szCs w:val="24"/>
        </w:rPr>
        <w:fldChar w:fldCharType="end"/>
      </w:r>
      <w:r>
        <w:rPr>
          <w:kern w:val="0"/>
          <w:szCs w:val="24"/>
        </w:rPr>
        <w:t xml:space="preserve">  </w:t>
      </w:r>
      <w:r>
        <w:rPr>
          <w:rFonts w:hint="eastAsia"/>
          <w:kern w:val="0"/>
        </w:rPr>
        <w:t>遥感调查工作程序</w:t>
      </w:r>
    </w:p>
    <w:p w14:paraId="602111EA">
      <w:pPr>
        <w:pStyle w:val="5"/>
        <w:rPr>
          <w:kern w:val="0"/>
        </w:rPr>
      </w:pPr>
      <w:r>
        <w:rPr>
          <w:rFonts w:hint="eastAsia"/>
          <w:kern w:val="0"/>
        </w:rPr>
        <w:t>生物量</w:t>
      </w:r>
      <w:r>
        <w:rPr>
          <w:kern w:val="0"/>
        </w:rPr>
        <w:t>调查</w:t>
      </w:r>
    </w:p>
    <w:p w14:paraId="6FB91F90">
      <w:pPr>
        <w:pStyle w:val="85"/>
        <w:ind w:firstLine="480"/>
        <w:rPr>
          <w:kern w:val="0"/>
        </w:rPr>
      </w:pPr>
      <w:bookmarkStart w:id="114" w:name="_Hlk128402353"/>
      <w:r>
        <w:rPr>
          <w:rFonts w:hint="eastAsia"/>
          <w:kern w:val="0"/>
        </w:rPr>
        <w:t>生物量是单位面积上所有生物有机体的干重总量，是生态系统最基本的数量特征，是认识生态系统结构和功能的基础，它不仅反映了生态系统在特定时间段内积累有机物质的能力。也是描述生态系统特征的重要参数。生物量的估算方法很多，主要有皆伐实测法、标准木法和回归估计法和森林蓄积量与生物量的转换模型四种方法。参考《中国不同植被类型净初级生产力变化特征》（陈雅敏等，2012年）、《我国草地生物量研究概述》（刘艾、刘德福，2005年）等资料，计算评价区不同植被的单位面积生物量，最后汇总得出评价区的总生物量。</w:t>
      </w:r>
      <w:bookmarkEnd w:id="114"/>
    </w:p>
    <w:p w14:paraId="2BFCC42F">
      <w:pPr>
        <w:pStyle w:val="4"/>
      </w:pPr>
      <w:r>
        <w:rPr>
          <w:rFonts w:hint="eastAsia"/>
        </w:rPr>
        <w:t>生态</w:t>
      </w:r>
      <w:r>
        <w:t>系统现状</w:t>
      </w:r>
    </w:p>
    <w:p w14:paraId="1AFF1612">
      <w:pPr>
        <w:pStyle w:val="85"/>
        <w:ind w:firstLine="482"/>
        <w:rPr>
          <w:b/>
          <w:bCs/>
          <w:kern w:val="0"/>
        </w:rPr>
      </w:pPr>
      <w:r>
        <w:rPr>
          <w:rFonts w:hint="eastAsia"/>
          <w:b/>
          <w:bCs/>
          <w:kern w:val="0"/>
        </w:rPr>
        <w:t>（1）生态</w:t>
      </w:r>
      <w:r>
        <w:rPr>
          <w:b/>
          <w:bCs/>
          <w:kern w:val="0"/>
        </w:rPr>
        <w:t>系统类型</w:t>
      </w:r>
    </w:p>
    <w:p w14:paraId="46FE5F98">
      <w:pPr>
        <w:pStyle w:val="85"/>
        <w:ind w:firstLine="480"/>
        <w:rPr>
          <w:kern w:val="0"/>
        </w:rPr>
      </w:pPr>
      <w:r>
        <w:rPr>
          <w:rFonts w:hint="eastAsia"/>
          <w:kern w:val="0"/>
        </w:rPr>
        <w:t>参考《全国生态状况调查评估技术规范</w:t>
      </w:r>
      <w:r>
        <w:rPr>
          <w:kern w:val="0"/>
        </w:rPr>
        <w:t xml:space="preserve">  </w:t>
      </w:r>
      <w:r>
        <w:rPr>
          <w:rFonts w:hint="eastAsia"/>
          <w:kern w:val="0"/>
        </w:rPr>
        <w:t>生态系统遥感解译与野外核查》（HJ1</w:t>
      </w:r>
      <w:r>
        <w:rPr>
          <w:kern w:val="0"/>
        </w:rPr>
        <w:t>1</w:t>
      </w:r>
      <w:r>
        <w:rPr>
          <w:rFonts w:hint="eastAsia"/>
          <w:kern w:val="0"/>
        </w:rPr>
        <w:t>66-2021）中分类，根据对评价区内土地利用现状等的分析，结合动植物分布和生物量的调查，对评价区生态环境进行生态系统划分，可分为阔叶林、针叶林、阔叶灌丛、草甸、河流、耕地、居住地、工矿交通8类。</w:t>
      </w:r>
    </w:p>
    <w:p w14:paraId="27A626C2">
      <w:pPr>
        <w:pStyle w:val="85"/>
        <w:ind w:firstLine="480"/>
        <w:rPr>
          <w:kern w:val="0"/>
        </w:rPr>
      </w:pPr>
      <w:r>
        <w:rPr>
          <w:rFonts w:hint="eastAsia"/>
          <w:kern w:val="0"/>
        </w:rPr>
        <w:t>根据遥感解译和现场核查情况，评价区各生态系统情况见下表。</w:t>
      </w:r>
    </w:p>
    <w:p w14:paraId="2C29A078">
      <w:pPr>
        <w:jc w:val="center"/>
        <w:rPr>
          <w:rFonts w:eastAsia="黑体"/>
          <w:kern w:val="0"/>
          <w:sz w:val="24"/>
          <w:szCs w:val="21"/>
        </w:rPr>
      </w:pPr>
      <w:r>
        <w:rPr>
          <w:kern w:val="0"/>
          <w:sz w:val="24"/>
        </w:rPr>
        <w:t>表</w:t>
      </w:r>
      <w:r>
        <w:rPr>
          <w:kern w:val="0"/>
          <w:sz w:val="24"/>
        </w:rPr>
        <w:fldChar w:fldCharType="begin"/>
      </w:r>
      <w:r>
        <w:rPr>
          <w:kern w:val="0"/>
          <w:sz w:val="24"/>
        </w:rPr>
        <w:instrText xml:space="preserve"> STYLEREF 1 \s </w:instrText>
      </w:r>
      <w:r>
        <w:rPr>
          <w:kern w:val="0"/>
          <w:sz w:val="24"/>
        </w:rPr>
        <w:fldChar w:fldCharType="separate"/>
      </w:r>
      <w:r>
        <w:rPr>
          <w:kern w:val="0"/>
          <w:sz w:val="24"/>
        </w:rPr>
        <w:t>3</w:t>
      </w:r>
      <w:r>
        <w:rPr>
          <w:kern w:val="0"/>
          <w:sz w:val="24"/>
        </w:rPr>
        <w:fldChar w:fldCharType="end"/>
      </w:r>
      <w:r>
        <w:rPr>
          <w:kern w:val="0"/>
          <w:sz w:val="24"/>
        </w:rPr>
        <w:noBreakHyphen/>
      </w:r>
      <w:r>
        <w:rPr>
          <w:kern w:val="0"/>
          <w:sz w:val="24"/>
        </w:rPr>
        <w:fldChar w:fldCharType="begin"/>
      </w:r>
      <w:r>
        <w:rPr>
          <w:kern w:val="0"/>
          <w:sz w:val="24"/>
        </w:rPr>
        <w:instrText xml:space="preserve"> SEQ 表 \* ARABIC \s 1 </w:instrText>
      </w:r>
      <w:r>
        <w:rPr>
          <w:kern w:val="0"/>
          <w:sz w:val="24"/>
        </w:rPr>
        <w:fldChar w:fldCharType="separate"/>
      </w:r>
      <w:r>
        <w:rPr>
          <w:kern w:val="0"/>
          <w:sz w:val="24"/>
        </w:rPr>
        <w:t>16</w:t>
      </w:r>
      <w:r>
        <w:rPr>
          <w:kern w:val="0"/>
          <w:sz w:val="24"/>
        </w:rPr>
        <w:fldChar w:fldCharType="end"/>
      </w:r>
      <w:r>
        <w:rPr>
          <w:kern w:val="0"/>
          <w:sz w:val="24"/>
        </w:rPr>
        <w:t xml:space="preserve">  </w:t>
      </w:r>
      <w:bookmarkStart w:id="115" w:name="_Hlk116289586"/>
      <w:r>
        <w:rPr>
          <w:rFonts w:hint="eastAsia" w:eastAsia="黑体"/>
          <w:kern w:val="0"/>
          <w:sz w:val="24"/>
          <w:szCs w:val="21"/>
        </w:rPr>
        <w:t>评价区生态系统类型表</w:t>
      </w:r>
      <w:bookmarkEnd w:id="115"/>
    </w:p>
    <w:tbl>
      <w:tblPr>
        <w:tblStyle w:val="6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
        <w:gridCol w:w="2137"/>
        <w:gridCol w:w="1857"/>
        <w:gridCol w:w="1939"/>
        <w:gridCol w:w="1710"/>
      </w:tblGrid>
      <w:tr w14:paraId="070EC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vMerge w:val="restart"/>
            <w:shd w:val="clear" w:color="auto" w:fill="auto"/>
            <w:vAlign w:val="center"/>
          </w:tcPr>
          <w:p w14:paraId="53FDD3B7">
            <w:pPr>
              <w:jc w:val="center"/>
              <w:rPr>
                <w:kern w:val="0"/>
                <w:szCs w:val="21"/>
              </w:rPr>
            </w:pPr>
            <w:bookmarkStart w:id="116" w:name="_Hlk111822702"/>
            <w:r>
              <w:rPr>
                <w:rFonts w:hint="eastAsia"/>
                <w:kern w:val="0"/>
                <w:szCs w:val="21"/>
              </w:rPr>
              <w:t>序号</w:t>
            </w:r>
          </w:p>
        </w:tc>
        <w:tc>
          <w:tcPr>
            <w:tcW w:w="2342" w:type="pct"/>
            <w:gridSpan w:val="2"/>
            <w:shd w:val="clear" w:color="auto" w:fill="auto"/>
            <w:vAlign w:val="center"/>
          </w:tcPr>
          <w:p w14:paraId="4BAFEF31">
            <w:pPr>
              <w:jc w:val="center"/>
              <w:rPr>
                <w:kern w:val="0"/>
                <w:szCs w:val="21"/>
              </w:rPr>
            </w:pPr>
            <w:r>
              <w:rPr>
                <w:rFonts w:hint="eastAsia"/>
                <w:kern w:val="0"/>
                <w:szCs w:val="21"/>
              </w:rPr>
              <w:t>生态系统类型</w:t>
            </w:r>
          </w:p>
        </w:tc>
        <w:tc>
          <w:tcPr>
            <w:tcW w:w="1137" w:type="pct"/>
            <w:vMerge w:val="restart"/>
            <w:shd w:val="clear" w:color="auto" w:fill="auto"/>
            <w:vAlign w:val="center"/>
          </w:tcPr>
          <w:p w14:paraId="3778113B">
            <w:pPr>
              <w:jc w:val="center"/>
              <w:rPr>
                <w:kern w:val="0"/>
                <w:szCs w:val="21"/>
              </w:rPr>
            </w:pPr>
            <w:r>
              <w:rPr>
                <w:kern w:val="0"/>
                <w:szCs w:val="21"/>
              </w:rPr>
              <w:t>面积（hm</w:t>
            </w:r>
            <w:r>
              <w:rPr>
                <w:kern w:val="0"/>
                <w:szCs w:val="21"/>
                <w:vertAlign w:val="superscript"/>
              </w:rPr>
              <w:t>2</w:t>
            </w:r>
            <w:r>
              <w:rPr>
                <w:kern w:val="0"/>
                <w:szCs w:val="21"/>
              </w:rPr>
              <w:t>）</w:t>
            </w:r>
          </w:p>
        </w:tc>
        <w:tc>
          <w:tcPr>
            <w:tcW w:w="1002" w:type="pct"/>
            <w:vMerge w:val="restart"/>
            <w:shd w:val="clear" w:color="auto" w:fill="auto"/>
            <w:vAlign w:val="center"/>
          </w:tcPr>
          <w:p w14:paraId="1439C387">
            <w:pPr>
              <w:jc w:val="center"/>
              <w:rPr>
                <w:kern w:val="0"/>
                <w:szCs w:val="21"/>
              </w:rPr>
            </w:pPr>
            <w:r>
              <w:rPr>
                <w:kern w:val="0"/>
                <w:szCs w:val="21"/>
              </w:rPr>
              <w:t>比例（%）</w:t>
            </w:r>
          </w:p>
        </w:tc>
      </w:tr>
      <w:tr w14:paraId="0A6AD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vMerge w:val="continue"/>
            <w:shd w:val="clear" w:color="auto" w:fill="auto"/>
            <w:vAlign w:val="center"/>
          </w:tcPr>
          <w:p w14:paraId="5C6614DE">
            <w:pPr>
              <w:jc w:val="center"/>
              <w:rPr>
                <w:kern w:val="0"/>
                <w:szCs w:val="21"/>
              </w:rPr>
            </w:pPr>
          </w:p>
        </w:tc>
        <w:tc>
          <w:tcPr>
            <w:tcW w:w="1253" w:type="pct"/>
            <w:shd w:val="clear" w:color="auto" w:fill="auto"/>
            <w:vAlign w:val="center"/>
          </w:tcPr>
          <w:p w14:paraId="533B6A94">
            <w:pPr>
              <w:jc w:val="center"/>
              <w:rPr>
                <w:kern w:val="0"/>
                <w:szCs w:val="21"/>
              </w:rPr>
            </w:pPr>
            <w:r>
              <w:rPr>
                <w:rFonts w:hint="eastAsia"/>
                <w:kern w:val="0"/>
                <w:szCs w:val="21"/>
              </w:rPr>
              <w:t>Ⅰ级分类</w:t>
            </w:r>
          </w:p>
        </w:tc>
        <w:tc>
          <w:tcPr>
            <w:tcW w:w="1089" w:type="pct"/>
            <w:shd w:val="clear" w:color="auto" w:fill="auto"/>
            <w:vAlign w:val="center"/>
          </w:tcPr>
          <w:p w14:paraId="2974991E">
            <w:pPr>
              <w:jc w:val="center"/>
              <w:rPr>
                <w:kern w:val="0"/>
                <w:szCs w:val="21"/>
              </w:rPr>
            </w:pPr>
            <w:r>
              <w:rPr>
                <w:rFonts w:hint="eastAsia"/>
                <w:kern w:val="0"/>
                <w:szCs w:val="21"/>
              </w:rPr>
              <w:t>Ⅱ级分类</w:t>
            </w:r>
          </w:p>
        </w:tc>
        <w:tc>
          <w:tcPr>
            <w:tcW w:w="1137" w:type="pct"/>
            <w:vMerge w:val="continue"/>
            <w:shd w:val="clear" w:color="auto" w:fill="auto"/>
            <w:vAlign w:val="bottom"/>
          </w:tcPr>
          <w:p w14:paraId="7922D635">
            <w:pPr>
              <w:pStyle w:val="307"/>
              <w:rPr>
                <w:kern w:val="0"/>
                <w:szCs w:val="21"/>
              </w:rPr>
            </w:pPr>
          </w:p>
        </w:tc>
        <w:tc>
          <w:tcPr>
            <w:tcW w:w="1002" w:type="pct"/>
            <w:vMerge w:val="continue"/>
            <w:shd w:val="clear" w:color="auto" w:fill="auto"/>
            <w:vAlign w:val="bottom"/>
          </w:tcPr>
          <w:p w14:paraId="4880A5F1">
            <w:pPr>
              <w:pStyle w:val="307"/>
              <w:rPr>
                <w:kern w:val="0"/>
                <w:szCs w:val="21"/>
              </w:rPr>
            </w:pPr>
          </w:p>
        </w:tc>
      </w:tr>
      <w:tr w14:paraId="3D5FC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shd w:val="clear" w:color="auto" w:fill="auto"/>
            <w:vAlign w:val="center"/>
          </w:tcPr>
          <w:p w14:paraId="40C428A0">
            <w:pPr>
              <w:jc w:val="center"/>
              <w:rPr>
                <w:kern w:val="0"/>
                <w:szCs w:val="21"/>
              </w:rPr>
            </w:pPr>
            <w:r>
              <w:rPr>
                <w:rFonts w:hint="eastAsia"/>
                <w:kern w:val="0"/>
                <w:szCs w:val="21"/>
              </w:rPr>
              <w:t>1</w:t>
            </w:r>
          </w:p>
        </w:tc>
        <w:tc>
          <w:tcPr>
            <w:tcW w:w="1253" w:type="pct"/>
            <w:vMerge w:val="restart"/>
            <w:shd w:val="clear" w:color="auto" w:fill="auto"/>
            <w:vAlign w:val="center"/>
          </w:tcPr>
          <w:p w14:paraId="40574722">
            <w:pPr>
              <w:jc w:val="center"/>
              <w:rPr>
                <w:kern w:val="0"/>
                <w:szCs w:val="21"/>
              </w:rPr>
            </w:pPr>
            <w:r>
              <w:rPr>
                <w:rFonts w:hint="eastAsia"/>
                <w:kern w:val="0"/>
                <w:szCs w:val="21"/>
              </w:rPr>
              <w:t>森林生态系统</w:t>
            </w:r>
          </w:p>
        </w:tc>
        <w:tc>
          <w:tcPr>
            <w:tcW w:w="1089" w:type="pct"/>
            <w:shd w:val="clear" w:color="auto" w:fill="auto"/>
            <w:vAlign w:val="center"/>
          </w:tcPr>
          <w:p w14:paraId="6F50C85A">
            <w:pPr>
              <w:jc w:val="center"/>
              <w:rPr>
                <w:kern w:val="0"/>
                <w:szCs w:val="21"/>
              </w:rPr>
            </w:pPr>
            <w:r>
              <w:rPr>
                <w:rFonts w:hint="eastAsia"/>
                <w:kern w:val="0"/>
                <w:szCs w:val="21"/>
              </w:rPr>
              <w:t>阔叶林</w:t>
            </w:r>
          </w:p>
        </w:tc>
        <w:tc>
          <w:tcPr>
            <w:tcW w:w="1137" w:type="pct"/>
            <w:shd w:val="clear" w:color="auto" w:fill="auto"/>
            <w:vAlign w:val="bottom"/>
          </w:tcPr>
          <w:p w14:paraId="09231F35">
            <w:pPr>
              <w:pStyle w:val="307"/>
              <w:rPr>
                <w:kern w:val="0"/>
                <w:szCs w:val="21"/>
              </w:rPr>
            </w:pPr>
            <w:r>
              <w:rPr>
                <w:rFonts w:hint="eastAsia"/>
              </w:rPr>
              <w:t>432.59</w:t>
            </w:r>
          </w:p>
        </w:tc>
        <w:tc>
          <w:tcPr>
            <w:tcW w:w="1002" w:type="pct"/>
            <w:shd w:val="clear" w:color="auto" w:fill="auto"/>
            <w:vAlign w:val="bottom"/>
          </w:tcPr>
          <w:p w14:paraId="2370E722">
            <w:pPr>
              <w:pStyle w:val="307"/>
              <w:rPr>
                <w:kern w:val="0"/>
                <w:szCs w:val="21"/>
              </w:rPr>
            </w:pPr>
            <w:r>
              <w:rPr>
                <w:rFonts w:hint="eastAsia"/>
              </w:rPr>
              <w:t>17.08</w:t>
            </w:r>
          </w:p>
        </w:tc>
      </w:tr>
      <w:tr w14:paraId="11B87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shd w:val="clear" w:color="auto" w:fill="auto"/>
            <w:vAlign w:val="center"/>
          </w:tcPr>
          <w:p w14:paraId="1DE13E93">
            <w:pPr>
              <w:jc w:val="center"/>
              <w:rPr>
                <w:kern w:val="0"/>
                <w:szCs w:val="21"/>
              </w:rPr>
            </w:pPr>
            <w:r>
              <w:rPr>
                <w:rFonts w:hint="eastAsia"/>
                <w:kern w:val="0"/>
                <w:szCs w:val="21"/>
              </w:rPr>
              <w:t>2</w:t>
            </w:r>
          </w:p>
        </w:tc>
        <w:tc>
          <w:tcPr>
            <w:tcW w:w="1253" w:type="pct"/>
            <w:vMerge w:val="continue"/>
            <w:shd w:val="clear" w:color="auto" w:fill="auto"/>
            <w:vAlign w:val="center"/>
          </w:tcPr>
          <w:p w14:paraId="652A58A1">
            <w:pPr>
              <w:jc w:val="center"/>
              <w:rPr>
                <w:kern w:val="0"/>
                <w:szCs w:val="21"/>
              </w:rPr>
            </w:pPr>
          </w:p>
        </w:tc>
        <w:tc>
          <w:tcPr>
            <w:tcW w:w="1089" w:type="pct"/>
            <w:shd w:val="clear" w:color="auto" w:fill="auto"/>
            <w:vAlign w:val="center"/>
          </w:tcPr>
          <w:p w14:paraId="2497006A">
            <w:pPr>
              <w:jc w:val="center"/>
              <w:rPr>
                <w:kern w:val="0"/>
                <w:szCs w:val="21"/>
              </w:rPr>
            </w:pPr>
            <w:r>
              <w:rPr>
                <w:rFonts w:hint="eastAsia"/>
                <w:kern w:val="0"/>
                <w:szCs w:val="21"/>
              </w:rPr>
              <w:t>针叶林</w:t>
            </w:r>
          </w:p>
        </w:tc>
        <w:tc>
          <w:tcPr>
            <w:tcW w:w="1137" w:type="pct"/>
            <w:shd w:val="clear" w:color="auto" w:fill="auto"/>
            <w:vAlign w:val="bottom"/>
          </w:tcPr>
          <w:p w14:paraId="4FF7B9E0">
            <w:pPr>
              <w:pStyle w:val="307"/>
            </w:pPr>
            <w:r>
              <w:rPr>
                <w:rFonts w:hint="eastAsia"/>
              </w:rPr>
              <w:t>278.47</w:t>
            </w:r>
          </w:p>
        </w:tc>
        <w:tc>
          <w:tcPr>
            <w:tcW w:w="1002" w:type="pct"/>
            <w:shd w:val="clear" w:color="auto" w:fill="auto"/>
            <w:vAlign w:val="bottom"/>
          </w:tcPr>
          <w:p w14:paraId="6DA29845">
            <w:pPr>
              <w:pStyle w:val="307"/>
            </w:pPr>
            <w:r>
              <w:rPr>
                <w:rFonts w:hint="eastAsia"/>
              </w:rPr>
              <w:t>11.00</w:t>
            </w:r>
          </w:p>
        </w:tc>
      </w:tr>
      <w:tr w14:paraId="64535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shd w:val="clear" w:color="auto" w:fill="auto"/>
            <w:vAlign w:val="center"/>
          </w:tcPr>
          <w:p w14:paraId="6DAE1AA5">
            <w:pPr>
              <w:jc w:val="center"/>
              <w:rPr>
                <w:kern w:val="0"/>
                <w:szCs w:val="21"/>
              </w:rPr>
            </w:pPr>
            <w:r>
              <w:rPr>
                <w:rFonts w:hint="eastAsia"/>
                <w:kern w:val="0"/>
                <w:szCs w:val="21"/>
              </w:rPr>
              <w:t>3</w:t>
            </w:r>
          </w:p>
        </w:tc>
        <w:tc>
          <w:tcPr>
            <w:tcW w:w="1253" w:type="pct"/>
            <w:shd w:val="clear" w:color="auto" w:fill="auto"/>
            <w:vAlign w:val="center"/>
          </w:tcPr>
          <w:p w14:paraId="4B411F2E">
            <w:pPr>
              <w:jc w:val="center"/>
              <w:rPr>
                <w:kern w:val="0"/>
                <w:szCs w:val="21"/>
              </w:rPr>
            </w:pPr>
            <w:r>
              <w:rPr>
                <w:rFonts w:hint="eastAsia"/>
                <w:kern w:val="0"/>
                <w:szCs w:val="21"/>
              </w:rPr>
              <w:t>灌丛生态系统</w:t>
            </w:r>
          </w:p>
        </w:tc>
        <w:tc>
          <w:tcPr>
            <w:tcW w:w="1089" w:type="pct"/>
            <w:shd w:val="clear" w:color="auto" w:fill="auto"/>
            <w:vAlign w:val="center"/>
          </w:tcPr>
          <w:p w14:paraId="1C560FA4">
            <w:pPr>
              <w:jc w:val="center"/>
              <w:rPr>
                <w:kern w:val="0"/>
                <w:szCs w:val="21"/>
              </w:rPr>
            </w:pPr>
            <w:r>
              <w:rPr>
                <w:rFonts w:hint="eastAsia"/>
                <w:kern w:val="0"/>
                <w:szCs w:val="21"/>
              </w:rPr>
              <w:t>阔叶灌丛</w:t>
            </w:r>
          </w:p>
        </w:tc>
        <w:tc>
          <w:tcPr>
            <w:tcW w:w="1137" w:type="pct"/>
            <w:shd w:val="clear" w:color="auto" w:fill="auto"/>
            <w:vAlign w:val="bottom"/>
          </w:tcPr>
          <w:p w14:paraId="2CA2B795">
            <w:pPr>
              <w:pStyle w:val="307"/>
            </w:pPr>
            <w:r>
              <w:rPr>
                <w:rFonts w:hint="eastAsia"/>
              </w:rPr>
              <w:t>702.54</w:t>
            </w:r>
          </w:p>
        </w:tc>
        <w:tc>
          <w:tcPr>
            <w:tcW w:w="1002" w:type="pct"/>
            <w:shd w:val="clear" w:color="auto" w:fill="auto"/>
            <w:vAlign w:val="bottom"/>
          </w:tcPr>
          <w:p w14:paraId="7969A106">
            <w:pPr>
              <w:pStyle w:val="307"/>
            </w:pPr>
            <w:r>
              <w:rPr>
                <w:rFonts w:hint="eastAsia"/>
              </w:rPr>
              <w:t>27.75</w:t>
            </w:r>
          </w:p>
        </w:tc>
      </w:tr>
      <w:tr w14:paraId="10DA9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shd w:val="clear" w:color="auto" w:fill="auto"/>
            <w:vAlign w:val="center"/>
          </w:tcPr>
          <w:p w14:paraId="6B69772E">
            <w:pPr>
              <w:jc w:val="center"/>
              <w:rPr>
                <w:kern w:val="0"/>
                <w:szCs w:val="21"/>
              </w:rPr>
            </w:pPr>
            <w:r>
              <w:rPr>
                <w:rFonts w:hint="eastAsia"/>
                <w:kern w:val="0"/>
                <w:szCs w:val="21"/>
              </w:rPr>
              <w:t>4</w:t>
            </w:r>
          </w:p>
        </w:tc>
        <w:tc>
          <w:tcPr>
            <w:tcW w:w="1253" w:type="pct"/>
            <w:shd w:val="clear" w:color="auto" w:fill="auto"/>
            <w:vAlign w:val="center"/>
          </w:tcPr>
          <w:p w14:paraId="480E12F3">
            <w:pPr>
              <w:jc w:val="center"/>
              <w:rPr>
                <w:kern w:val="0"/>
                <w:szCs w:val="21"/>
              </w:rPr>
            </w:pPr>
            <w:r>
              <w:rPr>
                <w:rFonts w:hint="eastAsia"/>
                <w:kern w:val="0"/>
                <w:szCs w:val="21"/>
              </w:rPr>
              <w:t>草地生态系统</w:t>
            </w:r>
          </w:p>
        </w:tc>
        <w:tc>
          <w:tcPr>
            <w:tcW w:w="1089" w:type="pct"/>
            <w:shd w:val="clear" w:color="auto" w:fill="auto"/>
            <w:vAlign w:val="center"/>
          </w:tcPr>
          <w:p w14:paraId="5EF9DC34">
            <w:pPr>
              <w:jc w:val="center"/>
              <w:rPr>
                <w:kern w:val="0"/>
                <w:szCs w:val="21"/>
              </w:rPr>
            </w:pPr>
            <w:r>
              <w:rPr>
                <w:rFonts w:hint="eastAsia"/>
                <w:kern w:val="0"/>
                <w:szCs w:val="21"/>
              </w:rPr>
              <w:t xml:space="preserve">草甸 </w:t>
            </w:r>
          </w:p>
        </w:tc>
        <w:tc>
          <w:tcPr>
            <w:tcW w:w="1137" w:type="pct"/>
            <w:shd w:val="clear" w:color="auto" w:fill="auto"/>
            <w:vAlign w:val="bottom"/>
          </w:tcPr>
          <w:p w14:paraId="32818E42">
            <w:pPr>
              <w:pStyle w:val="307"/>
              <w:rPr>
                <w:kern w:val="0"/>
                <w:szCs w:val="21"/>
                <w:highlight w:val="yellow"/>
              </w:rPr>
            </w:pPr>
            <w:r>
              <w:rPr>
                <w:rFonts w:hint="eastAsia"/>
              </w:rPr>
              <w:t>70.7</w:t>
            </w:r>
          </w:p>
        </w:tc>
        <w:tc>
          <w:tcPr>
            <w:tcW w:w="1002" w:type="pct"/>
            <w:shd w:val="clear" w:color="auto" w:fill="auto"/>
            <w:vAlign w:val="bottom"/>
          </w:tcPr>
          <w:p w14:paraId="2F3B4BE0">
            <w:pPr>
              <w:pStyle w:val="307"/>
              <w:rPr>
                <w:kern w:val="0"/>
                <w:szCs w:val="21"/>
                <w:highlight w:val="yellow"/>
              </w:rPr>
            </w:pPr>
            <w:r>
              <w:rPr>
                <w:rFonts w:hint="eastAsia"/>
              </w:rPr>
              <w:t>2.79</w:t>
            </w:r>
          </w:p>
        </w:tc>
      </w:tr>
      <w:tr w14:paraId="55ADF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shd w:val="clear" w:color="auto" w:fill="auto"/>
            <w:vAlign w:val="center"/>
          </w:tcPr>
          <w:p w14:paraId="2D11D090">
            <w:pPr>
              <w:jc w:val="center"/>
              <w:rPr>
                <w:kern w:val="0"/>
                <w:szCs w:val="21"/>
              </w:rPr>
            </w:pPr>
            <w:r>
              <w:rPr>
                <w:rFonts w:hint="eastAsia"/>
                <w:kern w:val="0"/>
                <w:szCs w:val="21"/>
              </w:rPr>
              <w:t>5</w:t>
            </w:r>
          </w:p>
        </w:tc>
        <w:tc>
          <w:tcPr>
            <w:tcW w:w="1253" w:type="pct"/>
            <w:shd w:val="clear" w:color="auto" w:fill="auto"/>
            <w:vAlign w:val="center"/>
          </w:tcPr>
          <w:p w14:paraId="1F7AF131">
            <w:pPr>
              <w:jc w:val="center"/>
              <w:rPr>
                <w:kern w:val="0"/>
                <w:szCs w:val="21"/>
              </w:rPr>
            </w:pPr>
            <w:r>
              <w:rPr>
                <w:rFonts w:hint="eastAsia"/>
                <w:kern w:val="0"/>
                <w:szCs w:val="21"/>
              </w:rPr>
              <w:t>湿地生态系统</w:t>
            </w:r>
          </w:p>
        </w:tc>
        <w:tc>
          <w:tcPr>
            <w:tcW w:w="1089" w:type="pct"/>
            <w:shd w:val="clear" w:color="auto" w:fill="auto"/>
            <w:vAlign w:val="center"/>
          </w:tcPr>
          <w:p w14:paraId="4A83A636">
            <w:pPr>
              <w:jc w:val="center"/>
              <w:rPr>
                <w:kern w:val="0"/>
                <w:szCs w:val="21"/>
              </w:rPr>
            </w:pPr>
            <w:r>
              <w:rPr>
                <w:rFonts w:hint="eastAsia"/>
                <w:kern w:val="0"/>
                <w:szCs w:val="21"/>
              </w:rPr>
              <w:t>河流</w:t>
            </w:r>
          </w:p>
        </w:tc>
        <w:tc>
          <w:tcPr>
            <w:tcW w:w="1137" w:type="pct"/>
            <w:shd w:val="clear" w:color="auto" w:fill="auto"/>
            <w:vAlign w:val="bottom"/>
          </w:tcPr>
          <w:p w14:paraId="378C5569">
            <w:pPr>
              <w:pStyle w:val="307"/>
              <w:rPr>
                <w:kern w:val="0"/>
                <w:szCs w:val="21"/>
                <w:highlight w:val="yellow"/>
              </w:rPr>
            </w:pPr>
            <w:r>
              <w:rPr>
                <w:rFonts w:hint="eastAsia"/>
              </w:rPr>
              <w:t>178.49</w:t>
            </w:r>
          </w:p>
        </w:tc>
        <w:tc>
          <w:tcPr>
            <w:tcW w:w="1002" w:type="pct"/>
            <w:shd w:val="clear" w:color="auto" w:fill="auto"/>
            <w:vAlign w:val="bottom"/>
          </w:tcPr>
          <w:p w14:paraId="1DB57749">
            <w:pPr>
              <w:pStyle w:val="307"/>
              <w:rPr>
                <w:kern w:val="0"/>
                <w:szCs w:val="21"/>
                <w:highlight w:val="yellow"/>
              </w:rPr>
            </w:pPr>
            <w:r>
              <w:rPr>
                <w:rFonts w:hint="eastAsia"/>
              </w:rPr>
              <w:t>7.05</w:t>
            </w:r>
          </w:p>
        </w:tc>
      </w:tr>
      <w:tr w14:paraId="4FCF2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shd w:val="clear" w:color="auto" w:fill="auto"/>
            <w:vAlign w:val="center"/>
          </w:tcPr>
          <w:p w14:paraId="0D44AC4D">
            <w:pPr>
              <w:jc w:val="center"/>
              <w:rPr>
                <w:kern w:val="0"/>
                <w:szCs w:val="21"/>
              </w:rPr>
            </w:pPr>
            <w:r>
              <w:rPr>
                <w:rFonts w:hint="eastAsia"/>
                <w:kern w:val="0"/>
                <w:szCs w:val="21"/>
              </w:rPr>
              <w:t>6</w:t>
            </w:r>
          </w:p>
        </w:tc>
        <w:tc>
          <w:tcPr>
            <w:tcW w:w="1253" w:type="pct"/>
            <w:shd w:val="clear" w:color="auto" w:fill="auto"/>
            <w:vAlign w:val="center"/>
          </w:tcPr>
          <w:p w14:paraId="1E92AF56">
            <w:pPr>
              <w:jc w:val="center"/>
              <w:rPr>
                <w:kern w:val="0"/>
                <w:szCs w:val="21"/>
              </w:rPr>
            </w:pPr>
            <w:r>
              <w:rPr>
                <w:rFonts w:hint="eastAsia"/>
                <w:kern w:val="0"/>
                <w:szCs w:val="21"/>
              </w:rPr>
              <w:t>农田生态系统</w:t>
            </w:r>
          </w:p>
        </w:tc>
        <w:tc>
          <w:tcPr>
            <w:tcW w:w="1089" w:type="pct"/>
            <w:shd w:val="clear" w:color="auto" w:fill="auto"/>
            <w:vAlign w:val="center"/>
          </w:tcPr>
          <w:p w14:paraId="7C5D33E8">
            <w:pPr>
              <w:jc w:val="center"/>
              <w:rPr>
                <w:kern w:val="0"/>
                <w:szCs w:val="21"/>
              </w:rPr>
            </w:pPr>
            <w:r>
              <w:rPr>
                <w:rFonts w:hint="eastAsia"/>
                <w:kern w:val="0"/>
                <w:szCs w:val="21"/>
              </w:rPr>
              <w:t>耕地</w:t>
            </w:r>
          </w:p>
        </w:tc>
        <w:tc>
          <w:tcPr>
            <w:tcW w:w="1137" w:type="pct"/>
            <w:shd w:val="clear" w:color="auto" w:fill="auto"/>
            <w:vAlign w:val="bottom"/>
          </w:tcPr>
          <w:p w14:paraId="1E9D37EE">
            <w:pPr>
              <w:pStyle w:val="307"/>
              <w:rPr>
                <w:kern w:val="0"/>
                <w:szCs w:val="21"/>
                <w:highlight w:val="yellow"/>
              </w:rPr>
            </w:pPr>
            <w:r>
              <w:rPr>
                <w:rFonts w:hint="eastAsia"/>
              </w:rPr>
              <w:t>770.51</w:t>
            </w:r>
          </w:p>
        </w:tc>
        <w:tc>
          <w:tcPr>
            <w:tcW w:w="1002" w:type="pct"/>
            <w:shd w:val="clear" w:color="auto" w:fill="auto"/>
            <w:vAlign w:val="bottom"/>
          </w:tcPr>
          <w:p w14:paraId="107767A0">
            <w:pPr>
              <w:pStyle w:val="307"/>
              <w:rPr>
                <w:kern w:val="0"/>
                <w:szCs w:val="21"/>
                <w:highlight w:val="yellow"/>
              </w:rPr>
            </w:pPr>
            <w:r>
              <w:rPr>
                <w:rFonts w:hint="eastAsia"/>
              </w:rPr>
              <w:t>30.43</w:t>
            </w:r>
          </w:p>
        </w:tc>
      </w:tr>
      <w:tr w14:paraId="56735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shd w:val="clear" w:color="auto" w:fill="auto"/>
            <w:vAlign w:val="center"/>
          </w:tcPr>
          <w:p w14:paraId="592BA3E1">
            <w:pPr>
              <w:jc w:val="center"/>
              <w:rPr>
                <w:kern w:val="0"/>
                <w:szCs w:val="21"/>
              </w:rPr>
            </w:pPr>
            <w:r>
              <w:rPr>
                <w:rFonts w:hint="eastAsia"/>
                <w:kern w:val="0"/>
                <w:szCs w:val="21"/>
              </w:rPr>
              <w:t>7</w:t>
            </w:r>
          </w:p>
        </w:tc>
        <w:tc>
          <w:tcPr>
            <w:tcW w:w="1253" w:type="pct"/>
            <w:vMerge w:val="restart"/>
            <w:shd w:val="clear" w:color="auto" w:fill="auto"/>
            <w:vAlign w:val="center"/>
          </w:tcPr>
          <w:p w14:paraId="7A3AE007">
            <w:pPr>
              <w:jc w:val="center"/>
              <w:rPr>
                <w:kern w:val="0"/>
                <w:szCs w:val="21"/>
              </w:rPr>
            </w:pPr>
            <w:r>
              <w:rPr>
                <w:rFonts w:hint="eastAsia"/>
                <w:kern w:val="0"/>
                <w:szCs w:val="21"/>
              </w:rPr>
              <w:t>城镇生态系统</w:t>
            </w:r>
          </w:p>
        </w:tc>
        <w:tc>
          <w:tcPr>
            <w:tcW w:w="1089" w:type="pct"/>
            <w:shd w:val="clear" w:color="auto" w:fill="auto"/>
            <w:vAlign w:val="center"/>
          </w:tcPr>
          <w:p w14:paraId="3FB15EF5">
            <w:pPr>
              <w:jc w:val="center"/>
              <w:rPr>
                <w:kern w:val="0"/>
                <w:szCs w:val="21"/>
              </w:rPr>
            </w:pPr>
            <w:r>
              <w:rPr>
                <w:rFonts w:hint="eastAsia"/>
                <w:kern w:val="0"/>
                <w:szCs w:val="21"/>
              </w:rPr>
              <w:t>居住地</w:t>
            </w:r>
          </w:p>
        </w:tc>
        <w:tc>
          <w:tcPr>
            <w:tcW w:w="1137" w:type="pct"/>
            <w:shd w:val="clear" w:color="auto" w:fill="auto"/>
            <w:vAlign w:val="bottom"/>
          </w:tcPr>
          <w:p w14:paraId="1294C4EF">
            <w:pPr>
              <w:pStyle w:val="307"/>
              <w:rPr>
                <w:kern w:val="0"/>
                <w:szCs w:val="21"/>
                <w:highlight w:val="yellow"/>
              </w:rPr>
            </w:pPr>
            <w:r>
              <w:rPr>
                <w:rFonts w:hint="eastAsia"/>
              </w:rPr>
              <w:t>67.48</w:t>
            </w:r>
          </w:p>
        </w:tc>
        <w:tc>
          <w:tcPr>
            <w:tcW w:w="1002" w:type="pct"/>
            <w:shd w:val="clear" w:color="auto" w:fill="auto"/>
            <w:vAlign w:val="bottom"/>
          </w:tcPr>
          <w:p w14:paraId="7053B5D3">
            <w:pPr>
              <w:pStyle w:val="307"/>
              <w:rPr>
                <w:kern w:val="0"/>
                <w:szCs w:val="21"/>
                <w:highlight w:val="yellow"/>
              </w:rPr>
            </w:pPr>
            <w:r>
              <w:rPr>
                <w:rFonts w:hint="eastAsia"/>
              </w:rPr>
              <w:t>2.66</w:t>
            </w:r>
          </w:p>
        </w:tc>
      </w:tr>
      <w:tr w14:paraId="7D94C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shd w:val="clear" w:color="auto" w:fill="auto"/>
            <w:vAlign w:val="center"/>
          </w:tcPr>
          <w:p w14:paraId="22007404">
            <w:pPr>
              <w:jc w:val="center"/>
              <w:rPr>
                <w:kern w:val="0"/>
                <w:szCs w:val="21"/>
              </w:rPr>
            </w:pPr>
            <w:r>
              <w:rPr>
                <w:rFonts w:hint="eastAsia"/>
                <w:kern w:val="0"/>
                <w:szCs w:val="21"/>
              </w:rPr>
              <w:t>8</w:t>
            </w:r>
          </w:p>
        </w:tc>
        <w:tc>
          <w:tcPr>
            <w:tcW w:w="1253" w:type="pct"/>
            <w:vMerge w:val="continue"/>
            <w:shd w:val="clear" w:color="auto" w:fill="auto"/>
            <w:vAlign w:val="center"/>
          </w:tcPr>
          <w:p w14:paraId="066F864A">
            <w:pPr>
              <w:jc w:val="center"/>
              <w:rPr>
                <w:kern w:val="0"/>
                <w:szCs w:val="21"/>
              </w:rPr>
            </w:pPr>
          </w:p>
        </w:tc>
        <w:tc>
          <w:tcPr>
            <w:tcW w:w="1089" w:type="pct"/>
            <w:shd w:val="clear" w:color="auto" w:fill="auto"/>
            <w:vAlign w:val="center"/>
          </w:tcPr>
          <w:p w14:paraId="7F7F6745">
            <w:pPr>
              <w:jc w:val="center"/>
              <w:rPr>
                <w:kern w:val="0"/>
                <w:szCs w:val="21"/>
              </w:rPr>
            </w:pPr>
            <w:r>
              <w:rPr>
                <w:rFonts w:hint="eastAsia"/>
                <w:kern w:val="0"/>
                <w:szCs w:val="21"/>
              </w:rPr>
              <w:t>工矿交通</w:t>
            </w:r>
          </w:p>
        </w:tc>
        <w:tc>
          <w:tcPr>
            <w:tcW w:w="1137" w:type="pct"/>
            <w:shd w:val="clear" w:color="auto" w:fill="auto"/>
            <w:vAlign w:val="bottom"/>
          </w:tcPr>
          <w:p w14:paraId="55A9D094">
            <w:pPr>
              <w:pStyle w:val="307"/>
              <w:rPr>
                <w:kern w:val="0"/>
                <w:szCs w:val="21"/>
                <w:highlight w:val="yellow"/>
              </w:rPr>
            </w:pPr>
            <w:r>
              <w:rPr>
                <w:rFonts w:hint="eastAsia"/>
              </w:rPr>
              <w:t>31.34</w:t>
            </w:r>
          </w:p>
        </w:tc>
        <w:tc>
          <w:tcPr>
            <w:tcW w:w="1002" w:type="pct"/>
            <w:shd w:val="clear" w:color="auto" w:fill="auto"/>
            <w:vAlign w:val="bottom"/>
          </w:tcPr>
          <w:p w14:paraId="6EB3AA2F">
            <w:pPr>
              <w:pStyle w:val="307"/>
              <w:rPr>
                <w:kern w:val="0"/>
                <w:szCs w:val="21"/>
                <w:highlight w:val="yellow"/>
              </w:rPr>
            </w:pPr>
            <w:r>
              <w:rPr>
                <w:rFonts w:hint="eastAsia"/>
              </w:rPr>
              <w:t>1.24</w:t>
            </w:r>
          </w:p>
        </w:tc>
      </w:tr>
      <w:tr w14:paraId="3B3EF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1" w:type="pct"/>
            <w:gridSpan w:val="3"/>
            <w:shd w:val="clear" w:color="auto" w:fill="auto"/>
            <w:vAlign w:val="center"/>
          </w:tcPr>
          <w:p w14:paraId="4F9F999B">
            <w:pPr>
              <w:pStyle w:val="307"/>
            </w:pPr>
            <w:r>
              <w:rPr>
                <w:rFonts w:hint="eastAsia"/>
              </w:rPr>
              <w:t>合计</w:t>
            </w:r>
          </w:p>
        </w:tc>
        <w:tc>
          <w:tcPr>
            <w:tcW w:w="1137" w:type="pct"/>
            <w:shd w:val="clear" w:color="auto" w:fill="auto"/>
            <w:vAlign w:val="bottom"/>
          </w:tcPr>
          <w:p w14:paraId="38D4BBBB">
            <w:pPr>
              <w:pStyle w:val="307"/>
            </w:pPr>
            <w:r>
              <w:rPr>
                <w:rFonts w:hint="eastAsia"/>
              </w:rPr>
              <w:t>2</w:t>
            </w:r>
            <w:r>
              <w:t>532.12</w:t>
            </w:r>
          </w:p>
        </w:tc>
        <w:tc>
          <w:tcPr>
            <w:tcW w:w="1002" w:type="pct"/>
            <w:shd w:val="clear" w:color="auto" w:fill="auto"/>
            <w:vAlign w:val="center"/>
          </w:tcPr>
          <w:p w14:paraId="5432C867">
            <w:pPr>
              <w:pStyle w:val="307"/>
              <w:spacing w:line="240" w:lineRule="auto"/>
              <w:rPr>
                <w:kern w:val="0"/>
                <w:szCs w:val="21"/>
                <w:highlight w:val="yellow"/>
              </w:rPr>
            </w:pPr>
            <w:r>
              <w:rPr>
                <w:rFonts w:hint="eastAsia"/>
                <w:kern w:val="0"/>
                <w:szCs w:val="21"/>
              </w:rPr>
              <w:t>1</w:t>
            </w:r>
            <w:r>
              <w:rPr>
                <w:kern w:val="0"/>
                <w:szCs w:val="21"/>
              </w:rPr>
              <w:t>00</w:t>
            </w:r>
          </w:p>
        </w:tc>
      </w:tr>
      <w:bookmarkEnd w:id="116"/>
    </w:tbl>
    <w:p w14:paraId="7AB9EBA0">
      <w:pPr>
        <w:pStyle w:val="85"/>
        <w:ind w:firstLine="480"/>
        <w:rPr>
          <w:bCs/>
          <w:kern w:val="0"/>
        </w:rPr>
      </w:pPr>
      <w:r>
        <w:rPr>
          <w:bCs/>
          <w:kern w:val="0"/>
        </w:rPr>
        <w:t>1</w:t>
      </w:r>
      <w:r>
        <w:rPr>
          <w:rFonts w:hint="eastAsia"/>
          <w:bCs/>
          <w:kern w:val="0"/>
        </w:rPr>
        <w:t>）森林生态系统</w:t>
      </w:r>
    </w:p>
    <w:p w14:paraId="4991543B">
      <w:pPr>
        <w:pStyle w:val="85"/>
        <w:ind w:firstLine="480"/>
        <w:rPr>
          <w:bCs/>
          <w:kern w:val="0"/>
        </w:rPr>
      </w:pPr>
      <w:r>
        <w:rPr>
          <w:bCs/>
          <w:kern w:val="0"/>
        </w:rPr>
        <w:t>森林生态系统是森林群落与其环境在功能流的作用下形成一定结构、功能和自调控的自然综合体，是陆地生态系统中面积最多、最重要的自然生态系统。评价范围森林生态系统面积为711.06hm</w:t>
      </w:r>
      <w:r>
        <w:rPr>
          <w:bCs/>
          <w:kern w:val="0"/>
          <w:vertAlign w:val="superscript"/>
        </w:rPr>
        <w:t>2</w:t>
      </w:r>
      <w:r>
        <w:rPr>
          <w:bCs/>
          <w:kern w:val="0"/>
        </w:rPr>
        <w:t>，占评价范围总面积的28.08%。</w:t>
      </w:r>
    </w:p>
    <w:p w14:paraId="6759460E">
      <w:pPr>
        <w:pStyle w:val="85"/>
        <w:ind w:firstLine="480"/>
        <w:rPr>
          <w:bCs/>
          <w:kern w:val="0"/>
        </w:rPr>
      </w:pPr>
      <w:r>
        <w:rPr>
          <w:bCs/>
          <w:kern w:val="0"/>
        </w:rPr>
        <w:t>2</w:t>
      </w:r>
      <w:r>
        <w:rPr>
          <w:rFonts w:hint="eastAsia"/>
          <w:bCs/>
          <w:kern w:val="0"/>
        </w:rPr>
        <w:t>）灌丛生态系统</w:t>
      </w:r>
    </w:p>
    <w:p w14:paraId="66E17321">
      <w:pPr>
        <w:pStyle w:val="85"/>
        <w:ind w:firstLine="480"/>
        <w:rPr>
          <w:bCs/>
          <w:kern w:val="0"/>
        </w:rPr>
      </w:pPr>
      <w:r>
        <w:rPr>
          <w:bCs/>
          <w:kern w:val="0"/>
        </w:rPr>
        <w:t>评价范围灌丛生态系统</w:t>
      </w:r>
      <w:r>
        <w:rPr>
          <w:rFonts w:hint="eastAsia"/>
        </w:rPr>
        <w:t>702.54</w:t>
      </w:r>
      <w:r>
        <w:rPr>
          <w:bCs/>
          <w:kern w:val="0"/>
        </w:rPr>
        <w:t>hm</w:t>
      </w:r>
      <w:r>
        <w:rPr>
          <w:bCs/>
          <w:kern w:val="0"/>
          <w:vertAlign w:val="superscript"/>
        </w:rPr>
        <w:t>2</w:t>
      </w:r>
      <w:r>
        <w:rPr>
          <w:bCs/>
          <w:kern w:val="0"/>
        </w:rPr>
        <w:t>，占评价范围总面积的</w:t>
      </w:r>
      <w:r>
        <w:rPr>
          <w:rFonts w:hint="eastAsia"/>
        </w:rPr>
        <w:t>27.75</w:t>
      </w:r>
      <w:r>
        <w:rPr>
          <w:bCs/>
          <w:kern w:val="0"/>
        </w:rPr>
        <w:t>%。根据现场调查，该区域灌丛生态系统主要为荆条灌丛。</w:t>
      </w:r>
    </w:p>
    <w:p w14:paraId="720AB657">
      <w:pPr>
        <w:pStyle w:val="85"/>
        <w:ind w:firstLine="480"/>
        <w:rPr>
          <w:bCs/>
          <w:kern w:val="0"/>
        </w:rPr>
      </w:pPr>
      <w:r>
        <w:rPr>
          <w:bCs/>
          <w:kern w:val="0"/>
        </w:rPr>
        <w:t>3</w:t>
      </w:r>
      <w:r>
        <w:rPr>
          <w:rFonts w:hint="eastAsia"/>
          <w:bCs/>
          <w:kern w:val="0"/>
        </w:rPr>
        <w:t>）草地生态系统</w:t>
      </w:r>
    </w:p>
    <w:p w14:paraId="20022364">
      <w:pPr>
        <w:pStyle w:val="85"/>
        <w:ind w:firstLine="480"/>
        <w:rPr>
          <w:bCs/>
          <w:kern w:val="0"/>
        </w:rPr>
      </w:pPr>
      <w:r>
        <w:rPr>
          <w:rFonts w:hint="eastAsia"/>
          <w:bCs/>
          <w:kern w:val="0"/>
        </w:rPr>
        <w:t>评价区草地生态系统主要为草丛生态系统，主要植被为芦苇和杂类草甸。草地生态系统面积</w:t>
      </w:r>
      <w:r>
        <w:rPr>
          <w:bCs/>
          <w:kern w:val="0"/>
        </w:rPr>
        <w:t>70.7</w:t>
      </w:r>
      <w:r>
        <w:rPr>
          <w:rFonts w:hint="eastAsia"/>
          <w:bCs/>
          <w:kern w:val="0"/>
        </w:rPr>
        <w:t>hm</w:t>
      </w:r>
      <w:r>
        <w:rPr>
          <w:bCs/>
          <w:kern w:val="0"/>
          <w:vertAlign w:val="superscript"/>
        </w:rPr>
        <w:t>2</w:t>
      </w:r>
      <w:r>
        <w:rPr>
          <w:rFonts w:hint="eastAsia"/>
          <w:bCs/>
          <w:kern w:val="0"/>
        </w:rPr>
        <w:t>，占评价区总面积的</w:t>
      </w:r>
      <w:r>
        <w:rPr>
          <w:bCs/>
          <w:kern w:val="0"/>
        </w:rPr>
        <w:t>2.79</w:t>
      </w:r>
      <w:r>
        <w:rPr>
          <w:rFonts w:hint="eastAsia"/>
          <w:bCs/>
          <w:kern w:val="0"/>
        </w:rPr>
        <w:t>%。</w:t>
      </w:r>
    </w:p>
    <w:p w14:paraId="0D146981">
      <w:pPr>
        <w:pStyle w:val="85"/>
        <w:ind w:firstLine="480"/>
        <w:rPr>
          <w:bCs/>
          <w:kern w:val="0"/>
        </w:rPr>
      </w:pPr>
      <w:r>
        <w:rPr>
          <w:bCs/>
          <w:kern w:val="0"/>
        </w:rPr>
        <w:t>3</w:t>
      </w:r>
      <w:r>
        <w:rPr>
          <w:rFonts w:hint="eastAsia"/>
          <w:bCs/>
          <w:kern w:val="0"/>
        </w:rPr>
        <w:t>）湿地生态系统</w:t>
      </w:r>
    </w:p>
    <w:p w14:paraId="632039DA">
      <w:pPr>
        <w:pStyle w:val="85"/>
        <w:ind w:firstLine="480"/>
        <w:rPr>
          <w:bCs/>
          <w:kern w:val="0"/>
        </w:rPr>
      </w:pPr>
      <w:r>
        <w:rPr>
          <w:rFonts w:hint="eastAsia"/>
          <w:bCs/>
          <w:kern w:val="0"/>
        </w:rPr>
        <w:t>评价区湿地生态系统主要包括河流水面及河道内滩地，面积</w:t>
      </w:r>
      <w:r>
        <w:rPr>
          <w:rFonts w:hint="eastAsia"/>
        </w:rPr>
        <w:t>178.49</w:t>
      </w:r>
      <w:r>
        <w:rPr>
          <w:rFonts w:hint="eastAsia"/>
          <w:bCs/>
          <w:kern w:val="0"/>
        </w:rPr>
        <w:t>hm</w:t>
      </w:r>
      <w:r>
        <w:rPr>
          <w:bCs/>
          <w:kern w:val="0"/>
          <w:vertAlign w:val="superscript"/>
        </w:rPr>
        <w:t>2</w:t>
      </w:r>
      <w:r>
        <w:rPr>
          <w:rFonts w:hint="eastAsia"/>
          <w:bCs/>
          <w:kern w:val="0"/>
        </w:rPr>
        <w:t>，占评价区总面积的</w:t>
      </w:r>
      <w:r>
        <w:rPr>
          <w:bCs/>
          <w:kern w:val="0"/>
        </w:rPr>
        <w:t>7.05</w:t>
      </w:r>
      <w:r>
        <w:rPr>
          <w:rFonts w:hint="eastAsia"/>
          <w:bCs/>
          <w:kern w:val="0"/>
        </w:rPr>
        <w:t>%。主要分布在评价中部地区，湿地以河流湿地为主。</w:t>
      </w:r>
    </w:p>
    <w:p w14:paraId="66583EAE">
      <w:pPr>
        <w:pStyle w:val="85"/>
        <w:ind w:firstLine="480"/>
        <w:rPr>
          <w:bCs/>
          <w:kern w:val="0"/>
        </w:rPr>
      </w:pPr>
      <w:r>
        <w:rPr>
          <w:bCs/>
          <w:kern w:val="0"/>
        </w:rPr>
        <w:t>4</w:t>
      </w:r>
      <w:r>
        <w:rPr>
          <w:rFonts w:hint="eastAsia"/>
          <w:bCs/>
          <w:kern w:val="0"/>
        </w:rPr>
        <w:t>）农田生态系统</w:t>
      </w:r>
    </w:p>
    <w:p w14:paraId="626974EC">
      <w:pPr>
        <w:pStyle w:val="85"/>
        <w:ind w:firstLine="480"/>
        <w:rPr>
          <w:bCs/>
          <w:kern w:val="0"/>
        </w:rPr>
      </w:pPr>
      <w:r>
        <w:rPr>
          <w:rFonts w:hint="eastAsia"/>
          <w:bCs/>
          <w:kern w:val="0"/>
        </w:rPr>
        <w:t>评价区农田生态系统主要为耕地，主要分布在评价区河道两侧平缓地带，分布较广泛。主要栽培作物为玉米、豆类和蔬菜，少部分耕地零散栽植果树，植被覆盖度较高。</w:t>
      </w:r>
    </w:p>
    <w:p w14:paraId="02B7682A">
      <w:pPr>
        <w:pStyle w:val="85"/>
        <w:ind w:firstLine="480"/>
        <w:rPr>
          <w:bCs/>
          <w:kern w:val="0"/>
        </w:rPr>
      </w:pPr>
      <w:r>
        <w:rPr>
          <w:bCs/>
          <w:kern w:val="0"/>
        </w:rPr>
        <w:t>5</w:t>
      </w:r>
      <w:r>
        <w:rPr>
          <w:rFonts w:hint="eastAsia"/>
          <w:bCs/>
          <w:kern w:val="0"/>
        </w:rPr>
        <w:t>）城镇生态系统</w:t>
      </w:r>
    </w:p>
    <w:p w14:paraId="5123D259">
      <w:pPr>
        <w:pStyle w:val="85"/>
        <w:ind w:firstLine="480"/>
        <w:rPr>
          <w:kern w:val="0"/>
        </w:rPr>
      </w:pPr>
      <w:r>
        <w:rPr>
          <w:rFonts w:hint="eastAsia"/>
          <w:bCs/>
          <w:kern w:val="0"/>
        </w:rPr>
        <w:t>评价区城镇生态系统包括居住地生态系统和工矿交通生态系统类型两种。该生态系统内植被简单，植物物种以绿化园林树种为主，且主要沿交通干线及村庄周边分布。</w:t>
      </w:r>
    </w:p>
    <w:p w14:paraId="664977EC">
      <w:pPr>
        <w:pStyle w:val="85"/>
        <w:ind w:firstLine="482"/>
        <w:rPr>
          <w:b/>
          <w:bCs/>
          <w:kern w:val="0"/>
        </w:rPr>
      </w:pPr>
      <w:r>
        <w:rPr>
          <w:rFonts w:hint="eastAsia"/>
          <w:b/>
          <w:bCs/>
          <w:kern w:val="0"/>
        </w:rPr>
        <w:t>（2）生态</w:t>
      </w:r>
      <w:r>
        <w:rPr>
          <w:b/>
          <w:bCs/>
          <w:kern w:val="0"/>
        </w:rPr>
        <w:t>系统结构和功能</w:t>
      </w:r>
    </w:p>
    <w:p w14:paraId="2B8A968A">
      <w:pPr>
        <w:pStyle w:val="85"/>
        <w:ind w:firstLine="480"/>
        <w:rPr>
          <w:kern w:val="0"/>
        </w:rPr>
      </w:pPr>
      <w:r>
        <w:rPr>
          <w:rFonts w:hint="eastAsia"/>
          <w:kern w:val="0"/>
        </w:rPr>
        <w:t>评价区生态系统服务功能主要为水源涵养、生物多样性维护等。</w:t>
      </w:r>
    </w:p>
    <w:p w14:paraId="7EBE04FF">
      <w:pPr>
        <w:pStyle w:val="85"/>
        <w:ind w:firstLine="480"/>
        <w:rPr>
          <w:kern w:val="0"/>
        </w:rPr>
      </w:pPr>
      <w:r>
        <w:rPr>
          <w:rFonts w:hint="eastAsia"/>
          <w:kern w:val="0"/>
        </w:rPr>
        <w:t>1）生产力</w:t>
      </w:r>
    </w:p>
    <w:p w14:paraId="5AD294CF">
      <w:pPr>
        <w:pStyle w:val="85"/>
        <w:ind w:firstLine="480"/>
        <w:rPr>
          <w:kern w:val="0"/>
        </w:rPr>
      </w:pPr>
      <w:r>
        <w:rPr>
          <w:kern w:val="0"/>
        </w:rPr>
        <w:t>植被是生态环境中最重要、最敏感的自然要素，对生态系统变化及稳定起决定性作用</w:t>
      </w:r>
      <w:r>
        <w:rPr>
          <w:rFonts w:hint="eastAsia"/>
          <w:kern w:val="0"/>
        </w:rPr>
        <w:t>。</w:t>
      </w:r>
      <w:r>
        <w:rPr>
          <w:kern w:val="0"/>
        </w:rPr>
        <w:t>植被净生产力是指绿色植物在单位面积、单位时间内所累积的有机物数量，单位</w:t>
      </w:r>
      <w:r>
        <w:rPr>
          <w:rFonts w:hint="eastAsia"/>
          <w:kern w:val="0"/>
        </w:rPr>
        <w:t>为</w:t>
      </w:r>
      <w:r>
        <w:rPr>
          <w:kern w:val="0"/>
        </w:rPr>
        <w:t>gC/(m</w:t>
      </w:r>
      <w:r>
        <w:rPr>
          <w:kern w:val="0"/>
          <w:vertAlign w:val="superscript"/>
        </w:rPr>
        <w:t>2</w:t>
      </w:r>
      <w:r>
        <w:rPr>
          <w:kern w:val="0"/>
        </w:rPr>
        <w:t>.a)</w:t>
      </w:r>
      <w:r>
        <w:rPr>
          <w:rFonts w:hint="eastAsia"/>
          <w:kern w:val="0"/>
        </w:rPr>
        <w:t>，</w:t>
      </w:r>
      <w:r>
        <w:rPr>
          <w:kern w:val="0"/>
        </w:rPr>
        <w:t>表示每年每平方米所生产的有机物质干重，是由光合作用所产生的有机质总量中扣除自养呼吸后的剩余部分，它直接反映植物群落在自然环境条件下的生产能力，也是生态现状质量评价的重要参数。在生态评价范围进行自然体系生产力评价中，数据主要来源于实地勘察、收集的现状资料，并采用了国内关于自然生态系统生产力的研究成果进行分析。</w:t>
      </w:r>
    </w:p>
    <w:p w14:paraId="5BA3B1DF">
      <w:pPr>
        <w:pStyle w:val="85"/>
        <w:ind w:firstLine="480"/>
        <w:rPr>
          <w:kern w:val="0"/>
        </w:rPr>
      </w:pPr>
      <w:r>
        <w:rPr>
          <w:kern w:val="0"/>
        </w:rPr>
        <w:t>采用Miami模型计算评价区生态系统中的植物第一生产力</w:t>
      </w:r>
      <w:r>
        <w:rPr>
          <w:rFonts w:hint="eastAsia"/>
          <w:kern w:val="0"/>
        </w:rPr>
        <w:t>。</w:t>
      </w:r>
    </w:p>
    <w:p w14:paraId="31EBAEB3">
      <w:pPr>
        <w:pStyle w:val="85"/>
        <w:ind w:left="840" w:leftChars="400" w:firstLine="480"/>
        <w:rPr>
          <w:kern w:val="0"/>
        </w:rPr>
      </w:pPr>
      <w:r>
        <w:rPr>
          <w:kern w:val="0"/>
        </w:rPr>
        <w:t>NPP1 = 3000/[1 + exp</w:t>
      </w:r>
      <w:r>
        <w:rPr>
          <w:rFonts w:hint="eastAsia"/>
          <w:kern w:val="0"/>
        </w:rPr>
        <w:t>（</w:t>
      </w:r>
      <w:r>
        <w:rPr>
          <w:kern w:val="0"/>
        </w:rPr>
        <w:t>1.315 − 0.119T</w:t>
      </w:r>
      <w:r>
        <w:rPr>
          <w:rFonts w:hint="eastAsia"/>
          <w:kern w:val="0"/>
        </w:rPr>
        <w:t>）</w:t>
      </w:r>
      <w:r>
        <w:rPr>
          <w:kern w:val="0"/>
        </w:rPr>
        <w:t>]</w:t>
      </w:r>
    </w:p>
    <w:p w14:paraId="3999D814">
      <w:pPr>
        <w:pStyle w:val="85"/>
        <w:ind w:left="840" w:leftChars="400" w:firstLine="480"/>
        <w:rPr>
          <w:kern w:val="0"/>
        </w:rPr>
      </w:pPr>
      <w:r>
        <w:rPr>
          <w:kern w:val="0"/>
        </w:rPr>
        <w:t>NPP2 = 3000 × [1 − exp</w:t>
      </w:r>
      <w:r>
        <w:rPr>
          <w:rFonts w:hint="eastAsia"/>
          <w:kern w:val="0"/>
        </w:rPr>
        <w:t>（</w:t>
      </w:r>
      <w:r>
        <w:rPr>
          <w:kern w:val="0"/>
        </w:rPr>
        <w:t xml:space="preserve"> − 0.000664P</w:t>
      </w:r>
      <w:r>
        <w:rPr>
          <w:rFonts w:hint="eastAsia"/>
          <w:kern w:val="0"/>
        </w:rPr>
        <w:t>）</w:t>
      </w:r>
      <w:r>
        <w:rPr>
          <w:kern w:val="0"/>
        </w:rPr>
        <w:t>]</w:t>
      </w:r>
    </w:p>
    <w:p w14:paraId="5E0342F1">
      <w:pPr>
        <w:pStyle w:val="85"/>
        <w:ind w:firstLine="480"/>
        <w:rPr>
          <w:kern w:val="0"/>
        </w:rPr>
      </w:pPr>
      <w:r>
        <w:rPr>
          <w:rFonts w:hint="eastAsia"/>
          <w:kern w:val="0"/>
        </w:rPr>
        <w:t>式中：NPP1 为热量生产力（g/m</w:t>
      </w:r>
      <w:r>
        <w:rPr>
          <w:rFonts w:hint="eastAsia"/>
          <w:kern w:val="0"/>
          <w:vertAlign w:val="superscript"/>
        </w:rPr>
        <w:t>2</w:t>
      </w:r>
      <w:r>
        <w:rPr>
          <w:rFonts w:hint="eastAsia"/>
          <w:kern w:val="0"/>
        </w:rPr>
        <w:t>•a)；</w:t>
      </w:r>
    </w:p>
    <w:p w14:paraId="3E2C02EC">
      <w:pPr>
        <w:pStyle w:val="85"/>
        <w:ind w:left="780" w:firstLine="480"/>
        <w:rPr>
          <w:kern w:val="0"/>
        </w:rPr>
      </w:pPr>
      <w:r>
        <w:rPr>
          <w:rFonts w:hint="eastAsia"/>
          <w:kern w:val="0"/>
        </w:rPr>
        <w:t>NPP2 为水分生产力（g/m</w:t>
      </w:r>
      <w:r>
        <w:rPr>
          <w:rFonts w:hint="eastAsia"/>
          <w:kern w:val="0"/>
          <w:vertAlign w:val="superscript"/>
        </w:rPr>
        <w:t>2</w:t>
      </w:r>
      <w:r>
        <w:rPr>
          <w:rFonts w:hint="eastAsia"/>
          <w:kern w:val="0"/>
        </w:rPr>
        <w:t>•a)；</w:t>
      </w:r>
    </w:p>
    <w:p w14:paraId="3978FCBD">
      <w:pPr>
        <w:pStyle w:val="85"/>
        <w:ind w:left="780" w:firstLine="480"/>
        <w:rPr>
          <w:kern w:val="0"/>
        </w:rPr>
      </w:pPr>
      <w:r>
        <w:rPr>
          <w:rFonts w:hint="eastAsia"/>
          <w:kern w:val="0"/>
        </w:rPr>
        <w:t>T 为年平均温度（℃)；</w:t>
      </w:r>
    </w:p>
    <w:p w14:paraId="7184B2CD">
      <w:pPr>
        <w:pStyle w:val="85"/>
        <w:ind w:left="780" w:firstLine="480"/>
        <w:rPr>
          <w:kern w:val="0"/>
        </w:rPr>
      </w:pPr>
      <w:r>
        <w:rPr>
          <w:rFonts w:hint="eastAsia"/>
          <w:kern w:val="0"/>
        </w:rPr>
        <w:t>P 为年降水量（mm)。</w:t>
      </w:r>
    </w:p>
    <w:p w14:paraId="0ACC6201">
      <w:pPr>
        <w:pStyle w:val="85"/>
        <w:ind w:firstLine="480"/>
        <w:rPr>
          <w:kern w:val="0"/>
        </w:rPr>
      </w:pPr>
      <w:r>
        <w:rPr>
          <w:rFonts w:hint="eastAsia"/>
          <w:kern w:val="0"/>
        </w:rPr>
        <w:t>根据Liebig的限制因子定律，选取最小值作为本项目生态系统生产力。评价区植被初级净生产力可取水分生产力的平均值753.25g/m</w:t>
      </w:r>
      <w:r>
        <w:rPr>
          <w:rFonts w:hint="eastAsia"/>
          <w:kern w:val="0"/>
          <w:vertAlign w:val="superscript"/>
        </w:rPr>
        <w:t>2</w:t>
      </w:r>
      <w:r>
        <w:rPr>
          <w:rFonts w:hint="eastAsia"/>
          <w:kern w:val="0"/>
        </w:rPr>
        <w:t>•a。</w:t>
      </w:r>
    </w:p>
    <w:p w14:paraId="5DD879D5">
      <w:pPr>
        <w:pStyle w:val="85"/>
        <w:ind w:firstLine="480"/>
        <w:rPr>
          <w:kern w:val="0"/>
        </w:rPr>
      </w:pPr>
      <w:r>
        <w:rPr>
          <w:rFonts w:hint="eastAsia"/>
          <w:kern w:val="0"/>
        </w:rPr>
        <w:t>2）生物量</w:t>
      </w:r>
    </w:p>
    <w:p w14:paraId="54C6C66E">
      <w:pPr>
        <w:pStyle w:val="85"/>
        <w:ind w:firstLine="480"/>
        <w:rPr>
          <w:kern w:val="0"/>
        </w:rPr>
      </w:pPr>
      <w:r>
        <w:rPr>
          <w:rFonts w:hint="eastAsia"/>
          <w:kern w:val="0"/>
        </w:rPr>
        <w:t>根据样方调查和遥感实测相结合，采用模型回归分析估测评价范围不同植被类型生物量。该方法已成为生态系统生物量研究中广泛使用的方法。</w:t>
      </w:r>
    </w:p>
    <w:p w14:paraId="68B752EF">
      <w:pPr>
        <w:pStyle w:val="85"/>
        <w:ind w:firstLine="480"/>
        <w:rPr>
          <w:kern w:val="0"/>
        </w:rPr>
      </w:pPr>
      <w:r>
        <w:rPr>
          <w:rFonts w:hint="eastAsia"/>
          <w:kern w:val="0"/>
        </w:rPr>
        <w:t>本次评价根据资料引用和实测校核，对评价区各生态系统植被生物量进行估算，评价区植物的生物量见下表。</w:t>
      </w:r>
    </w:p>
    <w:p w14:paraId="5BF58705">
      <w:pPr>
        <w:jc w:val="center"/>
        <w:rPr>
          <w:rFonts w:eastAsia="黑体"/>
          <w:kern w:val="0"/>
          <w:sz w:val="24"/>
          <w:szCs w:val="21"/>
        </w:rPr>
      </w:pPr>
      <w:r>
        <w:rPr>
          <w:kern w:val="0"/>
          <w:sz w:val="24"/>
        </w:rPr>
        <w:t>表</w:t>
      </w:r>
      <w:r>
        <w:rPr>
          <w:kern w:val="0"/>
          <w:sz w:val="24"/>
        </w:rPr>
        <w:fldChar w:fldCharType="begin"/>
      </w:r>
      <w:r>
        <w:rPr>
          <w:kern w:val="0"/>
          <w:sz w:val="24"/>
        </w:rPr>
        <w:instrText xml:space="preserve"> STYLEREF 1 \s </w:instrText>
      </w:r>
      <w:r>
        <w:rPr>
          <w:kern w:val="0"/>
          <w:sz w:val="24"/>
        </w:rPr>
        <w:fldChar w:fldCharType="separate"/>
      </w:r>
      <w:r>
        <w:rPr>
          <w:kern w:val="0"/>
          <w:sz w:val="24"/>
        </w:rPr>
        <w:t>3</w:t>
      </w:r>
      <w:r>
        <w:rPr>
          <w:kern w:val="0"/>
          <w:sz w:val="24"/>
        </w:rPr>
        <w:fldChar w:fldCharType="end"/>
      </w:r>
      <w:r>
        <w:rPr>
          <w:kern w:val="0"/>
          <w:sz w:val="24"/>
        </w:rPr>
        <w:noBreakHyphen/>
      </w:r>
      <w:r>
        <w:rPr>
          <w:kern w:val="0"/>
          <w:sz w:val="24"/>
        </w:rPr>
        <w:fldChar w:fldCharType="begin"/>
      </w:r>
      <w:r>
        <w:rPr>
          <w:kern w:val="0"/>
          <w:sz w:val="24"/>
        </w:rPr>
        <w:instrText xml:space="preserve"> SEQ 表 \* ARABIC \s 1 </w:instrText>
      </w:r>
      <w:r>
        <w:rPr>
          <w:kern w:val="0"/>
          <w:sz w:val="24"/>
        </w:rPr>
        <w:fldChar w:fldCharType="separate"/>
      </w:r>
      <w:r>
        <w:rPr>
          <w:kern w:val="0"/>
          <w:sz w:val="24"/>
        </w:rPr>
        <w:t>17</w:t>
      </w:r>
      <w:r>
        <w:rPr>
          <w:kern w:val="0"/>
          <w:sz w:val="24"/>
        </w:rPr>
        <w:fldChar w:fldCharType="end"/>
      </w:r>
      <w:r>
        <w:rPr>
          <w:kern w:val="0"/>
          <w:sz w:val="24"/>
        </w:rPr>
        <w:t xml:space="preserve">  </w:t>
      </w:r>
      <w:r>
        <w:rPr>
          <w:rFonts w:hint="eastAsia" w:eastAsia="黑体"/>
          <w:kern w:val="0"/>
          <w:sz w:val="24"/>
          <w:szCs w:val="21"/>
        </w:rPr>
        <w:t>评价区生物量</w:t>
      </w:r>
    </w:p>
    <w:tbl>
      <w:tblPr>
        <w:tblStyle w:val="6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2146"/>
        <w:gridCol w:w="1600"/>
        <w:gridCol w:w="2270"/>
        <w:gridCol w:w="1750"/>
      </w:tblGrid>
      <w:tr w14:paraId="7B5C1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447" w:type="pct"/>
            <w:vAlign w:val="center"/>
          </w:tcPr>
          <w:p w14:paraId="7549AFBE">
            <w:pPr>
              <w:spacing w:line="276" w:lineRule="auto"/>
              <w:jc w:val="center"/>
              <w:rPr>
                <w:kern w:val="0"/>
                <w:szCs w:val="21"/>
              </w:rPr>
            </w:pPr>
            <w:r>
              <w:rPr>
                <w:rFonts w:hint="eastAsia"/>
                <w:kern w:val="0"/>
                <w:szCs w:val="21"/>
              </w:rPr>
              <w:t>序号</w:t>
            </w:r>
          </w:p>
        </w:tc>
        <w:tc>
          <w:tcPr>
            <w:tcW w:w="1258" w:type="pct"/>
            <w:vAlign w:val="center"/>
          </w:tcPr>
          <w:p w14:paraId="26E7FF91">
            <w:pPr>
              <w:spacing w:line="276" w:lineRule="auto"/>
              <w:jc w:val="center"/>
              <w:rPr>
                <w:kern w:val="0"/>
                <w:szCs w:val="21"/>
              </w:rPr>
            </w:pPr>
            <w:r>
              <w:rPr>
                <w:kern w:val="0"/>
                <w:szCs w:val="21"/>
              </w:rPr>
              <w:t>生态系统</w:t>
            </w:r>
          </w:p>
        </w:tc>
        <w:tc>
          <w:tcPr>
            <w:tcW w:w="938" w:type="pct"/>
            <w:vAlign w:val="center"/>
          </w:tcPr>
          <w:p w14:paraId="2D4414C0">
            <w:pPr>
              <w:spacing w:line="276" w:lineRule="auto"/>
              <w:jc w:val="center"/>
              <w:rPr>
                <w:kern w:val="0"/>
                <w:szCs w:val="21"/>
              </w:rPr>
            </w:pPr>
            <w:r>
              <w:rPr>
                <w:kern w:val="0"/>
                <w:szCs w:val="21"/>
              </w:rPr>
              <w:t>面积（hm</w:t>
            </w:r>
            <w:r>
              <w:rPr>
                <w:kern w:val="0"/>
                <w:szCs w:val="21"/>
                <w:vertAlign w:val="superscript"/>
              </w:rPr>
              <w:t>2</w:t>
            </w:r>
            <w:r>
              <w:rPr>
                <w:kern w:val="0"/>
                <w:szCs w:val="21"/>
              </w:rPr>
              <w:t>）</w:t>
            </w:r>
          </w:p>
        </w:tc>
        <w:tc>
          <w:tcPr>
            <w:tcW w:w="1331" w:type="pct"/>
            <w:vAlign w:val="center"/>
          </w:tcPr>
          <w:p w14:paraId="27DCD0A2">
            <w:pPr>
              <w:spacing w:line="276" w:lineRule="auto"/>
              <w:jc w:val="center"/>
              <w:rPr>
                <w:kern w:val="0"/>
                <w:szCs w:val="21"/>
              </w:rPr>
            </w:pPr>
            <w:r>
              <w:rPr>
                <w:rFonts w:hint="eastAsia"/>
                <w:kern w:val="0"/>
                <w:szCs w:val="21"/>
              </w:rPr>
              <w:t>平均</w:t>
            </w:r>
            <w:r>
              <w:rPr>
                <w:kern w:val="0"/>
                <w:szCs w:val="21"/>
              </w:rPr>
              <w:t>生物量(kg/(m</w:t>
            </w:r>
            <w:r>
              <w:rPr>
                <w:kern w:val="0"/>
                <w:szCs w:val="21"/>
                <w:vertAlign w:val="superscript"/>
              </w:rPr>
              <w:t>2</w:t>
            </w:r>
            <w:r>
              <w:rPr>
                <w:kern w:val="0"/>
                <w:szCs w:val="21"/>
              </w:rPr>
              <w:t>.a))</w:t>
            </w:r>
          </w:p>
        </w:tc>
        <w:tc>
          <w:tcPr>
            <w:tcW w:w="1026" w:type="pct"/>
            <w:vAlign w:val="center"/>
          </w:tcPr>
          <w:p w14:paraId="5D3CAA3F">
            <w:pPr>
              <w:spacing w:line="276" w:lineRule="auto"/>
              <w:jc w:val="center"/>
              <w:rPr>
                <w:kern w:val="0"/>
                <w:szCs w:val="21"/>
              </w:rPr>
            </w:pPr>
            <w:r>
              <w:rPr>
                <w:kern w:val="0"/>
                <w:szCs w:val="21"/>
              </w:rPr>
              <w:t>区域生物量(t)</w:t>
            </w:r>
          </w:p>
        </w:tc>
      </w:tr>
      <w:tr w14:paraId="3B50E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447" w:type="pct"/>
            <w:vAlign w:val="center"/>
          </w:tcPr>
          <w:p w14:paraId="16556241">
            <w:pPr>
              <w:spacing w:line="276" w:lineRule="auto"/>
              <w:jc w:val="center"/>
              <w:rPr>
                <w:kern w:val="0"/>
                <w:szCs w:val="21"/>
              </w:rPr>
            </w:pPr>
            <w:r>
              <w:rPr>
                <w:kern w:val="0"/>
                <w:szCs w:val="21"/>
              </w:rPr>
              <w:t>1</w:t>
            </w:r>
          </w:p>
        </w:tc>
        <w:tc>
          <w:tcPr>
            <w:tcW w:w="1258" w:type="pct"/>
            <w:vAlign w:val="center"/>
          </w:tcPr>
          <w:p w14:paraId="64A705B1">
            <w:pPr>
              <w:spacing w:line="276" w:lineRule="auto"/>
              <w:jc w:val="center"/>
              <w:rPr>
                <w:kern w:val="0"/>
                <w:szCs w:val="21"/>
              </w:rPr>
            </w:pPr>
            <w:r>
              <w:rPr>
                <w:rFonts w:hint="eastAsia"/>
                <w:kern w:val="0"/>
                <w:szCs w:val="21"/>
              </w:rPr>
              <w:t>森林生态系统</w:t>
            </w:r>
          </w:p>
        </w:tc>
        <w:tc>
          <w:tcPr>
            <w:tcW w:w="938" w:type="pct"/>
            <w:vAlign w:val="center"/>
          </w:tcPr>
          <w:p w14:paraId="76924C56">
            <w:pPr>
              <w:spacing w:line="276" w:lineRule="auto"/>
              <w:jc w:val="center"/>
              <w:rPr>
                <w:kern w:val="0"/>
                <w:szCs w:val="21"/>
              </w:rPr>
            </w:pPr>
            <w:r>
              <w:rPr>
                <w:kern w:val="0"/>
                <w:szCs w:val="21"/>
              </w:rPr>
              <w:t>711.06</w:t>
            </w:r>
          </w:p>
        </w:tc>
        <w:tc>
          <w:tcPr>
            <w:tcW w:w="1331" w:type="pct"/>
            <w:vAlign w:val="center"/>
          </w:tcPr>
          <w:p w14:paraId="658774CD">
            <w:pPr>
              <w:spacing w:line="276" w:lineRule="auto"/>
              <w:jc w:val="center"/>
              <w:rPr>
                <w:kern w:val="0"/>
                <w:szCs w:val="21"/>
              </w:rPr>
            </w:pPr>
            <w:r>
              <w:rPr>
                <w:rFonts w:hint="eastAsia"/>
                <w:kern w:val="0"/>
                <w:szCs w:val="21"/>
              </w:rPr>
              <w:t>1</w:t>
            </w:r>
            <w:r>
              <w:rPr>
                <w:kern w:val="0"/>
                <w:szCs w:val="21"/>
              </w:rPr>
              <w:t>3.26</w:t>
            </w:r>
          </w:p>
        </w:tc>
        <w:tc>
          <w:tcPr>
            <w:tcW w:w="1026" w:type="pct"/>
            <w:vAlign w:val="bottom"/>
          </w:tcPr>
          <w:p w14:paraId="1898DC87">
            <w:pPr>
              <w:pStyle w:val="307"/>
            </w:pPr>
            <w:r>
              <w:rPr>
                <w:rFonts w:hint="eastAsia"/>
              </w:rPr>
              <w:t>9428.656</w:t>
            </w:r>
          </w:p>
        </w:tc>
      </w:tr>
      <w:tr w14:paraId="7FF45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447" w:type="pct"/>
            <w:vAlign w:val="center"/>
          </w:tcPr>
          <w:p w14:paraId="2A4BB5ED">
            <w:pPr>
              <w:spacing w:line="276" w:lineRule="auto"/>
              <w:jc w:val="center"/>
              <w:rPr>
                <w:kern w:val="0"/>
                <w:szCs w:val="21"/>
              </w:rPr>
            </w:pPr>
            <w:r>
              <w:rPr>
                <w:kern w:val="0"/>
                <w:szCs w:val="21"/>
              </w:rPr>
              <w:t>2</w:t>
            </w:r>
          </w:p>
        </w:tc>
        <w:tc>
          <w:tcPr>
            <w:tcW w:w="1258" w:type="pct"/>
            <w:vAlign w:val="center"/>
          </w:tcPr>
          <w:p w14:paraId="358F1293">
            <w:pPr>
              <w:spacing w:line="276" w:lineRule="auto"/>
              <w:jc w:val="center"/>
              <w:rPr>
                <w:kern w:val="0"/>
                <w:szCs w:val="21"/>
              </w:rPr>
            </w:pPr>
            <w:r>
              <w:rPr>
                <w:rFonts w:hint="eastAsia"/>
                <w:kern w:val="0"/>
                <w:szCs w:val="21"/>
              </w:rPr>
              <w:t>灌丛生态系统</w:t>
            </w:r>
          </w:p>
        </w:tc>
        <w:tc>
          <w:tcPr>
            <w:tcW w:w="938" w:type="pct"/>
            <w:vAlign w:val="center"/>
          </w:tcPr>
          <w:p w14:paraId="4CC86433">
            <w:pPr>
              <w:spacing w:line="276" w:lineRule="auto"/>
              <w:jc w:val="center"/>
              <w:rPr>
                <w:kern w:val="0"/>
                <w:szCs w:val="21"/>
              </w:rPr>
            </w:pPr>
            <w:r>
              <w:rPr>
                <w:kern w:val="0"/>
                <w:szCs w:val="21"/>
              </w:rPr>
              <w:t>702.54</w:t>
            </w:r>
          </w:p>
        </w:tc>
        <w:tc>
          <w:tcPr>
            <w:tcW w:w="1331" w:type="pct"/>
            <w:vAlign w:val="center"/>
          </w:tcPr>
          <w:p w14:paraId="3EB8C75A">
            <w:pPr>
              <w:spacing w:line="276" w:lineRule="auto"/>
              <w:jc w:val="center"/>
              <w:rPr>
                <w:kern w:val="0"/>
                <w:szCs w:val="21"/>
              </w:rPr>
            </w:pPr>
            <w:r>
              <w:rPr>
                <w:rFonts w:hint="eastAsia"/>
                <w:kern w:val="0"/>
                <w:szCs w:val="21"/>
              </w:rPr>
              <w:t>7</w:t>
            </w:r>
            <w:r>
              <w:rPr>
                <w:kern w:val="0"/>
                <w:szCs w:val="21"/>
              </w:rPr>
              <w:t>.47</w:t>
            </w:r>
          </w:p>
        </w:tc>
        <w:tc>
          <w:tcPr>
            <w:tcW w:w="1026" w:type="pct"/>
            <w:vAlign w:val="bottom"/>
          </w:tcPr>
          <w:p w14:paraId="51C4A4D5">
            <w:pPr>
              <w:pStyle w:val="307"/>
            </w:pPr>
            <w:r>
              <w:rPr>
                <w:rFonts w:hint="eastAsia"/>
              </w:rPr>
              <w:t>5247.974</w:t>
            </w:r>
          </w:p>
        </w:tc>
      </w:tr>
      <w:tr w14:paraId="5FC02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47" w:type="pct"/>
            <w:vAlign w:val="center"/>
          </w:tcPr>
          <w:p w14:paraId="5ACAB9A1">
            <w:pPr>
              <w:spacing w:line="276" w:lineRule="auto"/>
              <w:jc w:val="center"/>
              <w:rPr>
                <w:kern w:val="0"/>
                <w:szCs w:val="21"/>
              </w:rPr>
            </w:pPr>
            <w:r>
              <w:rPr>
                <w:rFonts w:hint="eastAsia"/>
                <w:kern w:val="0"/>
                <w:szCs w:val="21"/>
              </w:rPr>
              <w:t>3</w:t>
            </w:r>
          </w:p>
        </w:tc>
        <w:tc>
          <w:tcPr>
            <w:tcW w:w="1258" w:type="pct"/>
            <w:vAlign w:val="center"/>
          </w:tcPr>
          <w:p w14:paraId="2E403446">
            <w:pPr>
              <w:spacing w:line="276" w:lineRule="auto"/>
              <w:jc w:val="center"/>
              <w:rPr>
                <w:kern w:val="0"/>
                <w:szCs w:val="21"/>
              </w:rPr>
            </w:pPr>
            <w:r>
              <w:rPr>
                <w:rFonts w:hint="eastAsia"/>
                <w:kern w:val="0"/>
                <w:szCs w:val="21"/>
              </w:rPr>
              <w:t>草地生态系统</w:t>
            </w:r>
          </w:p>
        </w:tc>
        <w:tc>
          <w:tcPr>
            <w:tcW w:w="938" w:type="pct"/>
            <w:vAlign w:val="center"/>
          </w:tcPr>
          <w:p w14:paraId="702232A6">
            <w:pPr>
              <w:spacing w:line="276" w:lineRule="auto"/>
              <w:jc w:val="center"/>
              <w:rPr>
                <w:kern w:val="0"/>
                <w:szCs w:val="21"/>
              </w:rPr>
            </w:pPr>
            <w:r>
              <w:rPr>
                <w:kern w:val="0"/>
                <w:szCs w:val="21"/>
              </w:rPr>
              <w:t>70.7</w:t>
            </w:r>
          </w:p>
        </w:tc>
        <w:tc>
          <w:tcPr>
            <w:tcW w:w="1331" w:type="pct"/>
            <w:vAlign w:val="center"/>
          </w:tcPr>
          <w:p w14:paraId="6AFE069C">
            <w:pPr>
              <w:spacing w:line="276" w:lineRule="auto"/>
              <w:jc w:val="center"/>
              <w:rPr>
                <w:kern w:val="0"/>
                <w:szCs w:val="21"/>
              </w:rPr>
            </w:pPr>
            <w:r>
              <w:rPr>
                <w:rFonts w:hint="eastAsia"/>
                <w:kern w:val="0"/>
                <w:szCs w:val="21"/>
              </w:rPr>
              <w:t>1</w:t>
            </w:r>
            <w:r>
              <w:rPr>
                <w:kern w:val="0"/>
                <w:szCs w:val="21"/>
              </w:rPr>
              <w:t>.6</w:t>
            </w:r>
          </w:p>
        </w:tc>
        <w:tc>
          <w:tcPr>
            <w:tcW w:w="1026" w:type="pct"/>
            <w:vAlign w:val="bottom"/>
          </w:tcPr>
          <w:p w14:paraId="2E5075B3">
            <w:pPr>
              <w:pStyle w:val="307"/>
            </w:pPr>
            <w:r>
              <w:rPr>
                <w:rFonts w:hint="eastAsia"/>
              </w:rPr>
              <w:t>113.12</w:t>
            </w:r>
          </w:p>
        </w:tc>
      </w:tr>
      <w:tr w14:paraId="4927A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47" w:type="pct"/>
            <w:vAlign w:val="center"/>
          </w:tcPr>
          <w:p w14:paraId="6947FF5B">
            <w:pPr>
              <w:spacing w:line="276" w:lineRule="auto"/>
              <w:jc w:val="center"/>
              <w:rPr>
                <w:kern w:val="0"/>
                <w:szCs w:val="21"/>
              </w:rPr>
            </w:pPr>
            <w:r>
              <w:rPr>
                <w:rFonts w:hint="eastAsia"/>
                <w:kern w:val="0"/>
                <w:szCs w:val="21"/>
              </w:rPr>
              <w:t>4</w:t>
            </w:r>
          </w:p>
        </w:tc>
        <w:tc>
          <w:tcPr>
            <w:tcW w:w="1258" w:type="pct"/>
            <w:vAlign w:val="center"/>
          </w:tcPr>
          <w:p w14:paraId="0A1C2BBD">
            <w:pPr>
              <w:spacing w:line="276" w:lineRule="auto"/>
              <w:jc w:val="center"/>
              <w:rPr>
                <w:kern w:val="0"/>
                <w:szCs w:val="21"/>
              </w:rPr>
            </w:pPr>
            <w:r>
              <w:rPr>
                <w:rFonts w:hint="eastAsia"/>
                <w:kern w:val="0"/>
                <w:szCs w:val="21"/>
              </w:rPr>
              <w:t>湿地生态系统</w:t>
            </w:r>
          </w:p>
        </w:tc>
        <w:tc>
          <w:tcPr>
            <w:tcW w:w="938" w:type="pct"/>
            <w:vAlign w:val="center"/>
          </w:tcPr>
          <w:p w14:paraId="75C6B7CA">
            <w:pPr>
              <w:spacing w:line="276" w:lineRule="auto"/>
              <w:jc w:val="center"/>
              <w:rPr>
                <w:kern w:val="0"/>
                <w:szCs w:val="21"/>
              </w:rPr>
            </w:pPr>
            <w:r>
              <w:rPr>
                <w:rFonts w:hint="eastAsia"/>
              </w:rPr>
              <w:t>178.49</w:t>
            </w:r>
          </w:p>
        </w:tc>
        <w:tc>
          <w:tcPr>
            <w:tcW w:w="1331" w:type="pct"/>
            <w:vAlign w:val="center"/>
          </w:tcPr>
          <w:p w14:paraId="6385C12F">
            <w:pPr>
              <w:spacing w:line="276" w:lineRule="auto"/>
              <w:jc w:val="center"/>
              <w:rPr>
                <w:kern w:val="0"/>
                <w:szCs w:val="21"/>
              </w:rPr>
            </w:pPr>
            <w:r>
              <w:rPr>
                <w:rFonts w:hint="eastAsia"/>
                <w:kern w:val="0"/>
                <w:szCs w:val="21"/>
              </w:rPr>
              <w:t>1</w:t>
            </w:r>
            <w:r>
              <w:rPr>
                <w:kern w:val="0"/>
                <w:szCs w:val="21"/>
              </w:rPr>
              <w:t>5</w:t>
            </w:r>
          </w:p>
        </w:tc>
        <w:tc>
          <w:tcPr>
            <w:tcW w:w="1026" w:type="pct"/>
            <w:vAlign w:val="bottom"/>
          </w:tcPr>
          <w:p w14:paraId="1D510B35">
            <w:pPr>
              <w:pStyle w:val="307"/>
            </w:pPr>
            <w:r>
              <w:rPr>
                <w:rFonts w:hint="eastAsia"/>
              </w:rPr>
              <w:t>2677.35</w:t>
            </w:r>
          </w:p>
        </w:tc>
      </w:tr>
      <w:tr w14:paraId="0BCA0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47" w:type="pct"/>
            <w:vAlign w:val="center"/>
          </w:tcPr>
          <w:p w14:paraId="128A1A0C">
            <w:pPr>
              <w:spacing w:line="276" w:lineRule="auto"/>
              <w:jc w:val="center"/>
              <w:rPr>
                <w:kern w:val="0"/>
                <w:szCs w:val="21"/>
              </w:rPr>
            </w:pPr>
            <w:r>
              <w:rPr>
                <w:rFonts w:hint="eastAsia"/>
                <w:kern w:val="0"/>
                <w:szCs w:val="21"/>
              </w:rPr>
              <w:t>5</w:t>
            </w:r>
          </w:p>
        </w:tc>
        <w:tc>
          <w:tcPr>
            <w:tcW w:w="1258" w:type="pct"/>
            <w:vAlign w:val="center"/>
          </w:tcPr>
          <w:p w14:paraId="5715EE50">
            <w:pPr>
              <w:spacing w:line="276" w:lineRule="auto"/>
              <w:jc w:val="center"/>
              <w:rPr>
                <w:kern w:val="0"/>
                <w:szCs w:val="21"/>
              </w:rPr>
            </w:pPr>
            <w:r>
              <w:rPr>
                <w:rFonts w:hint="eastAsia"/>
                <w:kern w:val="0"/>
                <w:szCs w:val="21"/>
              </w:rPr>
              <w:t>农田生态系统</w:t>
            </w:r>
          </w:p>
        </w:tc>
        <w:tc>
          <w:tcPr>
            <w:tcW w:w="938" w:type="pct"/>
            <w:vAlign w:val="center"/>
          </w:tcPr>
          <w:p w14:paraId="7F64567D">
            <w:pPr>
              <w:spacing w:line="276" w:lineRule="auto"/>
              <w:jc w:val="center"/>
              <w:rPr>
                <w:kern w:val="0"/>
                <w:szCs w:val="21"/>
              </w:rPr>
            </w:pPr>
            <w:r>
              <w:rPr>
                <w:rFonts w:hint="eastAsia"/>
              </w:rPr>
              <w:t>770.51</w:t>
            </w:r>
          </w:p>
        </w:tc>
        <w:tc>
          <w:tcPr>
            <w:tcW w:w="1331" w:type="pct"/>
            <w:vAlign w:val="center"/>
          </w:tcPr>
          <w:p w14:paraId="4756FB09">
            <w:pPr>
              <w:spacing w:line="276" w:lineRule="auto"/>
              <w:jc w:val="center"/>
              <w:rPr>
                <w:kern w:val="0"/>
                <w:szCs w:val="21"/>
              </w:rPr>
            </w:pPr>
            <w:r>
              <w:rPr>
                <w:rFonts w:hint="eastAsia"/>
                <w:kern w:val="0"/>
                <w:szCs w:val="21"/>
              </w:rPr>
              <w:t>1</w:t>
            </w:r>
            <w:r>
              <w:rPr>
                <w:kern w:val="0"/>
                <w:szCs w:val="21"/>
              </w:rPr>
              <w:t>.1</w:t>
            </w:r>
          </w:p>
        </w:tc>
        <w:tc>
          <w:tcPr>
            <w:tcW w:w="1026" w:type="pct"/>
            <w:vAlign w:val="bottom"/>
          </w:tcPr>
          <w:p w14:paraId="6EE96B66">
            <w:pPr>
              <w:pStyle w:val="307"/>
            </w:pPr>
            <w:r>
              <w:rPr>
                <w:rFonts w:hint="eastAsia"/>
              </w:rPr>
              <w:t>847.561</w:t>
            </w:r>
          </w:p>
        </w:tc>
      </w:tr>
      <w:tr w14:paraId="6EC02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47" w:type="pct"/>
            <w:vAlign w:val="center"/>
          </w:tcPr>
          <w:p w14:paraId="61808B73">
            <w:pPr>
              <w:spacing w:line="276" w:lineRule="auto"/>
              <w:jc w:val="center"/>
              <w:rPr>
                <w:kern w:val="0"/>
                <w:szCs w:val="21"/>
              </w:rPr>
            </w:pPr>
            <w:r>
              <w:rPr>
                <w:rFonts w:hint="eastAsia"/>
                <w:kern w:val="0"/>
                <w:szCs w:val="21"/>
              </w:rPr>
              <w:t>6</w:t>
            </w:r>
          </w:p>
        </w:tc>
        <w:tc>
          <w:tcPr>
            <w:tcW w:w="1258" w:type="pct"/>
            <w:vAlign w:val="center"/>
          </w:tcPr>
          <w:p w14:paraId="1B729F09">
            <w:pPr>
              <w:spacing w:line="276" w:lineRule="auto"/>
              <w:jc w:val="center"/>
              <w:rPr>
                <w:kern w:val="0"/>
                <w:szCs w:val="21"/>
              </w:rPr>
            </w:pPr>
            <w:r>
              <w:rPr>
                <w:rFonts w:hint="eastAsia"/>
                <w:kern w:val="0"/>
                <w:szCs w:val="21"/>
              </w:rPr>
              <w:t>城镇生态系统</w:t>
            </w:r>
          </w:p>
        </w:tc>
        <w:tc>
          <w:tcPr>
            <w:tcW w:w="938" w:type="pct"/>
            <w:vAlign w:val="center"/>
          </w:tcPr>
          <w:p w14:paraId="174BD119">
            <w:pPr>
              <w:spacing w:line="276" w:lineRule="auto"/>
              <w:jc w:val="center"/>
              <w:rPr>
                <w:kern w:val="0"/>
                <w:szCs w:val="21"/>
              </w:rPr>
            </w:pPr>
            <w:r>
              <w:rPr>
                <w:rFonts w:hint="eastAsia"/>
                <w:kern w:val="0"/>
                <w:szCs w:val="21"/>
              </w:rPr>
              <w:t>9</w:t>
            </w:r>
            <w:r>
              <w:rPr>
                <w:kern w:val="0"/>
                <w:szCs w:val="21"/>
              </w:rPr>
              <w:t>8.82</w:t>
            </w:r>
          </w:p>
        </w:tc>
        <w:tc>
          <w:tcPr>
            <w:tcW w:w="1331" w:type="pct"/>
            <w:vAlign w:val="center"/>
          </w:tcPr>
          <w:p w14:paraId="52A161BB">
            <w:pPr>
              <w:spacing w:line="276" w:lineRule="auto"/>
              <w:jc w:val="center"/>
              <w:rPr>
                <w:kern w:val="0"/>
                <w:szCs w:val="21"/>
              </w:rPr>
            </w:pPr>
            <w:r>
              <w:rPr>
                <w:rFonts w:hint="eastAsia"/>
                <w:kern w:val="0"/>
                <w:szCs w:val="21"/>
              </w:rPr>
              <w:t>0</w:t>
            </w:r>
          </w:p>
        </w:tc>
        <w:tc>
          <w:tcPr>
            <w:tcW w:w="1026" w:type="pct"/>
            <w:vAlign w:val="bottom"/>
          </w:tcPr>
          <w:p w14:paraId="142F1EE0">
            <w:pPr>
              <w:pStyle w:val="307"/>
            </w:pPr>
            <w:r>
              <w:rPr>
                <w:rFonts w:hint="eastAsia"/>
              </w:rPr>
              <w:t>0</w:t>
            </w:r>
          </w:p>
        </w:tc>
      </w:tr>
      <w:tr w14:paraId="54B8E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974" w:type="pct"/>
            <w:gridSpan w:val="4"/>
            <w:vAlign w:val="center"/>
          </w:tcPr>
          <w:p w14:paraId="5C7DE746">
            <w:pPr>
              <w:spacing w:line="276" w:lineRule="auto"/>
              <w:jc w:val="center"/>
              <w:rPr>
                <w:kern w:val="0"/>
                <w:szCs w:val="21"/>
              </w:rPr>
            </w:pPr>
            <w:r>
              <w:rPr>
                <w:rFonts w:hint="eastAsia"/>
                <w:kern w:val="0"/>
                <w:szCs w:val="21"/>
              </w:rPr>
              <w:t>合计</w:t>
            </w:r>
          </w:p>
        </w:tc>
        <w:tc>
          <w:tcPr>
            <w:tcW w:w="1026" w:type="pct"/>
            <w:vAlign w:val="center"/>
          </w:tcPr>
          <w:p w14:paraId="651E4138">
            <w:pPr>
              <w:pStyle w:val="307"/>
            </w:pPr>
            <w:r>
              <w:rPr>
                <w:rFonts w:hint="eastAsia"/>
                <w:lang w:val="en-US"/>
              </w:rPr>
              <w:t>18314.66</w:t>
            </w:r>
          </w:p>
        </w:tc>
      </w:tr>
    </w:tbl>
    <w:p w14:paraId="5424BB94">
      <w:pPr>
        <w:pStyle w:val="85"/>
        <w:ind w:firstLine="480"/>
        <w:rPr>
          <w:kern w:val="0"/>
        </w:rPr>
      </w:pPr>
      <w:r>
        <w:rPr>
          <w:rFonts w:hint="eastAsia"/>
          <w:kern w:val="0"/>
        </w:rPr>
        <w:t>（</w:t>
      </w:r>
      <w:r>
        <w:rPr>
          <w:kern w:val="0"/>
        </w:rPr>
        <w:t>3</w:t>
      </w:r>
      <w:r>
        <w:rPr>
          <w:rFonts w:hint="eastAsia"/>
          <w:kern w:val="0"/>
        </w:rPr>
        <w:t>）景观</w:t>
      </w:r>
      <w:r>
        <w:rPr>
          <w:kern w:val="0"/>
        </w:rPr>
        <w:t>生态</w:t>
      </w:r>
      <w:r>
        <w:rPr>
          <w:rFonts w:hint="eastAsia"/>
          <w:kern w:val="0"/>
        </w:rPr>
        <w:t>体系</w:t>
      </w:r>
    </w:p>
    <w:p w14:paraId="203D0C1D">
      <w:pPr>
        <w:pStyle w:val="85"/>
        <w:ind w:firstLine="480"/>
        <w:rPr>
          <w:kern w:val="0"/>
        </w:rPr>
      </w:pPr>
      <w:r>
        <w:rPr>
          <w:kern w:val="0"/>
        </w:rPr>
        <w:t>景观生态系统的质量现状由生态评价范围内自然环境，各种生物以及人类社会之间复杂的相互作用来决定。从景观生态学结构与功能相匹配的理论来说，结构是否合理决定了景观功能的优劣，在组成景观生态系统的各类组分中，基质是景观的背景区域，它在很大程度上决定了景观的性质，对景观的动态起着主导作用。</w:t>
      </w:r>
    </w:p>
    <w:p w14:paraId="610664DD">
      <w:pPr>
        <w:pStyle w:val="85"/>
        <w:ind w:firstLine="480"/>
        <w:rPr>
          <w:kern w:val="0"/>
        </w:rPr>
      </w:pPr>
      <w:r>
        <w:rPr>
          <w:rFonts w:hint="eastAsia"/>
          <w:kern w:val="0"/>
        </w:rPr>
        <w:t>景观指数是能够反映景观格局特征的定量化指标，分为三个级别，代表三种不同的应用尺度，即斑块级别指数、斑块类型级别指数和景观级别指数。常用的景观指数包括：斑块类型面积（CA）Class area、斑块所占景观面积比例（PLAND）Percent of landscape、最大斑块指数（LPI）Largest patch index、香农多样性指数（SHDI)Shannon's diversity index、蔓延度指数（CONTAG）Contagion index、散布与并列指数（IJI）Interspersion juxtaposition index、聚集度指数（AI）Aggregation index。</w:t>
      </w:r>
    </w:p>
    <w:p w14:paraId="4D585231">
      <w:pPr>
        <w:pStyle w:val="85"/>
        <w:ind w:firstLine="480"/>
        <w:rPr>
          <w:kern w:val="0"/>
        </w:rPr>
      </w:pPr>
      <w:r>
        <w:rPr>
          <w:rFonts w:hint="eastAsia"/>
          <w:kern w:val="0"/>
        </w:rPr>
        <w:t>本次评价选取斑块类型面积（CA）、斑块所占景观面积比例（PLAND）、最大斑块指数（LPI）来对评价区内景观格局现状及变化进行评价。</w:t>
      </w:r>
    </w:p>
    <w:p w14:paraId="50560ED2">
      <w:pPr>
        <w:pStyle w:val="85"/>
        <w:ind w:firstLine="480"/>
        <w:rPr>
          <w:kern w:val="0"/>
        </w:rPr>
      </w:pPr>
      <w:r>
        <w:rPr>
          <w:rFonts w:hint="eastAsia"/>
          <w:kern w:val="0"/>
        </w:rPr>
        <w:t>斑块类型面积（CA）是度量其他指标的基础，其值的大小影响以此斑块类型作为生境的物种数量及丰度。</w:t>
      </w:r>
    </w:p>
    <w:p w14:paraId="10837325">
      <w:pPr>
        <w:pStyle w:val="85"/>
        <w:ind w:firstLine="480"/>
        <w:rPr>
          <w:kern w:val="0"/>
        </w:rPr>
      </w:pPr>
      <w:r>
        <w:rPr>
          <w:rFonts w:hint="eastAsia"/>
          <w:kern w:val="0"/>
        </w:rPr>
        <w:t>斑块所占景观面积比例（PLAND）指某一斑块类型占整个景观面积的百分比，是确定优势景观元素重要依据，也是决定景观中优势种和数量等生态系统指标的重要因素。</w:t>
      </w:r>
    </w:p>
    <w:p w14:paraId="1DE518A7">
      <w:pPr>
        <w:pStyle w:val="85"/>
        <w:ind w:firstLine="480"/>
        <w:rPr>
          <w:kern w:val="0"/>
        </w:rPr>
      </w:pPr>
      <w:r>
        <w:rPr>
          <w:rFonts w:hint="eastAsia"/>
          <w:kern w:val="0"/>
        </w:rPr>
        <w:t>最大斑块指数（LPI）指</w:t>
      </w:r>
      <w:r>
        <w:rPr>
          <w:kern w:val="0"/>
        </w:rPr>
        <w:t>某一斑块类型中最大斑块占整个景观的百分比，用于确定景观中的优势斑块，可间接反映景观变化受人类活动的干扰程度。</w:t>
      </w:r>
    </w:p>
    <w:p w14:paraId="78EF79B5">
      <w:pPr>
        <w:pStyle w:val="85"/>
        <w:ind w:firstLine="480"/>
        <w:rPr>
          <w:kern w:val="0"/>
        </w:rPr>
      </w:pPr>
      <w:r>
        <w:rPr>
          <w:rFonts w:hint="eastAsia"/>
          <w:kern w:val="0"/>
        </w:rPr>
        <w:t>计算评价区内各景观指数情况见下表。</w:t>
      </w:r>
    </w:p>
    <w:p w14:paraId="161D1A0E">
      <w:pPr>
        <w:jc w:val="center"/>
        <w:rPr>
          <w:rFonts w:eastAsia="黑体"/>
          <w:kern w:val="0"/>
          <w:sz w:val="24"/>
          <w:szCs w:val="21"/>
        </w:rPr>
      </w:pPr>
      <w:r>
        <w:rPr>
          <w:kern w:val="0"/>
          <w:sz w:val="24"/>
        </w:rPr>
        <w:t>表</w:t>
      </w:r>
      <w:r>
        <w:rPr>
          <w:kern w:val="0"/>
          <w:sz w:val="24"/>
        </w:rPr>
        <w:fldChar w:fldCharType="begin"/>
      </w:r>
      <w:r>
        <w:rPr>
          <w:kern w:val="0"/>
          <w:sz w:val="24"/>
        </w:rPr>
        <w:instrText xml:space="preserve"> STYLEREF 1 \s </w:instrText>
      </w:r>
      <w:r>
        <w:rPr>
          <w:kern w:val="0"/>
          <w:sz w:val="24"/>
        </w:rPr>
        <w:fldChar w:fldCharType="separate"/>
      </w:r>
      <w:r>
        <w:rPr>
          <w:kern w:val="0"/>
          <w:sz w:val="24"/>
        </w:rPr>
        <w:t>3</w:t>
      </w:r>
      <w:r>
        <w:rPr>
          <w:kern w:val="0"/>
          <w:sz w:val="24"/>
        </w:rPr>
        <w:fldChar w:fldCharType="end"/>
      </w:r>
      <w:r>
        <w:rPr>
          <w:kern w:val="0"/>
          <w:sz w:val="24"/>
        </w:rPr>
        <w:noBreakHyphen/>
      </w:r>
      <w:r>
        <w:rPr>
          <w:kern w:val="0"/>
          <w:sz w:val="24"/>
        </w:rPr>
        <w:fldChar w:fldCharType="begin"/>
      </w:r>
      <w:r>
        <w:rPr>
          <w:kern w:val="0"/>
          <w:sz w:val="24"/>
        </w:rPr>
        <w:instrText xml:space="preserve"> SEQ 表 \* ARABIC \s 1 </w:instrText>
      </w:r>
      <w:r>
        <w:rPr>
          <w:kern w:val="0"/>
          <w:sz w:val="24"/>
        </w:rPr>
        <w:fldChar w:fldCharType="separate"/>
      </w:r>
      <w:r>
        <w:rPr>
          <w:kern w:val="0"/>
          <w:sz w:val="24"/>
        </w:rPr>
        <w:t>18</w:t>
      </w:r>
      <w:r>
        <w:rPr>
          <w:kern w:val="0"/>
          <w:sz w:val="24"/>
        </w:rPr>
        <w:fldChar w:fldCharType="end"/>
      </w:r>
      <w:r>
        <w:rPr>
          <w:kern w:val="0"/>
          <w:sz w:val="24"/>
        </w:rPr>
        <w:t xml:space="preserve">  </w:t>
      </w:r>
      <w:r>
        <w:rPr>
          <w:rFonts w:hint="eastAsia" w:eastAsia="黑体"/>
          <w:kern w:val="0"/>
          <w:sz w:val="24"/>
          <w:szCs w:val="21"/>
        </w:rPr>
        <w:t>评价区景观指数计算表</w:t>
      </w:r>
    </w:p>
    <w:tbl>
      <w:tblPr>
        <w:tblStyle w:val="6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1457"/>
        <w:gridCol w:w="1605"/>
        <w:gridCol w:w="1648"/>
        <w:gridCol w:w="1660"/>
        <w:gridCol w:w="1289"/>
      </w:tblGrid>
      <w:tr w14:paraId="53CAD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pct"/>
            <w:vAlign w:val="center"/>
          </w:tcPr>
          <w:p w14:paraId="757D43F4">
            <w:pPr>
              <w:spacing w:line="276" w:lineRule="auto"/>
              <w:jc w:val="center"/>
              <w:rPr>
                <w:kern w:val="0"/>
                <w:szCs w:val="21"/>
              </w:rPr>
            </w:pPr>
            <w:r>
              <w:rPr>
                <w:rFonts w:hint="eastAsia"/>
                <w:kern w:val="0"/>
                <w:szCs w:val="21"/>
              </w:rPr>
              <w:t>序号</w:t>
            </w:r>
          </w:p>
        </w:tc>
        <w:tc>
          <w:tcPr>
            <w:tcW w:w="854" w:type="pct"/>
            <w:vAlign w:val="center"/>
          </w:tcPr>
          <w:p w14:paraId="61A4E2AC">
            <w:pPr>
              <w:spacing w:line="276" w:lineRule="auto"/>
              <w:jc w:val="center"/>
              <w:rPr>
                <w:kern w:val="0"/>
                <w:szCs w:val="21"/>
              </w:rPr>
            </w:pPr>
            <w:r>
              <w:rPr>
                <w:rFonts w:hint="eastAsia"/>
                <w:kern w:val="0"/>
                <w:szCs w:val="21"/>
              </w:rPr>
              <w:t>景观类型</w:t>
            </w:r>
          </w:p>
        </w:tc>
        <w:tc>
          <w:tcPr>
            <w:tcW w:w="941" w:type="pct"/>
            <w:vAlign w:val="center"/>
          </w:tcPr>
          <w:p w14:paraId="0D98C438">
            <w:pPr>
              <w:spacing w:line="276" w:lineRule="auto"/>
              <w:jc w:val="center"/>
              <w:rPr>
                <w:kern w:val="0"/>
                <w:szCs w:val="21"/>
              </w:rPr>
            </w:pPr>
            <w:r>
              <w:rPr>
                <w:rFonts w:hint="eastAsia"/>
                <w:kern w:val="0"/>
                <w:szCs w:val="21"/>
              </w:rPr>
              <w:t>斑块数（个）</w:t>
            </w:r>
          </w:p>
        </w:tc>
        <w:tc>
          <w:tcPr>
            <w:tcW w:w="966" w:type="pct"/>
            <w:vAlign w:val="center"/>
          </w:tcPr>
          <w:p w14:paraId="38AC42C1">
            <w:pPr>
              <w:spacing w:line="276" w:lineRule="auto"/>
              <w:jc w:val="center"/>
              <w:rPr>
                <w:iCs/>
                <w:kern w:val="0"/>
                <w:szCs w:val="21"/>
              </w:rPr>
            </w:pPr>
            <w:r>
              <w:rPr>
                <w:iCs/>
                <w:kern w:val="0"/>
                <w:szCs w:val="21"/>
              </w:rPr>
              <w:t>CA</w:t>
            </w:r>
            <w:r>
              <w:rPr>
                <w:rFonts w:hint="eastAsia"/>
                <w:iCs/>
                <w:kern w:val="0"/>
                <w:szCs w:val="21"/>
              </w:rPr>
              <w:t>（</w:t>
            </w:r>
            <w:r>
              <w:rPr>
                <w:rFonts w:hint="eastAsia"/>
                <w:kern w:val="0"/>
                <w:szCs w:val="21"/>
              </w:rPr>
              <w:t>h</w:t>
            </w:r>
            <w:r>
              <w:rPr>
                <w:kern w:val="0"/>
                <w:szCs w:val="21"/>
              </w:rPr>
              <w:t>m</w:t>
            </w:r>
            <w:r>
              <w:rPr>
                <w:kern w:val="0"/>
                <w:szCs w:val="21"/>
                <w:vertAlign w:val="superscript"/>
              </w:rPr>
              <w:t>2</w:t>
            </w:r>
            <w:r>
              <w:rPr>
                <w:rFonts w:hint="eastAsia"/>
                <w:iCs/>
                <w:kern w:val="0"/>
                <w:szCs w:val="21"/>
              </w:rPr>
              <w:t>）</w:t>
            </w:r>
          </w:p>
        </w:tc>
        <w:tc>
          <w:tcPr>
            <w:tcW w:w="973" w:type="pct"/>
            <w:vAlign w:val="center"/>
          </w:tcPr>
          <w:p w14:paraId="4389B89C">
            <w:pPr>
              <w:spacing w:line="276" w:lineRule="auto"/>
              <w:jc w:val="center"/>
              <w:rPr>
                <w:i/>
                <w:kern w:val="0"/>
                <w:szCs w:val="21"/>
              </w:rPr>
            </w:pPr>
            <w:r>
              <w:rPr>
                <w:rFonts w:hint="eastAsia"/>
                <w:kern w:val="0"/>
                <w:szCs w:val="21"/>
              </w:rPr>
              <w:t>PLAND（%）</w:t>
            </w:r>
          </w:p>
        </w:tc>
        <w:tc>
          <w:tcPr>
            <w:tcW w:w="756" w:type="pct"/>
            <w:vAlign w:val="center"/>
          </w:tcPr>
          <w:p w14:paraId="157C11FD">
            <w:pPr>
              <w:spacing w:line="276" w:lineRule="auto"/>
              <w:jc w:val="center"/>
              <w:rPr>
                <w:i/>
                <w:kern w:val="0"/>
                <w:szCs w:val="21"/>
              </w:rPr>
            </w:pPr>
            <w:r>
              <w:rPr>
                <w:rFonts w:hint="eastAsia"/>
                <w:kern w:val="0"/>
                <w:szCs w:val="21"/>
              </w:rPr>
              <w:t>LPI（%）</w:t>
            </w:r>
          </w:p>
        </w:tc>
      </w:tr>
      <w:tr w14:paraId="42B1A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pct"/>
          </w:tcPr>
          <w:p w14:paraId="28B9E77F">
            <w:pPr>
              <w:spacing w:line="276" w:lineRule="auto"/>
              <w:jc w:val="center"/>
              <w:rPr>
                <w:kern w:val="0"/>
                <w:szCs w:val="21"/>
              </w:rPr>
            </w:pPr>
            <w:r>
              <w:rPr>
                <w:rFonts w:hint="eastAsia"/>
                <w:kern w:val="0"/>
                <w:szCs w:val="21"/>
              </w:rPr>
              <w:t>1</w:t>
            </w:r>
          </w:p>
        </w:tc>
        <w:tc>
          <w:tcPr>
            <w:tcW w:w="854" w:type="pct"/>
            <w:vAlign w:val="center"/>
          </w:tcPr>
          <w:p w14:paraId="7EF2BEBC">
            <w:pPr>
              <w:spacing w:line="276" w:lineRule="auto"/>
              <w:jc w:val="center"/>
              <w:rPr>
                <w:kern w:val="0"/>
                <w:szCs w:val="21"/>
              </w:rPr>
            </w:pPr>
            <w:r>
              <w:rPr>
                <w:rFonts w:hint="eastAsia"/>
                <w:kern w:val="0"/>
                <w:szCs w:val="21"/>
              </w:rPr>
              <w:t>森林</w:t>
            </w:r>
          </w:p>
        </w:tc>
        <w:tc>
          <w:tcPr>
            <w:tcW w:w="941" w:type="pct"/>
            <w:vAlign w:val="center"/>
          </w:tcPr>
          <w:p w14:paraId="418C3D10">
            <w:pPr>
              <w:spacing w:line="276" w:lineRule="auto"/>
              <w:jc w:val="center"/>
              <w:rPr>
                <w:kern w:val="0"/>
                <w:szCs w:val="21"/>
              </w:rPr>
            </w:pPr>
            <w:r>
              <w:rPr>
                <w:rFonts w:eastAsia="等线"/>
                <w:szCs w:val="21"/>
              </w:rPr>
              <w:t>162</w:t>
            </w:r>
          </w:p>
        </w:tc>
        <w:tc>
          <w:tcPr>
            <w:tcW w:w="966" w:type="pct"/>
            <w:vAlign w:val="bottom"/>
          </w:tcPr>
          <w:p w14:paraId="3C0F77F0">
            <w:pPr>
              <w:spacing w:line="276" w:lineRule="auto"/>
              <w:jc w:val="center"/>
              <w:rPr>
                <w:iCs/>
                <w:kern w:val="0"/>
                <w:szCs w:val="21"/>
              </w:rPr>
            </w:pPr>
            <w:r>
              <w:rPr>
                <w:rFonts w:eastAsia="等线"/>
                <w:szCs w:val="21"/>
              </w:rPr>
              <w:t>711.06</w:t>
            </w:r>
          </w:p>
        </w:tc>
        <w:tc>
          <w:tcPr>
            <w:tcW w:w="973" w:type="pct"/>
            <w:vAlign w:val="center"/>
          </w:tcPr>
          <w:p w14:paraId="387905F5">
            <w:pPr>
              <w:pStyle w:val="307"/>
              <w:rPr>
                <w:kern w:val="0"/>
                <w:szCs w:val="21"/>
              </w:rPr>
            </w:pPr>
            <w:r>
              <w:rPr>
                <w:rFonts w:eastAsia="等线" w:cs="Times New Roman"/>
                <w:szCs w:val="21"/>
              </w:rPr>
              <w:t>28.08</w:t>
            </w:r>
          </w:p>
        </w:tc>
        <w:tc>
          <w:tcPr>
            <w:tcW w:w="756" w:type="pct"/>
            <w:vAlign w:val="center"/>
          </w:tcPr>
          <w:p w14:paraId="15E664B1">
            <w:pPr>
              <w:spacing w:line="276" w:lineRule="auto"/>
              <w:jc w:val="center"/>
              <w:rPr>
                <w:kern w:val="0"/>
                <w:szCs w:val="21"/>
              </w:rPr>
            </w:pPr>
            <w:r>
              <w:rPr>
                <w:rFonts w:eastAsia="等线"/>
                <w:szCs w:val="21"/>
              </w:rPr>
              <w:t>10.99</w:t>
            </w:r>
          </w:p>
        </w:tc>
      </w:tr>
      <w:tr w14:paraId="1ED56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pct"/>
          </w:tcPr>
          <w:p w14:paraId="348F8F50">
            <w:pPr>
              <w:spacing w:line="276" w:lineRule="auto"/>
              <w:jc w:val="center"/>
              <w:rPr>
                <w:kern w:val="0"/>
                <w:szCs w:val="21"/>
              </w:rPr>
            </w:pPr>
            <w:r>
              <w:rPr>
                <w:rFonts w:hint="eastAsia"/>
                <w:kern w:val="0"/>
                <w:szCs w:val="21"/>
              </w:rPr>
              <w:t>2</w:t>
            </w:r>
          </w:p>
        </w:tc>
        <w:tc>
          <w:tcPr>
            <w:tcW w:w="854" w:type="pct"/>
            <w:vAlign w:val="center"/>
          </w:tcPr>
          <w:p w14:paraId="0279CC87">
            <w:pPr>
              <w:spacing w:line="276" w:lineRule="auto"/>
              <w:jc w:val="center"/>
              <w:rPr>
                <w:kern w:val="0"/>
                <w:szCs w:val="21"/>
              </w:rPr>
            </w:pPr>
            <w:r>
              <w:rPr>
                <w:rFonts w:hint="eastAsia"/>
                <w:kern w:val="0"/>
                <w:szCs w:val="21"/>
              </w:rPr>
              <w:t>灌丛</w:t>
            </w:r>
          </w:p>
        </w:tc>
        <w:tc>
          <w:tcPr>
            <w:tcW w:w="941" w:type="pct"/>
            <w:vAlign w:val="center"/>
          </w:tcPr>
          <w:p w14:paraId="15A81011">
            <w:pPr>
              <w:spacing w:line="276" w:lineRule="auto"/>
              <w:jc w:val="center"/>
              <w:rPr>
                <w:kern w:val="0"/>
                <w:szCs w:val="21"/>
              </w:rPr>
            </w:pPr>
            <w:r>
              <w:rPr>
                <w:rFonts w:eastAsia="等线"/>
                <w:szCs w:val="21"/>
              </w:rPr>
              <w:t>115</w:t>
            </w:r>
          </w:p>
        </w:tc>
        <w:tc>
          <w:tcPr>
            <w:tcW w:w="966" w:type="pct"/>
            <w:vAlign w:val="bottom"/>
          </w:tcPr>
          <w:p w14:paraId="6B7D186B">
            <w:pPr>
              <w:spacing w:line="276" w:lineRule="auto"/>
              <w:jc w:val="center"/>
              <w:rPr>
                <w:iCs/>
                <w:kern w:val="0"/>
                <w:szCs w:val="21"/>
              </w:rPr>
            </w:pPr>
            <w:r>
              <w:rPr>
                <w:rFonts w:eastAsia="等线"/>
                <w:szCs w:val="21"/>
              </w:rPr>
              <w:t>702.54</w:t>
            </w:r>
          </w:p>
        </w:tc>
        <w:tc>
          <w:tcPr>
            <w:tcW w:w="973" w:type="pct"/>
            <w:vAlign w:val="center"/>
          </w:tcPr>
          <w:p w14:paraId="391EB336">
            <w:pPr>
              <w:pStyle w:val="307"/>
              <w:rPr>
                <w:kern w:val="0"/>
                <w:szCs w:val="21"/>
              </w:rPr>
            </w:pPr>
            <w:r>
              <w:rPr>
                <w:rFonts w:eastAsia="等线" w:cs="Times New Roman"/>
                <w:szCs w:val="21"/>
              </w:rPr>
              <w:t>27.75</w:t>
            </w:r>
          </w:p>
        </w:tc>
        <w:tc>
          <w:tcPr>
            <w:tcW w:w="756" w:type="pct"/>
            <w:vAlign w:val="center"/>
          </w:tcPr>
          <w:p w14:paraId="69CDFFA6">
            <w:pPr>
              <w:spacing w:line="276" w:lineRule="auto"/>
              <w:jc w:val="center"/>
              <w:rPr>
                <w:kern w:val="0"/>
                <w:szCs w:val="21"/>
              </w:rPr>
            </w:pPr>
            <w:r>
              <w:rPr>
                <w:rFonts w:eastAsia="等线"/>
                <w:szCs w:val="21"/>
              </w:rPr>
              <w:t>15.2</w:t>
            </w:r>
          </w:p>
        </w:tc>
      </w:tr>
      <w:tr w14:paraId="70B9E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510" w:type="pct"/>
          </w:tcPr>
          <w:p w14:paraId="7BADB73D">
            <w:pPr>
              <w:spacing w:line="276" w:lineRule="auto"/>
              <w:jc w:val="center"/>
              <w:rPr>
                <w:kern w:val="0"/>
                <w:szCs w:val="21"/>
              </w:rPr>
            </w:pPr>
            <w:r>
              <w:rPr>
                <w:rFonts w:hint="eastAsia"/>
                <w:kern w:val="0"/>
                <w:szCs w:val="21"/>
              </w:rPr>
              <w:t>3</w:t>
            </w:r>
          </w:p>
        </w:tc>
        <w:tc>
          <w:tcPr>
            <w:tcW w:w="854" w:type="pct"/>
            <w:vAlign w:val="center"/>
          </w:tcPr>
          <w:p w14:paraId="525B915A">
            <w:pPr>
              <w:spacing w:line="276" w:lineRule="auto"/>
              <w:jc w:val="center"/>
              <w:rPr>
                <w:kern w:val="0"/>
                <w:szCs w:val="21"/>
              </w:rPr>
            </w:pPr>
            <w:r>
              <w:rPr>
                <w:rFonts w:hint="eastAsia"/>
                <w:kern w:val="0"/>
                <w:szCs w:val="21"/>
              </w:rPr>
              <w:t>草丛</w:t>
            </w:r>
          </w:p>
        </w:tc>
        <w:tc>
          <w:tcPr>
            <w:tcW w:w="941" w:type="pct"/>
            <w:vAlign w:val="center"/>
          </w:tcPr>
          <w:p w14:paraId="1DE3FCA5">
            <w:pPr>
              <w:spacing w:line="276" w:lineRule="auto"/>
              <w:jc w:val="center"/>
              <w:rPr>
                <w:kern w:val="0"/>
                <w:szCs w:val="21"/>
              </w:rPr>
            </w:pPr>
            <w:r>
              <w:rPr>
                <w:rFonts w:eastAsia="等线"/>
                <w:szCs w:val="21"/>
              </w:rPr>
              <w:t>265</w:t>
            </w:r>
          </w:p>
        </w:tc>
        <w:tc>
          <w:tcPr>
            <w:tcW w:w="966" w:type="pct"/>
            <w:vAlign w:val="bottom"/>
          </w:tcPr>
          <w:p w14:paraId="4E5FFC57">
            <w:pPr>
              <w:spacing w:line="276" w:lineRule="auto"/>
              <w:jc w:val="center"/>
              <w:rPr>
                <w:kern w:val="0"/>
                <w:szCs w:val="21"/>
              </w:rPr>
            </w:pPr>
            <w:r>
              <w:rPr>
                <w:rFonts w:eastAsia="等线"/>
                <w:szCs w:val="21"/>
              </w:rPr>
              <w:t>70.7</w:t>
            </w:r>
          </w:p>
        </w:tc>
        <w:tc>
          <w:tcPr>
            <w:tcW w:w="973" w:type="pct"/>
            <w:vAlign w:val="center"/>
          </w:tcPr>
          <w:p w14:paraId="53606A80">
            <w:pPr>
              <w:pStyle w:val="307"/>
              <w:rPr>
                <w:kern w:val="0"/>
                <w:szCs w:val="21"/>
              </w:rPr>
            </w:pPr>
            <w:r>
              <w:rPr>
                <w:rFonts w:eastAsia="等线" w:cs="Times New Roman"/>
                <w:szCs w:val="21"/>
              </w:rPr>
              <w:t>2.79</w:t>
            </w:r>
          </w:p>
        </w:tc>
        <w:tc>
          <w:tcPr>
            <w:tcW w:w="756" w:type="pct"/>
            <w:vAlign w:val="center"/>
          </w:tcPr>
          <w:p w14:paraId="34E2829F">
            <w:pPr>
              <w:spacing w:line="276" w:lineRule="auto"/>
              <w:jc w:val="center"/>
              <w:rPr>
                <w:kern w:val="0"/>
                <w:szCs w:val="21"/>
              </w:rPr>
            </w:pPr>
            <w:r>
              <w:rPr>
                <w:rFonts w:eastAsia="等线"/>
                <w:szCs w:val="21"/>
              </w:rPr>
              <w:t>11.18</w:t>
            </w:r>
          </w:p>
        </w:tc>
      </w:tr>
      <w:tr w14:paraId="39E83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pct"/>
          </w:tcPr>
          <w:p w14:paraId="2769CB72">
            <w:pPr>
              <w:spacing w:line="276" w:lineRule="auto"/>
              <w:jc w:val="center"/>
              <w:rPr>
                <w:kern w:val="0"/>
                <w:szCs w:val="21"/>
              </w:rPr>
            </w:pPr>
            <w:r>
              <w:rPr>
                <w:rFonts w:hint="eastAsia"/>
                <w:kern w:val="0"/>
                <w:szCs w:val="21"/>
              </w:rPr>
              <w:t>4</w:t>
            </w:r>
          </w:p>
        </w:tc>
        <w:tc>
          <w:tcPr>
            <w:tcW w:w="854" w:type="pct"/>
            <w:vAlign w:val="center"/>
          </w:tcPr>
          <w:p w14:paraId="20AEA291">
            <w:pPr>
              <w:spacing w:line="276" w:lineRule="auto"/>
              <w:jc w:val="center"/>
              <w:rPr>
                <w:kern w:val="0"/>
                <w:szCs w:val="21"/>
              </w:rPr>
            </w:pPr>
            <w:r>
              <w:rPr>
                <w:rFonts w:hint="eastAsia"/>
                <w:kern w:val="0"/>
                <w:szCs w:val="21"/>
              </w:rPr>
              <w:t>芦苇沼泽</w:t>
            </w:r>
          </w:p>
        </w:tc>
        <w:tc>
          <w:tcPr>
            <w:tcW w:w="941" w:type="pct"/>
            <w:vAlign w:val="center"/>
          </w:tcPr>
          <w:p w14:paraId="669F5975">
            <w:pPr>
              <w:spacing w:line="276" w:lineRule="auto"/>
              <w:jc w:val="center"/>
              <w:rPr>
                <w:kern w:val="0"/>
                <w:szCs w:val="21"/>
              </w:rPr>
            </w:pPr>
            <w:r>
              <w:rPr>
                <w:rFonts w:eastAsia="等线"/>
                <w:szCs w:val="21"/>
              </w:rPr>
              <w:t>1736</w:t>
            </w:r>
          </w:p>
        </w:tc>
        <w:tc>
          <w:tcPr>
            <w:tcW w:w="966" w:type="pct"/>
            <w:vAlign w:val="bottom"/>
          </w:tcPr>
          <w:p w14:paraId="0A37D3F8">
            <w:pPr>
              <w:spacing w:line="276" w:lineRule="auto"/>
              <w:jc w:val="center"/>
              <w:rPr>
                <w:kern w:val="0"/>
                <w:szCs w:val="21"/>
              </w:rPr>
            </w:pPr>
            <w:r>
              <w:rPr>
                <w:rFonts w:eastAsia="等线"/>
                <w:szCs w:val="21"/>
              </w:rPr>
              <w:t>178.49</w:t>
            </w:r>
          </w:p>
        </w:tc>
        <w:tc>
          <w:tcPr>
            <w:tcW w:w="973" w:type="pct"/>
            <w:vAlign w:val="center"/>
          </w:tcPr>
          <w:p w14:paraId="1ACB8B3E">
            <w:pPr>
              <w:pStyle w:val="307"/>
              <w:rPr>
                <w:kern w:val="0"/>
                <w:szCs w:val="21"/>
              </w:rPr>
            </w:pPr>
            <w:r>
              <w:rPr>
                <w:rFonts w:eastAsia="等线" w:cs="Times New Roman"/>
                <w:szCs w:val="21"/>
              </w:rPr>
              <w:t>7.05</w:t>
            </w:r>
          </w:p>
        </w:tc>
        <w:tc>
          <w:tcPr>
            <w:tcW w:w="756" w:type="pct"/>
            <w:vAlign w:val="center"/>
          </w:tcPr>
          <w:p w14:paraId="0DA97B34">
            <w:pPr>
              <w:spacing w:line="276" w:lineRule="auto"/>
              <w:jc w:val="center"/>
              <w:rPr>
                <w:kern w:val="0"/>
                <w:szCs w:val="21"/>
              </w:rPr>
            </w:pPr>
            <w:r>
              <w:rPr>
                <w:rFonts w:eastAsia="等线"/>
                <w:szCs w:val="21"/>
              </w:rPr>
              <w:t>21.03</w:t>
            </w:r>
          </w:p>
        </w:tc>
      </w:tr>
      <w:tr w14:paraId="0FF1A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pct"/>
          </w:tcPr>
          <w:p w14:paraId="1D96C480">
            <w:pPr>
              <w:spacing w:line="276" w:lineRule="auto"/>
              <w:jc w:val="center"/>
              <w:rPr>
                <w:kern w:val="0"/>
                <w:szCs w:val="21"/>
              </w:rPr>
            </w:pPr>
            <w:r>
              <w:rPr>
                <w:rFonts w:hint="eastAsia"/>
                <w:kern w:val="0"/>
                <w:szCs w:val="21"/>
              </w:rPr>
              <w:t>5</w:t>
            </w:r>
          </w:p>
        </w:tc>
        <w:tc>
          <w:tcPr>
            <w:tcW w:w="854" w:type="pct"/>
            <w:vAlign w:val="center"/>
          </w:tcPr>
          <w:p w14:paraId="3BFD27BC">
            <w:pPr>
              <w:spacing w:line="276" w:lineRule="auto"/>
              <w:jc w:val="center"/>
              <w:rPr>
                <w:kern w:val="0"/>
                <w:szCs w:val="21"/>
              </w:rPr>
            </w:pPr>
            <w:r>
              <w:rPr>
                <w:rFonts w:hint="eastAsia"/>
                <w:kern w:val="0"/>
                <w:szCs w:val="21"/>
              </w:rPr>
              <w:t>农田</w:t>
            </w:r>
          </w:p>
        </w:tc>
        <w:tc>
          <w:tcPr>
            <w:tcW w:w="941" w:type="pct"/>
            <w:vAlign w:val="center"/>
          </w:tcPr>
          <w:p w14:paraId="79EA2AD7">
            <w:pPr>
              <w:spacing w:line="276" w:lineRule="auto"/>
              <w:jc w:val="center"/>
              <w:rPr>
                <w:kern w:val="0"/>
                <w:szCs w:val="21"/>
              </w:rPr>
            </w:pPr>
            <w:r>
              <w:rPr>
                <w:rFonts w:eastAsia="等线"/>
                <w:szCs w:val="21"/>
              </w:rPr>
              <w:t>1504</w:t>
            </w:r>
          </w:p>
        </w:tc>
        <w:tc>
          <w:tcPr>
            <w:tcW w:w="966" w:type="pct"/>
            <w:vAlign w:val="bottom"/>
          </w:tcPr>
          <w:p w14:paraId="277A6840">
            <w:pPr>
              <w:spacing w:line="276" w:lineRule="auto"/>
              <w:jc w:val="center"/>
              <w:rPr>
                <w:kern w:val="0"/>
                <w:szCs w:val="21"/>
              </w:rPr>
            </w:pPr>
            <w:r>
              <w:rPr>
                <w:rFonts w:eastAsia="等线"/>
                <w:szCs w:val="21"/>
              </w:rPr>
              <w:t>770.51</w:t>
            </w:r>
          </w:p>
        </w:tc>
        <w:tc>
          <w:tcPr>
            <w:tcW w:w="973" w:type="pct"/>
            <w:vAlign w:val="center"/>
          </w:tcPr>
          <w:p w14:paraId="1DFE39B1">
            <w:pPr>
              <w:pStyle w:val="307"/>
              <w:rPr>
                <w:kern w:val="0"/>
                <w:szCs w:val="21"/>
              </w:rPr>
            </w:pPr>
            <w:r>
              <w:rPr>
                <w:rFonts w:eastAsia="等线" w:cs="Times New Roman"/>
                <w:szCs w:val="21"/>
              </w:rPr>
              <w:t>30.43</w:t>
            </w:r>
          </w:p>
        </w:tc>
        <w:tc>
          <w:tcPr>
            <w:tcW w:w="756" w:type="pct"/>
            <w:vAlign w:val="center"/>
          </w:tcPr>
          <w:p w14:paraId="3CF7F7FE">
            <w:pPr>
              <w:spacing w:line="276" w:lineRule="auto"/>
              <w:jc w:val="center"/>
              <w:rPr>
                <w:kern w:val="0"/>
                <w:szCs w:val="21"/>
              </w:rPr>
            </w:pPr>
            <w:r>
              <w:rPr>
                <w:rFonts w:eastAsia="等线"/>
                <w:szCs w:val="21"/>
              </w:rPr>
              <w:t>0.44</w:t>
            </w:r>
          </w:p>
        </w:tc>
      </w:tr>
      <w:tr w14:paraId="4EDFA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pct"/>
          </w:tcPr>
          <w:p w14:paraId="4515D2AC">
            <w:pPr>
              <w:spacing w:line="276" w:lineRule="auto"/>
              <w:jc w:val="center"/>
              <w:rPr>
                <w:kern w:val="0"/>
                <w:szCs w:val="21"/>
              </w:rPr>
            </w:pPr>
            <w:r>
              <w:rPr>
                <w:kern w:val="0"/>
                <w:szCs w:val="21"/>
              </w:rPr>
              <w:t>6</w:t>
            </w:r>
          </w:p>
        </w:tc>
        <w:tc>
          <w:tcPr>
            <w:tcW w:w="854" w:type="pct"/>
            <w:vAlign w:val="center"/>
          </w:tcPr>
          <w:p w14:paraId="713FE66D">
            <w:pPr>
              <w:spacing w:line="276" w:lineRule="auto"/>
              <w:jc w:val="center"/>
              <w:rPr>
                <w:kern w:val="0"/>
                <w:szCs w:val="21"/>
              </w:rPr>
            </w:pPr>
            <w:r>
              <w:rPr>
                <w:rFonts w:hint="eastAsia"/>
                <w:kern w:val="0"/>
                <w:szCs w:val="21"/>
              </w:rPr>
              <w:t>城镇</w:t>
            </w:r>
          </w:p>
        </w:tc>
        <w:tc>
          <w:tcPr>
            <w:tcW w:w="941" w:type="pct"/>
            <w:vAlign w:val="center"/>
          </w:tcPr>
          <w:p w14:paraId="3B77CA8D">
            <w:pPr>
              <w:spacing w:line="276" w:lineRule="auto"/>
              <w:jc w:val="center"/>
              <w:rPr>
                <w:kern w:val="0"/>
                <w:szCs w:val="21"/>
              </w:rPr>
            </w:pPr>
            <w:r>
              <w:rPr>
                <w:rFonts w:eastAsia="等线"/>
                <w:szCs w:val="21"/>
              </w:rPr>
              <w:t>36</w:t>
            </w:r>
          </w:p>
        </w:tc>
        <w:tc>
          <w:tcPr>
            <w:tcW w:w="966" w:type="pct"/>
            <w:vAlign w:val="center"/>
          </w:tcPr>
          <w:p w14:paraId="7DA24CE0">
            <w:pPr>
              <w:spacing w:line="276" w:lineRule="auto"/>
              <w:jc w:val="center"/>
              <w:rPr>
                <w:kern w:val="0"/>
                <w:szCs w:val="21"/>
              </w:rPr>
            </w:pPr>
            <w:r>
              <w:rPr>
                <w:rFonts w:eastAsia="等线"/>
                <w:szCs w:val="21"/>
              </w:rPr>
              <w:t>98.82</w:t>
            </w:r>
          </w:p>
        </w:tc>
        <w:tc>
          <w:tcPr>
            <w:tcW w:w="973" w:type="pct"/>
            <w:vAlign w:val="center"/>
          </w:tcPr>
          <w:p w14:paraId="566C1C6B">
            <w:pPr>
              <w:pStyle w:val="307"/>
              <w:rPr>
                <w:kern w:val="0"/>
                <w:szCs w:val="21"/>
              </w:rPr>
            </w:pPr>
            <w:r>
              <w:rPr>
                <w:rFonts w:eastAsia="等线" w:cs="Times New Roman"/>
                <w:szCs w:val="21"/>
              </w:rPr>
              <w:t>3.90</w:t>
            </w:r>
          </w:p>
        </w:tc>
        <w:tc>
          <w:tcPr>
            <w:tcW w:w="756" w:type="pct"/>
            <w:vAlign w:val="center"/>
          </w:tcPr>
          <w:p w14:paraId="0C8B1635">
            <w:pPr>
              <w:spacing w:line="276" w:lineRule="auto"/>
              <w:jc w:val="center"/>
              <w:rPr>
                <w:kern w:val="0"/>
                <w:szCs w:val="21"/>
              </w:rPr>
            </w:pPr>
            <w:r>
              <w:rPr>
                <w:rFonts w:eastAsia="等线"/>
                <w:szCs w:val="21"/>
              </w:rPr>
              <w:t>8.33</w:t>
            </w:r>
          </w:p>
        </w:tc>
      </w:tr>
      <w:tr w14:paraId="1E021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1364" w:type="pct"/>
            <w:gridSpan w:val="2"/>
          </w:tcPr>
          <w:p w14:paraId="742AD4D6">
            <w:pPr>
              <w:spacing w:line="276" w:lineRule="auto"/>
              <w:jc w:val="center"/>
              <w:rPr>
                <w:kern w:val="0"/>
                <w:szCs w:val="21"/>
              </w:rPr>
            </w:pPr>
            <w:r>
              <w:rPr>
                <w:rFonts w:hint="eastAsia"/>
                <w:kern w:val="0"/>
                <w:szCs w:val="21"/>
              </w:rPr>
              <w:t>合计</w:t>
            </w:r>
          </w:p>
        </w:tc>
        <w:tc>
          <w:tcPr>
            <w:tcW w:w="941" w:type="pct"/>
            <w:vAlign w:val="center"/>
          </w:tcPr>
          <w:p w14:paraId="2A34096F">
            <w:pPr>
              <w:spacing w:line="276" w:lineRule="auto"/>
              <w:jc w:val="center"/>
              <w:rPr>
                <w:kern w:val="0"/>
                <w:szCs w:val="21"/>
              </w:rPr>
            </w:pPr>
            <w:r>
              <w:rPr>
                <w:rFonts w:eastAsia="等线"/>
                <w:szCs w:val="21"/>
              </w:rPr>
              <w:t>3818</w:t>
            </w:r>
          </w:p>
        </w:tc>
        <w:tc>
          <w:tcPr>
            <w:tcW w:w="966" w:type="pct"/>
            <w:vAlign w:val="center"/>
          </w:tcPr>
          <w:p w14:paraId="295AAC2F">
            <w:pPr>
              <w:spacing w:line="276" w:lineRule="auto"/>
              <w:jc w:val="center"/>
              <w:rPr>
                <w:kern w:val="0"/>
                <w:szCs w:val="21"/>
              </w:rPr>
            </w:pPr>
            <w:r>
              <w:rPr>
                <w:rFonts w:eastAsia="等线"/>
                <w:szCs w:val="21"/>
              </w:rPr>
              <w:t>2532.12</w:t>
            </w:r>
          </w:p>
        </w:tc>
        <w:tc>
          <w:tcPr>
            <w:tcW w:w="973" w:type="pct"/>
            <w:vAlign w:val="bottom"/>
          </w:tcPr>
          <w:p w14:paraId="168C5E25">
            <w:pPr>
              <w:spacing w:line="276" w:lineRule="auto"/>
              <w:jc w:val="center"/>
              <w:rPr>
                <w:kern w:val="0"/>
                <w:szCs w:val="21"/>
              </w:rPr>
            </w:pPr>
            <w:r>
              <w:rPr>
                <w:rFonts w:hint="eastAsia"/>
                <w:kern w:val="0"/>
                <w:szCs w:val="21"/>
              </w:rPr>
              <w:t>/</w:t>
            </w:r>
          </w:p>
        </w:tc>
        <w:tc>
          <w:tcPr>
            <w:tcW w:w="756" w:type="pct"/>
            <w:vAlign w:val="center"/>
          </w:tcPr>
          <w:p w14:paraId="22046778">
            <w:pPr>
              <w:spacing w:line="276" w:lineRule="auto"/>
              <w:jc w:val="center"/>
              <w:rPr>
                <w:kern w:val="0"/>
                <w:szCs w:val="21"/>
              </w:rPr>
            </w:pPr>
            <w:r>
              <w:rPr>
                <w:rFonts w:hint="eastAsia"/>
                <w:kern w:val="0"/>
                <w:szCs w:val="21"/>
              </w:rPr>
              <w:t>/</w:t>
            </w:r>
          </w:p>
        </w:tc>
      </w:tr>
    </w:tbl>
    <w:p w14:paraId="517858AB">
      <w:pPr>
        <w:pStyle w:val="85"/>
        <w:ind w:firstLine="480"/>
        <w:rPr>
          <w:kern w:val="0"/>
        </w:rPr>
      </w:pPr>
      <w:r>
        <w:rPr>
          <w:rFonts w:hint="eastAsia"/>
          <w:kern w:val="0"/>
        </w:rPr>
        <w:t>由上表可知，评价区内景观类型包括森林、灌丛、草丛、芦苇沼泽、农田、城镇5类，其中农田景观、森林景观、灌丛景观比例较大。</w:t>
      </w:r>
    </w:p>
    <w:p w14:paraId="10EE7316">
      <w:pPr>
        <w:pStyle w:val="4"/>
      </w:pPr>
      <w:r>
        <w:rPr>
          <w:rFonts w:hint="eastAsia"/>
        </w:rPr>
        <w:t>植被和植物群落现状</w:t>
      </w:r>
    </w:p>
    <w:p w14:paraId="26C1DA1A">
      <w:pPr>
        <w:pStyle w:val="85"/>
        <w:ind w:firstLine="482"/>
        <w:rPr>
          <w:b/>
          <w:bCs/>
          <w:kern w:val="0"/>
        </w:rPr>
      </w:pPr>
      <w:r>
        <w:rPr>
          <w:rFonts w:hint="eastAsia"/>
          <w:b/>
          <w:bCs/>
          <w:kern w:val="0"/>
        </w:rPr>
        <w:t>1、植物</w:t>
      </w:r>
      <w:r>
        <w:rPr>
          <w:b/>
          <w:bCs/>
          <w:kern w:val="0"/>
        </w:rPr>
        <w:t>区系</w:t>
      </w:r>
    </w:p>
    <w:p w14:paraId="75D8D961">
      <w:pPr>
        <w:pStyle w:val="85"/>
        <w:ind w:firstLine="480"/>
        <w:rPr>
          <w:kern w:val="0"/>
        </w:rPr>
      </w:pPr>
      <w:r>
        <w:rPr>
          <w:rFonts w:hint="eastAsia"/>
          <w:kern w:val="0"/>
        </w:rPr>
        <w:t>（1）区系</w:t>
      </w:r>
      <w:r>
        <w:rPr>
          <w:kern w:val="0"/>
        </w:rPr>
        <w:t>类别</w:t>
      </w:r>
    </w:p>
    <w:p w14:paraId="1B185873">
      <w:pPr>
        <w:pStyle w:val="85"/>
        <w:ind w:firstLine="480"/>
        <w:rPr>
          <w:kern w:val="0"/>
        </w:rPr>
      </w:pPr>
      <w:r>
        <w:rPr>
          <w:rFonts w:hint="eastAsia"/>
          <w:kern w:val="0"/>
        </w:rPr>
        <w:t>拟建项目位于河北省承德市滦平县，其气候属于暖温带半干旱、半湿润的大陆性季风气候，属于蒙古、东北、华北三大植物区系交汇处。</w:t>
      </w:r>
    </w:p>
    <w:p w14:paraId="1005F126">
      <w:pPr>
        <w:pStyle w:val="85"/>
        <w:ind w:firstLine="480"/>
        <w:rPr>
          <w:kern w:val="0"/>
        </w:rPr>
      </w:pPr>
      <w:r>
        <w:rPr>
          <w:rFonts w:hint="eastAsia"/>
          <w:kern w:val="0"/>
        </w:rPr>
        <w:t>（2）区系</w:t>
      </w:r>
      <w:r>
        <w:rPr>
          <w:kern w:val="0"/>
        </w:rPr>
        <w:t>基本组成</w:t>
      </w:r>
    </w:p>
    <w:p w14:paraId="4F00E937">
      <w:pPr>
        <w:pStyle w:val="85"/>
        <w:ind w:firstLine="480"/>
        <w:rPr>
          <w:kern w:val="0"/>
        </w:rPr>
      </w:pPr>
      <w:r>
        <w:rPr>
          <w:rFonts w:hint="eastAsia"/>
          <w:kern w:val="0"/>
        </w:rPr>
        <w:t>从地理成份上分析，种子植物分布区以北温带成分最多，达64属，占种子植物属数的41.56%，其中北温带成分为有45属，占种子植物属数的29.22%。本区植物区系与其所在的地理位置和气候相吻合。世界分布类型仅次于北温带成分，共42属，占种子植物属数的27.27%，多成单优势种群落或寡优势种群落。因此，北温带成分和世界分布类型在本区占有绝对优势，占总属数的56.49%。热带成份的属在本区共27个，其中泛热带分布的属21个，占总属的13.64%，这些热带成分的属均为寡种属和单种属。东亚成份在本区有13属，占总属数的8.44%，地中海成份与中亚成份仅共占8属，与本区联系较为薄弱。</w:t>
      </w:r>
    </w:p>
    <w:p w14:paraId="70FFB579">
      <w:pPr>
        <w:pStyle w:val="85"/>
        <w:ind w:firstLine="480"/>
        <w:rPr>
          <w:kern w:val="0"/>
        </w:rPr>
      </w:pPr>
      <w:r>
        <w:rPr>
          <w:rFonts w:hint="eastAsia"/>
          <w:kern w:val="0"/>
        </w:rPr>
        <w:t>（3）区系</w:t>
      </w:r>
      <w:r>
        <w:rPr>
          <w:kern w:val="0"/>
        </w:rPr>
        <w:t>主要特征</w:t>
      </w:r>
    </w:p>
    <w:p w14:paraId="1CE1E2A3">
      <w:pPr>
        <w:pStyle w:val="85"/>
        <w:ind w:firstLine="480"/>
        <w:rPr>
          <w:kern w:val="0"/>
        </w:rPr>
      </w:pPr>
      <w:r>
        <w:rPr>
          <w:rFonts w:hint="eastAsia"/>
          <w:kern w:val="0"/>
        </w:rPr>
        <w:t>区域属华北植物区系，植物类型属中国东部湿润森林区温湿带半旱生落叶、阔叶林和灌丛草原亚带、冀北山地栎林油松和亚高山针叶林。区域内森林、灌丛、灌草丛、草甸等植被茂盛。</w:t>
      </w:r>
    </w:p>
    <w:p w14:paraId="3A5E5E97">
      <w:pPr>
        <w:pStyle w:val="85"/>
        <w:ind w:firstLine="482"/>
        <w:rPr>
          <w:b/>
          <w:bCs/>
          <w:kern w:val="0"/>
        </w:rPr>
      </w:pPr>
      <w:r>
        <w:rPr>
          <w:rFonts w:hint="eastAsia"/>
          <w:b/>
          <w:bCs/>
          <w:kern w:val="0"/>
        </w:rPr>
        <w:t>2、植被类型及特征分析</w:t>
      </w:r>
    </w:p>
    <w:p w14:paraId="515F899E">
      <w:pPr>
        <w:pStyle w:val="85"/>
        <w:ind w:firstLine="480"/>
        <w:rPr>
          <w:kern w:val="0"/>
        </w:rPr>
      </w:pPr>
      <w:r>
        <w:rPr>
          <w:rFonts w:hint="eastAsia"/>
          <w:kern w:val="0"/>
        </w:rPr>
        <w:t>（1）植被</w:t>
      </w:r>
      <w:r>
        <w:rPr>
          <w:kern w:val="0"/>
        </w:rPr>
        <w:t>类型</w:t>
      </w:r>
    </w:p>
    <w:p w14:paraId="592F462B">
      <w:pPr>
        <w:pStyle w:val="85"/>
        <w:ind w:firstLine="480"/>
        <w:rPr>
          <w:kern w:val="0"/>
        </w:rPr>
      </w:pPr>
      <w:r>
        <w:rPr>
          <w:rFonts w:hint="eastAsia"/>
          <w:kern w:val="0"/>
        </w:rPr>
        <w:t>经现场调查与参考《中国植被》及相关林业调查资料，遵循植物群落学-生态学的分类原则，采用植被型组、植被型、群系等基本单位，在对现存植被进行调查的基础上，结合区域内现有群落中植物种类组成、群系建群种与优势种的外貌，以及群系的环境生态与地理分布特征、群落动态特征等分析，将评价范围内主要的植被划分为</w:t>
      </w:r>
      <w:r>
        <w:rPr>
          <w:kern w:val="0"/>
        </w:rPr>
        <w:t>6</w:t>
      </w:r>
      <w:r>
        <w:rPr>
          <w:rFonts w:hint="eastAsia"/>
          <w:kern w:val="0"/>
        </w:rPr>
        <w:t>个植被型组、</w:t>
      </w:r>
      <w:r>
        <w:rPr>
          <w:kern w:val="0"/>
        </w:rPr>
        <w:t>6</w:t>
      </w:r>
      <w:r>
        <w:rPr>
          <w:rFonts w:hint="eastAsia"/>
          <w:kern w:val="0"/>
        </w:rPr>
        <w:t>个植被型、</w:t>
      </w:r>
      <w:r>
        <w:rPr>
          <w:kern w:val="0"/>
        </w:rPr>
        <w:t>7</w:t>
      </w:r>
      <w:r>
        <w:rPr>
          <w:rFonts w:hint="eastAsia"/>
          <w:kern w:val="0"/>
        </w:rPr>
        <w:t>个植被亚型、</w:t>
      </w:r>
      <w:r>
        <w:rPr>
          <w:kern w:val="0"/>
        </w:rPr>
        <w:t>8</w:t>
      </w:r>
      <w:r>
        <w:rPr>
          <w:rFonts w:hint="eastAsia"/>
          <w:kern w:val="0"/>
        </w:rPr>
        <w:t>个群系，其中自然植被包括油松林、蒙古栎林、毛白杨林、荆条灌丛、羊草和杂类草草甸草原、芦苇沼泽</w:t>
      </w:r>
      <w:r>
        <w:rPr>
          <w:kern w:val="0"/>
        </w:rPr>
        <w:t>6</w:t>
      </w:r>
      <w:r>
        <w:rPr>
          <w:rFonts w:hint="eastAsia"/>
          <w:kern w:val="0"/>
        </w:rPr>
        <w:t>种，具体见下表。</w:t>
      </w:r>
    </w:p>
    <w:p w14:paraId="05A3BC50">
      <w:pPr>
        <w:jc w:val="center"/>
        <w:rPr>
          <w:rFonts w:eastAsia="黑体"/>
          <w:kern w:val="0"/>
          <w:sz w:val="24"/>
          <w:szCs w:val="21"/>
        </w:rPr>
      </w:pPr>
      <w:r>
        <w:rPr>
          <w:kern w:val="0"/>
          <w:sz w:val="24"/>
        </w:rPr>
        <w:t>表</w:t>
      </w:r>
      <w:r>
        <w:rPr>
          <w:kern w:val="0"/>
          <w:sz w:val="24"/>
        </w:rPr>
        <w:fldChar w:fldCharType="begin"/>
      </w:r>
      <w:r>
        <w:rPr>
          <w:kern w:val="0"/>
          <w:sz w:val="24"/>
        </w:rPr>
        <w:instrText xml:space="preserve"> STYLEREF 1 \s </w:instrText>
      </w:r>
      <w:r>
        <w:rPr>
          <w:kern w:val="0"/>
          <w:sz w:val="24"/>
        </w:rPr>
        <w:fldChar w:fldCharType="separate"/>
      </w:r>
      <w:r>
        <w:rPr>
          <w:kern w:val="0"/>
          <w:sz w:val="24"/>
        </w:rPr>
        <w:t>3</w:t>
      </w:r>
      <w:r>
        <w:rPr>
          <w:kern w:val="0"/>
          <w:sz w:val="24"/>
        </w:rPr>
        <w:fldChar w:fldCharType="end"/>
      </w:r>
      <w:r>
        <w:rPr>
          <w:kern w:val="0"/>
          <w:sz w:val="24"/>
        </w:rPr>
        <w:noBreakHyphen/>
      </w:r>
      <w:r>
        <w:rPr>
          <w:kern w:val="0"/>
          <w:sz w:val="24"/>
        </w:rPr>
        <w:fldChar w:fldCharType="begin"/>
      </w:r>
      <w:r>
        <w:rPr>
          <w:kern w:val="0"/>
          <w:sz w:val="24"/>
        </w:rPr>
        <w:instrText xml:space="preserve"> SEQ 表 \* ARABIC \s 1 </w:instrText>
      </w:r>
      <w:r>
        <w:rPr>
          <w:kern w:val="0"/>
          <w:sz w:val="24"/>
        </w:rPr>
        <w:fldChar w:fldCharType="separate"/>
      </w:r>
      <w:r>
        <w:rPr>
          <w:kern w:val="0"/>
          <w:sz w:val="24"/>
        </w:rPr>
        <w:t>19</w:t>
      </w:r>
      <w:r>
        <w:rPr>
          <w:kern w:val="0"/>
          <w:sz w:val="24"/>
        </w:rPr>
        <w:fldChar w:fldCharType="end"/>
      </w:r>
      <w:r>
        <w:rPr>
          <w:kern w:val="0"/>
          <w:sz w:val="24"/>
        </w:rPr>
        <w:t xml:space="preserve">  </w:t>
      </w:r>
      <w:r>
        <w:rPr>
          <w:rFonts w:hint="eastAsia" w:eastAsia="黑体"/>
          <w:kern w:val="0"/>
          <w:sz w:val="24"/>
          <w:szCs w:val="21"/>
        </w:rPr>
        <w:t>植物群落调查结果统计表</w:t>
      </w:r>
    </w:p>
    <w:tbl>
      <w:tblPr>
        <w:tblStyle w:val="2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0"/>
        <w:gridCol w:w="1165"/>
        <w:gridCol w:w="1167"/>
        <w:gridCol w:w="1310"/>
        <w:gridCol w:w="2183"/>
        <w:gridCol w:w="1001"/>
        <w:gridCol w:w="832"/>
      </w:tblGrid>
      <w:tr w14:paraId="49750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10" w:type="pct"/>
            <w:vAlign w:val="center"/>
          </w:tcPr>
          <w:p w14:paraId="757BF09F">
            <w:pPr>
              <w:spacing w:line="276" w:lineRule="auto"/>
              <w:jc w:val="center"/>
              <w:rPr>
                <w:kern w:val="0"/>
                <w:sz w:val="21"/>
                <w:szCs w:val="21"/>
              </w:rPr>
            </w:pPr>
            <w:r>
              <w:rPr>
                <w:kern w:val="0"/>
                <w:sz w:val="21"/>
                <w:szCs w:val="21"/>
              </w:rPr>
              <w:t>植被型组</w:t>
            </w:r>
          </w:p>
        </w:tc>
        <w:tc>
          <w:tcPr>
            <w:tcW w:w="683" w:type="pct"/>
            <w:vAlign w:val="center"/>
          </w:tcPr>
          <w:p w14:paraId="2ECB005E">
            <w:pPr>
              <w:spacing w:line="276" w:lineRule="auto"/>
              <w:jc w:val="center"/>
              <w:rPr>
                <w:kern w:val="0"/>
                <w:sz w:val="21"/>
                <w:szCs w:val="21"/>
              </w:rPr>
            </w:pPr>
            <w:r>
              <w:rPr>
                <w:kern w:val="0"/>
                <w:sz w:val="21"/>
                <w:szCs w:val="21"/>
              </w:rPr>
              <w:t>植被型</w:t>
            </w:r>
          </w:p>
        </w:tc>
        <w:tc>
          <w:tcPr>
            <w:tcW w:w="684" w:type="pct"/>
            <w:vAlign w:val="center"/>
          </w:tcPr>
          <w:p w14:paraId="3CD9F2AF">
            <w:pPr>
              <w:spacing w:line="276" w:lineRule="auto"/>
              <w:jc w:val="center"/>
              <w:rPr>
                <w:kern w:val="0"/>
                <w:sz w:val="21"/>
                <w:szCs w:val="21"/>
              </w:rPr>
            </w:pPr>
            <w:r>
              <w:rPr>
                <w:rFonts w:hint="eastAsia"/>
                <w:kern w:val="0"/>
                <w:sz w:val="21"/>
                <w:szCs w:val="21"/>
              </w:rPr>
              <w:t>植被亚型</w:t>
            </w:r>
          </w:p>
        </w:tc>
        <w:tc>
          <w:tcPr>
            <w:tcW w:w="768" w:type="pct"/>
            <w:vAlign w:val="center"/>
          </w:tcPr>
          <w:p w14:paraId="104009EE">
            <w:pPr>
              <w:spacing w:line="276" w:lineRule="auto"/>
              <w:jc w:val="center"/>
              <w:rPr>
                <w:kern w:val="0"/>
                <w:sz w:val="21"/>
                <w:szCs w:val="21"/>
              </w:rPr>
            </w:pPr>
            <w:r>
              <w:rPr>
                <w:rFonts w:hint="eastAsia"/>
                <w:kern w:val="0"/>
                <w:sz w:val="21"/>
                <w:szCs w:val="21"/>
              </w:rPr>
              <w:t>群系</w:t>
            </w:r>
          </w:p>
        </w:tc>
        <w:tc>
          <w:tcPr>
            <w:tcW w:w="1280" w:type="pct"/>
            <w:vAlign w:val="center"/>
          </w:tcPr>
          <w:p w14:paraId="03C9A796">
            <w:pPr>
              <w:spacing w:line="276" w:lineRule="auto"/>
              <w:jc w:val="center"/>
              <w:rPr>
                <w:kern w:val="0"/>
                <w:sz w:val="21"/>
                <w:szCs w:val="21"/>
              </w:rPr>
            </w:pPr>
            <w:r>
              <w:rPr>
                <w:rFonts w:hint="eastAsia"/>
                <w:kern w:val="0"/>
                <w:sz w:val="21"/>
                <w:szCs w:val="21"/>
              </w:rPr>
              <w:t>分布区域</w:t>
            </w:r>
          </w:p>
        </w:tc>
        <w:tc>
          <w:tcPr>
            <w:tcW w:w="587" w:type="pct"/>
            <w:vAlign w:val="center"/>
          </w:tcPr>
          <w:p w14:paraId="6A2EDAD7">
            <w:pPr>
              <w:spacing w:line="276" w:lineRule="auto"/>
              <w:jc w:val="center"/>
              <w:rPr>
                <w:kern w:val="0"/>
                <w:sz w:val="21"/>
                <w:szCs w:val="21"/>
              </w:rPr>
            </w:pPr>
            <w:r>
              <w:rPr>
                <w:rFonts w:hint="eastAsia"/>
                <w:kern w:val="0"/>
                <w:sz w:val="21"/>
                <w:szCs w:val="21"/>
              </w:rPr>
              <w:t>面积（hm</w:t>
            </w:r>
            <w:r>
              <w:rPr>
                <w:kern w:val="0"/>
                <w:sz w:val="21"/>
                <w:szCs w:val="21"/>
                <w:vertAlign w:val="superscript"/>
              </w:rPr>
              <w:t>2</w:t>
            </w:r>
            <w:r>
              <w:rPr>
                <w:rFonts w:hint="eastAsia"/>
                <w:kern w:val="0"/>
                <w:sz w:val="21"/>
                <w:szCs w:val="21"/>
              </w:rPr>
              <w:t>）</w:t>
            </w:r>
          </w:p>
        </w:tc>
        <w:tc>
          <w:tcPr>
            <w:tcW w:w="488" w:type="pct"/>
            <w:vAlign w:val="center"/>
          </w:tcPr>
          <w:p w14:paraId="228E5089">
            <w:pPr>
              <w:spacing w:line="276" w:lineRule="auto"/>
              <w:jc w:val="center"/>
              <w:rPr>
                <w:kern w:val="0"/>
                <w:sz w:val="21"/>
                <w:szCs w:val="21"/>
              </w:rPr>
            </w:pPr>
            <w:r>
              <w:rPr>
                <w:rFonts w:hint="eastAsia"/>
                <w:kern w:val="0"/>
                <w:sz w:val="21"/>
                <w:szCs w:val="21"/>
              </w:rPr>
              <w:t>比例</w:t>
            </w:r>
          </w:p>
          <w:p w14:paraId="48B456DC">
            <w:pPr>
              <w:spacing w:line="276" w:lineRule="auto"/>
              <w:jc w:val="center"/>
              <w:rPr>
                <w:kern w:val="0"/>
                <w:sz w:val="21"/>
                <w:szCs w:val="21"/>
              </w:rPr>
            </w:pPr>
            <w:r>
              <w:rPr>
                <w:rFonts w:hint="eastAsia"/>
                <w:kern w:val="0"/>
                <w:sz w:val="21"/>
                <w:szCs w:val="21"/>
              </w:rPr>
              <w:t>（%）</w:t>
            </w:r>
          </w:p>
        </w:tc>
      </w:tr>
      <w:tr w14:paraId="262A9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pct"/>
            <w:vAlign w:val="center"/>
          </w:tcPr>
          <w:p w14:paraId="2A944165">
            <w:pPr>
              <w:spacing w:line="276" w:lineRule="auto"/>
              <w:jc w:val="center"/>
              <w:rPr>
                <w:kern w:val="0"/>
                <w:sz w:val="21"/>
                <w:szCs w:val="21"/>
              </w:rPr>
            </w:pPr>
            <w:r>
              <w:rPr>
                <w:rFonts w:hint="eastAsia"/>
                <w:kern w:val="0"/>
                <w:sz w:val="21"/>
                <w:szCs w:val="21"/>
              </w:rPr>
              <w:t>针叶林</w:t>
            </w:r>
          </w:p>
        </w:tc>
        <w:tc>
          <w:tcPr>
            <w:tcW w:w="683" w:type="pct"/>
            <w:vAlign w:val="center"/>
          </w:tcPr>
          <w:p w14:paraId="149D7B43">
            <w:pPr>
              <w:spacing w:line="276" w:lineRule="auto"/>
              <w:jc w:val="center"/>
              <w:rPr>
                <w:kern w:val="0"/>
                <w:sz w:val="21"/>
                <w:szCs w:val="21"/>
              </w:rPr>
            </w:pPr>
            <w:r>
              <w:rPr>
                <w:rFonts w:hint="eastAsia"/>
                <w:kern w:val="0"/>
                <w:sz w:val="21"/>
                <w:szCs w:val="21"/>
              </w:rPr>
              <w:t>常绿针叶林</w:t>
            </w:r>
          </w:p>
        </w:tc>
        <w:tc>
          <w:tcPr>
            <w:tcW w:w="684" w:type="pct"/>
            <w:vAlign w:val="center"/>
          </w:tcPr>
          <w:p w14:paraId="788E7C53">
            <w:pPr>
              <w:spacing w:line="276" w:lineRule="auto"/>
              <w:jc w:val="center"/>
              <w:rPr>
                <w:kern w:val="0"/>
                <w:sz w:val="21"/>
                <w:szCs w:val="21"/>
              </w:rPr>
            </w:pPr>
            <w:r>
              <w:rPr>
                <w:rFonts w:hint="eastAsia"/>
                <w:kern w:val="0"/>
                <w:sz w:val="21"/>
                <w:szCs w:val="21"/>
              </w:rPr>
              <w:t>温带针叶林</w:t>
            </w:r>
          </w:p>
        </w:tc>
        <w:tc>
          <w:tcPr>
            <w:tcW w:w="768" w:type="pct"/>
            <w:vAlign w:val="center"/>
          </w:tcPr>
          <w:p w14:paraId="0D4464D5">
            <w:pPr>
              <w:spacing w:line="276" w:lineRule="auto"/>
              <w:jc w:val="center"/>
              <w:rPr>
                <w:kern w:val="0"/>
                <w:sz w:val="21"/>
                <w:szCs w:val="21"/>
              </w:rPr>
            </w:pPr>
            <w:r>
              <w:rPr>
                <w:rFonts w:hint="eastAsia"/>
                <w:kern w:val="0"/>
                <w:sz w:val="21"/>
                <w:szCs w:val="21"/>
              </w:rPr>
              <w:t>油松林</w:t>
            </w:r>
          </w:p>
        </w:tc>
        <w:tc>
          <w:tcPr>
            <w:tcW w:w="1280" w:type="pct"/>
            <w:vAlign w:val="center"/>
          </w:tcPr>
          <w:p w14:paraId="13DCE96B">
            <w:pPr>
              <w:spacing w:line="276" w:lineRule="auto"/>
              <w:jc w:val="center"/>
              <w:rPr>
                <w:kern w:val="0"/>
                <w:sz w:val="21"/>
                <w:szCs w:val="21"/>
              </w:rPr>
            </w:pPr>
            <w:r>
              <w:rPr>
                <w:rFonts w:hint="eastAsia"/>
                <w:kern w:val="0"/>
                <w:sz w:val="21"/>
                <w:szCs w:val="21"/>
              </w:rPr>
              <w:t>评价区潮河两侧山地分布</w:t>
            </w:r>
          </w:p>
        </w:tc>
        <w:tc>
          <w:tcPr>
            <w:tcW w:w="587" w:type="pct"/>
            <w:vAlign w:val="center"/>
          </w:tcPr>
          <w:p w14:paraId="1CF35D87">
            <w:pPr>
              <w:spacing w:line="276" w:lineRule="auto"/>
              <w:jc w:val="center"/>
              <w:rPr>
                <w:kern w:val="0"/>
                <w:sz w:val="21"/>
                <w:szCs w:val="21"/>
              </w:rPr>
            </w:pPr>
            <w:r>
              <w:rPr>
                <w:rFonts w:hint="eastAsia"/>
                <w:kern w:val="0"/>
                <w:sz w:val="21"/>
                <w:szCs w:val="21"/>
              </w:rPr>
              <w:t>2</w:t>
            </w:r>
            <w:r>
              <w:rPr>
                <w:kern w:val="0"/>
                <w:sz w:val="21"/>
                <w:szCs w:val="21"/>
              </w:rPr>
              <w:t>78.47</w:t>
            </w:r>
          </w:p>
        </w:tc>
        <w:tc>
          <w:tcPr>
            <w:tcW w:w="488" w:type="pct"/>
            <w:vAlign w:val="center"/>
          </w:tcPr>
          <w:p w14:paraId="3F57CB9A">
            <w:pPr>
              <w:spacing w:line="276" w:lineRule="auto"/>
              <w:jc w:val="center"/>
              <w:rPr>
                <w:kern w:val="0"/>
                <w:sz w:val="21"/>
                <w:szCs w:val="21"/>
              </w:rPr>
            </w:pPr>
            <w:r>
              <w:rPr>
                <w:rFonts w:hint="eastAsia"/>
                <w:kern w:val="0"/>
                <w:sz w:val="21"/>
                <w:szCs w:val="21"/>
              </w:rPr>
              <w:t>1</w:t>
            </w:r>
            <w:r>
              <w:rPr>
                <w:kern w:val="0"/>
                <w:sz w:val="21"/>
                <w:szCs w:val="21"/>
              </w:rPr>
              <w:t>1.00</w:t>
            </w:r>
          </w:p>
        </w:tc>
      </w:tr>
      <w:tr w14:paraId="5E7AF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pct"/>
            <w:vMerge w:val="restart"/>
            <w:vAlign w:val="center"/>
          </w:tcPr>
          <w:p w14:paraId="4B22AFFF">
            <w:pPr>
              <w:spacing w:line="276" w:lineRule="auto"/>
              <w:jc w:val="center"/>
              <w:rPr>
                <w:kern w:val="0"/>
                <w:sz w:val="21"/>
                <w:szCs w:val="21"/>
              </w:rPr>
            </w:pPr>
            <w:r>
              <w:rPr>
                <w:rFonts w:hint="eastAsia"/>
                <w:kern w:val="0"/>
                <w:sz w:val="21"/>
                <w:szCs w:val="21"/>
              </w:rPr>
              <w:t>阔叶林</w:t>
            </w:r>
          </w:p>
        </w:tc>
        <w:tc>
          <w:tcPr>
            <w:tcW w:w="683" w:type="pct"/>
            <w:vMerge w:val="restart"/>
            <w:vAlign w:val="center"/>
          </w:tcPr>
          <w:p w14:paraId="0CC6AF8B">
            <w:pPr>
              <w:spacing w:line="276" w:lineRule="auto"/>
              <w:jc w:val="center"/>
              <w:rPr>
                <w:kern w:val="0"/>
                <w:sz w:val="21"/>
                <w:szCs w:val="21"/>
              </w:rPr>
            </w:pPr>
            <w:r>
              <w:rPr>
                <w:rFonts w:hint="eastAsia"/>
                <w:kern w:val="0"/>
                <w:sz w:val="21"/>
                <w:szCs w:val="21"/>
              </w:rPr>
              <w:t>落叶阔叶林</w:t>
            </w:r>
          </w:p>
        </w:tc>
        <w:tc>
          <w:tcPr>
            <w:tcW w:w="684" w:type="pct"/>
            <w:vMerge w:val="restart"/>
            <w:vAlign w:val="center"/>
          </w:tcPr>
          <w:p w14:paraId="3D491C2C">
            <w:pPr>
              <w:spacing w:line="276" w:lineRule="auto"/>
              <w:jc w:val="center"/>
              <w:rPr>
                <w:kern w:val="0"/>
                <w:sz w:val="21"/>
                <w:szCs w:val="21"/>
              </w:rPr>
            </w:pPr>
            <w:r>
              <w:rPr>
                <w:rFonts w:hint="eastAsia"/>
                <w:kern w:val="0"/>
                <w:sz w:val="21"/>
                <w:szCs w:val="21"/>
              </w:rPr>
              <w:t>温带落叶阔叶林</w:t>
            </w:r>
          </w:p>
        </w:tc>
        <w:tc>
          <w:tcPr>
            <w:tcW w:w="768" w:type="pct"/>
            <w:vAlign w:val="center"/>
          </w:tcPr>
          <w:p w14:paraId="38CA920F">
            <w:pPr>
              <w:spacing w:line="276" w:lineRule="auto"/>
              <w:jc w:val="center"/>
              <w:rPr>
                <w:kern w:val="0"/>
                <w:sz w:val="21"/>
                <w:szCs w:val="21"/>
              </w:rPr>
            </w:pPr>
            <w:r>
              <w:rPr>
                <w:rFonts w:hint="eastAsia"/>
                <w:kern w:val="0"/>
                <w:sz w:val="21"/>
                <w:szCs w:val="21"/>
              </w:rPr>
              <w:t>蒙古栎林</w:t>
            </w:r>
          </w:p>
        </w:tc>
        <w:tc>
          <w:tcPr>
            <w:tcW w:w="1280" w:type="pct"/>
            <w:vAlign w:val="center"/>
          </w:tcPr>
          <w:p w14:paraId="4E522DA1">
            <w:pPr>
              <w:spacing w:line="276" w:lineRule="auto"/>
              <w:jc w:val="center"/>
              <w:rPr>
                <w:kern w:val="0"/>
                <w:sz w:val="21"/>
                <w:szCs w:val="21"/>
              </w:rPr>
            </w:pPr>
            <w:r>
              <w:rPr>
                <w:rFonts w:hint="eastAsia"/>
                <w:kern w:val="0"/>
                <w:sz w:val="21"/>
                <w:szCs w:val="21"/>
              </w:rPr>
              <w:t>评价区潮河两侧山地分布</w:t>
            </w:r>
          </w:p>
        </w:tc>
        <w:tc>
          <w:tcPr>
            <w:tcW w:w="587" w:type="pct"/>
            <w:vAlign w:val="center"/>
          </w:tcPr>
          <w:p w14:paraId="41AD4DB5">
            <w:pPr>
              <w:spacing w:line="276" w:lineRule="auto"/>
              <w:jc w:val="center"/>
              <w:rPr>
                <w:kern w:val="0"/>
                <w:sz w:val="21"/>
                <w:szCs w:val="21"/>
              </w:rPr>
            </w:pPr>
            <w:r>
              <w:rPr>
                <w:rFonts w:hint="eastAsia"/>
                <w:kern w:val="0"/>
                <w:sz w:val="21"/>
                <w:szCs w:val="21"/>
              </w:rPr>
              <w:t>3</w:t>
            </w:r>
            <w:r>
              <w:rPr>
                <w:kern w:val="0"/>
                <w:sz w:val="21"/>
                <w:szCs w:val="21"/>
              </w:rPr>
              <w:t>39.08</w:t>
            </w:r>
          </w:p>
        </w:tc>
        <w:tc>
          <w:tcPr>
            <w:tcW w:w="488" w:type="pct"/>
            <w:vAlign w:val="center"/>
          </w:tcPr>
          <w:p w14:paraId="308AF8E3">
            <w:pPr>
              <w:spacing w:line="276" w:lineRule="auto"/>
              <w:jc w:val="center"/>
              <w:rPr>
                <w:kern w:val="0"/>
                <w:sz w:val="21"/>
                <w:szCs w:val="21"/>
              </w:rPr>
            </w:pPr>
            <w:r>
              <w:rPr>
                <w:rFonts w:hint="eastAsia"/>
                <w:kern w:val="0"/>
                <w:sz w:val="21"/>
                <w:szCs w:val="21"/>
              </w:rPr>
              <w:t>1</w:t>
            </w:r>
            <w:r>
              <w:rPr>
                <w:kern w:val="0"/>
                <w:sz w:val="21"/>
                <w:szCs w:val="21"/>
              </w:rPr>
              <w:t>3.39</w:t>
            </w:r>
          </w:p>
        </w:tc>
      </w:tr>
      <w:tr w14:paraId="6348F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pct"/>
            <w:vMerge w:val="continue"/>
            <w:vAlign w:val="center"/>
          </w:tcPr>
          <w:p w14:paraId="2E89FD09">
            <w:pPr>
              <w:spacing w:line="276" w:lineRule="auto"/>
              <w:jc w:val="center"/>
              <w:rPr>
                <w:kern w:val="0"/>
                <w:sz w:val="21"/>
                <w:szCs w:val="21"/>
              </w:rPr>
            </w:pPr>
          </w:p>
        </w:tc>
        <w:tc>
          <w:tcPr>
            <w:tcW w:w="683" w:type="pct"/>
            <w:vMerge w:val="continue"/>
            <w:vAlign w:val="center"/>
          </w:tcPr>
          <w:p w14:paraId="7EBD0999">
            <w:pPr>
              <w:spacing w:line="276" w:lineRule="auto"/>
              <w:jc w:val="center"/>
              <w:rPr>
                <w:kern w:val="0"/>
                <w:sz w:val="21"/>
                <w:szCs w:val="21"/>
              </w:rPr>
            </w:pPr>
          </w:p>
        </w:tc>
        <w:tc>
          <w:tcPr>
            <w:tcW w:w="684" w:type="pct"/>
            <w:vMerge w:val="continue"/>
            <w:vAlign w:val="center"/>
          </w:tcPr>
          <w:p w14:paraId="35262FCA">
            <w:pPr>
              <w:spacing w:line="276" w:lineRule="auto"/>
              <w:jc w:val="center"/>
              <w:rPr>
                <w:kern w:val="0"/>
                <w:sz w:val="21"/>
                <w:szCs w:val="21"/>
              </w:rPr>
            </w:pPr>
          </w:p>
        </w:tc>
        <w:tc>
          <w:tcPr>
            <w:tcW w:w="768" w:type="pct"/>
            <w:vAlign w:val="center"/>
          </w:tcPr>
          <w:p w14:paraId="15041FF1">
            <w:pPr>
              <w:spacing w:line="276" w:lineRule="auto"/>
              <w:jc w:val="center"/>
              <w:rPr>
                <w:kern w:val="0"/>
                <w:sz w:val="21"/>
                <w:szCs w:val="21"/>
              </w:rPr>
            </w:pPr>
            <w:r>
              <w:rPr>
                <w:rFonts w:hint="eastAsia"/>
                <w:kern w:val="0"/>
                <w:sz w:val="21"/>
                <w:szCs w:val="21"/>
              </w:rPr>
              <w:t>毛白杨林</w:t>
            </w:r>
          </w:p>
        </w:tc>
        <w:tc>
          <w:tcPr>
            <w:tcW w:w="1280" w:type="pct"/>
            <w:vAlign w:val="center"/>
          </w:tcPr>
          <w:p w14:paraId="5A4A25EF">
            <w:pPr>
              <w:spacing w:line="276" w:lineRule="auto"/>
              <w:jc w:val="center"/>
              <w:rPr>
                <w:kern w:val="0"/>
                <w:sz w:val="21"/>
                <w:szCs w:val="21"/>
              </w:rPr>
            </w:pPr>
            <w:r>
              <w:rPr>
                <w:rFonts w:hint="eastAsia"/>
                <w:kern w:val="0"/>
                <w:sz w:val="21"/>
                <w:szCs w:val="21"/>
              </w:rPr>
              <w:t>评价区潮河两侧山地分布</w:t>
            </w:r>
          </w:p>
        </w:tc>
        <w:tc>
          <w:tcPr>
            <w:tcW w:w="587" w:type="pct"/>
            <w:vAlign w:val="center"/>
          </w:tcPr>
          <w:p w14:paraId="699E234E">
            <w:pPr>
              <w:spacing w:line="276" w:lineRule="auto"/>
              <w:jc w:val="center"/>
              <w:rPr>
                <w:kern w:val="0"/>
                <w:sz w:val="21"/>
                <w:szCs w:val="21"/>
              </w:rPr>
            </w:pPr>
            <w:r>
              <w:rPr>
                <w:rFonts w:hint="eastAsia"/>
                <w:kern w:val="0"/>
                <w:sz w:val="21"/>
                <w:szCs w:val="21"/>
              </w:rPr>
              <w:t>9</w:t>
            </w:r>
            <w:r>
              <w:rPr>
                <w:kern w:val="0"/>
                <w:sz w:val="21"/>
                <w:szCs w:val="21"/>
              </w:rPr>
              <w:t>3.51</w:t>
            </w:r>
          </w:p>
        </w:tc>
        <w:tc>
          <w:tcPr>
            <w:tcW w:w="488" w:type="pct"/>
            <w:vAlign w:val="center"/>
          </w:tcPr>
          <w:p w14:paraId="72BD4D3C">
            <w:pPr>
              <w:spacing w:line="276" w:lineRule="auto"/>
              <w:jc w:val="center"/>
              <w:rPr>
                <w:kern w:val="0"/>
                <w:sz w:val="21"/>
                <w:szCs w:val="21"/>
              </w:rPr>
            </w:pPr>
            <w:r>
              <w:rPr>
                <w:rFonts w:hint="eastAsia"/>
                <w:kern w:val="0"/>
                <w:sz w:val="21"/>
                <w:szCs w:val="21"/>
              </w:rPr>
              <w:t>3</w:t>
            </w:r>
            <w:r>
              <w:rPr>
                <w:kern w:val="0"/>
                <w:sz w:val="21"/>
                <w:szCs w:val="21"/>
              </w:rPr>
              <w:t>.69</w:t>
            </w:r>
          </w:p>
        </w:tc>
      </w:tr>
      <w:tr w14:paraId="18A12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pct"/>
            <w:vAlign w:val="center"/>
          </w:tcPr>
          <w:p w14:paraId="01668AAF">
            <w:pPr>
              <w:spacing w:line="276" w:lineRule="auto"/>
              <w:jc w:val="center"/>
              <w:rPr>
                <w:kern w:val="0"/>
                <w:sz w:val="21"/>
                <w:szCs w:val="21"/>
              </w:rPr>
            </w:pPr>
            <w:r>
              <w:rPr>
                <w:rFonts w:hint="eastAsia"/>
                <w:kern w:val="0"/>
                <w:sz w:val="21"/>
                <w:szCs w:val="21"/>
              </w:rPr>
              <w:t>灌丛和灌草丛</w:t>
            </w:r>
          </w:p>
        </w:tc>
        <w:tc>
          <w:tcPr>
            <w:tcW w:w="683" w:type="pct"/>
            <w:vAlign w:val="center"/>
          </w:tcPr>
          <w:p w14:paraId="55E2F9FE">
            <w:pPr>
              <w:spacing w:line="276" w:lineRule="auto"/>
              <w:jc w:val="center"/>
              <w:rPr>
                <w:kern w:val="0"/>
                <w:sz w:val="21"/>
                <w:szCs w:val="21"/>
              </w:rPr>
            </w:pPr>
            <w:r>
              <w:rPr>
                <w:rFonts w:hint="eastAsia"/>
                <w:kern w:val="0"/>
                <w:sz w:val="21"/>
                <w:szCs w:val="21"/>
              </w:rPr>
              <w:t>落叶阔叶灌丛</w:t>
            </w:r>
          </w:p>
        </w:tc>
        <w:tc>
          <w:tcPr>
            <w:tcW w:w="684" w:type="pct"/>
            <w:vAlign w:val="center"/>
          </w:tcPr>
          <w:p w14:paraId="7F9D7BBC">
            <w:pPr>
              <w:spacing w:line="276" w:lineRule="auto"/>
              <w:jc w:val="center"/>
              <w:rPr>
                <w:kern w:val="0"/>
                <w:sz w:val="21"/>
                <w:szCs w:val="21"/>
              </w:rPr>
            </w:pPr>
            <w:r>
              <w:rPr>
                <w:rFonts w:hint="eastAsia"/>
                <w:kern w:val="0"/>
                <w:sz w:val="21"/>
                <w:szCs w:val="21"/>
              </w:rPr>
              <w:t>温带落叶阔叶灌丛</w:t>
            </w:r>
          </w:p>
        </w:tc>
        <w:tc>
          <w:tcPr>
            <w:tcW w:w="768" w:type="pct"/>
            <w:vAlign w:val="center"/>
          </w:tcPr>
          <w:p w14:paraId="57A0C744">
            <w:pPr>
              <w:spacing w:line="276" w:lineRule="auto"/>
              <w:jc w:val="center"/>
              <w:rPr>
                <w:kern w:val="0"/>
                <w:sz w:val="21"/>
                <w:szCs w:val="21"/>
              </w:rPr>
            </w:pPr>
            <w:r>
              <w:rPr>
                <w:rFonts w:hint="eastAsia"/>
                <w:kern w:val="0"/>
                <w:sz w:val="21"/>
                <w:szCs w:val="21"/>
              </w:rPr>
              <w:t>荆条灌丛</w:t>
            </w:r>
          </w:p>
        </w:tc>
        <w:tc>
          <w:tcPr>
            <w:tcW w:w="1280" w:type="pct"/>
            <w:vAlign w:val="center"/>
          </w:tcPr>
          <w:p w14:paraId="4E09722A">
            <w:pPr>
              <w:spacing w:line="276" w:lineRule="auto"/>
              <w:jc w:val="center"/>
              <w:rPr>
                <w:kern w:val="0"/>
                <w:sz w:val="21"/>
                <w:szCs w:val="21"/>
              </w:rPr>
            </w:pPr>
            <w:r>
              <w:rPr>
                <w:rFonts w:hint="eastAsia"/>
                <w:kern w:val="0"/>
                <w:sz w:val="21"/>
                <w:szCs w:val="21"/>
              </w:rPr>
              <w:t>评价区潮河两侧山地、缓坡地带分布</w:t>
            </w:r>
          </w:p>
        </w:tc>
        <w:tc>
          <w:tcPr>
            <w:tcW w:w="587" w:type="pct"/>
            <w:vAlign w:val="center"/>
          </w:tcPr>
          <w:p w14:paraId="5B6D95C4">
            <w:pPr>
              <w:spacing w:line="276" w:lineRule="auto"/>
              <w:jc w:val="center"/>
              <w:rPr>
                <w:kern w:val="0"/>
                <w:sz w:val="21"/>
                <w:szCs w:val="21"/>
              </w:rPr>
            </w:pPr>
            <w:r>
              <w:rPr>
                <w:rFonts w:hint="eastAsia"/>
                <w:kern w:val="0"/>
                <w:sz w:val="21"/>
                <w:szCs w:val="21"/>
              </w:rPr>
              <w:t>7</w:t>
            </w:r>
            <w:r>
              <w:rPr>
                <w:kern w:val="0"/>
                <w:sz w:val="21"/>
                <w:szCs w:val="21"/>
              </w:rPr>
              <w:t>02.54</w:t>
            </w:r>
          </w:p>
        </w:tc>
        <w:tc>
          <w:tcPr>
            <w:tcW w:w="488" w:type="pct"/>
            <w:vAlign w:val="center"/>
          </w:tcPr>
          <w:p w14:paraId="1617583F">
            <w:pPr>
              <w:spacing w:line="276" w:lineRule="auto"/>
              <w:jc w:val="center"/>
              <w:rPr>
                <w:kern w:val="0"/>
                <w:sz w:val="21"/>
                <w:szCs w:val="21"/>
              </w:rPr>
            </w:pPr>
            <w:r>
              <w:rPr>
                <w:rFonts w:hint="eastAsia"/>
                <w:kern w:val="0"/>
                <w:sz w:val="21"/>
                <w:szCs w:val="21"/>
              </w:rPr>
              <w:t>2</w:t>
            </w:r>
            <w:r>
              <w:rPr>
                <w:kern w:val="0"/>
                <w:sz w:val="21"/>
                <w:szCs w:val="21"/>
              </w:rPr>
              <w:t>7.75</w:t>
            </w:r>
          </w:p>
        </w:tc>
      </w:tr>
      <w:tr w14:paraId="58BA8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pct"/>
            <w:vAlign w:val="center"/>
          </w:tcPr>
          <w:p w14:paraId="7A3F7122">
            <w:pPr>
              <w:spacing w:line="276" w:lineRule="auto"/>
              <w:jc w:val="center"/>
              <w:rPr>
                <w:kern w:val="0"/>
                <w:sz w:val="21"/>
                <w:szCs w:val="21"/>
              </w:rPr>
            </w:pPr>
            <w:r>
              <w:rPr>
                <w:rFonts w:hint="eastAsia"/>
                <w:kern w:val="0"/>
                <w:sz w:val="21"/>
                <w:szCs w:val="21"/>
              </w:rPr>
              <w:t>草原</w:t>
            </w:r>
          </w:p>
        </w:tc>
        <w:tc>
          <w:tcPr>
            <w:tcW w:w="683" w:type="pct"/>
            <w:vAlign w:val="center"/>
          </w:tcPr>
          <w:p w14:paraId="6EE410F2">
            <w:pPr>
              <w:spacing w:line="276" w:lineRule="auto"/>
              <w:jc w:val="center"/>
              <w:rPr>
                <w:kern w:val="0"/>
                <w:sz w:val="21"/>
                <w:szCs w:val="21"/>
              </w:rPr>
            </w:pPr>
            <w:r>
              <w:rPr>
                <w:rFonts w:hint="eastAsia"/>
                <w:kern w:val="0"/>
                <w:sz w:val="21"/>
                <w:szCs w:val="21"/>
              </w:rPr>
              <w:t>草甸草原</w:t>
            </w:r>
          </w:p>
        </w:tc>
        <w:tc>
          <w:tcPr>
            <w:tcW w:w="684" w:type="pct"/>
            <w:vAlign w:val="center"/>
          </w:tcPr>
          <w:p w14:paraId="3E6B0DD3">
            <w:pPr>
              <w:spacing w:line="276" w:lineRule="auto"/>
              <w:jc w:val="center"/>
              <w:rPr>
                <w:kern w:val="0"/>
                <w:sz w:val="21"/>
                <w:szCs w:val="21"/>
              </w:rPr>
            </w:pPr>
            <w:r>
              <w:rPr>
                <w:rFonts w:hint="eastAsia"/>
                <w:kern w:val="0"/>
                <w:sz w:val="21"/>
                <w:szCs w:val="21"/>
              </w:rPr>
              <w:t>温带禾草、杂类草草甸草原</w:t>
            </w:r>
          </w:p>
        </w:tc>
        <w:tc>
          <w:tcPr>
            <w:tcW w:w="768" w:type="pct"/>
            <w:vAlign w:val="center"/>
          </w:tcPr>
          <w:p w14:paraId="2BFE1F83">
            <w:pPr>
              <w:spacing w:line="276" w:lineRule="auto"/>
              <w:jc w:val="center"/>
              <w:rPr>
                <w:kern w:val="0"/>
                <w:sz w:val="21"/>
                <w:szCs w:val="21"/>
              </w:rPr>
            </w:pPr>
            <w:r>
              <w:rPr>
                <w:rFonts w:hint="eastAsia"/>
                <w:kern w:val="0"/>
                <w:sz w:val="21"/>
                <w:szCs w:val="21"/>
              </w:rPr>
              <w:t>羊草、杂类草草甸草原</w:t>
            </w:r>
          </w:p>
        </w:tc>
        <w:tc>
          <w:tcPr>
            <w:tcW w:w="1280" w:type="pct"/>
            <w:vAlign w:val="center"/>
          </w:tcPr>
          <w:p w14:paraId="4F0B9F7C">
            <w:pPr>
              <w:spacing w:line="276" w:lineRule="auto"/>
              <w:jc w:val="center"/>
              <w:rPr>
                <w:kern w:val="0"/>
                <w:sz w:val="21"/>
                <w:szCs w:val="21"/>
              </w:rPr>
            </w:pPr>
            <w:r>
              <w:rPr>
                <w:rFonts w:hint="eastAsia"/>
                <w:kern w:val="0"/>
                <w:sz w:val="21"/>
                <w:szCs w:val="21"/>
              </w:rPr>
              <w:t>平缓山地及河谷分布</w:t>
            </w:r>
          </w:p>
        </w:tc>
        <w:tc>
          <w:tcPr>
            <w:tcW w:w="587" w:type="pct"/>
            <w:vAlign w:val="center"/>
          </w:tcPr>
          <w:p w14:paraId="0BF2290C">
            <w:pPr>
              <w:spacing w:line="276" w:lineRule="auto"/>
              <w:jc w:val="center"/>
              <w:rPr>
                <w:kern w:val="0"/>
                <w:sz w:val="21"/>
                <w:szCs w:val="21"/>
              </w:rPr>
            </w:pPr>
            <w:r>
              <w:rPr>
                <w:rFonts w:hint="eastAsia"/>
                <w:kern w:val="0"/>
                <w:sz w:val="21"/>
                <w:szCs w:val="21"/>
              </w:rPr>
              <w:t>7</w:t>
            </w:r>
            <w:r>
              <w:rPr>
                <w:kern w:val="0"/>
                <w:sz w:val="21"/>
                <w:szCs w:val="21"/>
              </w:rPr>
              <w:t>0.7</w:t>
            </w:r>
          </w:p>
        </w:tc>
        <w:tc>
          <w:tcPr>
            <w:tcW w:w="488" w:type="pct"/>
            <w:vAlign w:val="center"/>
          </w:tcPr>
          <w:p w14:paraId="641D7265">
            <w:pPr>
              <w:spacing w:line="276" w:lineRule="auto"/>
              <w:jc w:val="center"/>
              <w:rPr>
                <w:kern w:val="0"/>
                <w:sz w:val="21"/>
                <w:szCs w:val="21"/>
              </w:rPr>
            </w:pPr>
            <w:r>
              <w:rPr>
                <w:rFonts w:hint="eastAsia"/>
                <w:kern w:val="0"/>
                <w:sz w:val="21"/>
                <w:szCs w:val="21"/>
              </w:rPr>
              <w:t>2</w:t>
            </w:r>
            <w:r>
              <w:rPr>
                <w:kern w:val="0"/>
                <w:sz w:val="21"/>
                <w:szCs w:val="21"/>
              </w:rPr>
              <w:t>.79</w:t>
            </w:r>
          </w:p>
        </w:tc>
      </w:tr>
      <w:tr w14:paraId="7DBD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pct"/>
            <w:vAlign w:val="center"/>
          </w:tcPr>
          <w:p w14:paraId="05CD951C">
            <w:pPr>
              <w:spacing w:line="276" w:lineRule="auto"/>
              <w:jc w:val="center"/>
              <w:rPr>
                <w:kern w:val="0"/>
                <w:sz w:val="21"/>
                <w:szCs w:val="21"/>
              </w:rPr>
            </w:pPr>
            <w:r>
              <w:rPr>
                <w:rFonts w:hint="eastAsia"/>
                <w:kern w:val="0"/>
                <w:sz w:val="21"/>
                <w:szCs w:val="21"/>
              </w:rPr>
              <w:t>沼泽</w:t>
            </w:r>
          </w:p>
        </w:tc>
        <w:tc>
          <w:tcPr>
            <w:tcW w:w="683" w:type="pct"/>
            <w:vAlign w:val="center"/>
          </w:tcPr>
          <w:p w14:paraId="3ADE187B">
            <w:pPr>
              <w:spacing w:line="276" w:lineRule="auto"/>
              <w:jc w:val="center"/>
              <w:rPr>
                <w:kern w:val="0"/>
                <w:sz w:val="21"/>
                <w:szCs w:val="21"/>
              </w:rPr>
            </w:pPr>
            <w:r>
              <w:rPr>
                <w:rFonts w:hint="eastAsia"/>
                <w:kern w:val="0"/>
                <w:sz w:val="21"/>
                <w:szCs w:val="21"/>
              </w:rPr>
              <w:t>草本沼泽</w:t>
            </w:r>
          </w:p>
        </w:tc>
        <w:tc>
          <w:tcPr>
            <w:tcW w:w="684" w:type="pct"/>
            <w:vAlign w:val="center"/>
          </w:tcPr>
          <w:p w14:paraId="755E0132">
            <w:pPr>
              <w:spacing w:line="276" w:lineRule="auto"/>
              <w:jc w:val="center"/>
              <w:rPr>
                <w:kern w:val="0"/>
                <w:sz w:val="21"/>
                <w:szCs w:val="21"/>
              </w:rPr>
            </w:pPr>
            <w:r>
              <w:rPr>
                <w:rFonts w:hint="eastAsia"/>
                <w:kern w:val="0"/>
                <w:sz w:val="21"/>
                <w:szCs w:val="21"/>
              </w:rPr>
              <w:t>寒温带、温带沼泽</w:t>
            </w:r>
          </w:p>
        </w:tc>
        <w:tc>
          <w:tcPr>
            <w:tcW w:w="768" w:type="pct"/>
            <w:vAlign w:val="center"/>
          </w:tcPr>
          <w:p w14:paraId="3260C530">
            <w:pPr>
              <w:spacing w:line="276" w:lineRule="auto"/>
              <w:jc w:val="center"/>
              <w:rPr>
                <w:kern w:val="0"/>
                <w:sz w:val="21"/>
                <w:szCs w:val="21"/>
              </w:rPr>
            </w:pPr>
            <w:r>
              <w:rPr>
                <w:rFonts w:hint="eastAsia"/>
                <w:kern w:val="0"/>
                <w:sz w:val="21"/>
                <w:szCs w:val="21"/>
              </w:rPr>
              <w:t>芦苇沼泽</w:t>
            </w:r>
          </w:p>
        </w:tc>
        <w:tc>
          <w:tcPr>
            <w:tcW w:w="1280" w:type="pct"/>
            <w:vAlign w:val="center"/>
          </w:tcPr>
          <w:p w14:paraId="45799D2D">
            <w:pPr>
              <w:spacing w:line="276" w:lineRule="auto"/>
              <w:jc w:val="center"/>
              <w:rPr>
                <w:kern w:val="0"/>
                <w:sz w:val="21"/>
                <w:szCs w:val="21"/>
              </w:rPr>
            </w:pPr>
            <w:r>
              <w:rPr>
                <w:rFonts w:hint="eastAsia"/>
                <w:kern w:val="0"/>
                <w:sz w:val="21"/>
                <w:szCs w:val="21"/>
              </w:rPr>
              <w:t>潮河河道分布</w:t>
            </w:r>
          </w:p>
        </w:tc>
        <w:tc>
          <w:tcPr>
            <w:tcW w:w="587" w:type="pct"/>
            <w:vAlign w:val="center"/>
          </w:tcPr>
          <w:p w14:paraId="658F9FE9">
            <w:pPr>
              <w:spacing w:line="276" w:lineRule="auto"/>
              <w:jc w:val="center"/>
              <w:rPr>
                <w:kern w:val="0"/>
                <w:sz w:val="21"/>
                <w:szCs w:val="21"/>
              </w:rPr>
            </w:pPr>
            <w:r>
              <w:rPr>
                <w:rFonts w:hint="eastAsia"/>
                <w:kern w:val="0"/>
                <w:sz w:val="21"/>
                <w:szCs w:val="21"/>
              </w:rPr>
              <w:t>1</w:t>
            </w:r>
            <w:r>
              <w:rPr>
                <w:kern w:val="0"/>
                <w:sz w:val="21"/>
                <w:szCs w:val="21"/>
              </w:rPr>
              <w:t>78.49</w:t>
            </w:r>
          </w:p>
        </w:tc>
        <w:tc>
          <w:tcPr>
            <w:tcW w:w="488" w:type="pct"/>
            <w:vAlign w:val="center"/>
          </w:tcPr>
          <w:p w14:paraId="51F6A24F">
            <w:pPr>
              <w:spacing w:line="276" w:lineRule="auto"/>
              <w:jc w:val="center"/>
              <w:rPr>
                <w:kern w:val="0"/>
                <w:sz w:val="21"/>
                <w:szCs w:val="21"/>
              </w:rPr>
            </w:pPr>
            <w:r>
              <w:rPr>
                <w:rFonts w:hint="eastAsia"/>
                <w:kern w:val="0"/>
                <w:sz w:val="21"/>
                <w:szCs w:val="21"/>
              </w:rPr>
              <w:t>7</w:t>
            </w:r>
            <w:r>
              <w:rPr>
                <w:kern w:val="0"/>
                <w:sz w:val="21"/>
                <w:szCs w:val="21"/>
              </w:rPr>
              <w:t>.05</w:t>
            </w:r>
          </w:p>
        </w:tc>
      </w:tr>
      <w:tr w14:paraId="4E23D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pct"/>
            <w:vMerge w:val="restart"/>
            <w:vAlign w:val="center"/>
          </w:tcPr>
          <w:p w14:paraId="6A678E17">
            <w:pPr>
              <w:spacing w:line="276" w:lineRule="auto"/>
              <w:jc w:val="center"/>
              <w:rPr>
                <w:kern w:val="0"/>
                <w:sz w:val="21"/>
                <w:szCs w:val="21"/>
              </w:rPr>
            </w:pPr>
            <w:r>
              <w:rPr>
                <w:rFonts w:hint="eastAsia"/>
                <w:kern w:val="0"/>
                <w:sz w:val="21"/>
                <w:szCs w:val="21"/>
              </w:rPr>
              <w:t>栽培植被</w:t>
            </w:r>
          </w:p>
        </w:tc>
        <w:tc>
          <w:tcPr>
            <w:tcW w:w="683" w:type="pct"/>
            <w:vMerge w:val="restart"/>
            <w:vAlign w:val="center"/>
          </w:tcPr>
          <w:p w14:paraId="21C2E9B1">
            <w:pPr>
              <w:spacing w:line="276" w:lineRule="auto"/>
              <w:jc w:val="center"/>
              <w:rPr>
                <w:kern w:val="0"/>
                <w:sz w:val="21"/>
                <w:szCs w:val="21"/>
              </w:rPr>
            </w:pPr>
            <w:r>
              <w:rPr>
                <w:kern w:val="0"/>
                <w:sz w:val="21"/>
                <w:szCs w:val="21"/>
              </w:rPr>
              <w:t>防护林</w:t>
            </w:r>
          </w:p>
          <w:p w14:paraId="4D8BDCE7">
            <w:pPr>
              <w:spacing w:line="276" w:lineRule="auto"/>
              <w:jc w:val="center"/>
              <w:rPr>
                <w:kern w:val="0"/>
                <w:sz w:val="21"/>
                <w:szCs w:val="21"/>
              </w:rPr>
            </w:pPr>
            <w:r>
              <w:rPr>
                <w:kern w:val="0"/>
                <w:sz w:val="21"/>
                <w:szCs w:val="21"/>
              </w:rPr>
              <w:t>粮食作物</w:t>
            </w:r>
          </w:p>
          <w:p w14:paraId="09A66D34">
            <w:pPr>
              <w:spacing w:line="276" w:lineRule="auto"/>
              <w:jc w:val="center"/>
              <w:rPr>
                <w:kern w:val="0"/>
                <w:sz w:val="21"/>
                <w:szCs w:val="21"/>
              </w:rPr>
            </w:pPr>
            <w:r>
              <w:rPr>
                <w:kern w:val="0"/>
                <w:sz w:val="21"/>
                <w:szCs w:val="21"/>
              </w:rPr>
              <w:t>经济作物</w:t>
            </w:r>
          </w:p>
        </w:tc>
        <w:tc>
          <w:tcPr>
            <w:tcW w:w="684" w:type="pct"/>
            <w:vAlign w:val="center"/>
          </w:tcPr>
          <w:p w14:paraId="50B80ADA">
            <w:pPr>
              <w:spacing w:line="276" w:lineRule="auto"/>
              <w:jc w:val="center"/>
              <w:rPr>
                <w:kern w:val="0"/>
                <w:sz w:val="21"/>
                <w:szCs w:val="21"/>
              </w:rPr>
            </w:pPr>
            <w:r>
              <w:rPr>
                <w:rFonts w:hint="eastAsia"/>
                <w:kern w:val="0"/>
                <w:sz w:val="21"/>
                <w:szCs w:val="21"/>
              </w:rPr>
              <w:t>耕地</w:t>
            </w:r>
          </w:p>
        </w:tc>
        <w:tc>
          <w:tcPr>
            <w:tcW w:w="768" w:type="pct"/>
            <w:vAlign w:val="center"/>
          </w:tcPr>
          <w:p w14:paraId="3F85386B">
            <w:pPr>
              <w:spacing w:line="276" w:lineRule="auto"/>
              <w:jc w:val="center"/>
              <w:rPr>
                <w:kern w:val="0"/>
                <w:sz w:val="21"/>
                <w:szCs w:val="21"/>
              </w:rPr>
            </w:pPr>
            <w:r>
              <w:rPr>
                <w:rFonts w:hint="eastAsia"/>
                <w:kern w:val="0"/>
                <w:sz w:val="21"/>
                <w:szCs w:val="21"/>
              </w:rPr>
              <w:t>玉米、小麦</w:t>
            </w:r>
          </w:p>
        </w:tc>
        <w:tc>
          <w:tcPr>
            <w:tcW w:w="1280" w:type="pct"/>
            <w:vAlign w:val="center"/>
          </w:tcPr>
          <w:p w14:paraId="74D237EF">
            <w:pPr>
              <w:spacing w:line="276" w:lineRule="auto"/>
              <w:jc w:val="center"/>
              <w:rPr>
                <w:kern w:val="0"/>
                <w:sz w:val="21"/>
                <w:szCs w:val="21"/>
              </w:rPr>
            </w:pPr>
            <w:r>
              <w:rPr>
                <w:rFonts w:hint="eastAsia"/>
                <w:kern w:val="0"/>
                <w:sz w:val="21"/>
                <w:szCs w:val="21"/>
              </w:rPr>
              <w:t>潮河河道两侧分布</w:t>
            </w:r>
          </w:p>
        </w:tc>
        <w:tc>
          <w:tcPr>
            <w:tcW w:w="587" w:type="pct"/>
            <w:vMerge w:val="restart"/>
            <w:vAlign w:val="center"/>
          </w:tcPr>
          <w:p w14:paraId="3FB8CE93">
            <w:pPr>
              <w:spacing w:line="276" w:lineRule="auto"/>
              <w:jc w:val="center"/>
              <w:rPr>
                <w:kern w:val="0"/>
                <w:sz w:val="21"/>
                <w:szCs w:val="21"/>
              </w:rPr>
            </w:pPr>
            <w:r>
              <w:rPr>
                <w:rFonts w:hint="eastAsia"/>
                <w:kern w:val="0"/>
                <w:sz w:val="21"/>
                <w:szCs w:val="21"/>
              </w:rPr>
              <w:t>7</w:t>
            </w:r>
            <w:r>
              <w:rPr>
                <w:kern w:val="0"/>
                <w:sz w:val="21"/>
                <w:szCs w:val="21"/>
              </w:rPr>
              <w:t>70.51</w:t>
            </w:r>
          </w:p>
        </w:tc>
        <w:tc>
          <w:tcPr>
            <w:tcW w:w="488" w:type="pct"/>
            <w:vMerge w:val="restart"/>
            <w:vAlign w:val="center"/>
          </w:tcPr>
          <w:p w14:paraId="2FD9B5E5">
            <w:pPr>
              <w:spacing w:line="276" w:lineRule="auto"/>
              <w:jc w:val="center"/>
              <w:rPr>
                <w:kern w:val="0"/>
                <w:sz w:val="21"/>
                <w:szCs w:val="21"/>
              </w:rPr>
            </w:pPr>
            <w:r>
              <w:rPr>
                <w:rFonts w:hint="eastAsia"/>
                <w:kern w:val="0"/>
                <w:sz w:val="21"/>
                <w:szCs w:val="21"/>
              </w:rPr>
              <w:t>3</w:t>
            </w:r>
            <w:r>
              <w:rPr>
                <w:kern w:val="0"/>
                <w:sz w:val="21"/>
                <w:szCs w:val="21"/>
              </w:rPr>
              <w:t>0.43</w:t>
            </w:r>
          </w:p>
        </w:tc>
      </w:tr>
      <w:tr w14:paraId="66EF3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pct"/>
            <w:vMerge w:val="continue"/>
            <w:vAlign w:val="center"/>
          </w:tcPr>
          <w:p w14:paraId="505CC085">
            <w:pPr>
              <w:spacing w:line="276" w:lineRule="auto"/>
              <w:jc w:val="center"/>
              <w:rPr>
                <w:kern w:val="0"/>
                <w:sz w:val="21"/>
                <w:szCs w:val="21"/>
              </w:rPr>
            </w:pPr>
          </w:p>
        </w:tc>
        <w:tc>
          <w:tcPr>
            <w:tcW w:w="683" w:type="pct"/>
            <w:vMerge w:val="continue"/>
            <w:vAlign w:val="center"/>
          </w:tcPr>
          <w:p w14:paraId="11529C2A">
            <w:pPr>
              <w:spacing w:line="276" w:lineRule="auto"/>
              <w:jc w:val="center"/>
              <w:rPr>
                <w:kern w:val="0"/>
                <w:sz w:val="21"/>
                <w:szCs w:val="21"/>
              </w:rPr>
            </w:pPr>
          </w:p>
        </w:tc>
        <w:tc>
          <w:tcPr>
            <w:tcW w:w="684" w:type="pct"/>
            <w:vAlign w:val="center"/>
          </w:tcPr>
          <w:p w14:paraId="293DB5AD">
            <w:pPr>
              <w:spacing w:line="276" w:lineRule="auto"/>
              <w:jc w:val="center"/>
              <w:rPr>
                <w:kern w:val="0"/>
                <w:sz w:val="21"/>
                <w:szCs w:val="21"/>
              </w:rPr>
            </w:pPr>
            <w:r>
              <w:rPr>
                <w:rFonts w:hint="eastAsia"/>
                <w:kern w:val="0"/>
                <w:sz w:val="21"/>
                <w:szCs w:val="21"/>
              </w:rPr>
              <w:t>果园</w:t>
            </w:r>
          </w:p>
        </w:tc>
        <w:tc>
          <w:tcPr>
            <w:tcW w:w="768" w:type="pct"/>
            <w:vAlign w:val="center"/>
          </w:tcPr>
          <w:p w14:paraId="3F6F6D16">
            <w:pPr>
              <w:spacing w:line="276" w:lineRule="auto"/>
              <w:jc w:val="center"/>
              <w:rPr>
                <w:kern w:val="0"/>
                <w:sz w:val="21"/>
                <w:szCs w:val="21"/>
              </w:rPr>
            </w:pPr>
            <w:r>
              <w:rPr>
                <w:rFonts w:hint="eastAsia"/>
                <w:kern w:val="0"/>
                <w:sz w:val="21"/>
                <w:szCs w:val="21"/>
              </w:rPr>
              <w:t>蔬菜、瓜果</w:t>
            </w:r>
          </w:p>
        </w:tc>
        <w:tc>
          <w:tcPr>
            <w:tcW w:w="1280" w:type="pct"/>
            <w:vAlign w:val="center"/>
          </w:tcPr>
          <w:p w14:paraId="30B8CA85">
            <w:pPr>
              <w:spacing w:line="276" w:lineRule="auto"/>
              <w:jc w:val="center"/>
              <w:rPr>
                <w:kern w:val="0"/>
                <w:sz w:val="21"/>
                <w:szCs w:val="21"/>
              </w:rPr>
            </w:pPr>
            <w:r>
              <w:rPr>
                <w:rFonts w:hint="eastAsia"/>
                <w:kern w:val="0"/>
                <w:sz w:val="21"/>
                <w:szCs w:val="21"/>
              </w:rPr>
              <w:t>潮河河道两侧分布</w:t>
            </w:r>
          </w:p>
        </w:tc>
        <w:tc>
          <w:tcPr>
            <w:tcW w:w="587" w:type="pct"/>
            <w:vMerge w:val="continue"/>
            <w:vAlign w:val="center"/>
          </w:tcPr>
          <w:p w14:paraId="3C3E2EE0">
            <w:pPr>
              <w:spacing w:line="276" w:lineRule="auto"/>
              <w:jc w:val="center"/>
              <w:rPr>
                <w:kern w:val="0"/>
                <w:sz w:val="21"/>
                <w:szCs w:val="21"/>
              </w:rPr>
            </w:pPr>
          </w:p>
        </w:tc>
        <w:tc>
          <w:tcPr>
            <w:tcW w:w="488" w:type="pct"/>
            <w:vMerge w:val="continue"/>
            <w:vAlign w:val="center"/>
          </w:tcPr>
          <w:p w14:paraId="38992A0E">
            <w:pPr>
              <w:spacing w:line="276" w:lineRule="auto"/>
              <w:jc w:val="center"/>
              <w:rPr>
                <w:kern w:val="0"/>
                <w:sz w:val="21"/>
                <w:szCs w:val="21"/>
              </w:rPr>
            </w:pPr>
          </w:p>
        </w:tc>
      </w:tr>
      <w:tr w14:paraId="21090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4" w:type="pct"/>
            <w:gridSpan w:val="5"/>
            <w:vAlign w:val="center"/>
          </w:tcPr>
          <w:p w14:paraId="03130B29">
            <w:pPr>
              <w:spacing w:line="276" w:lineRule="auto"/>
              <w:jc w:val="center"/>
              <w:rPr>
                <w:kern w:val="0"/>
                <w:sz w:val="21"/>
                <w:szCs w:val="21"/>
              </w:rPr>
            </w:pPr>
            <w:r>
              <w:rPr>
                <w:rFonts w:hint="eastAsia"/>
                <w:kern w:val="0"/>
                <w:sz w:val="21"/>
                <w:szCs w:val="21"/>
              </w:rPr>
              <w:t>无植被区</w:t>
            </w:r>
          </w:p>
        </w:tc>
        <w:tc>
          <w:tcPr>
            <w:tcW w:w="587" w:type="pct"/>
            <w:vAlign w:val="center"/>
          </w:tcPr>
          <w:p w14:paraId="0C9FD19B">
            <w:pPr>
              <w:spacing w:line="276" w:lineRule="auto"/>
              <w:jc w:val="center"/>
              <w:rPr>
                <w:kern w:val="0"/>
                <w:sz w:val="21"/>
                <w:szCs w:val="21"/>
              </w:rPr>
            </w:pPr>
            <w:r>
              <w:rPr>
                <w:rFonts w:hint="eastAsia"/>
                <w:kern w:val="0"/>
                <w:sz w:val="21"/>
                <w:szCs w:val="21"/>
              </w:rPr>
              <w:t>9</w:t>
            </w:r>
            <w:r>
              <w:rPr>
                <w:kern w:val="0"/>
                <w:sz w:val="21"/>
                <w:szCs w:val="21"/>
              </w:rPr>
              <w:t>8.82</w:t>
            </w:r>
          </w:p>
        </w:tc>
        <w:tc>
          <w:tcPr>
            <w:tcW w:w="488" w:type="pct"/>
            <w:vAlign w:val="center"/>
          </w:tcPr>
          <w:p w14:paraId="6A38D324">
            <w:pPr>
              <w:spacing w:line="276" w:lineRule="auto"/>
              <w:jc w:val="center"/>
              <w:rPr>
                <w:kern w:val="0"/>
                <w:sz w:val="21"/>
                <w:szCs w:val="21"/>
              </w:rPr>
            </w:pPr>
            <w:r>
              <w:rPr>
                <w:rFonts w:hint="eastAsia"/>
                <w:kern w:val="0"/>
                <w:sz w:val="21"/>
                <w:szCs w:val="21"/>
              </w:rPr>
              <w:t>3</w:t>
            </w:r>
            <w:r>
              <w:rPr>
                <w:kern w:val="0"/>
                <w:sz w:val="21"/>
                <w:szCs w:val="21"/>
              </w:rPr>
              <w:t>.90</w:t>
            </w:r>
          </w:p>
        </w:tc>
      </w:tr>
      <w:tr w14:paraId="7A5DE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4" w:type="pct"/>
            <w:gridSpan w:val="5"/>
          </w:tcPr>
          <w:p w14:paraId="7259A520">
            <w:pPr>
              <w:spacing w:line="276" w:lineRule="auto"/>
              <w:jc w:val="center"/>
              <w:rPr>
                <w:kern w:val="0"/>
                <w:sz w:val="21"/>
                <w:szCs w:val="21"/>
              </w:rPr>
            </w:pPr>
            <w:r>
              <w:rPr>
                <w:rFonts w:hint="eastAsia"/>
                <w:kern w:val="0"/>
                <w:sz w:val="21"/>
                <w:szCs w:val="21"/>
              </w:rPr>
              <w:t>合计</w:t>
            </w:r>
          </w:p>
        </w:tc>
        <w:tc>
          <w:tcPr>
            <w:tcW w:w="587" w:type="pct"/>
            <w:vAlign w:val="center"/>
          </w:tcPr>
          <w:p w14:paraId="7420B016">
            <w:pPr>
              <w:spacing w:line="276" w:lineRule="auto"/>
              <w:jc w:val="center"/>
              <w:rPr>
                <w:kern w:val="0"/>
                <w:sz w:val="21"/>
                <w:szCs w:val="21"/>
              </w:rPr>
            </w:pPr>
            <w:r>
              <w:rPr>
                <w:rFonts w:hint="eastAsia"/>
                <w:kern w:val="0"/>
                <w:sz w:val="21"/>
                <w:szCs w:val="21"/>
              </w:rPr>
              <w:t>2</w:t>
            </w:r>
            <w:r>
              <w:rPr>
                <w:kern w:val="0"/>
                <w:sz w:val="21"/>
                <w:szCs w:val="21"/>
              </w:rPr>
              <w:t>532.12</w:t>
            </w:r>
          </w:p>
        </w:tc>
        <w:tc>
          <w:tcPr>
            <w:tcW w:w="488" w:type="pct"/>
            <w:vAlign w:val="center"/>
          </w:tcPr>
          <w:p w14:paraId="251038C0">
            <w:pPr>
              <w:spacing w:line="276" w:lineRule="auto"/>
              <w:jc w:val="center"/>
              <w:rPr>
                <w:kern w:val="0"/>
                <w:sz w:val="21"/>
                <w:szCs w:val="21"/>
              </w:rPr>
            </w:pPr>
            <w:r>
              <w:rPr>
                <w:rFonts w:hint="eastAsia"/>
                <w:kern w:val="0"/>
                <w:sz w:val="21"/>
                <w:szCs w:val="21"/>
              </w:rPr>
              <w:t>1</w:t>
            </w:r>
            <w:r>
              <w:rPr>
                <w:kern w:val="0"/>
                <w:sz w:val="21"/>
                <w:szCs w:val="21"/>
              </w:rPr>
              <w:t>00</w:t>
            </w:r>
          </w:p>
        </w:tc>
      </w:tr>
    </w:tbl>
    <w:p w14:paraId="0409CC70">
      <w:pPr>
        <w:pStyle w:val="85"/>
        <w:ind w:firstLine="480"/>
        <w:rPr>
          <w:kern w:val="0"/>
        </w:rPr>
        <w:sectPr>
          <w:pgSz w:w="11906" w:h="16838"/>
          <w:pgMar w:top="2007" w:right="1797" w:bottom="1724" w:left="1797" w:header="1417" w:footer="1162" w:gutter="0"/>
          <w:pgNumType w:fmt="numberInDash"/>
          <w:cols w:space="425" w:num="1"/>
          <w:docGrid w:type="lines" w:linePitch="312" w:charSpace="0"/>
        </w:sectPr>
      </w:pPr>
    </w:p>
    <w:p w14:paraId="0A4B7925">
      <w:pPr>
        <w:pStyle w:val="85"/>
        <w:ind w:firstLine="480"/>
        <w:rPr>
          <w:kern w:val="0"/>
        </w:rPr>
      </w:pPr>
      <w:r>
        <w:rPr>
          <w:rFonts w:hint="eastAsia"/>
          <w:kern w:val="0"/>
        </w:rPr>
        <w:t>由上表可知，评价区自然植被中乔木群落以蒙古栎、毛白杨及油松林为主；灌木群落以荆条灌丛为主；草本群落则以羊草等杂类草甸草原及芦苇沼泽为主。</w:t>
      </w:r>
    </w:p>
    <w:p w14:paraId="0C732ED3">
      <w:pPr>
        <w:pStyle w:val="85"/>
        <w:ind w:firstLine="480"/>
        <w:rPr>
          <w:kern w:val="0"/>
        </w:rPr>
      </w:pPr>
      <w:r>
        <w:rPr>
          <w:rFonts w:hint="eastAsia"/>
          <w:kern w:val="0"/>
        </w:rPr>
        <w:t>（2）主要</w:t>
      </w:r>
      <w:r>
        <w:rPr>
          <w:kern w:val="0"/>
        </w:rPr>
        <w:t>植被类型特征</w:t>
      </w:r>
    </w:p>
    <w:p w14:paraId="39D818D6">
      <w:pPr>
        <w:pStyle w:val="85"/>
        <w:ind w:firstLine="480"/>
        <w:rPr>
          <w:kern w:val="0"/>
        </w:rPr>
      </w:pPr>
      <w:r>
        <w:rPr>
          <w:rFonts w:hint="eastAsia"/>
          <w:kern w:val="0"/>
        </w:rPr>
        <w:t>根据现场对评价区内植被的实地调查，利用典型样方法，参照《中国植被》、《河北植被》及《中华人民共和国植被图（1:1 000 000）》采用的植被分类单位的分类原则及方法对评价区植被中主要植物群落的分布及特征进行简要的描述。</w:t>
      </w:r>
    </w:p>
    <w:p w14:paraId="323DAED2">
      <w:pPr>
        <w:pStyle w:val="85"/>
        <w:ind w:firstLine="480"/>
        <w:rPr>
          <w:bCs/>
          <w:kern w:val="0"/>
        </w:rPr>
      </w:pPr>
      <w:r>
        <w:rPr>
          <w:rFonts w:hint="eastAsia"/>
          <w:bCs/>
          <w:kern w:val="0"/>
        </w:rPr>
        <w:t>1）针叶林</w:t>
      </w:r>
    </w:p>
    <w:p w14:paraId="03688968">
      <w:pPr>
        <w:pStyle w:val="85"/>
        <w:ind w:firstLine="480"/>
        <w:rPr>
          <w:bCs/>
          <w:kern w:val="0"/>
        </w:rPr>
      </w:pPr>
      <w:r>
        <w:rPr>
          <w:bCs/>
          <w:kern w:val="0"/>
        </w:rPr>
        <w:fldChar w:fldCharType="begin"/>
      </w:r>
      <w:r>
        <w:rPr>
          <w:bCs/>
          <w:kern w:val="0"/>
        </w:rPr>
        <w:instrText xml:space="preserve"> </w:instrText>
      </w:r>
      <w:r>
        <w:rPr>
          <w:rFonts w:hint="eastAsia"/>
          <w:bCs/>
          <w:kern w:val="0"/>
        </w:rPr>
        <w:instrText xml:space="preserve">= 1 \* GB3</w:instrText>
      </w:r>
      <w:r>
        <w:rPr>
          <w:bCs/>
          <w:kern w:val="0"/>
        </w:rPr>
        <w:instrText xml:space="preserve"> </w:instrText>
      </w:r>
      <w:r>
        <w:rPr>
          <w:bCs/>
          <w:kern w:val="0"/>
        </w:rPr>
        <w:fldChar w:fldCharType="separate"/>
      </w:r>
      <w:r>
        <w:rPr>
          <w:rFonts w:hint="eastAsia"/>
          <w:bCs/>
          <w:kern w:val="0"/>
        </w:rPr>
        <w:t>①</w:t>
      </w:r>
      <w:r>
        <w:rPr>
          <w:bCs/>
          <w:kern w:val="0"/>
        </w:rPr>
        <w:fldChar w:fldCharType="end"/>
      </w:r>
      <w:r>
        <w:rPr>
          <w:rFonts w:hint="eastAsia"/>
          <w:bCs/>
          <w:kern w:val="0"/>
        </w:rPr>
        <w:t>油松为我国特有种、属暖温带树种。总盖度多在70%以上，分为乔木层、灌木层和草本层。乔木层为油松，灌木层为锦鸡儿，平均高度1.2m，盖度可达20%。草本层以白莲蒿为主，平均高度0.2m，盖度可达30%。</w:t>
      </w:r>
    </w:p>
    <w:p w14:paraId="5C6C0976">
      <w:pPr>
        <w:pStyle w:val="85"/>
        <w:ind w:firstLine="480"/>
        <w:rPr>
          <w:bCs/>
          <w:kern w:val="0"/>
        </w:rPr>
      </w:pPr>
      <w:r>
        <w:rPr>
          <w:bCs/>
          <w:kern w:val="0"/>
        </w:rPr>
        <w:t>2</w:t>
      </w:r>
      <w:r>
        <w:rPr>
          <w:rFonts w:hint="eastAsia"/>
          <w:bCs/>
          <w:kern w:val="0"/>
        </w:rPr>
        <w:t>）阔叶林</w:t>
      </w:r>
    </w:p>
    <w:p w14:paraId="37B3D3ED">
      <w:pPr>
        <w:pStyle w:val="85"/>
        <w:ind w:firstLine="480"/>
        <w:rPr>
          <w:bCs/>
          <w:kern w:val="0"/>
        </w:rPr>
      </w:pPr>
      <w:r>
        <w:rPr>
          <w:rFonts w:hint="eastAsia"/>
          <w:bCs/>
          <w:kern w:val="0"/>
        </w:rPr>
        <w:t>在阔叶林中，落叶阔叶林的群落结构一般是比较简单的，主要由乔木层和草本层所组成。温带落叶阔叶林构成的森林群落在我国温暖而湿润和半湿润的气候条件下广泛地分布，占有广阔的分布区域。组成群落的乔木全部是冬季落叶的阳性或耐阴的阔叶树种，林下的灌木也大多是冬季落叶的种类，林内的草本植物在冬季地上部分枯死或以种子越冬。评价区内由于人类活动的悠久和频繁，原始的温带落叶阔叶林基本上已消失殆尽，目前所分布的多为由于生产活动，人工栽培或半自然状态的人工林。</w:t>
      </w:r>
    </w:p>
    <w:p w14:paraId="08D5FFB2">
      <w:pPr>
        <w:pStyle w:val="85"/>
        <w:ind w:firstLine="480"/>
        <w:rPr>
          <w:bCs/>
          <w:kern w:val="0"/>
        </w:rPr>
      </w:pPr>
      <w:r>
        <w:rPr>
          <w:rFonts w:hint="eastAsia"/>
          <w:bCs/>
          <w:kern w:val="0"/>
        </w:rPr>
        <w:t>①蒙古栎林（辽东栎林）</w:t>
      </w:r>
    </w:p>
    <w:p w14:paraId="14BF05EA">
      <w:pPr>
        <w:pStyle w:val="85"/>
        <w:ind w:firstLine="480"/>
        <w:rPr>
          <w:bCs/>
          <w:kern w:val="0"/>
        </w:rPr>
      </w:pPr>
      <w:r>
        <w:rPr>
          <w:rFonts w:hint="eastAsia"/>
          <w:bCs/>
          <w:kern w:val="0"/>
        </w:rPr>
        <w:t>本项目在河北省中低山评价区内发现有辽东栎林，很少有纯林，此类植被群系总盖度多在90%以上，分为乔木层、灌木层和草本层。乔木层伴有榆、黑桦、山杨等落叶树种和油松等针叶树种，平均胸径为6.8cm，平均高度6.5m，盖度可达66%。灌木层以黄刺玫、三裂绣线菊、土庄绣线菊、枸子、沙棘、二色胡枝子、照山白、鼠李等最为常见，平均高度0.4 m，盖度可达40%。草本植物主要有苔草、白羊草、蒿类、野古草、鹅观草、隐子草等，平均高度0.1 m，盖度可达38%。</w:t>
      </w:r>
    </w:p>
    <w:p w14:paraId="7F52A8F6">
      <w:pPr>
        <w:pStyle w:val="85"/>
        <w:ind w:firstLine="480"/>
        <w:rPr>
          <w:bCs/>
          <w:kern w:val="0"/>
        </w:rPr>
      </w:pPr>
      <w:r>
        <w:rPr>
          <w:bCs/>
          <w:kern w:val="0"/>
        </w:rPr>
        <w:fldChar w:fldCharType="begin"/>
      </w:r>
      <w:r>
        <w:rPr>
          <w:bCs/>
          <w:kern w:val="0"/>
        </w:rPr>
        <w:instrText xml:space="preserve"> </w:instrText>
      </w:r>
      <w:r>
        <w:rPr>
          <w:rFonts w:hint="eastAsia"/>
          <w:bCs/>
          <w:kern w:val="0"/>
        </w:rPr>
        <w:instrText xml:space="preserve">= 2 \* GB3</w:instrText>
      </w:r>
      <w:r>
        <w:rPr>
          <w:bCs/>
          <w:kern w:val="0"/>
        </w:rPr>
        <w:instrText xml:space="preserve"> </w:instrText>
      </w:r>
      <w:r>
        <w:rPr>
          <w:bCs/>
          <w:kern w:val="0"/>
        </w:rPr>
        <w:fldChar w:fldCharType="separate"/>
      </w:r>
      <w:r>
        <w:rPr>
          <w:rFonts w:hint="eastAsia"/>
          <w:bCs/>
          <w:kern w:val="0"/>
        </w:rPr>
        <w:t>②</w:t>
      </w:r>
      <w:r>
        <w:rPr>
          <w:bCs/>
          <w:kern w:val="0"/>
        </w:rPr>
        <w:fldChar w:fldCharType="end"/>
      </w:r>
      <w:r>
        <w:rPr>
          <w:rFonts w:hint="eastAsia"/>
          <w:bCs/>
          <w:kern w:val="0"/>
        </w:rPr>
        <w:t>毛白杨林</w:t>
      </w:r>
    </w:p>
    <w:p w14:paraId="2128E619">
      <w:pPr>
        <w:pStyle w:val="85"/>
        <w:ind w:firstLine="480"/>
        <w:rPr>
          <w:bCs/>
          <w:kern w:val="0"/>
        </w:rPr>
      </w:pPr>
      <w:r>
        <w:rPr>
          <w:rFonts w:hint="eastAsia"/>
          <w:bCs/>
          <w:kern w:val="0"/>
        </w:rPr>
        <w:t>评价区杨林多属于人工林，为防护林和用材林。群落的优势种较多，常见的杨类有毛白杨、加拿大杨、银白杨、小叶杨、青杨等，还有旱柳、白榆等。植物群落多为单优势种的结构，有时有多种类混生。由于大部分有人工干预管理，故人工林一般生长茂盛，树高10 m~19 m，平均盖度47.5%。林下无明显灌草植被，仅林窗处偶见猪毛蒿、羊草、赖草、蕨麻、委陵菜、茵陈蒿等草本植被。</w:t>
      </w:r>
    </w:p>
    <w:p w14:paraId="391002F5">
      <w:pPr>
        <w:pStyle w:val="85"/>
        <w:ind w:firstLine="480"/>
        <w:rPr>
          <w:bCs/>
          <w:kern w:val="0"/>
        </w:rPr>
      </w:pPr>
      <w:r>
        <w:rPr>
          <w:rFonts w:hint="eastAsia"/>
          <w:bCs/>
          <w:kern w:val="0"/>
        </w:rPr>
        <w:t>3）灌丛和灌草丛</w:t>
      </w:r>
    </w:p>
    <w:p w14:paraId="364E3B7C">
      <w:pPr>
        <w:pStyle w:val="85"/>
        <w:ind w:firstLine="480"/>
        <w:rPr>
          <w:bCs/>
          <w:kern w:val="0"/>
        </w:rPr>
      </w:pPr>
      <w:r>
        <w:rPr>
          <w:rFonts w:hint="eastAsia"/>
          <w:bCs/>
          <w:kern w:val="0"/>
        </w:rPr>
        <w:t>灌丛包括一切以灌木占优势组成的植被类型，本项目评价区分布的为温带落叶阔叶灌丛，现场调查灌木丛群落结构较简单，高度多在1 m~2 m之间，少数可达3 m，盖度一般在50%以上。</w:t>
      </w:r>
    </w:p>
    <w:p w14:paraId="724CCCA6">
      <w:pPr>
        <w:pStyle w:val="85"/>
        <w:ind w:firstLine="480"/>
        <w:rPr>
          <w:bCs/>
          <w:kern w:val="0"/>
        </w:rPr>
      </w:pPr>
      <w:r>
        <w:rPr>
          <w:bCs/>
          <w:kern w:val="0"/>
        </w:rPr>
        <w:fldChar w:fldCharType="begin"/>
      </w:r>
      <w:r>
        <w:rPr>
          <w:bCs/>
          <w:kern w:val="0"/>
        </w:rPr>
        <w:instrText xml:space="preserve"> </w:instrText>
      </w:r>
      <w:r>
        <w:rPr>
          <w:rFonts w:hint="eastAsia"/>
          <w:bCs/>
          <w:kern w:val="0"/>
        </w:rPr>
        <w:instrText xml:space="preserve">= 1 \* GB3</w:instrText>
      </w:r>
      <w:r>
        <w:rPr>
          <w:bCs/>
          <w:kern w:val="0"/>
        </w:rPr>
        <w:instrText xml:space="preserve"> </w:instrText>
      </w:r>
      <w:r>
        <w:rPr>
          <w:bCs/>
          <w:kern w:val="0"/>
        </w:rPr>
        <w:fldChar w:fldCharType="separate"/>
      </w:r>
      <w:r>
        <w:rPr>
          <w:rFonts w:hint="eastAsia"/>
          <w:bCs/>
          <w:kern w:val="0"/>
        </w:rPr>
        <w:t>①</w:t>
      </w:r>
      <w:r>
        <w:rPr>
          <w:bCs/>
          <w:kern w:val="0"/>
        </w:rPr>
        <w:fldChar w:fldCharType="end"/>
      </w:r>
      <w:r>
        <w:rPr>
          <w:rFonts w:hint="eastAsia"/>
          <w:bCs/>
          <w:kern w:val="0"/>
        </w:rPr>
        <w:t xml:space="preserve">荆条灌丛 </w:t>
      </w:r>
    </w:p>
    <w:p w14:paraId="0753FCE3">
      <w:pPr>
        <w:pStyle w:val="85"/>
        <w:ind w:firstLine="480"/>
        <w:rPr>
          <w:bCs/>
          <w:kern w:val="0"/>
        </w:rPr>
      </w:pPr>
      <w:r>
        <w:rPr>
          <w:rFonts w:hint="eastAsia"/>
          <w:bCs/>
          <w:kern w:val="0"/>
        </w:rPr>
        <w:t>荆条是较耐旱的灌木种类，抗逆性强，适应性广，主要集中在山地、山区和丘陵等地，多生长于海拔200 m~1200 m的阳坡褐土上，土壤为棕壤性粗骨土或褐土，土层一般浅薄，养分贫瘠。由于地理位置差异和生境条件不同，群落结构，外貌和种类组成也不同，常与酸枣混生。在灌丛中，荆条一般高0.5 m~1 m左右，酸枣高度 1 m~1.5 m，覆盖度 40%~70%。除荆条、酸枣外，次优势种有山杏、鼠李、绣线菊等，其他的灌木有黄刺玫、小叶鼠李、扁担秆子、山杏、阴山胡枝子、兴安胡枝子、蚂蚱腿子、虎榛子、照山白等。草本植物主要有白羊草、蒿类、远志、隐子草、糙隐子草、荩草、黄背草、委陵菜、狗尾草、白头翁、野古草、铁杆蒿、长芒草等。</w:t>
      </w:r>
    </w:p>
    <w:p w14:paraId="3C193841">
      <w:pPr>
        <w:pStyle w:val="85"/>
        <w:ind w:firstLine="480"/>
        <w:rPr>
          <w:bCs/>
          <w:kern w:val="0"/>
        </w:rPr>
      </w:pPr>
      <w:r>
        <w:rPr>
          <w:bCs/>
          <w:kern w:val="0"/>
        </w:rPr>
        <w:t>4</w:t>
      </w:r>
      <w:r>
        <w:rPr>
          <w:rFonts w:hint="eastAsia"/>
          <w:bCs/>
          <w:kern w:val="0"/>
        </w:rPr>
        <w:t>）草原</w:t>
      </w:r>
    </w:p>
    <w:p w14:paraId="2E8FDA66">
      <w:pPr>
        <w:pStyle w:val="85"/>
        <w:ind w:firstLine="480"/>
        <w:rPr>
          <w:bCs/>
          <w:kern w:val="0"/>
        </w:rPr>
      </w:pPr>
      <w:r>
        <w:rPr>
          <w:rFonts w:hint="eastAsia"/>
          <w:bCs/>
          <w:kern w:val="0"/>
        </w:rPr>
        <w:t>①羊草、杂类草草甸草原</w:t>
      </w:r>
    </w:p>
    <w:p w14:paraId="5FBA4B27">
      <w:pPr>
        <w:pStyle w:val="85"/>
        <w:ind w:firstLine="480"/>
        <w:rPr>
          <w:bCs/>
          <w:kern w:val="0"/>
        </w:rPr>
      </w:pPr>
      <w:r>
        <w:rPr>
          <w:rFonts w:hint="eastAsia"/>
          <w:bCs/>
          <w:kern w:val="0"/>
        </w:rPr>
        <w:t>羊草是亚洲东部特有的一种长根茎性的草原建群种，属于中国东北-达乌里-蒙古成分。羊草耐碱、耐旱、耐寒，无性繁殖能力很强，常在平原、山坡、沙壤土中就能适应生长，评价范围田边、山地区域广泛分布。杂类草群系主要有车前草、早熟禾、株央央等。草本总盖度为76%，平均高度为0.1m。生于海拔5~4500m的草地、河滩、沟边、草甸、田间及路旁。在温暖、潮湿、向阳、沙质沃土上能生长良好。</w:t>
      </w:r>
    </w:p>
    <w:p w14:paraId="08E1F7AE">
      <w:pPr>
        <w:pStyle w:val="85"/>
        <w:ind w:firstLine="480"/>
        <w:rPr>
          <w:bCs/>
          <w:kern w:val="0"/>
        </w:rPr>
      </w:pPr>
      <w:r>
        <w:rPr>
          <w:rFonts w:hint="eastAsia"/>
          <w:bCs/>
          <w:kern w:val="0"/>
        </w:rPr>
        <w:t>5）沼泽</w:t>
      </w:r>
    </w:p>
    <w:p w14:paraId="5FE77FE3">
      <w:pPr>
        <w:pStyle w:val="85"/>
        <w:ind w:firstLine="480"/>
        <w:rPr>
          <w:bCs/>
          <w:color w:val="FF0000"/>
          <w:kern w:val="0"/>
        </w:rPr>
      </w:pPr>
      <w:r>
        <w:rPr>
          <w:rFonts w:hint="eastAsia"/>
          <w:bCs/>
          <w:kern w:val="0"/>
        </w:rPr>
        <w:t>芦苇是多年生草本，高 40 cm~200 cm。根状茎十分发达，节间中空，节上生芽和须根。茎秆通常直立，粗硬挺直，具 20多节，基部和上部的节间较短，节下被蜡粉。叶片扁平，带状披针形，长 15 cm~50 cm，宽 1 cm~3.5 cm，两面无毛，边缘粗糙；叶鞘无毛或被细毛；叶舌极短，顶端密生短毛。芦苇是强耐盐碱植物，生长在灌溉沟渠旁，在潮河沿线有分布。评价区芦苇群系盖度可达70％，平均高度为0.2 m。常见的伴生种有朝天委陵菜、水葱、香蒲、藜、节节草、车前草等。</w:t>
      </w:r>
    </w:p>
    <w:p w14:paraId="4F2211B6">
      <w:pPr>
        <w:pStyle w:val="85"/>
        <w:ind w:firstLine="480"/>
        <w:rPr>
          <w:bCs/>
          <w:kern w:val="0"/>
        </w:rPr>
      </w:pPr>
      <w:r>
        <w:rPr>
          <w:bCs/>
          <w:kern w:val="0"/>
        </w:rPr>
        <w:t>6</w:t>
      </w:r>
      <w:r>
        <w:rPr>
          <w:rFonts w:hint="eastAsia"/>
          <w:bCs/>
          <w:kern w:val="0"/>
        </w:rPr>
        <w:t>）栽培植被</w:t>
      </w:r>
    </w:p>
    <w:p w14:paraId="690E62AF">
      <w:pPr>
        <w:pStyle w:val="85"/>
        <w:ind w:firstLine="480"/>
        <w:rPr>
          <w:kern w:val="0"/>
        </w:rPr>
      </w:pPr>
      <w:r>
        <w:rPr>
          <w:rFonts w:hint="eastAsia"/>
          <w:kern w:val="0"/>
        </w:rPr>
        <w:t>评价区栽培植被主要包括果树和粮食经济作物，分布于评价区河流两侧，粮食经济作物包括小麦、玉米、蔬菜等。</w:t>
      </w:r>
    </w:p>
    <w:p w14:paraId="67ECBF2B">
      <w:pPr>
        <w:pStyle w:val="85"/>
        <w:ind w:firstLine="482"/>
        <w:rPr>
          <w:b/>
          <w:bCs/>
          <w:kern w:val="0"/>
        </w:rPr>
      </w:pPr>
      <w:r>
        <w:rPr>
          <w:rFonts w:hint="eastAsia"/>
          <w:b/>
          <w:bCs/>
          <w:kern w:val="0"/>
        </w:rPr>
        <w:t>3、植被</w:t>
      </w:r>
      <w:r>
        <w:rPr>
          <w:b/>
          <w:bCs/>
          <w:kern w:val="0"/>
        </w:rPr>
        <w:t>覆盖度</w:t>
      </w:r>
    </w:p>
    <w:p w14:paraId="006ECE89">
      <w:pPr>
        <w:pStyle w:val="85"/>
        <w:ind w:firstLine="480"/>
        <w:rPr>
          <w:kern w:val="0"/>
        </w:rPr>
      </w:pPr>
      <w:r>
        <w:rPr>
          <w:rFonts w:hint="eastAsia"/>
          <w:kern w:val="0"/>
        </w:rPr>
        <w:t>植被覆盖度是指植被（包括叶、茎、枝）在地面的垂直投影面积占统计区总面积的百分比。本次利用NDVI指数进行估算，估算模型为：</w:t>
      </w:r>
    </w:p>
    <w:p w14:paraId="35F5FF30">
      <w:pPr>
        <w:pStyle w:val="85"/>
        <w:ind w:firstLine="480"/>
        <w:rPr>
          <w:kern w:val="0"/>
        </w:rPr>
      </w:pPr>
      <w:r>
        <w:rPr>
          <w:kern w:val="0"/>
        </w:rPr>
        <w:t>FVC</w:t>
      </w:r>
      <w:r>
        <w:rPr>
          <w:rFonts w:hint="eastAsia"/>
          <w:kern w:val="0"/>
        </w:rPr>
        <w:t>=（NDVI</w:t>
      </w:r>
      <w:r>
        <w:rPr>
          <w:kern w:val="0"/>
        </w:rPr>
        <w:t>-</w:t>
      </w:r>
      <w:r>
        <w:rPr>
          <w:rFonts w:hint="eastAsia"/>
          <w:kern w:val="0"/>
        </w:rPr>
        <w:t>NDVI</w:t>
      </w:r>
      <w:r>
        <w:rPr>
          <w:kern w:val="0"/>
          <w:vertAlign w:val="subscript"/>
        </w:rPr>
        <w:t>S</w:t>
      </w:r>
      <w:r>
        <w:rPr>
          <w:rFonts w:hint="eastAsia"/>
          <w:kern w:val="0"/>
        </w:rPr>
        <w:t>）/（NDVI</w:t>
      </w:r>
      <w:r>
        <w:rPr>
          <w:kern w:val="0"/>
          <w:vertAlign w:val="subscript"/>
        </w:rPr>
        <w:t>V</w:t>
      </w:r>
      <w:r>
        <w:rPr>
          <w:kern w:val="0"/>
        </w:rPr>
        <w:t>-</w:t>
      </w:r>
      <w:r>
        <w:rPr>
          <w:rFonts w:hint="eastAsia"/>
          <w:kern w:val="0"/>
        </w:rPr>
        <w:t>NDVI</w:t>
      </w:r>
      <w:r>
        <w:rPr>
          <w:kern w:val="0"/>
          <w:vertAlign w:val="subscript"/>
        </w:rPr>
        <w:t>S</w:t>
      </w:r>
      <w:r>
        <w:rPr>
          <w:rFonts w:hint="eastAsia"/>
          <w:kern w:val="0"/>
        </w:rPr>
        <w:t>）</w:t>
      </w:r>
    </w:p>
    <w:p w14:paraId="394BAEBA">
      <w:pPr>
        <w:pStyle w:val="85"/>
        <w:ind w:firstLine="480"/>
        <w:rPr>
          <w:kern w:val="0"/>
        </w:rPr>
      </w:pPr>
      <w:r>
        <w:rPr>
          <w:rFonts w:hint="eastAsia"/>
          <w:kern w:val="0"/>
        </w:rPr>
        <w:t>式中：</w:t>
      </w:r>
    </w:p>
    <w:p w14:paraId="277AF628">
      <w:pPr>
        <w:pStyle w:val="85"/>
        <w:ind w:firstLine="480"/>
        <w:rPr>
          <w:kern w:val="0"/>
        </w:rPr>
      </w:pPr>
      <w:r>
        <w:rPr>
          <w:kern w:val="0"/>
        </w:rPr>
        <w:t>FVC</w:t>
      </w:r>
      <w:r>
        <w:rPr>
          <w:rFonts w:hint="eastAsia"/>
          <w:kern w:val="0"/>
        </w:rPr>
        <w:t>——所计算像元的植被覆盖度；</w:t>
      </w:r>
    </w:p>
    <w:p w14:paraId="3342152E">
      <w:pPr>
        <w:pStyle w:val="85"/>
        <w:ind w:firstLine="480"/>
        <w:rPr>
          <w:kern w:val="0"/>
        </w:rPr>
      </w:pPr>
      <w:r>
        <w:rPr>
          <w:rFonts w:hint="eastAsia"/>
          <w:kern w:val="0"/>
        </w:rPr>
        <w:t>N</w:t>
      </w:r>
      <w:r>
        <w:rPr>
          <w:kern w:val="0"/>
        </w:rPr>
        <w:t>DVI</w:t>
      </w:r>
      <w:r>
        <w:rPr>
          <w:rFonts w:hint="eastAsia"/>
          <w:kern w:val="0"/>
        </w:rPr>
        <w:t>——所计算像元的N</w:t>
      </w:r>
      <w:r>
        <w:rPr>
          <w:kern w:val="0"/>
        </w:rPr>
        <w:t>DVI</w:t>
      </w:r>
      <w:r>
        <w:rPr>
          <w:rFonts w:hint="eastAsia"/>
          <w:kern w:val="0"/>
        </w:rPr>
        <w:t>值；</w:t>
      </w:r>
    </w:p>
    <w:p w14:paraId="0933457B">
      <w:pPr>
        <w:pStyle w:val="85"/>
        <w:ind w:firstLine="480"/>
        <w:rPr>
          <w:kern w:val="0"/>
        </w:rPr>
      </w:pPr>
      <w:r>
        <w:rPr>
          <w:rFonts w:hint="eastAsia"/>
          <w:kern w:val="0"/>
        </w:rPr>
        <w:t>NDVI</w:t>
      </w:r>
      <w:r>
        <w:rPr>
          <w:kern w:val="0"/>
          <w:vertAlign w:val="subscript"/>
        </w:rPr>
        <w:t>V</w:t>
      </w:r>
      <w:r>
        <w:rPr>
          <w:rFonts w:hint="eastAsia"/>
          <w:kern w:val="0"/>
        </w:rPr>
        <w:t>——纯植物像元的N</w:t>
      </w:r>
      <w:r>
        <w:rPr>
          <w:kern w:val="0"/>
        </w:rPr>
        <w:t>DVI</w:t>
      </w:r>
      <w:r>
        <w:rPr>
          <w:rFonts w:hint="eastAsia"/>
          <w:kern w:val="0"/>
        </w:rPr>
        <w:t>值；</w:t>
      </w:r>
    </w:p>
    <w:p w14:paraId="0EFD22E7">
      <w:pPr>
        <w:pStyle w:val="85"/>
        <w:ind w:firstLine="480"/>
        <w:rPr>
          <w:kern w:val="0"/>
        </w:rPr>
      </w:pPr>
      <w:r>
        <w:rPr>
          <w:rFonts w:hint="eastAsia"/>
          <w:kern w:val="0"/>
        </w:rPr>
        <w:t>NDVI</w:t>
      </w:r>
      <w:r>
        <w:rPr>
          <w:kern w:val="0"/>
          <w:vertAlign w:val="subscript"/>
        </w:rPr>
        <w:t>S</w:t>
      </w:r>
      <w:r>
        <w:rPr>
          <w:rFonts w:hint="eastAsia"/>
          <w:kern w:val="0"/>
        </w:rPr>
        <w:t>——完全无植被覆盖像元的NDVI值；</w:t>
      </w:r>
    </w:p>
    <w:p w14:paraId="2030B9A2">
      <w:pPr>
        <w:pStyle w:val="85"/>
        <w:ind w:firstLine="480"/>
        <w:rPr>
          <w:kern w:val="0"/>
        </w:rPr>
      </w:pPr>
      <w:r>
        <w:rPr>
          <w:rFonts w:hint="eastAsia"/>
          <w:kern w:val="0"/>
        </w:rPr>
        <w:t>其中NDVI为归一化植被指数，计算公式为：</w:t>
      </w:r>
    </w:p>
    <w:p w14:paraId="084E3ACC">
      <w:pPr>
        <w:pStyle w:val="85"/>
        <w:ind w:firstLine="480"/>
        <w:rPr>
          <w:kern w:val="0"/>
        </w:rPr>
      </w:pPr>
      <w:r>
        <w:rPr>
          <w:rFonts w:hint="eastAsia"/>
          <w:kern w:val="0"/>
        </w:rPr>
        <w:t>NDVI=（NIR-R）/（NIR+R）</w:t>
      </w:r>
    </w:p>
    <w:p w14:paraId="3C324767">
      <w:pPr>
        <w:pStyle w:val="85"/>
        <w:ind w:firstLine="480"/>
        <w:rPr>
          <w:kern w:val="0"/>
        </w:rPr>
      </w:pPr>
      <w:r>
        <w:rPr>
          <w:rFonts w:hint="eastAsia"/>
          <w:kern w:val="0"/>
        </w:rPr>
        <w:t>即近红外波段与红色波段的差值除以两者之和，根据</w:t>
      </w:r>
      <w:r>
        <w:rPr>
          <w:kern w:val="0"/>
        </w:rPr>
        <w:t>ENVI</w:t>
      </w:r>
      <w:r>
        <w:rPr>
          <w:rFonts w:hint="eastAsia"/>
          <w:kern w:val="0"/>
        </w:rPr>
        <w:t>软件计算植被指数。</w:t>
      </w:r>
    </w:p>
    <w:p w14:paraId="6FEA0319">
      <w:pPr>
        <w:pStyle w:val="85"/>
        <w:ind w:firstLine="480"/>
        <w:rPr>
          <w:kern w:val="0"/>
        </w:rPr>
      </w:pPr>
      <w:r>
        <w:rPr>
          <w:rFonts w:hint="eastAsia"/>
          <w:kern w:val="0"/>
        </w:rPr>
        <w:t>采用上述方法，分析本项目评价范围内植被覆盖度情况见下表。</w:t>
      </w:r>
    </w:p>
    <w:p w14:paraId="7F85B743">
      <w:pPr>
        <w:jc w:val="center"/>
        <w:rPr>
          <w:rFonts w:eastAsia="黑体"/>
          <w:kern w:val="0"/>
          <w:sz w:val="24"/>
          <w:szCs w:val="21"/>
        </w:rPr>
      </w:pPr>
      <w:r>
        <w:rPr>
          <w:kern w:val="0"/>
          <w:sz w:val="24"/>
        </w:rPr>
        <w:t>表</w:t>
      </w:r>
      <w:r>
        <w:rPr>
          <w:kern w:val="0"/>
          <w:sz w:val="24"/>
        </w:rPr>
        <w:fldChar w:fldCharType="begin"/>
      </w:r>
      <w:r>
        <w:rPr>
          <w:kern w:val="0"/>
          <w:sz w:val="24"/>
        </w:rPr>
        <w:instrText xml:space="preserve"> STYLEREF 1 \s </w:instrText>
      </w:r>
      <w:r>
        <w:rPr>
          <w:kern w:val="0"/>
          <w:sz w:val="24"/>
        </w:rPr>
        <w:fldChar w:fldCharType="separate"/>
      </w:r>
      <w:r>
        <w:rPr>
          <w:kern w:val="0"/>
          <w:sz w:val="24"/>
        </w:rPr>
        <w:t>3</w:t>
      </w:r>
      <w:r>
        <w:rPr>
          <w:kern w:val="0"/>
          <w:sz w:val="24"/>
        </w:rPr>
        <w:fldChar w:fldCharType="end"/>
      </w:r>
      <w:r>
        <w:rPr>
          <w:kern w:val="0"/>
          <w:sz w:val="24"/>
        </w:rPr>
        <w:noBreakHyphen/>
      </w:r>
      <w:r>
        <w:rPr>
          <w:kern w:val="0"/>
          <w:sz w:val="24"/>
        </w:rPr>
        <w:fldChar w:fldCharType="begin"/>
      </w:r>
      <w:r>
        <w:rPr>
          <w:kern w:val="0"/>
          <w:sz w:val="24"/>
        </w:rPr>
        <w:instrText xml:space="preserve"> SEQ 表 \* ARABIC \s 1 </w:instrText>
      </w:r>
      <w:r>
        <w:rPr>
          <w:kern w:val="0"/>
          <w:sz w:val="24"/>
        </w:rPr>
        <w:fldChar w:fldCharType="separate"/>
      </w:r>
      <w:r>
        <w:rPr>
          <w:kern w:val="0"/>
          <w:sz w:val="24"/>
        </w:rPr>
        <w:t>20</w:t>
      </w:r>
      <w:r>
        <w:rPr>
          <w:kern w:val="0"/>
          <w:sz w:val="24"/>
        </w:rPr>
        <w:fldChar w:fldCharType="end"/>
      </w:r>
      <w:r>
        <w:rPr>
          <w:kern w:val="0"/>
          <w:sz w:val="24"/>
        </w:rPr>
        <w:t xml:space="preserve">  </w:t>
      </w:r>
      <w:r>
        <w:rPr>
          <w:rFonts w:hint="eastAsia" w:eastAsia="黑体"/>
          <w:kern w:val="0"/>
          <w:sz w:val="24"/>
          <w:szCs w:val="21"/>
        </w:rPr>
        <w:t>评价区内不同植被覆盖度情况表</w:t>
      </w:r>
    </w:p>
    <w:tbl>
      <w:tblPr>
        <w:tblStyle w:val="28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0"/>
        <w:gridCol w:w="1912"/>
        <w:gridCol w:w="2164"/>
        <w:gridCol w:w="2110"/>
      </w:tblGrid>
      <w:tr w14:paraId="58CBE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 w:type="dxa"/>
          </w:tcPr>
          <w:p w14:paraId="47D475CF">
            <w:pPr>
              <w:pStyle w:val="307"/>
              <w:rPr>
                <w:rStyle w:val="249"/>
                <w:kern w:val="0"/>
                <w:sz w:val="20"/>
              </w:rPr>
            </w:pPr>
            <w:bookmarkStart w:id="117" w:name="_Hlk105764133"/>
            <w:r>
              <w:rPr>
                <w:rStyle w:val="249"/>
                <w:rFonts w:hint="eastAsia"/>
                <w:kern w:val="0"/>
                <w:sz w:val="20"/>
              </w:rPr>
              <w:t>植被覆盖分级</w:t>
            </w:r>
          </w:p>
        </w:tc>
        <w:tc>
          <w:tcPr>
            <w:tcW w:w="1912" w:type="dxa"/>
          </w:tcPr>
          <w:p w14:paraId="3CB85267">
            <w:pPr>
              <w:pStyle w:val="307"/>
              <w:rPr>
                <w:rStyle w:val="249"/>
                <w:kern w:val="0"/>
                <w:sz w:val="20"/>
              </w:rPr>
            </w:pPr>
            <w:r>
              <w:rPr>
                <w:rStyle w:val="249"/>
                <w:rFonts w:hint="eastAsia"/>
                <w:kern w:val="0"/>
                <w:sz w:val="20"/>
              </w:rPr>
              <w:t>覆盖度（%）</w:t>
            </w:r>
          </w:p>
        </w:tc>
        <w:tc>
          <w:tcPr>
            <w:tcW w:w="2164" w:type="dxa"/>
          </w:tcPr>
          <w:p w14:paraId="063E08D9">
            <w:pPr>
              <w:pStyle w:val="307"/>
              <w:rPr>
                <w:rStyle w:val="249"/>
                <w:kern w:val="0"/>
                <w:sz w:val="20"/>
              </w:rPr>
            </w:pPr>
            <w:r>
              <w:rPr>
                <w:rStyle w:val="249"/>
                <w:rFonts w:hint="eastAsia"/>
                <w:kern w:val="0"/>
                <w:sz w:val="20"/>
              </w:rPr>
              <w:t>面积（hm</w:t>
            </w:r>
            <w:r>
              <w:rPr>
                <w:rStyle w:val="249"/>
                <w:kern w:val="0"/>
                <w:sz w:val="20"/>
              </w:rPr>
              <w:t>2</w:t>
            </w:r>
            <w:r>
              <w:rPr>
                <w:rStyle w:val="249"/>
                <w:rFonts w:hint="eastAsia"/>
                <w:kern w:val="0"/>
                <w:sz w:val="20"/>
              </w:rPr>
              <w:t>）</w:t>
            </w:r>
          </w:p>
        </w:tc>
        <w:tc>
          <w:tcPr>
            <w:tcW w:w="2110" w:type="dxa"/>
          </w:tcPr>
          <w:p w14:paraId="14E60EA1">
            <w:pPr>
              <w:pStyle w:val="307"/>
              <w:rPr>
                <w:rStyle w:val="249"/>
                <w:kern w:val="0"/>
                <w:sz w:val="20"/>
              </w:rPr>
            </w:pPr>
            <w:r>
              <w:rPr>
                <w:rStyle w:val="249"/>
                <w:rFonts w:hint="eastAsia"/>
                <w:kern w:val="0"/>
                <w:sz w:val="20"/>
              </w:rPr>
              <w:t>比例（%）</w:t>
            </w:r>
          </w:p>
        </w:tc>
      </w:tr>
      <w:tr w14:paraId="76763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 w:type="dxa"/>
          </w:tcPr>
          <w:p w14:paraId="21659FB5">
            <w:pPr>
              <w:pStyle w:val="307"/>
              <w:rPr>
                <w:rStyle w:val="249"/>
                <w:kern w:val="0"/>
                <w:sz w:val="20"/>
              </w:rPr>
            </w:pPr>
            <w:r>
              <w:rPr>
                <w:rStyle w:val="249"/>
                <w:rFonts w:hint="eastAsia"/>
                <w:kern w:val="0"/>
                <w:sz w:val="20"/>
              </w:rPr>
              <w:t>低植被覆盖度</w:t>
            </w:r>
          </w:p>
        </w:tc>
        <w:tc>
          <w:tcPr>
            <w:tcW w:w="1912" w:type="dxa"/>
          </w:tcPr>
          <w:p w14:paraId="52ACA54A">
            <w:pPr>
              <w:pStyle w:val="307"/>
              <w:rPr>
                <w:rStyle w:val="249"/>
                <w:kern w:val="0"/>
                <w:sz w:val="20"/>
              </w:rPr>
            </w:pPr>
            <w:r>
              <w:rPr>
                <w:rStyle w:val="249"/>
                <w:rFonts w:hint="eastAsia"/>
                <w:kern w:val="0"/>
                <w:sz w:val="20"/>
              </w:rPr>
              <w:t>F＜10%</w:t>
            </w:r>
          </w:p>
        </w:tc>
        <w:tc>
          <w:tcPr>
            <w:tcW w:w="2164" w:type="dxa"/>
            <w:vAlign w:val="bottom"/>
          </w:tcPr>
          <w:p w14:paraId="444DED1C">
            <w:pPr>
              <w:pStyle w:val="307"/>
              <w:rPr>
                <w:rStyle w:val="249"/>
                <w:kern w:val="0"/>
                <w:sz w:val="20"/>
              </w:rPr>
            </w:pPr>
            <w:r>
              <w:rPr>
                <w:rStyle w:val="249"/>
                <w:rFonts w:hint="eastAsia"/>
                <w:kern w:val="0"/>
                <w:sz w:val="20"/>
              </w:rPr>
              <w:t>303.09</w:t>
            </w:r>
          </w:p>
        </w:tc>
        <w:tc>
          <w:tcPr>
            <w:tcW w:w="2110" w:type="dxa"/>
            <w:vAlign w:val="bottom"/>
          </w:tcPr>
          <w:p w14:paraId="7C8E3438">
            <w:pPr>
              <w:pStyle w:val="307"/>
              <w:rPr>
                <w:rStyle w:val="249"/>
                <w:kern w:val="0"/>
                <w:sz w:val="20"/>
              </w:rPr>
            </w:pPr>
            <w:r>
              <w:rPr>
                <w:rStyle w:val="249"/>
                <w:rFonts w:hint="eastAsia"/>
                <w:kern w:val="0"/>
                <w:sz w:val="20"/>
              </w:rPr>
              <w:t>11.97</w:t>
            </w:r>
          </w:p>
        </w:tc>
      </w:tr>
      <w:tr w14:paraId="15B79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 w:type="dxa"/>
          </w:tcPr>
          <w:p w14:paraId="30D5CB1C">
            <w:pPr>
              <w:pStyle w:val="307"/>
              <w:rPr>
                <w:rStyle w:val="249"/>
                <w:kern w:val="0"/>
                <w:sz w:val="20"/>
              </w:rPr>
            </w:pPr>
            <w:r>
              <w:rPr>
                <w:rStyle w:val="249"/>
                <w:rFonts w:hint="eastAsia"/>
                <w:kern w:val="0"/>
                <w:sz w:val="20"/>
              </w:rPr>
              <w:t>较低植被覆盖度</w:t>
            </w:r>
          </w:p>
        </w:tc>
        <w:tc>
          <w:tcPr>
            <w:tcW w:w="1912" w:type="dxa"/>
          </w:tcPr>
          <w:p w14:paraId="14DDC5C5">
            <w:pPr>
              <w:pStyle w:val="307"/>
              <w:rPr>
                <w:rStyle w:val="249"/>
                <w:kern w:val="0"/>
                <w:sz w:val="20"/>
              </w:rPr>
            </w:pPr>
            <w:r>
              <w:rPr>
                <w:rStyle w:val="249"/>
                <w:rFonts w:hint="eastAsia"/>
                <w:kern w:val="0"/>
                <w:sz w:val="20"/>
              </w:rPr>
              <w:t>10%≤</w:t>
            </w:r>
            <w:r>
              <w:rPr>
                <w:rStyle w:val="249"/>
                <w:kern w:val="0"/>
                <w:sz w:val="20"/>
              </w:rPr>
              <w:t>F</w:t>
            </w:r>
            <w:r>
              <w:rPr>
                <w:rStyle w:val="249"/>
                <w:rFonts w:hint="eastAsia"/>
                <w:kern w:val="0"/>
                <w:sz w:val="20"/>
              </w:rPr>
              <w:t>＜30%</w:t>
            </w:r>
          </w:p>
        </w:tc>
        <w:tc>
          <w:tcPr>
            <w:tcW w:w="2164" w:type="dxa"/>
            <w:vAlign w:val="bottom"/>
          </w:tcPr>
          <w:p w14:paraId="1AF8CCD1">
            <w:pPr>
              <w:pStyle w:val="307"/>
              <w:rPr>
                <w:rStyle w:val="249"/>
                <w:kern w:val="0"/>
                <w:sz w:val="20"/>
              </w:rPr>
            </w:pPr>
            <w:r>
              <w:rPr>
                <w:rStyle w:val="249"/>
                <w:rFonts w:hint="eastAsia"/>
                <w:kern w:val="0"/>
                <w:sz w:val="20"/>
              </w:rPr>
              <w:t>436.28</w:t>
            </w:r>
          </w:p>
        </w:tc>
        <w:tc>
          <w:tcPr>
            <w:tcW w:w="2110" w:type="dxa"/>
            <w:vAlign w:val="bottom"/>
          </w:tcPr>
          <w:p w14:paraId="55D634E2">
            <w:pPr>
              <w:pStyle w:val="307"/>
              <w:rPr>
                <w:rStyle w:val="249"/>
                <w:kern w:val="0"/>
                <w:sz w:val="20"/>
              </w:rPr>
            </w:pPr>
            <w:r>
              <w:rPr>
                <w:rStyle w:val="249"/>
                <w:rFonts w:hint="eastAsia"/>
                <w:kern w:val="0"/>
                <w:sz w:val="20"/>
              </w:rPr>
              <w:t>17.23</w:t>
            </w:r>
          </w:p>
        </w:tc>
      </w:tr>
      <w:tr w14:paraId="78763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 w:type="dxa"/>
          </w:tcPr>
          <w:p w14:paraId="3FFA5D51">
            <w:pPr>
              <w:pStyle w:val="307"/>
              <w:rPr>
                <w:rStyle w:val="249"/>
                <w:kern w:val="0"/>
                <w:sz w:val="20"/>
              </w:rPr>
            </w:pPr>
            <w:r>
              <w:rPr>
                <w:rStyle w:val="249"/>
                <w:rFonts w:hint="eastAsia"/>
                <w:kern w:val="0"/>
                <w:sz w:val="20"/>
              </w:rPr>
              <w:t>中度植被覆盖度</w:t>
            </w:r>
          </w:p>
        </w:tc>
        <w:tc>
          <w:tcPr>
            <w:tcW w:w="1912" w:type="dxa"/>
          </w:tcPr>
          <w:p w14:paraId="02DACF56">
            <w:pPr>
              <w:pStyle w:val="307"/>
              <w:rPr>
                <w:rStyle w:val="249"/>
                <w:kern w:val="0"/>
                <w:sz w:val="20"/>
              </w:rPr>
            </w:pPr>
            <w:r>
              <w:rPr>
                <w:rStyle w:val="249"/>
                <w:rFonts w:hint="eastAsia"/>
                <w:kern w:val="0"/>
                <w:sz w:val="20"/>
              </w:rPr>
              <w:t>30%≤</w:t>
            </w:r>
            <w:r>
              <w:rPr>
                <w:rStyle w:val="249"/>
                <w:kern w:val="0"/>
                <w:sz w:val="20"/>
              </w:rPr>
              <w:t>F</w:t>
            </w:r>
            <w:r>
              <w:rPr>
                <w:rStyle w:val="249"/>
                <w:rFonts w:hint="eastAsia"/>
                <w:kern w:val="0"/>
                <w:sz w:val="20"/>
              </w:rPr>
              <w:t>＜50%</w:t>
            </w:r>
          </w:p>
        </w:tc>
        <w:tc>
          <w:tcPr>
            <w:tcW w:w="2164" w:type="dxa"/>
            <w:vAlign w:val="bottom"/>
          </w:tcPr>
          <w:p w14:paraId="1F50C0BB">
            <w:pPr>
              <w:pStyle w:val="307"/>
              <w:rPr>
                <w:rStyle w:val="249"/>
                <w:kern w:val="0"/>
                <w:sz w:val="20"/>
              </w:rPr>
            </w:pPr>
            <w:r>
              <w:rPr>
                <w:rStyle w:val="249"/>
                <w:rFonts w:hint="eastAsia"/>
                <w:kern w:val="0"/>
                <w:sz w:val="20"/>
              </w:rPr>
              <w:t>497.31</w:t>
            </w:r>
          </w:p>
        </w:tc>
        <w:tc>
          <w:tcPr>
            <w:tcW w:w="2110" w:type="dxa"/>
            <w:vAlign w:val="bottom"/>
          </w:tcPr>
          <w:p w14:paraId="77FE7909">
            <w:pPr>
              <w:pStyle w:val="307"/>
              <w:rPr>
                <w:rStyle w:val="249"/>
                <w:kern w:val="0"/>
                <w:sz w:val="20"/>
              </w:rPr>
            </w:pPr>
            <w:r>
              <w:rPr>
                <w:rStyle w:val="249"/>
                <w:rFonts w:hint="eastAsia"/>
                <w:kern w:val="0"/>
                <w:sz w:val="20"/>
              </w:rPr>
              <w:t>19.64</w:t>
            </w:r>
          </w:p>
        </w:tc>
      </w:tr>
      <w:tr w14:paraId="5465F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 w:type="dxa"/>
          </w:tcPr>
          <w:p w14:paraId="6AADCC28">
            <w:pPr>
              <w:pStyle w:val="307"/>
              <w:rPr>
                <w:rStyle w:val="249"/>
                <w:kern w:val="0"/>
                <w:sz w:val="20"/>
              </w:rPr>
            </w:pPr>
            <w:r>
              <w:rPr>
                <w:rStyle w:val="249"/>
                <w:rFonts w:hint="eastAsia"/>
                <w:kern w:val="0"/>
                <w:sz w:val="20"/>
              </w:rPr>
              <w:t>较高植被覆盖度</w:t>
            </w:r>
          </w:p>
        </w:tc>
        <w:tc>
          <w:tcPr>
            <w:tcW w:w="1912" w:type="dxa"/>
          </w:tcPr>
          <w:p w14:paraId="287E0E26">
            <w:pPr>
              <w:pStyle w:val="307"/>
              <w:rPr>
                <w:rStyle w:val="249"/>
                <w:kern w:val="0"/>
                <w:sz w:val="20"/>
              </w:rPr>
            </w:pPr>
            <w:r>
              <w:rPr>
                <w:rStyle w:val="249"/>
                <w:rFonts w:hint="eastAsia"/>
                <w:kern w:val="0"/>
                <w:sz w:val="20"/>
              </w:rPr>
              <w:t>50%≤</w:t>
            </w:r>
            <w:r>
              <w:rPr>
                <w:rStyle w:val="249"/>
                <w:kern w:val="0"/>
                <w:sz w:val="20"/>
              </w:rPr>
              <w:t>F</w:t>
            </w:r>
            <w:r>
              <w:rPr>
                <w:rStyle w:val="249"/>
                <w:rFonts w:hint="eastAsia"/>
                <w:kern w:val="0"/>
                <w:sz w:val="20"/>
              </w:rPr>
              <w:t>＜70%</w:t>
            </w:r>
          </w:p>
        </w:tc>
        <w:tc>
          <w:tcPr>
            <w:tcW w:w="2164" w:type="dxa"/>
            <w:vAlign w:val="bottom"/>
          </w:tcPr>
          <w:p w14:paraId="06F185B3">
            <w:pPr>
              <w:pStyle w:val="307"/>
              <w:rPr>
                <w:rStyle w:val="249"/>
                <w:kern w:val="0"/>
                <w:sz w:val="20"/>
              </w:rPr>
            </w:pPr>
            <w:r>
              <w:rPr>
                <w:rStyle w:val="249"/>
                <w:rFonts w:hint="eastAsia"/>
                <w:kern w:val="0"/>
                <w:sz w:val="20"/>
              </w:rPr>
              <w:t>600.62</w:t>
            </w:r>
          </w:p>
        </w:tc>
        <w:tc>
          <w:tcPr>
            <w:tcW w:w="2110" w:type="dxa"/>
            <w:vAlign w:val="bottom"/>
          </w:tcPr>
          <w:p w14:paraId="7AA2D8D9">
            <w:pPr>
              <w:pStyle w:val="307"/>
              <w:rPr>
                <w:rStyle w:val="249"/>
                <w:kern w:val="0"/>
                <w:sz w:val="20"/>
              </w:rPr>
            </w:pPr>
            <w:r>
              <w:rPr>
                <w:rStyle w:val="249"/>
                <w:rFonts w:hint="eastAsia"/>
                <w:kern w:val="0"/>
                <w:sz w:val="20"/>
              </w:rPr>
              <w:t>23.72</w:t>
            </w:r>
          </w:p>
        </w:tc>
      </w:tr>
      <w:tr w14:paraId="5E4D6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 w:type="dxa"/>
          </w:tcPr>
          <w:p w14:paraId="67FC7030">
            <w:pPr>
              <w:pStyle w:val="307"/>
              <w:rPr>
                <w:rStyle w:val="249"/>
                <w:kern w:val="0"/>
                <w:sz w:val="20"/>
              </w:rPr>
            </w:pPr>
            <w:r>
              <w:rPr>
                <w:rStyle w:val="249"/>
                <w:rFonts w:hint="eastAsia"/>
                <w:kern w:val="0"/>
                <w:sz w:val="20"/>
              </w:rPr>
              <w:t>高植被覆盖度</w:t>
            </w:r>
          </w:p>
        </w:tc>
        <w:tc>
          <w:tcPr>
            <w:tcW w:w="1912" w:type="dxa"/>
          </w:tcPr>
          <w:p w14:paraId="5A68DCC5">
            <w:pPr>
              <w:pStyle w:val="307"/>
              <w:rPr>
                <w:rStyle w:val="249"/>
                <w:kern w:val="0"/>
                <w:sz w:val="20"/>
              </w:rPr>
            </w:pPr>
            <w:r>
              <w:rPr>
                <w:rStyle w:val="249"/>
                <w:kern w:val="0"/>
                <w:sz w:val="20"/>
              </w:rPr>
              <w:t>F</w:t>
            </w:r>
            <w:r>
              <w:rPr>
                <w:rStyle w:val="249"/>
                <w:rFonts w:hint="eastAsia"/>
                <w:kern w:val="0"/>
                <w:sz w:val="20"/>
              </w:rPr>
              <w:t>≥70%</w:t>
            </w:r>
          </w:p>
        </w:tc>
        <w:tc>
          <w:tcPr>
            <w:tcW w:w="2164" w:type="dxa"/>
            <w:vAlign w:val="bottom"/>
          </w:tcPr>
          <w:p w14:paraId="03EA4AA9">
            <w:pPr>
              <w:pStyle w:val="307"/>
              <w:rPr>
                <w:rStyle w:val="249"/>
                <w:kern w:val="0"/>
                <w:sz w:val="20"/>
              </w:rPr>
            </w:pPr>
            <w:r>
              <w:rPr>
                <w:rStyle w:val="249"/>
                <w:rFonts w:hint="eastAsia"/>
                <w:kern w:val="0"/>
                <w:sz w:val="20"/>
              </w:rPr>
              <w:t>694.81</w:t>
            </w:r>
          </w:p>
        </w:tc>
        <w:tc>
          <w:tcPr>
            <w:tcW w:w="2110" w:type="dxa"/>
            <w:vAlign w:val="bottom"/>
          </w:tcPr>
          <w:p w14:paraId="4E3EE7BF">
            <w:pPr>
              <w:pStyle w:val="307"/>
              <w:rPr>
                <w:rStyle w:val="249"/>
                <w:kern w:val="0"/>
                <w:sz w:val="20"/>
              </w:rPr>
            </w:pPr>
            <w:r>
              <w:rPr>
                <w:rStyle w:val="249"/>
                <w:rFonts w:hint="eastAsia"/>
                <w:kern w:val="0"/>
                <w:sz w:val="20"/>
              </w:rPr>
              <w:t>27.44</w:t>
            </w:r>
          </w:p>
        </w:tc>
      </w:tr>
      <w:tr w14:paraId="29316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2" w:type="dxa"/>
            <w:gridSpan w:val="2"/>
          </w:tcPr>
          <w:p w14:paraId="5A66D29A">
            <w:pPr>
              <w:pStyle w:val="307"/>
              <w:rPr>
                <w:rStyle w:val="249"/>
                <w:kern w:val="0"/>
                <w:sz w:val="20"/>
              </w:rPr>
            </w:pPr>
            <w:r>
              <w:rPr>
                <w:rStyle w:val="249"/>
                <w:rFonts w:hint="eastAsia"/>
                <w:kern w:val="0"/>
                <w:sz w:val="20"/>
              </w:rPr>
              <w:t>合计</w:t>
            </w:r>
          </w:p>
        </w:tc>
        <w:tc>
          <w:tcPr>
            <w:tcW w:w="2164" w:type="dxa"/>
            <w:vAlign w:val="center"/>
          </w:tcPr>
          <w:p w14:paraId="35AA4CEA">
            <w:pPr>
              <w:pStyle w:val="307"/>
              <w:rPr>
                <w:rStyle w:val="249"/>
                <w:kern w:val="0"/>
                <w:sz w:val="20"/>
              </w:rPr>
            </w:pPr>
            <w:r>
              <w:rPr>
                <w:rStyle w:val="249"/>
                <w:rFonts w:hint="eastAsia"/>
                <w:kern w:val="0"/>
                <w:sz w:val="20"/>
              </w:rPr>
              <w:t>2</w:t>
            </w:r>
            <w:r>
              <w:rPr>
                <w:rStyle w:val="249"/>
                <w:kern w:val="0"/>
                <w:sz w:val="20"/>
              </w:rPr>
              <w:t>532.12</w:t>
            </w:r>
          </w:p>
        </w:tc>
        <w:tc>
          <w:tcPr>
            <w:tcW w:w="2110" w:type="dxa"/>
            <w:vAlign w:val="center"/>
          </w:tcPr>
          <w:p w14:paraId="61558738">
            <w:pPr>
              <w:pStyle w:val="307"/>
              <w:rPr>
                <w:rStyle w:val="249"/>
                <w:kern w:val="0"/>
                <w:sz w:val="20"/>
              </w:rPr>
            </w:pPr>
            <w:r>
              <w:rPr>
                <w:rStyle w:val="249"/>
                <w:kern w:val="0"/>
                <w:sz w:val="20"/>
              </w:rPr>
              <w:t>100</w:t>
            </w:r>
          </w:p>
        </w:tc>
      </w:tr>
      <w:bookmarkEnd w:id="117"/>
    </w:tbl>
    <w:p w14:paraId="66D0B3B4">
      <w:pPr>
        <w:pStyle w:val="85"/>
        <w:ind w:firstLine="480"/>
        <w:rPr>
          <w:kern w:val="0"/>
        </w:rPr>
      </w:pPr>
      <w:r>
        <w:rPr>
          <w:rFonts w:hint="eastAsia"/>
          <w:kern w:val="0"/>
        </w:rPr>
        <w:t>由上表可知，评价区内的植被覆盖度较高；低植被覆盖度和较低植被覆盖度比例相对较小。总体来看，评价区大部分地区植被覆盖良好，评价区中部潮河，及其他居民点植被覆盖度偏低。</w:t>
      </w:r>
    </w:p>
    <w:p w14:paraId="6F8AF6DA">
      <w:pPr>
        <w:pStyle w:val="85"/>
        <w:ind w:firstLine="480"/>
        <w:rPr>
          <w:kern w:val="0"/>
        </w:rPr>
      </w:pPr>
      <w:r>
        <w:rPr>
          <w:rFonts w:hint="eastAsia"/>
          <w:kern w:val="0"/>
        </w:rPr>
        <w:t>评价范围植被覆盖度图见附图。</w:t>
      </w:r>
    </w:p>
    <w:p w14:paraId="412CE9B4">
      <w:pPr>
        <w:pStyle w:val="85"/>
        <w:ind w:firstLine="482"/>
        <w:rPr>
          <w:b/>
          <w:bCs/>
          <w:kern w:val="0"/>
        </w:rPr>
      </w:pPr>
      <w:r>
        <w:rPr>
          <w:rFonts w:hint="eastAsia"/>
          <w:b/>
          <w:bCs/>
          <w:kern w:val="0"/>
        </w:rPr>
        <w:t>4、植被演替规律</w:t>
      </w:r>
    </w:p>
    <w:p w14:paraId="730E766E">
      <w:pPr>
        <w:pStyle w:val="85"/>
        <w:ind w:firstLine="480"/>
        <w:rPr>
          <w:kern w:val="0"/>
        </w:rPr>
      </w:pPr>
      <w:r>
        <w:rPr>
          <w:rFonts w:hint="eastAsia"/>
          <w:kern w:val="0"/>
        </w:rPr>
        <w:t>从植被分区上看，评价区和植被属于中国-日本森林植物亚区的华北地区，具有明显的温带特征，即评价区地带性植被类型以温带类型植物为主。</w:t>
      </w:r>
    </w:p>
    <w:p w14:paraId="0CE24436">
      <w:pPr>
        <w:pStyle w:val="85"/>
        <w:ind w:firstLine="480"/>
        <w:rPr>
          <w:kern w:val="0"/>
        </w:rPr>
      </w:pPr>
      <w:r>
        <w:rPr>
          <w:rFonts w:hint="eastAsia"/>
          <w:kern w:val="0"/>
        </w:rPr>
        <w:t>受农业生产等人为活动的长期影响，评价区的原生自然植被大量消失或改变，次生植被及人工植被显著增加。从评价区所处的地理区域、海拔范围及气候条件看，自然植被几乎只剩下了草本植物和少量灌木植物，且多数是历史上原生植被不断、反复干扰利用后形成的次生植被类型。施工结束后，周围植物渐次侵入，开始恢复演替过程。要恢复植被覆盖，采用人工植树种草的措施，可以加快恢复进程，一般2～3 年恢复草本植被，3～5年恢复灌木植被。</w:t>
      </w:r>
    </w:p>
    <w:p w14:paraId="5F5F94F8">
      <w:pPr>
        <w:pStyle w:val="85"/>
        <w:ind w:firstLine="482"/>
        <w:rPr>
          <w:b/>
          <w:bCs/>
          <w:kern w:val="0"/>
        </w:rPr>
      </w:pPr>
      <w:r>
        <w:rPr>
          <w:rFonts w:hint="eastAsia"/>
          <w:b/>
          <w:bCs/>
          <w:kern w:val="0"/>
        </w:rPr>
        <w:t>5、植物</w:t>
      </w:r>
      <w:r>
        <w:rPr>
          <w:b/>
          <w:bCs/>
          <w:kern w:val="0"/>
        </w:rPr>
        <w:t>多样性</w:t>
      </w:r>
    </w:p>
    <w:p w14:paraId="70E2E7A0">
      <w:pPr>
        <w:pStyle w:val="85"/>
        <w:ind w:firstLine="480"/>
        <w:rPr>
          <w:kern w:val="0"/>
        </w:rPr>
      </w:pPr>
      <w:r>
        <w:rPr>
          <w:rFonts w:hint="eastAsia"/>
          <w:kern w:val="0"/>
        </w:rPr>
        <w:t>经现场调查、收集资料及与专家和公众咨询核实，维管植物199种，隶属于3门48科138属。</w:t>
      </w:r>
    </w:p>
    <w:p w14:paraId="4BDCD6CA">
      <w:pPr>
        <w:pStyle w:val="85"/>
        <w:ind w:firstLine="480"/>
        <w:rPr>
          <w:kern w:val="0"/>
        </w:rPr>
      </w:pPr>
      <w:r>
        <w:rPr>
          <w:rFonts w:hint="eastAsia"/>
          <w:kern w:val="0"/>
        </w:rPr>
        <w:t>其中，蕨类植物门1科1属2种，裸子植物门1科1属1种，被子植物门46科136属196种。其中，被子植物占植物总种数的98.49%，是湿地公园植物区系的主体。</w:t>
      </w:r>
    </w:p>
    <w:p w14:paraId="7228F259">
      <w:pPr>
        <w:pStyle w:val="85"/>
        <w:ind w:firstLine="480"/>
        <w:rPr>
          <w:kern w:val="0"/>
        </w:rPr>
      </w:pPr>
      <w:r>
        <w:rPr>
          <w:rFonts w:hint="eastAsia"/>
          <w:kern w:val="0"/>
        </w:rPr>
        <w:t>禾本科种类最多，计44种，占被子植物种数的14.24%；其次是菊科，计41种，占被子植物种数的13.27%；豆科22种，占被子植物种数的7.12%。这3个科共有107种，占被子植物种数的34.63%。因此，禾本科、菊科和豆科构成了区域被子植物群落的主体。</w:t>
      </w:r>
    </w:p>
    <w:p w14:paraId="27E640E9">
      <w:pPr>
        <w:pStyle w:val="85"/>
        <w:ind w:firstLine="480"/>
        <w:rPr>
          <w:bCs/>
          <w:kern w:val="0"/>
        </w:rPr>
      </w:pPr>
      <w:r>
        <w:rPr>
          <w:rFonts w:hint="eastAsia"/>
          <w:bCs/>
          <w:kern w:val="0"/>
        </w:rPr>
        <w:t>（2）生物多样性指数</w:t>
      </w:r>
    </w:p>
    <w:p w14:paraId="4754F8CB">
      <w:pPr>
        <w:pStyle w:val="85"/>
        <w:ind w:firstLine="480"/>
        <w:rPr>
          <w:kern w:val="0"/>
        </w:rPr>
      </w:pPr>
      <w:r>
        <w:rPr>
          <w:rFonts w:hint="eastAsia"/>
          <w:kern w:val="0"/>
        </w:rPr>
        <w:t>生物多样性是生物（动物、植物、微生物）与环境形成的生态复合体以及与此相关的各种生态过程的总和，包括生态系统、物种和基因三个层次。</w:t>
      </w:r>
    </w:p>
    <w:p w14:paraId="21D96EE5">
      <w:pPr>
        <w:pStyle w:val="85"/>
        <w:ind w:firstLine="480"/>
        <w:rPr>
          <w:kern w:val="0"/>
        </w:rPr>
      </w:pPr>
      <w:r>
        <w:rPr>
          <w:rFonts w:hint="eastAsia"/>
          <w:kern w:val="0"/>
        </w:rPr>
        <w:t>生态系统多样性指生态系统的多样化程度，包括生态系统的类型、结构、组成、功能和生态过程的多样性等。物种多样性指物种水平的多样化程度，包括物种丰富度和物种多度。基因多样性（或遗传多样性）指一个物种的基因组成中遗传特征的多样性，包括种内不同种群之间或同一种群内不同个体的遗传变异性。</w:t>
      </w:r>
    </w:p>
    <w:p w14:paraId="2D80174B">
      <w:pPr>
        <w:pStyle w:val="85"/>
        <w:ind w:firstLine="480"/>
        <w:rPr>
          <w:kern w:val="0"/>
        </w:rPr>
      </w:pPr>
      <w:r>
        <w:rPr>
          <w:rFonts w:hint="eastAsia"/>
          <w:kern w:val="0"/>
        </w:rPr>
        <w:t>物种多样性常用的评价指标包括物种丰富度、香农-威纳多样性指数、Pielou均匀度指数、Simpson优势度指数等。</w:t>
      </w:r>
    </w:p>
    <w:p w14:paraId="260A5264">
      <w:pPr>
        <w:pStyle w:val="85"/>
        <w:ind w:firstLine="480"/>
        <w:rPr>
          <w:kern w:val="0"/>
        </w:rPr>
      </w:pPr>
      <w:r>
        <w:rPr>
          <w:rFonts w:hint="eastAsia"/>
          <w:kern w:val="0"/>
        </w:rPr>
        <w:t>香农-威纳（Shannon-wiener）多样性指数计算公式为：</w:t>
      </w:r>
    </w:p>
    <w:p w14:paraId="75079E5E">
      <w:pPr>
        <w:pStyle w:val="278"/>
        <w:ind w:firstLine="480"/>
        <w:rPr>
          <w:kern w:val="0"/>
        </w:rPr>
      </w:pPr>
      <m:oMathPara>
        <m:oMath>
          <m:r>
            <m:rPr/>
            <w:rPr>
              <w:rFonts w:ascii="Cambria Math" w:hAnsi="Cambria Math"/>
              <w:kern w:val="0"/>
            </w:rPr>
            <m:t>H=−</m:t>
          </m:r>
          <m:nary>
            <m:naryPr>
              <m:chr m:val="∑"/>
              <m:limLoc m:val="undOvr"/>
              <m:ctrlPr>
                <w:rPr>
                  <w:rFonts w:ascii="Cambria Math" w:hAnsi="Cambria Math"/>
                  <w:i/>
                  <w:kern w:val="0"/>
                </w:rPr>
              </m:ctrlPr>
            </m:naryPr>
            <m:sub>
              <m:r>
                <m:rPr/>
                <w:rPr>
                  <w:rFonts w:hint="eastAsia" w:ascii="Cambria Math" w:hAnsi="Cambria Math"/>
                  <w:kern w:val="0"/>
                </w:rPr>
                <m:t>i</m:t>
              </m:r>
              <m:r>
                <m:rPr/>
                <w:rPr>
                  <w:rFonts w:ascii="Cambria Math" w:hAnsi="Cambria Math"/>
                  <w:kern w:val="0"/>
                </w:rPr>
                <m:t>=1</m:t>
              </m:r>
              <m:ctrlPr>
                <w:rPr>
                  <w:rFonts w:ascii="Cambria Math" w:hAnsi="Cambria Math"/>
                  <w:i/>
                  <w:kern w:val="0"/>
                </w:rPr>
              </m:ctrlPr>
            </m:sub>
            <m:sup>
              <m:r>
                <m:rPr/>
                <w:rPr>
                  <w:rFonts w:ascii="Cambria Math" w:hAnsi="Cambria Math"/>
                  <w:kern w:val="0"/>
                </w:rPr>
                <m:t>S</m:t>
              </m:r>
              <m:ctrlPr>
                <w:rPr>
                  <w:rFonts w:ascii="Cambria Math" w:hAnsi="Cambria Math"/>
                  <w:i/>
                  <w:kern w:val="0"/>
                </w:rPr>
              </m:ctrlPr>
            </m:sup>
            <m:e>
              <m:sSub>
                <m:sSubPr>
                  <m:ctrlPr>
                    <w:rPr>
                      <w:rFonts w:ascii="Cambria Math" w:hAnsi="Cambria Math"/>
                      <w:i/>
                      <w:kern w:val="0"/>
                    </w:rPr>
                  </m:ctrlPr>
                </m:sSubPr>
                <m:e>
                  <m:r>
                    <m:rPr/>
                    <w:rPr>
                      <w:rFonts w:ascii="Cambria Math" w:hAnsi="Cambria Math"/>
                      <w:kern w:val="0"/>
                    </w:rPr>
                    <m:t>P</m:t>
                  </m:r>
                  <m:ctrlPr>
                    <w:rPr>
                      <w:rFonts w:ascii="Cambria Math" w:hAnsi="Cambria Math"/>
                      <w:i/>
                      <w:kern w:val="0"/>
                    </w:rPr>
                  </m:ctrlPr>
                </m:e>
                <m:sub>
                  <m:r>
                    <m:rPr/>
                    <w:rPr>
                      <w:rFonts w:ascii="Cambria Math" w:hAnsi="Cambria Math"/>
                      <w:kern w:val="0"/>
                    </w:rPr>
                    <m:t>I</m:t>
                  </m:r>
                  <m:ctrlPr>
                    <w:rPr>
                      <w:rFonts w:ascii="Cambria Math" w:hAnsi="Cambria Math"/>
                      <w:i/>
                      <w:kern w:val="0"/>
                    </w:rPr>
                  </m:ctrlPr>
                </m:sub>
              </m:sSub>
              <m:r>
                <m:rPr/>
                <w:rPr>
                  <w:rFonts w:ascii="Cambria Math" w:hAnsi="Cambria Math"/>
                  <w:kern w:val="0"/>
                </w:rPr>
                <m:t>Ln</m:t>
              </m:r>
              <m:ctrlPr>
                <w:rPr>
                  <w:rFonts w:ascii="Cambria Math" w:hAnsi="Cambria Math"/>
                  <w:i/>
                  <w:kern w:val="0"/>
                </w:rPr>
              </m:ctrlPr>
            </m:e>
          </m:nary>
          <m:sSub>
            <m:sSubPr>
              <m:ctrlPr>
                <w:rPr>
                  <w:rFonts w:ascii="Cambria Math" w:hAnsi="Cambria Math"/>
                  <w:i/>
                  <w:kern w:val="0"/>
                </w:rPr>
              </m:ctrlPr>
            </m:sSubPr>
            <m:e>
              <m:r>
                <m:rPr/>
                <w:rPr>
                  <w:rFonts w:ascii="Cambria Math" w:hAnsi="Cambria Math"/>
                  <w:kern w:val="0"/>
                </w:rPr>
                <m:t>P</m:t>
              </m:r>
              <m:ctrlPr>
                <w:rPr>
                  <w:rFonts w:ascii="Cambria Math" w:hAnsi="Cambria Math"/>
                  <w:i/>
                  <w:kern w:val="0"/>
                </w:rPr>
              </m:ctrlPr>
            </m:e>
            <m:sub>
              <m:r>
                <m:rPr/>
                <w:rPr>
                  <w:rFonts w:ascii="Cambria Math" w:hAnsi="Cambria Math"/>
                  <w:kern w:val="0"/>
                </w:rPr>
                <m:t>i</m:t>
              </m:r>
              <m:ctrlPr>
                <w:rPr>
                  <w:rFonts w:ascii="Cambria Math" w:hAnsi="Cambria Math"/>
                  <w:i/>
                  <w:kern w:val="0"/>
                </w:rPr>
              </m:ctrlPr>
            </m:sub>
          </m:sSub>
        </m:oMath>
      </m:oMathPara>
    </w:p>
    <w:p w14:paraId="40536666">
      <w:pPr>
        <w:pStyle w:val="85"/>
        <w:ind w:firstLine="480"/>
        <w:rPr>
          <w:kern w:val="0"/>
        </w:rPr>
      </w:pPr>
      <w:r>
        <w:rPr>
          <w:rFonts w:hint="eastAsia"/>
          <w:kern w:val="0"/>
        </w:rPr>
        <w:t>式中：H</w:t>
      </w:r>
      <w:r>
        <w:rPr>
          <w:kern w:val="0"/>
        </w:rPr>
        <w:t>——</w:t>
      </w:r>
      <w:r>
        <w:rPr>
          <w:rFonts w:hint="eastAsia"/>
          <w:kern w:val="0"/>
        </w:rPr>
        <w:t>香农-威纳多样性指数；</w:t>
      </w:r>
    </w:p>
    <w:p w14:paraId="5A8C2068">
      <w:pPr>
        <w:pStyle w:val="85"/>
        <w:ind w:firstLine="1200" w:firstLineChars="500"/>
        <w:rPr>
          <w:kern w:val="0"/>
        </w:rPr>
      </w:pPr>
      <w:r>
        <w:rPr>
          <w:rFonts w:hint="eastAsia"/>
          <w:kern w:val="0"/>
        </w:rPr>
        <w:t>S</w:t>
      </w:r>
      <w:r>
        <w:rPr>
          <w:kern w:val="0"/>
        </w:rPr>
        <w:t>——</w:t>
      </w:r>
      <w:r>
        <w:rPr>
          <w:rFonts w:hint="eastAsia"/>
          <w:kern w:val="0"/>
        </w:rPr>
        <w:t>调查区域内物种种类总数；</w:t>
      </w:r>
    </w:p>
    <w:p w14:paraId="4CC42F51">
      <w:pPr>
        <w:pStyle w:val="85"/>
        <w:ind w:firstLine="1200" w:firstLineChars="500"/>
        <w:rPr>
          <w:kern w:val="0"/>
        </w:rPr>
      </w:pPr>
      <w:r>
        <w:rPr>
          <w:rFonts w:hint="eastAsia"/>
          <w:kern w:val="0"/>
        </w:rPr>
        <w:t>P</w:t>
      </w:r>
      <w:r>
        <w:rPr>
          <w:kern w:val="0"/>
        </w:rPr>
        <w:t>——</w:t>
      </w:r>
      <w:r>
        <w:rPr>
          <w:rFonts w:hint="eastAsia"/>
          <w:kern w:val="0"/>
        </w:rPr>
        <w:t>调查区域内属于第i种的个体比例，如总个体数为N，第i种个体数为</w:t>
      </w:r>
      <w:r>
        <w:rPr>
          <w:rFonts w:hint="eastAsia"/>
          <w:i/>
          <w:iCs/>
          <w:kern w:val="0"/>
        </w:rPr>
        <w:t>n</w:t>
      </w:r>
      <w:r>
        <w:rPr>
          <w:rFonts w:hint="eastAsia"/>
          <w:i/>
          <w:iCs/>
          <w:kern w:val="0"/>
          <w:vertAlign w:val="subscript"/>
        </w:rPr>
        <w:t>i</w:t>
      </w:r>
      <w:r>
        <w:rPr>
          <w:rFonts w:hint="eastAsia"/>
          <w:kern w:val="0"/>
        </w:rPr>
        <w:t>，则</w:t>
      </w:r>
      <w:r>
        <w:rPr>
          <w:rFonts w:hint="eastAsia"/>
          <w:i/>
          <w:iCs/>
          <w:kern w:val="0"/>
        </w:rPr>
        <w:t>P</w:t>
      </w:r>
      <w:r>
        <w:rPr>
          <w:rFonts w:hint="eastAsia"/>
          <w:i/>
          <w:iCs/>
          <w:kern w:val="0"/>
          <w:vertAlign w:val="subscript"/>
        </w:rPr>
        <w:t>i</w:t>
      </w:r>
      <w:r>
        <w:rPr>
          <w:rFonts w:hint="eastAsia"/>
          <w:i/>
          <w:iCs/>
          <w:kern w:val="0"/>
        </w:rPr>
        <w:t>=n</w:t>
      </w:r>
      <w:r>
        <w:rPr>
          <w:rFonts w:hint="eastAsia"/>
          <w:i/>
          <w:iCs/>
          <w:kern w:val="0"/>
          <w:vertAlign w:val="subscript"/>
        </w:rPr>
        <w:t>i</w:t>
      </w:r>
      <w:r>
        <w:rPr>
          <w:rFonts w:hint="eastAsia"/>
          <w:kern w:val="0"/>
        </w:rPr>
        <w:t>/</w:t>
      </w:r>
      <w:r>
        <w:rPr>
          <w:rFonts w:hint="eastAsia"/>
          <w:i/>
          <w:iCs/>
          <w:kern w:val="0"/>
        </w:rPr>
        <w:t>N</w:t>
      </w:r>
      <w:r>
        <w:rPr>
          <w:rFonts w:hint="eastAsia"/>
          <w:kern w:val="0"/>
        </w:rPr>
        <w:t>。</w:t>
      </w:r>
    </w:p>
    <w:p w14:paraId="1D5801BB">
      <w:pPr>
        <w:pStyle w:val="85"/>
        <w:ind w:firstLine="480"/>
        <w:rPr>
          <w:kern w:val="0"/>
        </w:rPr>
      </w:pPr>
      <w:r>
        <w:rPr>
          <w:rFonts w:hint="eastAsia"/>
          <w:kern w:val="0"/>
        </w:rPr>
        <w:t>Margalef丰富度指数反映群落物种丰富度：指一个群落或环境中物种数目的多寡，亦表示生物群聚（或样品）中种类丰富度程度的指数。计算公式如下：</w:t>
      </w:r>
    </w:p>
    <w:p w14:paraId="54472B77">
      <w:pPr>
        <w:pStyle w:val="85"/>
        <w:ind w:firstLine="480"/>
        <w:rPr>
          <w:i/>
          <w:kern w:val="0"/>
        </w:rPr>
      </w:pPr>
      <m:oMathPara>
        <m:oMath>
          <m:sSub>
            <m:sSubPr>
              <m:ctrlPr>
                <w:rPr>
                  <w:rFonts w:ascii="Cambria Math" w:hAnsi="Cambria Math"/>
                  <w:i/>
                  <w:kern w:val="0"/>
                </w:rPr>
              </m:ctrlPr>
            </m:sSubPr>
            <m:e>
              <m:r>
                <m:rPr/>
                <w:rPr>
                  <w:rFonts w:ascii="Cambria Math" w:hAnsi="Cambria Math"/>
                  <w:kern w:val="0"/>
                </w:rPr>
                <m:t>H</m:t>
              </m:r>
              <m:ctrlPr>
                <w:rPr>
                  <w:rFonts w:ascii="Cambria Math" w:hAnsi="Cambria Math"/>
                  <w:i/>
                  <w:kern w:val="0"/>
                </w:rPr>
              </m:ctrlPr>
            </m:e>
            <m:sub>
              <m:r>
                <m:rPr/>
                <w:rPr>
                  <w:rFonts w:ascii="Cambria Math" w:hAnsi="Cambria Math"/>
                  <w:kern w:val="0"/>
                </w:rPr>
                <m:t>1</m:t>
              </m:r>
              <m:ctrlPr>
                <w:rPr>
                  <w:rFonts w:ascii="Cambria Math" w:hAnsi="Cambria Math"/>
                  <w:i/>
                  <w:kern w:val="0"/>
                </w:rPr>
              </m:ctrlPr>
            </m:sub>
          </m:sSub>
          <m:r>
            <m:rPr/>
            <w:rPr>
              <w:rFonts w:ascii="Cambria Math" w:hAnsi="Cambria Math"/>
              <w:kern w:val="0"/>
            </w:rPr>
            <m:t>=</m:t>
          </m:r>
          <m:d>
            <m:dPr>
              <m:ctrlPr>
                <w:rPr>
                  <w:rFonts w:ascii="Cambria Math" w:hAnsi="Cambria Math"/>
                  <w:i/>
                  <w:kern w:val="0"/>
                </w:rPr>
              </m:ctrlPr>
            </m:dPr>
            <m:e>
              <m:r>
                <m:rPr/>
                <w:rPr>
                  <w:rFonts w:ascii="Cambria Math" w:hAnsi="Cambria Math"/>
                  <w:kern w:val="0"/>
                </w:rPr>
                <m:t>S−1</m:t>
              </m:r>
              <m:ctrlPr>
                <w:rPr>
                  <w:rFonts w:ascii="Cambria Math" w:hAnsi="Cambria Math"/>
                  <w:i/>
                  <w:kern w:val="0"/>
                </w:rPr>
              </m:ctrlPr>
            </m:e>
          </m:d>
          <m:r>
            <m:rPr/>
            <w:rPr>
              <w:rFonts w:ascii="Cambria Math" w:hAnsi="Cambria Math"/>
              <w:kern w:val="0"/>
            </w:rPr>
            <m:t>/LnN</m:t>
          </m:r>
        </m:oMath>
      </m:oMathPara>
    </w:p>
    <w:p w14:paraId="495B477A">
      <w:pPr>
        <w:pStyle w:val="85"/>
        <w:ind w:firstLine="480"/>
        <w:rPr>
          <w:kern w:val="0"/>
        </w:rPr>
      </w:pPr>
      <w:r>
        <w:rPr>
          <w:rFonts w:hint="eastAsia"/>
          <w:kern w:val="0"/>
        </w:rPr>
        <w:t>式中：</w:t>
      </w:r>
      <w:r>
        <w:rPr>
          <w:kern w:val="0"/>
        </w:rPr>
        <w:t>H</w:t>
      </w:r>
      <w:r>
        <w:rPr>
          <w:kern w:val="0"/>
          <w:vertAlign w:val="subscript"/>
        </w:rPr>
        <w:t>1</w:t>
      </w:r>
      <w:r>
        <w:rPr>
          <w:kern w:val="0"/>
        </w:rPr>
        <w:t>——</w:t>
      </w:r>
      <w:r>
        <w:rPr>
          <w:rFonts w:hint="eastAsia"/>
          <w:kern w:val="0"/>
        </w:rPr>
        <w:t>Margalef丰富度指数；</w:t>
      </w:r>
    </w:p>
    <w:p w14:paraId="4DD1E597">
      <w:pPr>
        <w:pStyle w:val="85"/>
        <w:ind w:firstLine="480"/>
        <w:rPr>
          <w:kern w:val="0"/>
        </w:rPr>
      </w:pPr>
      <w:r>
        <w:rPr>
          <w:rFonts w:hint="eastAsia"/>
          <w:kern w:val="0"/>
        </w:rPr>
        <w:t>S</w:t>
      </w:r>
      <w:r>
        <w:rPr>
          <w:kern w:val="0"/>
        </w:rPr>
        <w:t>——</w:t>
      </w:r>
      <w:r>
        <w:rPr>
          <w:rFonts w:hint="eastAsia"/>
          <w:kern w:val="0"/>
        </w:rPr>
        <w:t>调查区域内物种种类总数；</w:t>
      </w:r>
    </w:p>
    <w:p w14:paraId="0861BCA2">
      <w:pPr>
        <w:pStyle w:val="85"/>
        <w:ind w:firstLine="480"/>
        <w:rPr>
          <w:kern w:val="0"/>
        </w:rPr>
      </w:pPr>
      <w:r>
        <w:rPr>
          <w:rFonts w:hint="eastAsia"/>
          <w:kern w:val="0"/>
        </w:rPr>
        <w:t>N</w:t>
      </w:r>
      <w:r>
        <w:rPr>
          <w:kern w:val="0"/>
        </w:rPr>
        <w:t>——</w:t>
      </w:r>
      <w:r>
        <w:rPr>
          <w:rFonts w:hint="eastAsia"/>
          <w:kern w:val="0"/>
        </w:rPr>
        <w:t>全部植物个体总数。</w:t>
      </w:r>
    </w:p>
    <w:p w14:paraId="288E401C">
      <w:pPr>
        <w:pStyle w:val="278"/>
        <w:ind w:firstLine="480"/>
        <w:jc w:val="center"/>
        <w:rPr>
          <w:kern w:val="0"/>
        </w:rPr>
      </w:pPr>
      <w:r>
        <w:rPr>
          <w:kern w:val="0"/>
        </w:rPr>
        <w:drawing>
          <wp:inline distT="0" distB="0" distL="0" distR="0">
            <wp:extent cx="1819275" cy="645795"/>
            <wp:effectExtent l="0" t="0" r="0"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5" cstate="print">
                      <a:clrChange>
                        <a:clrFrom>
                          <a:srgbClr val="E1E1E1"/>
                        </a:clrFrom>
                        <a:clrTo>
                          <a:srgbClr val="E1E1E1">
                            <a:alpha val="0"/>
                          </a:srgbClr>
                        </a:clrTo>
                      </a:clrChange>
                    </a:blip>
                    <a:stretch>
                      <a:fillRect/>
                    </a:stretch>
                  </pic:blipFill>
                  <pic:spPr>
                    <a:xfrm>
                      <a:off x="0" y="0"/>
                      <a:ext cx="1826139" cy="648464"/>
                    </a:xfrm>
                    <a:prstGeom prst="rect">
                      <a:avLst/>
                    </a:prstGeom>
                  </pic:spPr>
                </pic:pic>
              </a:graphicData>
            </a:graphic>
          </wp:inline>
        </w:drawing>
      </w:r>
    </w:p>
    <w:p w14:paraId="743E40EB">
      <w:pPr>
        <w:pStyle w:val="85"/>
        <w:ind w:firstLine="480"/>
        <w:rPr>
          <w:kern w:val="0"/>
        </w:rPr>
      </w:pPr>
      <w:r>
        <w:rPr>
          <w:rFonts w:hint="eastAsia"/>
          <w:kern w:val="0"/>
        </w:rPr>
        <w:t>式中：J</w:t>
      </w:r>
      <w:r>
        <w:rPr>
          <w:kern w:val="0"/>
        </w:rPr>
        <w:t>——</w:t>
      </w:r>
      <w:r>
        <w:rPr>
          <w:rFonts w:hint="eastAsia"/>
          <w:kern w:val="0"/>
        </w:rPr>
        <w:t>Pielou均匀度指数；</w:t>
      </w:r>
    </w:p>
    <w:p w14:paraId="134D73E8">
      <w:pPr>
        <w:pStyle w:val="85"/>
        <w:ind w:firstLine="1200" w:firstLineChars="500"/>
        <w:rPr>
          <w:kern w:val="0"/>
        </w:rPr>
      </w:pPr>
      <w:r>
        <w:rPr>
          <w:kern w:val="0"/>
        </w:rPr>
        <w:t>S——</w:t>
      </w:r>
      <w:r>
        <w:rPr>
          <w:rFonts w:hint="eastAsia"/>
          <w:kern w:val="0"/>
        </w:rPr>
        <w:t>调查区域内物种种类总数；</w:t>
      </w:r>
    </w:p>
    <w:p w14:paraId="1D643A90">
      <w:pPr>
        <w:pStyle w:val="85"/>
        <w:ind w:firstLine="1200" w:firstLineChars="500"/>
        <w:rPr>
          <w:kern w:val="0"/>
        </w:rPr>
      </w:pPr>
      <w:r>
        <w:rPr>
          <w:kern w:val="0"/>
        </w:rPr>
        <w:t>P</w:t>
      </w:r>
      <w:r>
        <w:rPr>
          <w:rFonts w:hint="eastAsia"/>
          <w:kern w:val="0"/>
          <w:vertAlign w:val="subscript"/>
        </w:rPr>
        <w:t>i</w:t>
      </w:r>
      <w:r>
        <w:rPr>
          <w:kern w:val="0"/>
        </w:rPr>
        <w:t>——</w:t>
      </w:r>
      <w:r>
        <w:rPr>
          <w:rFonts w:hint="eastAsia"/>
          <w:kern w:val="0"/>
        </w:rPr>
        <w:t>调查区域内属于第i种的个体比例。</w:t>
      </w:r>
    </w:p>
    <w:p w14:paraId="29277164">
      <w:pPr>
        <w:pStyle w:val="85"/>
        <w:ind w:firstLine="480"/>
        <w:rPr>
          <w:kern w:val="0"/>
        </w:rPr>
      </w:pPr>
      <w:r>
        <w:rPr>
          <w:rFonts w:hint="eastAsia"/>
          <w:kern w:val="0"/>
        </w:rPr>
        <w:t>对评价区域植物群落进行生物多样性分析，评价区Shannon-wiener多样性指数、Margalef丰富度指数和Pielou均匀度指数的均值分别为</w:t>
      </w:r>
      <w:r>
        <w:rPr>
          <w:kern w:val="0"/>
        </w:rPr>
        <w:t>1.80</w:t>
      </w:r>
      <w:r>
        <w:rPr>
          <w:rFonts w:hint="eastAsia"/>
          <w:kern w:val="0"/>
        </w:rPr>
        <w:t>、1</w:t>
      </w:r>
      <w:r>
        <w:rPr>
          <w:kern w:val="0"/>
        </w:rPr>
        <w:t>.65</w:t>
      </w:r>
      <w:r>
        <w:rPr>
          <w:rFonts w:hint="eastAsia"/>
          <w:kern w:val="0"/>
        </w:rPr>
        <w:t>、0</w:t>
      </w:r>
      <w:r>
        <w:rPr>
          <w:kern w:val="0"/>
        </w:rPr>
        <w:t>.75</w:t>
      </w:r>
      <w:r>
        <w:rPr>
          <w:rFonts w:hint="eastAsia"/>
          <w:kern w:val="0"/>
        </w:rPr>
        <w:t>。</w:t>
      </w:r>
    </w:p>
    <w:p w14:paraId="6935E351">
      <w:pPr>
        <w:pStyle w:val="85"/>
        <w:ind w:firstLine="482"/>
        <w:rPr>
          <w:b/>
          <w:bCs/>
          <w:kern w:val="0"/>
        </w:rPr>
      </w:pPr>
      <w:r>
        <w:rPr>
          <w:rFonts w:hint="eastAsia"/>
          <w:b/>
          <w:bCs/>
          <w:kern w:val="0"/>
        </w:rPr>
        <w:t>（</w:t>
      </w:r>
      <w:r>
        <w:rPr>
          <w:b/>
          <w:bCs/>
          <w:kern w:val="0"/>
        </w:rPr>
        <w:t>3</w:t>
      </w:r>
      <w:r>
        <w:rPr>
          <w:rFonts w:hint="eastAsia"/>
          <w:b/>
          <w:bCs/>
          <w:kern w:val="0"/>
        </w:rPr>
        <w:t>）重要</w:t>
      </w:r>
      <w:r>
        <w:rPr>
          <w:b/>
          <w:bCs/>
          <w:kern w:val="0"/>
        </w:rPr>
        <w:t>植物物种</w:t>
      </w:r>
    </w:p>
    <w:p w14:paraId="535E7A09">
      <w:pPr>
        <w:pStyle w:val="85"/>
        <w:ind w:firstLine="480"/>
        <w:rPr>
          <w:kern w:val="0"/>
        </w:rPr>
      </w:pPr>
      <w:r>
        <w:rPr>
          <w:rFonts w:hint="eastAsia"/>
          <w:kern w:val="0"/>
        </w:rPr>
        <w:t>在生态影响评价中需要重点关注、具有较高保护价值或保护要求的物种，包括国家及地方重点保护野生动植物名录所列的物种，《中国生物多样性红色名录》中列为极危（Critically Endangered）、濒危（Endangered）和易危（Vulnerable）的物种，国家和地方政府列入拯救保护的极小种群物种，特有种以及古树名木等。</w:t>
      </w:r>
    </w:p>
    <w:p w14:paraId="6A7C7C6A">
      <w:pPr>
        <w:pStyle w:val="85"/>
        <w:ind w:firstLine="480"/>
        <w:rPr>
          <w:kern w:val="0"/>
        </w:rPr>
      </w:pPr>
      <w:r>
        <w:rPr>
          <w:rFonts w:hint="eastAsia"/>
          <w:kern w:val="0"/>
        </w:rPr>
        <w:t>①重点保护野生植物</w:t>
      </w:r>
    </w:p>
    <w:p w14:paraId="2059B4AC">
      <w:pPr>
        <w:pStyle w:val="85"/>
        <w:ind w:firstLine="480"/>
        <w:rPr>
          <w:kern w:val="0"/>
        </w:rPr>
      </w:pPr>
      <w:r>
        <w:rPr>
          <w:rFonts w:hint="eastAsia"/>
          <w:kern w:val="0"/>
        </w:rPr>
        <w:t>根据 《河北滦平潮河国家湿地公园总体规划》，湿地公园内存在有国家二级重点保护野生植物1种，即野大豆。根据现场踏勘，本项目范围未发现野大豆的主要分布区。</w:t>
      </w:r>
    </w:p>
    <w:p w14:paraId="43DAC08B">
      <w:pPr>
        <w:pStyle w:val="85"/>
        <w:ind w:firstLine="480"/>
        <w:rPr>
          <w:kern w:val="0"/>
        </w:rPr>
      </w:pPr>
      <w:r>
        <w:rPr>
          <w:rFonts w:hint="eastAsia"/>
          <w:kern w:val="0"/>
        </w:rPr>
        <w:t>②古树名木</w:t>
      </w:r>
    </w:p>
    <w:p w14:paraId="3A195DA0">
      <w:pPr>
        <w:pStyle w:val="85"/>
        <w:ind w:firstLine="480"/>
        <w:rPr>
          <w:kern w:val="0"/>
        </w:rPr>
      </w:pPr>
      <w:r>
        <w:rPr>
          <w:rFonts w:hint="eastAsia"/>
          <w:kern w:val="0"/>
        </w:rPr>
        <w:t>根据《古树名木鉴定规范》（LY/T2737-2016，2017年1月1日实施）、《古树名木普查技术规范》（LY/T2738-2016，2017年1月1日实施）、《古树名木代码与条码（LY/T1664-2006）》、《森林资源代码（LY/T1439）》等技术规范和标准，参考区域其它关于区域古树名木的调查资料，同时对周边居民进行访问调查和现场核查，在评价区内未发现有古树名木分布。</w:t>
      </w:r>
    </w:p>
    <w:p w14:paraId="7A29A7C0">
      <w:pPr>
        <w:pStyle w:val="85"/>
        <w:ind w:firstLine="480"/>
        <w:rPr>
          <w:kern w:val="0"/>
        </w:rPr>
      </w:pPr>
      <w:r>
        <w:rPr>
          <w:rFonts w:hint="eastAsia"/>
          <w:kern w:val="0"/>
        </w:rPr>
        <w:t>③生态公益林</w:t>
      </w:r>
    </w:p>
    <w:p w14:paraId="2B156EC8">
      <w:pPr>
        <w:pStyle w:val="85"/>
        <w:ind w:firstLine="480"/>
        <w:rPr>
          <w:kern w:val="0"/>
        </w:rPr>
      </w:pPr>
      <w:r>
        <w:rPr>
          <w:rFonts w:hint="eastAsia"/>
          <w:kern w:val="0"/>
        </w:rPr>
        <w:t>生态公益林是指生态区位极为重要，或生态状况极为脆弱，对国土生态安全、生物多样性保护和经济社会可持续发展具有重要作用，以提供森林生态和社会服务产品为主要经营目的的重点的防护林和特种用途林。包括水源涵养林、水土保持林、防风固沙林、护岸林、自然保护区的森林和国防林等类型。</w:t>
      </w:r>
    </w:p>
    <w:p w14:paraId="7047B636">
      <w:pPr>
        <w:pStyle w:val="85"/>
        <w:ind w:firstLine="480"/>
        <w:rPr>
          <w:kern w:val="0"/>
        </w:rPr>
      </w:pPr>
      <w:r>
        <w:rPr>
          <w:rFonts w:hint="eastAsia"/>
          <w:kern w:val="0"/>
        </w:rPr>
        <w:t>工程范围内无生态公益林分布。</w:t>
      </w:r>
    </w:p>
    <w:p w14:paraId="0A26215E">
      <w:pPr>
        <w:pStyle w:val="85"/>
        <w:ind w:firstLine="480"/>
        <w:rPr>
          <w:kern w:val="0"/>
        </w:rPr>
      </w:pPr>
      <w:r>
        <w:rPr>
          <w:rFonts w:hint="eastAsia"/>
          <w:kern w:val="0"/>
        </w:rPr>
        <w:t>④珍稀濒危及特有植物</w:t>
      </w:r>
    </w:p>
    <w:p w14:paraId="73DACE6A">
      <w:pPr>
        <w:pStyle w:val="85"/>
        <w:ind w:firstLine="480"/>
        <w:rPr>
          <w:kern w:val="0"/>
        </w:rPr>
      </w:pPr>
      <w:r>
        <w:rPr>
          <w:rFonts w:hint="eastAsia"/>
          <w:kern w:val="0"/>
        </w:rPr>
        <w:t>评价区内无《中国生物多样性红色名录》中收录的极危（Critically Endangered）、濒危（Endangered）和易危（Vulnerable）的物种，无《全国极小种群野生植物拯救保护工程规划》中的极小种群（狭隘分布）保护物种。</w:t>
      </w:r>
    </w:p>
    <w:p w14:paraId="449156DE">
      <w:pPr>
        <w:pStyle w:val="4"/>
      </w:pPr>
      <w:r>
        <w:rPr>
          <w:rFonts w:hint="eastAsia"/>
        </w:rPr>
        <w:t>陆生野生</w:t>
      </w:r>
      <w:r>
        <w:t>动物现状</w:t>
      </w:r>
    </w:p>
    <w:p w14:paraId="16BE6C9A">
      <w:pPr>
        <w:pStyle w:val="85"/>
        <w:ind w:firstLine="482"/>
        <w:rPr>
          <w:b/>
          <w:bCs/>
          <w:kern w:val="0"/>
        </w:rPr>
      </w:pPr>
      <w:r>
        <w:rPr>
          <w:b/>
          <w:bCs/>
          <w:kern w:val="0"/>
        </w:rPr>
        <w:t>1</w:t>
      </w:r>
      <w:r>
        <w:rPr>
          <w:rFonts w:hint="eastAsia"/>
          <w:b/>
          <w:bCs/>
          <w:kern w:val="0"/>
        </w:rPr>
        <w:t>、动物区系及分布特征</w:t>
      </w:r>
    </w:p>
    <w:p w14:paraId="612A4F37">
      <w:pPr>
        <w:pStyle w:val="85"/>
        <w:ind w:firstLine="480"/>
        <w:rPr>
          <w:kern w:val="0"/>
        </w:rPr>
      </w:pPr>
      <w:r>
        <w:rPr>
          <w:rFonts w:hint="eastAsia"/>
          <w:kern w:val="0"/>
        </w:rPr>
        <w:t>根据《中国动物地理》（张荣祖主编，2011年）中的中国动物地理区划，本项目所涉及的动物区划为：古北界-东北亚界-华北区-黄淮平原亚区-华北平原省。</w:t>
      </w:r>
    </w:p>
    <w:p w14:paraId="4AF96283">
      <w:pPr>
        <w:pStyle w:val="85"/>
        <w:ind w:firstLine="480"/>
        <w:rPr>
          <w:kern w:val="0"/>
        </w:rPr>
      </w:pPr>
      <w:r>
        <w:rPr>
          <w:rFonts w:hint="eastAsia"/>
          <w:kern w:val="0"/>
        </w:rPr>
        <w:t>本亚区的兽类最普遍的是田野生活的小型啮齿动物。如黑线仓鼠、大仓鼠、黑线姬鼠、小家鼠和褐家鼠、鼢鼠，还有食虫小兽麝鼹等。它们分布广泛，各地的差异主要是数量的多少。鸟类季节相比较明显。本亚区爬行大多为广泛见于我国季风区或北方的种类，其中黄脊游蛇和白条锦蛇为古北型的代表。还有不少产于我国南方的种类，如蜓蜥、玉斑锦蛇和黑眉锦蛇是东洋型的代表，石龙子为南中国型成分。</w:t>
      </w:r>
    </w:p>
    <w:p w14:paraId="5C450DA3">
      <w:pPr>
        <w:pStyle w:val="85"/>
        <w:ind w:firstLine="482"/>
        <w:rPr>
          <w:b/>
          <w:bCs/>
          <w:kern w:val="0"/>
        </w:rPr>
      </w:pPr>
      <w:r>
        <w:rPr>
          <w:rFonts w:hint="eastAsia"/>
          <w:b/>
          <w:bCs/>
          <w:kern w:val="0"/>
        </w:rPr>
        <w:t>2、动物物种组成及</w:t>
      </w:r>
      <w:r>
        <w:rPr>
          <w:b/>
          <w:bCs/>
          <w:kern w:val="0"/>
        </w:rPr>
        <w:t>多样性现状</w:t>
      </w:r>
    </w:p>
    <w:p w14:paraId="6028FC15">
      <w:pPr>
        <w:pStyle w:val="85"/>
        <w:ind w:firstLine="480"/>
        <w:rPr>
          <w:kern w:val="0"/>
        </w:rPr>
      </w:pPr>
      <w:r>
        <w:rPr>
          <w:rFonts w:hint="eastAsia"/>
          <w:kern w:val="0"/>
        </w:rPr>
        <w:t>参阅相关资料及现场调查。评价范围内共有陆生脊椎动物 4 纲</w:t>
      </w:r>
      <w:r>
        <w:rPr>
          <w:kern w:val="0"/>
        </w:rPr>
        <w:t>23</w:t>
      </w:r>
      <w:r>
        <w:rPr>
          <w:rFonts w:hint="eastAsia"/>
          <w:kern w:val="0"/>
        </w:rPr>
        <w:t>目</w:t>
      </w:r>
      <w:r>
        <w:rPr>
          <w:kern w:val="0"/>
        </w:rPr>
        <w:t>39</w:t>
      </w:r>
      <w:r>
        <w:rPr>
          <w:rFonts w:hint="eastAsia"/>
          <w:kern w:val="0"/>
        </w:rPr>
        <w:t>科</w:t>
      </w:r>
      <w:r>
        <w:rPr>
          <w:kern w:val="0"/>
        </w:rPr>
        <w:t>66</w:t>
      </w:r>
      <w:r>
        <w:rPr>
          <w:rFonts w:hint="eastAsia"/>
          <w:kern w:val="0"/>
        </w:rPr>
        <w:t>种，评价范围分布的陆生脊椎动物具体在各纲中的分布情况见下表。</w:t>
      </w:r>
    </w:p>
    <w:p w14:paraId="25DC820C">
      <w:pPr>
        <w:pStyle w:val="85"/>
        <w:ind w:firstLine="480"/>
        <w:rPr>
          <w:kern w:val="0"/>
        </w:rPr>
      </w:pPr>
    </w:p>
    <w:p w14:paraId="1F7A5DF6">
      <w:pPr>
        <w:pStyle w:val="85"/>
        <w:ind w:firstLine="480"/>
        <w:rPr>
          <w:kern w:val="0"/>
        </w:rPr>
      </w:pPr>
    </w:p>
    <w:p w14:paraId="1F5B919D">
      <w:pPr>
        <w:pStyle w:val="229"/>
      </w:pPr>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t>21</w:t>
      </w:r>
      <w:r>
        <w:fldChar w:fldCharType="end"/>
      </w:r>
      <w:r>
        <w:t xml:space="preserve">  </w:t>
      </w:r>
      <w:r>
        <w:rPr>
          <w:rFonts w:hint="eastAsia"/>
        </w:rPr>
        <w:t>评价区陆生脊椎动物种类组成</w:t>
      </w:r>
    </w:p>
    <w:tbl>
      <w:tblPr>
        <w:tblStyle w:val="63"/>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8"/>
        <w:gridCol w:w="1288"/>
        <w:gridCol w:w="1288"/>
        <w:gridCol w:w="1289"/>
        <w:gridCol w:w="1071"/>
        <w:gridCol w:w="1073"/>
        <w:gridCol w:w="1129"/>
      </w:tblGrid>
      <w:tr w14:paraId="1A466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blHeader/>
          <w:jc w:val="center"/>
        </w:trPr>
        <w:tc>
          <w:tcPr>
            <w:tcW w:w="3078" w:type="pct"/>
            <w:gridSpan w:val="4"/>
            <w:shd w:val="clear" w:color="auto" w:fill="auto"/>
            <w:vAlign w:val="center"/>
          </w:tcPr>
          <w:p w14:paraId="16EE01AA">
            <w:pPr>
              <w:pStyle w:val="307"/>
              <w:rPr>
                <w:lang w:val="en-US"/>
              </w:rPr>
            </w:pPr>
            <w:r>
              <w:rPr>
                <w:rFonts w:hint="eastAsia"/>
                <w:lang w:val="en-US"/>
              </w:rPr>
              <w:t>种类组成</w:t>
            </w:r>
          </w:p>
        </w:tc>
        <w:tc>
          <w:tcPr>
            <w:tcW w:w="1922" w:type="pct"/>
            <w:gridSpan w:val="3"/>
            <w:shd w:val="clear" w:color="auto" w:fill="auto"/>
            <w:vAlign w:val="center"/>
          </w:tcPr>
          <w:p w14:paraId="43C29121">
            <w:pPr>
              <w:pStyle w:val="307"/>
              <w:rPr>
                <w:lang w:val="en-US"/>
              </w:rPr>
            </w:pPr>
            <w:r>
              <w:rPr>
                <w:rFonts w:hint="eastAsia"/>
                <w:lang w:val="en-US"/>
              </w:rPr>
              <w:t>重点保护动物</w:t>
            </w:r>
          </w:p>
        </w:tc>
      </w:tr>
      <w:tr w14:paraId="4444E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blHeader/>
          <w:jc w:val="center"/>
        </w:trPr>
        <w:tc>
          <w:tcPr>
            <w:tcW w:w="809" w:type="pct"/>
            <w:vMerge w:val="restart"/>
            <w:shd w:val="clear" w:color="auto" w:fill="auto"/>
            <w:vAlign w:val="center"/>
          </w:tcPr>
          <w:p w14:paraId="19B36FED">
            <w:pPr>
              <w:pStyle w:val="307"/>
              <w:rPr>
                <w:lang w:val="en-US"/>
              </w:rPr>
            </w:pPr>
            <w:r>
              <w:rPr>
                <w:rFonts w:hint="eastAsia"/>
                <w:lang w:val="en-US"/>
              </w:rPr>
              <w:t>纲</w:t>
            </w:r>
          </w:p>
        </w:tc>
        <w:tc>
          <w:tcPr>
            <w:tcW w:w="756" w:type="pct"/>
            <w:vMerge w:val="restart"/>
            <w:shd w:val="clear" w:color="auto" w:fill="auto"/>
            <w:vAlign w:val="center"/>
          </w:tcPr>
          <w:p w14:paraId="13D9A16E">
            <w:pPr>
              <w:pStyle w:val="307"/>
              <w:rPr>
                <w:lang w:val="en-US"/>
              </w:rPr>
            </w:pPr>
            <w:r>
              <w:rPr>
                <w:rFonts w:hint="eastAsia"/>
                <w:lang w:val="en-US"/>
              </w:rPr>
              <w:t>目</w:t>
            </w:r>
          </w:p>
        </w:tc>
        <w:tc>
          <w:tcPr>
            <w:tcW w:w="756" w:type="pct"/>
            <w:vMerge w:val="restart"/>
            <w:shd w:val="clear" w:color="auto" w:fill="auto"/>
            <w:vAlign w:val="center"/>
          </w:tcPr>
          <w:p w14:paraId="1F12B3A2">
            <w:pPr>
              <w:pStyle w:val="307"/>
              <w:rPr>
                <w:lang w:val="en-US"/>
              </w:rPr>
            </w:pPr>
            <w:r>
              <w:rPr>
                <w:rFonts w:hint="eastAsia"/>
                <w:lang w:val="en-US"/>
              </w:rPr>
              <w:t>科</w:t>
            </w:r>
          </w:p>
        </w:tc>
        <w:tc>
          <w:tcPr>
            <w:tcW w:w="757" w:type="pct"/>
            <w:vMerge w:val="restart"/>
            <w:shd w:val="clear" w:color="auto" w:fill="auto"/>
            <w:vAlign w:val="center"/>
          </w:tcPr>
          <w:p w14:paraId="2B8209F2">
            <w:pPr>
              <w:pStyle w:val="307"/>
              <w:rPr>
                <w:lang w:val="en-US"/>
              </w:rPr>
            </w:pPr>
            <w:r>
              <w:rPr>
                <w:rFonts w:hint="eastAsia"/>
                <w:lang w:val="en-US"/>
              </w:rPr>
              <w:t>种</w:t>
            </w:r>
          </w:p>
        </w:tc>
        <w:tc>
          <w:tcPr>
            <w:tcW w:w="1259" w:type="pct"/>
            <w:gridSpan w:val="2"/>
            <w:shd w:val="clear" w:color="auto" w:fill="auto"/>
            <w:vAlign w:val="center"/>
          </w:tcPr>
          <w:p w14:paraId="36C45651">
            <w:pPr>
              <w:pStyle w:val="307"/>
              <w:rPr>
                <w:lang w:val="en-US"/>
              </w:rPr>
            </w:pPr>
            <w:r>
              <w:rPr>
                <w:rFonts w:hint="eastAsia"/>
                <w:lang w:val="en-US"/>
              </w:rPr>
              <w:t>国家</w:t>
            </w:r>
          </w:p>
        </w:tc>
        <w:tc>
          <w:tcPr>
            <w:tcW w:w="663" w:type="pct"/>
            <w:vMerge w:val="restart"/>
            <w:shd w:val="clear" w:color="auto" w:fill="auto"/>
            <w:vAlign w:val="center"/>
          </w:tcPr>
          <w:p w14:paraId="25302D41">
            <w:pPr>
              <w:pStyle w:val="307"/>
              <w:rPr>
                <w:lang w:val="en-US"/>
              </w:rPr>
            </w:pPr>
            <w:r>
              <w:rPr>
                <w:rFonts w:hint="eastAsia"/>
                <w:lang w:val="en-US"/>
              </w:rPr>
              <w:t>河北省</w:t>
            </w:r>
          </w:p>
        </w:tc>
      </w:tr>
      <w:tr w14:paraId="6E859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blHeader/>
          <w:jc w:val="center"/>
        </w:trPr>
        <w:tc>
          <w:tcPr>
            <w:tcW w:w="809" w:type="pct"/>
            <w:vMerge w:val="continue"/>
            <w:shd w:val="clear" w:color="auto" w:fill="auto"/>
            <w:vAlign w:val="center"/>
          </w:tcPr>
          <w:p w14:paraId="22C0EFB6">
            <w:pPr>
              <w:pStyle w:val="307"/>
              <w:rPr>
                <w:lang w:val="en-US"/>
              </w:rPr>
            </w:pPr>
          </w:p>
        </w:tc>
        <w:tc>
          <w:tcPr>
            <w:tcW w:w="756" w:type="pct"/>
            <w:vMerge w:val="continue"/>
            <w:shd w:val="clear" w:color="auto" w:fill="auto"/>
            <w:vAlign w:val="center"/>
          </w:tcPr>
          <w:p w14:paraId="5EB8EE02">
            <w:pPr>
              <w:pStyle w:val="307"/>
              <w:rPr>
                <w:lang w:val="en-US"/>
              </w:rPr>
            </w:pPr>
          </w:p>
        </w:tc>
        <w:tc>
          <w:tcPr>
            <w:tcW w:w="756" w:type="pct"/>
            <w:vMerge w:val="continue"/>
            <w:shd w:val="clear" w:color="auto" w:fill="auto"/>
            <w:vAlign w:val="center"/>
          </w:tcPr>
          <w:p w14:paraId="778FBB35">
            <w:pPr>
              <w:pStyle w:val="307"/>
              <w:rPr>
                <w:lang w:val="en-US"/>
              </w:rPr>
            </w:pPr>
          </w:p>
        </w:tc>
        <w:tc>
          <w:tcPr>
            <w:tcW w:w="757" w:type="pct"/>
            <w:vMerge w:val="continue"/>
            <w:shd w:val="clear" w:color="auto" w:fill="auto"/>
            <w:vAlign w:val="center"/>
          </w:tcPr>
          <w:p w14:paraId="600DE374">
            <w:pPr>
              <w:pStyle w:val="307"/>
              <w:rPr>
                <w:lang w:val="en-US"/>
              </w:rPr>
            </w:pPr>
          </w:p>
        </w:tc>
        <w:tc>
          <w:tcPr>
            <w:tcW w:w="629" w:type="pct"/>
            <w:shd w:val="clear" w:color="auto" w:fill="auto"/>
            <w:vAlign w:val="center"/>
          </w:tcPr>
          <w:p w14:paraId="0FDBB515">
            <w:pPr>
              <w:pStyle w:val="307"/>
              <w:rPr>
                <w:lang w:val="en-US"/>
              </w:rPr>
            </w:pPr>
            <w:r>
              <w:rPr>
                <w:rFonts w:hint="eastAsia"/>
                <w:lang w:val="en-US"/>
              </w:rPr>
              <w:t>一级</w:t>
            </w:r>
          </w:p>
        </w:tc>
        <w:tc>
          <w:tcPr>
            <w:tcW w:w="630" w:type="pct"/>
            <w:shd w:val="clear" w:color="auto" w:fill="auto"/>
            <w:vAlign w:val="center"/>
          </w:tcPr>
          <w:p w14:paraId="7ABE953B">
            <w:pPr>
              <w:pStyle w:val="307"/>
              <w:rPr>
                <w:lang w:val="en-US"/>
              </w:rPr>
            </w:pPr>
            <w:r>
              <w:rPr>
                <w:rFonts w:hint="eastAsia"/>
                <w:lang w:val="en-US"/>
              </w:rPr>
              <w:t>二级</w:t>
            </w:r>
          </w:p>
        </w:tc>
        <w:tc>
          <w:tcPr>
            <w:tcW w:w="663" w:type="pct"/>
            <w:vMerge w:val="continue"/>
            <w:shd w:val="clear" w:color="auto" w:fill="auto"/>
            <w:vAlign w:val="center"/>
          </w:tcPr>
          <w:p w14:paraId="7C6FF7E2">
            <w:pPr>
              <w:pStyle w:val="307"/>
              <w:rPr>
                <w:lang w:val="en-US"/>
              </w:rPr>
            </w:pPr>
          </w:p>
        </w:tc>
      </w:tr>
      <w:tr w14:paraId="5897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09" w:type="pct"/>
            <w:shd w:val="clear" w:color="auto" w:fill="auto"/>
            <w:vAlign w:val="center"/>
          </w:tcPr>
          <w:p w14:paraId="162ED8E5">
            <w:pPr>
              <w:pStyle w:val="307"/>
              <w:rPr>
                <w:lang w:val="en-US"/>
              </w:rPr>
            </w:pPr>
            <w:r>
              <w:rPr>
                <w:rFonts w:hint="eastAsia"/>
                <w:lang w:val="en-US"/>
              </w:rPr>
              <w:t>哺乳类</w:t>
            </w:r>
          </w:p>
        </w:tc>
        <w:tc>
          <w:tcPr>
            <w:tcW w:w="756" w:type="pct"/>
            <w:shd w:val="clear" w:color="auto" w:fill="auto"/>
            <w:vAlign w:val="center"/>
          </w:tcPr>
          <w:p w14:paraId="1E439698">
            <w:pPr>
              <w:pStyle w:val="307"/>
              <w:rPr>
                <w:lang w:val="en-US"/>
              </w:rPr>
            </w:pPr>
            <w:r>
              <w:rPr>
                <w:rFonts w:hint="eastAsia"/>
                <w:lang w:val="en-US"/>
              </w:rPr>
              <w:t>6</w:t>
            </w:r>
          </w:p>
        </w:tc>
        <w:tc>
          <w:tcPr>
            <w:tcW w:w="756" w:type="pct"/>
            <w:shd w:val="clear" w:color="auto" w:fill="auto"/>
            <w:vAlign w:val="center"/>
          </w:tcPr>
          <w:p w14:paraId="21F5110C">
            <w:pPr>
              <w:pStyle w:val="307"/>
              <w:rPr>
                <w:lang w:val="en-US"/>
              </w:rPr>
            </w:pPr>
            <w:r>
              <w:rPr>
                <w:rFonts w:hint="eastAsia"/>
                <w:lang w:val="en-US"/>
              </w:rPr>
              <w:t>9</w:t>
            </w:r>
          </w:p>
        </w:tc>
        <w:tc>
          <w:tcPr>
            <w:tcW w:w="757" w:type="pct"/>
            <w:shd w:val="clear" w:color="auto" w:fill="auto"/>
            <w:vAlign w:val="center"/>
          </w:tcPr>
          <w:p w14:paraId="519BCC4E">
            <w:pPr>
              <w:pStyle w:val="307"/>
              <w:rPr>
                <w:lang w:val="en-US"/>
              </w:rPr>
            </w:pPr>
            <w:r>
              <w:rPr>
                <w:rFonts w:hint="eastAsia"/>
                <w:lang w:val="en-US"/>
              </w:rPr>
              <w:t>14</w:t>
            </w:r>
          </w:p>
        </w:tc>
        <w:tc>
          <w:tcPr>
            <w:tcW w:w="629" w:type="pct"/>
            <w:shd w:val="clear" w:color="auto" w:fill="auto"/>
            <w:vAlign w:val="center"/>
          </w:tcPr>
          <w:p w14:paraId="60F9A918">
            <w:pPr>
              <w:pStyle w:val="307"/>
              <w:rPr>
                <w:lang w:val="en-US"/>
              </w:rPr>
            </w:pPr>
            <w:r>
              <w:rPr>
                <w:rFonts w:hint="eastAsia"/>
                <w:lang w:val="en-US"/>
              </w:rPr>
              <w:t>0</w:t>
            </w:r>
          </w:p>
        </w:tc>
        <w:tc>
          <w:tcPr>
            <w:tcW w:w="630" w:type="pct"/>
            <w:shd w:val="clear" w:color="auto" w:fill="auto"/>
            <w:vAlign w:val="center"/>
          </w:tcPr>
          <w:p w14:paraId="64D8F8F9">
            <w:pPr>
              <w:pStyle w:val="307"/>
              <w:rPr>
                <w:lang w:val="en-US"/>
              </w:rPr>
            </w:pPr>
            <w:r>
              <w:rPr>
                <w:rFonts w:hint="eastAsia"/>
                <w:lang w:val="en-US"/>
              </w:rPr>
              <w:t>0</w:t>
            </w:r>
          </w:p>
        </w:tc>
        <w:tc>
          <w:tcPr>
            <w:tcW w:w="663" w:type="pct"/>
            <w:shd w:val="clear" w:color="auto" w:fill="auto"/>
            <w:vAlign w:val="center"/>
          </w:tcPr>
          <w:p w14:paraId="72D460F0">
            <w:pPr>
              <w:pStyle w:val="307"/>
              <w:rPr>
                <w:lang w:val="en-US"/>
              </w:rPr>
            </w:pPr>
            <w:r>
              <w:rPr>
                <w:rFonts w:hint="eastAsia"/>
                <w:lang w:val="en-US"/>
              </w:rPr>
              <w:t>3</w:t>
            </w:r>
          </w:p>
        </w:tc>
      </w:tr>
      <w:tr w14:paraId="5A9D2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09" w:type="pct"/>
            <w:shd w:val="clear" w:color="auto" w:fill="auto"/>
            <w:vAlign w:val="center"/>
          </w:tcPr>
          <w:p w14:paraId="54A1E3E7">
            <w:pPr>
              <w:pStyle w:val="307"/>
              <w:rPr>
                <w:lang w:val="en-US"/>
              </w:rPr>
            </w:pPr>
            <w:r>
              <w:rPr>
                <w:rFonts w:hint="eastAsia"/>
                <w:lang w:val="en-US"/>
              </w:rPr>
              <w:t>鸟类</w:t>
            </w:r>
          </w:p>
        </w:tc>
        <w:tc>
          <w:tcPr>
            <w:tcW w:w="756" w:type="pct"/>
            <w:shd w:val="clear" w:color="auto" w:fill="auto"/>
            <w:vAlign w:val="center"/>
          </w:tcPr>
          <w:p w14:paraId="61B0E9E3">
            <w:pPr>
              <w:pStyle w:val="307"/>
              <w:rPr>
                <w:lang w:val="en-US"/>
              </w:rPr>
            </w:pPr>
            <w:r>
              <w:rPr>
                <w:rFonts w:hint="eastAsia"/>
                <w:lang w:val="en-US"/>
              </w:rPr>
              <w:t>15</w:t>
            </w:r>
          </w:p>
        </w:tc>
        <w:tc>
          <w:tcPr>
            <w:tcW w:w="756" w:type="pct"/>
            <w:shd w:val="clear" w:color="auto" w:fill="auto"/>
            <w:vAlign w:val="center"/>
          </w:tcPr>
          <w:p w14:paraId="5B09828E">
            <w:pPr>
              <w:pStyle w:val="307"/>
              <w:rPr>
                <w:lang w:val="en-US"/>
              </w:rPr>
            </w:pPr>
            <w:r>
              <w:rPr>
                <w:rFonts w:hint="eastAsia"/>
                <w:lang w:val="en-US"/>
              </w:rPr>
              <w:t>23</w:t>
            </w:r>
          </w:p>
        </w:tc>
        <w:tc>
          <w:tcPr>
            <w:tcW w:w="757" w:type="pct"/>
            <w:shd w:val="clear" w:color="auto" w:fill="auto"/>
            <w:vAlign w:val="center"/>
          </w:tcPr>
          <w:p w14:paraId="16E25A4E">
            <w:pPr>
              <w:pStyle w:val="307"/>
              <w:rPr>
                <w:lang w:val="en-US"/>
              </w:rPr>
            </w:pPr>
            <w:r>
              <w:rPr>
                <w:rFonts w:hint="eastAsia"/>
                <w:lang w:val="en-US"/>
              </w:rPr>
              <w:t>42</w:t>
            </w:r>
          </w:p>
        </w:tc>
        <w:tc>
          <w:tcPr>
            <w:tcW w:w="629" w:type="pct"/>
            <w:shd w:val="clear" w:color="auto" w:fill="auto"/>
            <w:vAlign w:val="center"/>
          </w:tcPr>
          <w:p w14:paraId="04AF1837">
            <w:pPr>
              <w:pStyle w:val="307"/>
              <w:rPr>
                <w:lang w:val="en-US"/>
              </w:rPr>
            </w:pPr>
            <w:r>
              <w:rPr>
                <w:rFonts w:hint="eastAsia"/>
                <w:lang w:val="en-US"/>
              </w:rPr>
              <w:t>1</w:t>
            </w:r>
          </w:p>
        </w:tc>
        <w:tc>
          <w:tcPr>
            <w:tcW w:w="630" w:type="pct"/>
            <w:shd w:val="clear" w:color="auto" w:fill="auto"/>
            <w:vAlign w:val="center"/>
          </w:tcPr>
          <w:p w14:paraId="4C409A18">
            <w:pPr>
              <w:pStyle w:val="307"/>
              <w:rPr>
                <w:lang w:val="en-US"/>
              </w:rPr>
            </w:pPr>
            <w:r>
              <w:rPr>
                <w:rFonts w:hint="eastAsia"/>
                <w:lang w:val="en-US"/>
              </w:rPr>
              <w:t>3</w:t>
            </w:r>
          </w:p>
        </w:tc>
        <w:tc>
          <w:tcPr>
            <w:tcW w:w="663" w:type="pct"/>
            <w:shd w:val="clear" w:color="auto" w:fill="auto"/>
            <w:vAlign w:val="center"/>
          </w:tcPr>
          <w:p w14:paraId="656479B0">
            <w:pPr>
              <w:pStyle w:val="307"/>
              <w:rPr>
                <w:lang w:val="en-US"/>
              </w:rPr>
            </w:pPr>
            <w:r>
              <w:rPr>
                <w:lang w:val="en-US"/>
              </w:rPr>
              <w:t>17</w:t>
            </w:r>
          </w:p>
        </w:tc>
      </w:tr>
      <w:tr w14:paraId="67004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09" w:type="pct"/>
            <w:shd w:val="clear" w:color="auto" w:fill="auto"/>
            <w:vAlign w:val="center"/>
          </w:tcPr>
          <w:p w14:paraId="5B26B951">
            <w:pPr>
              <w:pStyle w:val="307"/>
              <w:rPr>
                <w:lang w:val="en-US"/>
              </w:rPr>
            </w:pPr>
            <w:r>
              <w:rPr>
                <w:rFonts w:hint="eastAsia"/>
                <w:lang w:val="en-US"/>
              </w:rPr>
              <w:t>爬行类</w:t>
            </w:r>
          </w:p>
        </w:tc>
        <w:tc>
          <w:tcPr>
            <w:tcW w:w="756" w:type="pct"/>
            <w:shd w:val="clear" w:color="auto" w:fill="auto"/>
            <w:vAlign w:val="center"/>
          </w:tcPr>
          <w:p w14:paraId="77A04392">
            <w:pPr>
              <w:pStyle w:val="307"/>
              <w:rPr>
                <w:lang w:val="en-US"/>
              </w:rPr>
            </w:pPr>
            <w:r>
              <w:rPr>
                <w:lang w:val="en-US"/>
              </w:rPr>
              <w:t>2</w:t>
            </w:r>
          </w:p>
        </w:tc>
        <w:tc>
          <w:tcPr>
            <w:tcW w:w="756" w:type="pct"/>
            <w:shd w:val="clear" w:color="auto" w:fill="auto"/>
            <w:vAlign w:val="center"/>
          </w:tcPr>
          <w:p w14:paraId="5A4D2E80">
            <w:pPr>
              <w:pStyle w:val="307"/>
              <w:rPr>
                <w:lang w:val="en-US"/>
              </w:rPr>
            </w:pPr>
            <w:r>
              <w:rPr>
                <w:lang w:val="en-US"/>
              </w:rPr>
              <w:t>5</w:t>
            </w:r>
          </w:p>
        </w:tc>
        <w:tc>
          <w:tcPr>
            <w:tcW w:w="757" w:type="pct"/>
            <w:shd w:val="clear" w:color="auto" w:fill="auto"/>
            <w:vAlign w:val="center"/>
          </w:tcPr>
          <w:p w14:paraId="5DFDC515">
            <w:pPr>
              <w:pStyle w:val="307"/>
              <w:rPr>
                <w:lang w:val="en-US"/>
              </w:rPr>
            </w:pPr>
            <w:r>
              <w:rPr>
                <w:lang w:val="en-US"/>
              </w:rPr>
              <w:t>7</w:t>
            </w:r>
          </w:p>
        </w:tc>
        <w:tc>
          <w:tcPr>
            <w:tcW w:w="629" w:type="pct"/>
            <w:shd w:val="clear" w:color="auto" w:fill="auto"/>
            <w:vAlign w:val="center"/>
          </w:tcPr>
          <w:p w14:paraId="6B7E95A3">
            <w:pPr>
              <w:pStyle w:val="307"/>
              <w:rPr>
                <w:lang w:val="en-US"/>
              </w:rPr>
            </w:pPr>
            <w:r>
              <w:rPr>
                <w:rFonts w:hint="eastAsia"/>
                <w:lang w:val="en-US"/>
              </w:rPr>
              <w:t>0</w:t>
            </w:r>
          </w:p>
        </w:tc>
        <w:tc>
          <w:tcPr>
            <w:tcW w:w="630" w:type="pct"/>
            <w:shd w:val="clear" w:color="auto" w:fill="auto"/>
            <w:vAlign w:val="center"/>
          </w:tcPr>
          <w:p w14:paraId="723F7457">
            <w:pPr>
              <w:pStyle w:val="307"/>
              <w:rPr>
                <w:lang w:val="en-US"/>
              </w:rPr>
            </w:pPr>
            <w:r>
              <w:rPr>
                <w:rFonts w:hint="eastAsia"/>
                <w:lang w:val="en-US"/>
              </w:rPr>
              <w:t>0</w:t>
            </w:r>
          </w:p>
        </w:tc>
        <w:tc>
          <w:tcPr>
            <w:tcW w:w="663" w:type="pct"/>
            <w:shd w:val="clear" w:color="auto" w:fill="auto"/>
            <w:vAlign w:val="center"/>
          </w:tcPr>
          <w:p w14:paraId="075F1DA1">
            <w:pPr>
              <w:pStyle w:val="307"/>
              <w:rPr>
                <w:lang w:val="en-US"/>
              </w:rPr>
            </w:pPr>
            <w:r>
              <w:rPr>
                <w:rFonts w:hint="eastAsia"/>
                <w:lang w:val="en-US"/>
              </w:rPr>
              <w:t>1</w:t>
            </w:r>
          </w:p>
        </w:tc>
      </w:tr>
      <w:tr w14:paraId="0BD7F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09" w:type="pct"/>
            <w:shd w:val="clear" w:color="auto" w:fill="auto"/>
            <w:vAlign w:val="center"/>
          </w:tcPr>
          <w:p w14:paraId="116BDEE4">
            <w:pPr>
              <w:pStyle w:val="307"/>
              <w:rPr>
                <w:lang w:val="en-US"/>
              </w:rPr>
            </w:pPr>
            <w:r>
              <w:rPr>
                <w:rFonts w:hint="eastAsia"/>
                <w:lang w:val="en-US"/>
              </w:rPr>
              <w:t>两栖类</w:t>
            </w:r>
          </w:p>
        </w:tc>
        <w:tc>
          <w:tcPr>
            <w:tcW w:w="756" w:type="pct"/>
            <w:shd w:val="clear" w:color="auto" w:fill="auto"/>
            <w:vAlign w:val="center"/>
          </w:tcPr>
          <w:p w14:paraId="725296BC">
            <w:pPr>
              <w:pStyle w:val="307"/>
              <w:rPr>
                <w:lang w:val="en-US"/>
              </w:rPr>
            </w:pPr>
            <w:r>
              <w:rPr>
                <w:rFonts w:hint="eastAsia"/>
                <w:lang w:val="en-US"/>
              </w:rPr>
              <w:t>1</w:t>
            </w:r>
          </w:p>
        </w:tc>
        <w:tc>
          <w:tcPr>
            <w:tcW w:w="756" w:type="pct"/>
            <w:shd w:val="clear" w:color="auto" w:fill="auto"/>
            <w:vAlign w:val="center"/>
          </w:tcPr>
          <w:p w14:paraId="656D9631">
            <w:pPr>
              <w:pStyle w:val="307"/>
              <w:rPr>
                <w:lang w:val="en-US"/>
              </w:rPr>
            </w:pPr>
            <w:r>
              <w:rPr>
                <w:rFonts w:hint="eastAsia"/>
                <w:lang w:val="en-US"/>
              </w:rPr>
              <w:t>3</w:t>
            </w:r>
          </w:p>
        </w:tc>
        <w:tc>
          <w:tcPr>
            <w:tcW w:w="757" w:type="pct"/>
            <w:shd w:val="clear" w:color="auto" w:fill="auto"/>
            <w:vAlign w:val="center"/>
          </w:tcPr>
          <w:p w14:paraId="3827C538">
            <w:pPr>
              <w:pStyle w:val="307"/>
              <w:rPr>
                <w:lang w:val="en-US"/>
              </w:rPr>
            </w:pPr>
            <w:r>
              <w:rPr>
                <w:rFonts w:hint="eastAsia"/>
                <w:lang w:val="en-US"/>
              </w:rPr>
              <w:t>4</w:t>
            </w:r>
          </w:p>
        </w:tc>
        <w:tc>
          <w:tcPr>
            <w:tcW w:w="629" w:type="pct"/>
            <w:shd w:val="clear" w:color="auto" w:fill="auto"/>
            <w:vAlign w:val="center"/>
          </w:tcPr>
          <w:p w14:paraId="68C5D300">
            <w:pPr>
              <w:pStyle w:val="307"/>
              <w:rPr>
                <w:lang w:val="en-US"/>
              </w:rPr>
            </w:pPr>
            <w:r>
              <w:rPr>
                <w:rFonts w:hint="eastAsia"/>
                <w:lang w:val="en-US"/>
              </w:rPr>
              <w:t>0</w:t>
            </w:r>
          </w:p>
        </w:tc>
        <w:tc>
          <w:tcPr>
            <w:tcW w:w="630" w:type="pct"/>
            <w:shd w:val="clear" w:color="auto" w:fill="auto"/>
            <w:vAlign w:val="center"/>
          </w:tcPr>
          <w:p w14:paraId="083CA927">
            <w:pPr>
              <w:pStyle w:val="307"/>
              <w:rPr>
                <w:lang w:val="en-US"/>
              </w:rPr>
            </w:pPr>
            <w:r>
              <w:rPr>
                <w:rFonts w:hint="eastAsia"/>
                <w:lang w:val="en-US"/>
              </w:rPr>
              <w:t>0</w:t>
            </w:r>
          </w:p>
        </w:tc>
        <w:tc>
          <w:tcPr>
            <w:tcW w:w="663" w:type="pct"/>
            <w:shd w:val="clear" w:color="auto" w:fill="auto"/>
            <w:vAlign w:val="center"/>
          </w:tcPr>
          <w:p w14:paraId="1A320434">
            <w:pPr>
              <w:pStyle w:val="307"/>
              <w:rPr>
                <w:lang w:val="en-US"/>
              </w:rPr>
            </w:pPr>
            <w:r>
              <w:rPr>
                <w:rFonts w:hint="eastAsia"/>
                <w:lang w:val="en-US"/>
              </w:rPr>
              <w:t>0</w:t>
            </w:r>
          </w:p>
        </w:tc>
      </w:tr>
      <w:tr w14:paraId="06B78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09" w:type="pct"/>
            <w:shd w:val="clear" w:color="auto" w:fill="auto"/>
            <w:vAlign w:val="center"/>
          </w:tcPr>
          <w:p w14:paraId="779944E2">
            <w:pPr>
              <w:pStyle w:val="307"/>
              <w:rPr>
                <w:lang w:val="en-US"/>
              </w:rPr>
            </w:pPr>
            <w:r>
              <w:rPr>
                <w:rFonts w:hint="eastAsia"/>
                <w:lang w:val="en-US"/>
              </w:rPr>
              <w:t>合计</w:t>
            </w:r>
          </w:p>
        </w:tc>
        <w:tc>
          <w:tcPr>
            <w:tcW w:w="756" w:type="pct"/>
            <w:shd w:val="clear" w:color="auto" w:fill="auto"/>
            <w:vAlign w:val="center"/>
          </w:tcPr>
          <w:p w14:paraId="4DF49BBF">
            <w:pPr>
              <w:pStyle w:val="307"/>
              <w:rPr>
                <w:lang w:val="en-US"/>
              </w:rPr>
            </w:pPr>
            <w:r>
              <w:rPr>
                <w:lang w:val="en-US"/>
              </w:rPr>
              <w:t>23</w:t>
            </w:r>
          </w:p>
        </w:tc>
        <w:tc>
          <w:tcPr>
            <w:tcW w:w="756" w:type="pct"/>
            <w:shd w:val="clear" w:color="auto" w:fill="auto"/>
            <w:vAlign w:val="center"/>
          </w:tcPr>
          <w:p w14:paraId="3C07BBCA">
            <w:pPr>
              <w:pStyle w:val="307"/>
              <w:rPr>
                <w:lang w:val="en-US"/>
              </w:rPr>
            </w:pPr>
            <w:r>
              <w:rPr>
                <w:lang w:val="en-US"/>
              </w:rPr>
              <w:t>39</w:t>
            </w:r>
          </w:p>
        </w:tc>
        <w:tc>
          <w:tcPr>
            <w:tcW w:w="757" w:type="pct"/>
            <w:shd w:val="clear" w:color="auto" w:fill="auto"/>
            <w:vAlign w:val="center"/>
          </w:tcPr>
          <w:p w14:paraId="0FBC0037">
            <w:pPr>
              <w:pStyle w:val="307"/>
              <w:rPr>
                <w:lang w:val="en-US"/>
              </w:rPr>
            </w:pPr>
            <w:r>
              <w:rPr>
                <w:lang w:val="en-US"/>
              </w:rPr>
              <w:t>66</w:t>
            </w:r>
          </w:p>
        </w:tc>
        <w:tc>
          <w:tcPr>
            <w:tcW w:w="629" w:type="pct"/>
            <w:shd w:val="clear" w:color="auto" w:fill="auto"/>
            <w:vAlign w:val="center"/>
          </w:tcPr>
          <w:p w14:paraId="3A60EA90">
            <w:pPr>
              <w:pStyle w:val="307"/>
              <w:rPr>
                <w:lang w:val="en-US"/>
              </w:rPr>
            </w:pPr>
            <w:r>
              <w:rPr>
                <w:rFonts w:hint="eastAsia"/>
                <w:lang w:val="en-US"/>
              </w:rPr>
              <w:t>1</w:t>
            </w:r>
          </w:p>
        </w:tc>
        <w:tc>
          <w:tcPr>
            <w:tcW w:w="630" w:type="pct"/>
            <w:shd w:val="clear" w:color="auto" w:fill="auto"/>
            <w:vAlign w:val="center"/>
          </w:tcPr>
          <w:p w14:paraId="33137313">
            <w:pPr>
              <w:pStyle w:val="307"/>
              <w:rPr>
                <w:lang w:val="en-US"/>
              </w:rPr>
            </w:pPr>
            <w:r>
              <w:rPr>
                <w:rFonts w:hint="eastAsia"/>
                <w:lang w:val="en-US"/>
              </w:rPr>
              <w:t>3</w:t>
            </w:r>
          </w:p>
        </w:tc>
        <w:tc>
          <w:tcPr>
            <w:tcW w:w="663" w:type="pct"/>
            <w:shd w:val="clear" w:color="auto" w:fill="auto"/>
            <w:vAlign w:val="center"/>
          </w:tcPr>
          <w:p w14:paraId="0C3274CD">
            <w:pPr>
              <w:pStyle w:val="307"/>
              <w:rPr>
                <w:lang w:val="en-US"/>
              </w:rPr>
            </w:pPr>
            <w:r>
              <w:rPr>
                <w:lang w:val="en-US"/>
              </w:rPr>
              <w:t>22</w:t>
            </w:r>
          </w:p>
        </w:tc>
      </w:tr>
    </w:tbl>
    <w:p w14:paraId="49F21C45">
      <w:pPr>
        <w:pStyle w:val="85"/>
        <w:ind w:firstLine="480"/>
        <w:rPr>
          <w:kern w:val="0"/>
        </w:rPr>
      </w:pPr>
      <w:r>
        <w:rPr>
          <w:rFonts w:hint="eastAsia"/>
          <w:kern w:val="0"/>
        </w:rPr>
        <w:t>（1）哺乳类</w:t>
      </w:r>
    </w:p>
    <w:p w14:paraId="68335EED">
      <w:pPr>
        <w:pStyle w:val="85"/>
        <w:ind w:firstLine="480"/>
        <w:rPr>
          <w:kern w:val="0"/>
        </w:rPr>
      </w:pPr>
      <w:r>
        <w:rPr>
          <w:rFonts w:hint="eastAsia"/>
          <w:kern w:val="0"/>
        </w:rPr>
        <w:t>评价范围内哺乳类共有6目9科14种。其中，以啮齿目最多，共有8种，占评价范围内哺乳类总数的57.14%。评价范围内无国家重点保护野生动物，有河北省级重点保护野生动物哺乳类4 种：狍、东北刺猬、黄鼬和岩松鼠。在评价范围内，东北刺猬和小家鼠为优势种，数量相对较多。</w:t>
      </w:r>
    </w:p>
    <w:p w14:paraId="15CD9E77">
      <w:pPr>
        <w:pStyle w:val="85"/>
        <w:ind w:firstLine="480"/>
        <w:rPr>
          <w:kern w:val="0"/>
        </w:rPr>
      </w:pPr>
      <w:r>
        <w:rPr>
          <w:rFonts w:hint="eastAsia"/>
          <w:kern w:val="0"/>
        </w:rPr>
        <w:t>（2）鸟类</w:t>
      </w:r>
    </w:p>
    <w:p w14:paraId="0C44F215">
      <w:pPr>
        <w:pStyle w:val="85"/>
        <w:ind w:firstLine="480"/>
        <w:rPr>
          <w:kern w:val="0"/>
        </w:rPr>
      </w:pPr>
      <w:r>
        <w:rPr>
          <w:kern w:val="0"/>
        </w:rPr>
        <w:fldChar w:fldCharType="begin"/>
      </w:r>
      <w:r>
        <w:rPr>
          <w:kern w:val="0"/>
        </w:rPr>
        <w:instrText xml:space="preserve"> </w:instrText>
      </w:r>
      <w:r>
        <w:rPr>
          <w:rFonts w:hint="eastAsia"/>
          <w:kern w:val="0"/>
        </w:rPr>
        <w:instrText xml:space="preserve">= 1 \* GB3</w:instrText>
      </w:r>
      <w:r>
        <w:rPr>
          <w:kern w:val="0"/>
        </w:rPr>
        <w:instrText xml:space="preserve"> </w:instrText>
      </w:r>
      <w:r>
        <w:rPr>
          <w:kern w:val="0"/>
        </w:rPr>
        <w:fldChar w:fldCharType="separate"/>
      </w:r>
      <w:r>
        <w:rPr>
          <w:rFonts w:hint="eastAsia"/>
          <w:kern w:val="0"/>
        </w:rPr>
        <w:t>①</w:t>
      </w:r>
      <w:r>
        <w:rPr>
          <w:kern w:val="0"/>
        </w:rPr>
        <w:fldChar w:fldCharType="end"/>
      </w:r>
      <w:r>
        <w:rPr>
          <w:rFonts w:hint="eastAsia"/>
          <w:kern w:val="0"/>
        </w:rPr>
        <w:t>种类、数量及分布</w:t>
      </w:r>
    </w:p>
    <w:p w14:paraId="4C07C19B">
      <w:pPr>
        <w:pStyle w:val="85"/>
        <w:ind w:firstLine="480"/>
        <w:rPr>
          <w:kern w:val="0"/>
        </w:rPr>
      </w:pPr>
      <w:r>
        <w:rPr>
          <w:rFonts w:hint="eastAsia"/>
          <w:kern w:val="0"/>
        </w:rPr>
        <w:t>评价范围内鸟类共有15目23科42种。其中，以雀形目鸟类最多，共14种，占评价范围内鸟类总数的33.33%。评价区有国家一级保护鸟类1种黑鹳；有国家二级保护鸟类3种，分别为：雀鹰、红脚隼和灰背隼等；有河北省级重点保护野生鸟类</w:t>
      </w:r>
      <w:r>
        <w:rPr>
          <w:kern w:val="0"/>
        </w:rPr>
        <w:t>17</w:t>
      </w:r>
      <w:r>
        <w:rPr>
          <w:rFonts w:hint="eastAsia"/>
          <w:kern w:val="0"/>
        </w:rPr>
        <w:t>种，包括白鹭、白腰雨燕、大白鹭、大斑啄木鸟、大杜鹃、灰头绿啄木鸟、绿翅鸭、翘鼻麻鸭和石鸡等。鸟类中山斑鸠、喜鹊、麻雀等为评价范围内的优势种，数量较多。</w:t>
      </w:r>
    </w:p>
    <w:p w14:paraId="609B3711">
      <w:pPr>
        <w:pStyle w:val="229"/>
      </w:pPr>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t>22</w:t>
      </w:r>
      <w:r>
        <w:fldChar w:fldCharType="end"/>
      </w:r>
      <w:r>
        <w:t xml:space="preserve">  </w:t>
      </w:r>
      <w:r>
        <w:rPr>
          <w:rFonts w:hint="eastAsia"/>
        </w:rPr>
        <w:t>鸟类调查情况统计表</w:t>
      </w:r>
    </w:p>
    <w:tbl>
      <w:tblPr>
        <w:tblStyle w:val="63"/>
        <w:tblW w:w="5000" w:type="pct"/>
        <w:tblInd w:w="0" w:type="dxa"/>
        <w:tblLayout w:type="fixed"/>
        <w:tblCellMar>
          <w:top w:w="0" w:type="dxa"/>
          <w:left w:w="108" w:type="dxa"/>
          <w:bottom w:w="0" w:type="dxa"/>
          <w:right w:w="108" w:type="dxa"/>
        </w:tblCellMar>
      </w:tblPr>
      <w:tblGrid>
        <w:gridCol w:w="493"/>
        <w:gridCol w:w="1269"/>
        <w:gridCol w:w="1119"/>
        <w:gridCol w:w="2338"/>
        <w:gridCol w:w="669"/>
        <w:gridCol w:w="1118"/>
        <w:gridCol w:w="553"/>
        <w:gridCol w:w="971"/>
      </w:tblGrid>
      <w:tr w14:paraId="7F0CDDBB">
        <w:tblPrEx>
          <w:tblCellMar>
            <w:top w:w="0" w:type="dxa"/>
            <w:left w:w="108" w:type="dxa"/>
            <w:bottom w:w="0" w:type="dxa"/>
            <w:right w:w="108" w:type="dxa"/>
          </w:tblCellMar>
        </w:tblPrEx>
        <w:trPr>
          <w:trHeight w:val="288" w:hRule="atLeast"/>
          <w:tblHeader/>
        </w:trPr>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C6643">
            <w:pPr>
              <w:pStyle w:val="307"/>
              <w:rPr>
                <w:szCs w:val="21"/>
                <w:lang w:val="en-US"/>
              </w:rPr>
            </w:pPr>
            <w:r>
              <w:rPr>
                <w:rFonts w:hint="eastAsia"/>
                <w:szCs w:val="21"/>
                <w:lang w:val="en-US"/>
              </w:rPr>
              <w:t>序号</w:t>
            </w:r>
          </w:p>
        </w:tc>
        <w:tc>
          <w:tcPr>
            <w:tcW w:w="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BDF13">
            <w:pPr>
              <w:pStyle w:val="307"/>
              <w:rPr>
                <w:szCs w:val="21"/>
                <w:lang w:val="en-US"/>
              </w:rPr>
            </w:pPr>
            <w:r>
              <w:rPr>
                <w:rFonts w:hint="eastAsia"/>
                <w:szCs w:val="21"/>
                <w:lang w:val="en-US"/>
              </w:rPr>
              <w:t>目</w:t>
            </w:r>
          </w:p>
        </w:tc>
        <w:tc>
          <w:tcPr>
            <w:tcW w:w="6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9A15C">
            <w:pPr>
              <w:pStyle w:val="307"/>
              <w:rPr>
                <w:szCs w:val="21"/>
                <w:lang w:val="en-US"/>
              </w:rPr>
            </w:pPr>
            <w:r>
              <w:rPr>
                <w:rFonts w:hint="eastAsia"/>
                <w:szCs w:val="21"/>
                <w:lang w:val="en-US"/>
              </w:rPr>
              <w:t>科</w:t>
            </w:r>
          </w:p>
        </w:tc>
        <w:tc>
          <w:tcPr>
            <w:tcW w:w="1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02EDF">
            <w:pPr>
              <w:pStyle w:val="307"/>
              <w:rPr>
                <w:szCs w:val="21"/>
                <w:lang w:val="en-US"/>
              </w:rPr>
            </w:pPr>
            <w:r>
              <w:rPr>
                <w:rFonts w:hint="eastAsia"/>
                <w:szCs w:val="21"/>
                <w:lang w:val="en-US"/>
              </w:rPr>
              <w:t>物种（中文名</w:t>
            </w:r>
            <w:r>
              <w:rPr>
                <w:szCs w:val="21"/>
                <w:lang w:val="en-US"/>
              </w:rPr>
              <w:t>/</w:t>
            </w:r>
            <w:r>
              <w:rPr>
                <w:rFonts w:hint="eastAsia"/>
                <w:szCs w:val="21"/>
                <w:lang w:val="en-US"/>
              </w:rPr>
              <w:t>拉丁名）</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302CB">
            <w:pPr>
              <w:pStyle w:val="307"/>
              <w:rPr>
                <w:szCs w:val="21"/>
                <w:lang w:val="en-US"/>
              </w:rPr>
            </w:pPr>
            <w:r>
              <w:rPr>
                <w:rFonts w:hint="eastAsia"/>
                <w:szCs w:val="21"/>
                <w:lang w:val="en-US"/>
              </w:rPr>
              <w:t>居留型</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F0128">
            <w:pPr>
              <w:pStyle w:val="307"/>
              <w:rPr>
                <w:szCs w:val="21"/>
                <w:lang w:val="en-US"/>
              </w:rPr>
            </w:pPr>
            <w:r>
              <w:rPr>
                <w:rFonts w:hint="eastAsia"/>
                <w:szCs w:val="21"/>
                <w:lang w:val="en-US"/>
              </w:rPr>
              <w:t>生境</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C4C72">
            <w:pPr>
              <w:pStyle w:val="307"/>
              <w:rPr>
                <w:szCs w:val="21"/>
                <w:lang w:val="en-US"/>
              </w:rPr>
            </w:pPr>
            <w:r>
              <w:rPr>
                <w:rFonts w:hint="eastAsia"/>
                <w:szCs w:val="21"/>
                <w:lang w:val="en-US"/>
              </w:rPr>
              <w:t>数量</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DA76D">
            <w:pPr>
              <w:pStyle w:val="307"/>
              <w:rPr>
                <w:szCs w:val="21"/>
                <w:lang w:val="en-US"/>
              </w:rPr>
            </w:pPr>
            <w:r>
              <w:rPr>
                <w:rFonts w:hint="eastAsia"/>
                <w:szCs w:val="21"/>
                <w:lang w:val="en-US"/>
              </w:rPr>
              <w:t>来源</w:t>
            </w:r>
          </w:p>
        </w:tc>
      </w:tr>
      <w:tr w14:paraId="3FD3BBDF">
        <w:tblPrEx>
          <w:tblCellMar>
            <w:top w:w="0" w:type="dxa"/>
            <w:left w:w="108" w:type="dxa"/>
            <w:bottom w:w="0" w:type="dxa"/>
            <w:right w:w="108" w:type="dxa"/>
          </w:tblCellMar>
        </w:tblPrEx>
        <w:trPr>
          <w:trHeight w:val="84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346AC">
            <w:pPr>
              <w:pStyle w:val="307"/>
              <w:rPr>
                <w:szCs w:val="21"/>
                <w:lang w:val="en-US"/>
              </w:rPr>
            </w:pPr>
            <w:r>
              <w:rPr>
                <w:szCs w:val="21"/>
                <w:lang w:val="en-US"/>
              </w:rPr>
              <w:t>1</w:t>
            </w:r>
          </w:p>
        </w:tc>
        <w:tc>
          <w:tcPr>
            <w:tcW w:w="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AF227">
            <w:pPr>
              <w:pStyle w:val="307"/>
              <w:rPr>
                <w:szCs w:val="21"/>
                <w:lang w:val="en-US"/>
              </w:rPr>
            </w:pPr>
            <w:r>
              <w:rPr>
                <w:rFonts w:hint="eastAsia"/>
                <w:szCs w:val="21"/>
                <w:lang w:val="en-US"/>
              </w:rPr>
              <w:t>鹰形目</w:t>
            </w:r>
            <w:r>
              <w:rPr>
                <w:szCs w:val="21"/>
                <w:lang w:val="en-US"/>
              </w:rPr>
              <w:t>ACCIPITRIFORMES</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88874">
            <w:pPr>
              <w:pStyle w:val="307"/>
              <w:rPr>
                <w:szCs w:val="21"/>
                <w:lang w:val="en-US"/>
              </w:rPr>
            </w:pPr>
            <w:r>
              <w:rPr>
                <w:rFonts w:hint="eastAsia"/>
                <w:szCs w:val="21"/>
                <w:lang w:val="en-US"/>
              </w:rPr>
              <w:t>鹰科</w:t>
            </w:r>
            <w:r>
              <w:rPr>
                <w:i/>
                <w:iCs/>
                <w:szCs w:val="21"/>
                <w:lang w:val="en-US"/>
              </w:rPr>
              <w:t>Accipitridae</w:t>
            </w: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78C28">
            <w:pPr>
              <w:pStyle w:val="307"/>
              <w:rPr>
                <w:szCs w:val="21"/>
                <w:lang w:val="en-US"/>
              </w:rPr>
            </w:pPr>
            <w:r>
              <w:rPr>
                <w:rFonts w:hint="eastAsia"/>
                <w:szCs w:val="21"/>
                <w:lang w:val="en-US"/>
              </w:rPr>
              <w:t>雀鹰</w:t>
            </w:r>
            <w:r>
              <w:rPr>
                <w:i/>
                <w:iCs/>
                <w:szCs w:val="21"/>
                <w:lang w:val="en-US"/>
              </w:rPr>
              <w:t>Accipiter</w:t>
            </w:r>
            <w:r>
              <w:rPr>
                <w:szCs w:val="21"/>
                <w:lang w:val="en-US"/>
              </w:rPr>
              <w:t xml:space="preserve"> </w:t>
            </w:r>
            <w:r>
              <w:rPr>
                <w:i/>
                <w:iCs/>
                <w:szCs w:val="21"/>
                <w:lang w:val="en-US"/>
              </w:rPr>
              <w:t>nisus</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88EFB">
            <w:pPr>
              <w:pStyle w:val="307"/>
              <w:rPr>
                <w:szCs w:val="21"/>
                <w:lang w:val="en-US"/>
              </w:rPr>
            </w:pPr>
            <w:r>
              <w:rPr>
                <w:szCs w:val="21"/>
                <w:lang w:val="en-US"/>
              </w:rPr>
              <w:t>R</w:t>
            </w:r>
            <w:r>
              <w:rPr>
                <w:rFonts w:hint="eastAsia"/>
                <w:szCs w:val="21"/>
                <w:lang w:val="en-US"/>
              </w:rPr>
              <w:t>，</w:t>
            </w:r>
            <w:r>
              <w:rPr>
                <w:szCs w:val="21"/>
                <w:lang w:val="en-US"/>
              </w:rPr>
              <w:t>S</w:t>
            </w:r>
            <w:r>
              <w:rPr>
                <w:rFonts w:hint="eastAsia"/>
                <w:szCs w:val="21"/>
                <w:lang w:val="en-US"/>
              </w:rPr>
              <w:t>，</w:t>
            </w:r>
            <w:r>
              <w:rPr>
                <w:szCs w:val="21"/>
                <w:lang w:val="en-US"/>
              </w:rPr>
              <w:t>P</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212B7">
            <w:pPr>
              <w:pStyle w:val="307"/>
              <w:rPr>
                <w:szCs w:val="21"/>
                <w:lang w:val="en-US"/>
              </w:rPr>
            </w:pPr>
            <w:r>
              <w:rPr>
                <w:rFonts w:hint="eastAsia"/>
                <w:szCs w:val="21"/>
                <w:lang w:val="en-US"/>
              </w:rPr>
              <w:t>乔木林</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4E705">
            <w:pPr>
              <w:pStyle w:val="307"/>
              <w:rPr>
                <w:szCs w:val="21"/>
                <w:lang w:val="en-US"/>
              </w:rPr>
            </w:pPr>
            <w:r>
              <w:rPr>
                <w:szCs w:val="21"/>
                <w:lang w:val="en-US"/>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FA46D">
            <w:pPr>
              <w:pStyle w:val="307"/>
              <w:rPr>
                <w:szCs w:val="21"/>
                <w:lang w:val="en-US"/>
              </w:rPr>
            </w:pPr>
            <w:r>
              <w:rPr>
                <w:rFonts w:hint="eastAsia"/>
                <w:szCs w:val="21"/>
                <w:lang w:val="en-US"/>
              </w:rPr>
              <w:t>访问资料</w:t>
            </w:r>
          </w:p>
        </w:tc>
      </w:tr>
      <w:tr w14:paraId="5BF3E6A0">
        <w:tblPrEx>
          <w:tblCellMar>
            <w:top w:w="0" w:type="dxa"/>
            <w:left w:w="108" w:type="dxa"/>
            <w:bottom w:w="0" w:type="dxa"/>
            <w:right w:w="108" w:type="dxa"/>
          </w:tblCellMar>
        </w:tblPrEx>
        <w:trPr>
          <w:trHeight w:val="288"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B1E6C">
            <w:pPr>
              <w:pStyle w:val="307"/>
              <w:rPr>
                <w:szCs w:val="21"/>
                <w:lang w:val="en-US"/>
              </w:rPr>
            </w:pPr>
            <w:r>
              <w:rPr>
                <w:szCs w:val="21"/>
                <w:lang w:val="en-US"/>
              </w:rPr>
              <w:t>2</w:t>
            </w:r>
          </w:p>
        </w:tc>
        <w:tc>
          <w:tcPr>
            <w:tcW w:w="7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2AE8DB">
            <w:pPr>
              <w:pStyle w:val="307"/>
              <w:rPr>
                <w:szCs w:val="21"/>
                <w:lang w:val="en-US"/>
              </w:rPr>
            </w:pPr>
            <w:r>
              <w:rPr>
                <w:rFonts w:hint="eastAsia"/>
                <w:szCs w:val="21"/>
                <w:lang w:val="en-US"/>
              </w:rPr>
              <w:t>雁形目</w:t>
            </w:r>
            <w:r>
              <w:rPr>
                <w:szCs w:val="21"/>
                <w:lang w:val="en-US"/>
              </w:rPr>
              <w:t>ANSERIFORMES</w:t>
            </w:r>
          </w:p>
        </w:tc>
        <w:tc>
          <w:tcPr>
            <w:tcW w:w="6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3E850">
            <w:pPr>
              <w:pStyle w:val="307"/>
              <w:rPr>
                <w:szCs w:val="21"/>
                <w:lang w:val="en-US"/>
              </w:rPr>
            </w:pPr>
            <w:r>
              <w:rPr>
                <w:rFonts w:hint="eastAsia"/>
                <w:szCs w:val="21"/>
                <w:lang w:val="en-US"/>
              </w:rPr>
              <w:t>鸭科</w:t>
            </w:r>
            <w:r>
              <w:rPr>
                <w:i/>
                <w:iCs/>
                <w:szCs w:val="21"/>
                <w:lang w:val="en-US"/>
              </w:rPr>
              <w:t>Anatidae</w:t>
            </w: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3F4DD">
            <w:pPr>
              <w:pStyle w:val="307"/>
              <w:rPr>
                <w:szCs w:val="21"/>
                <w:lang w:val="en-US"/>
              </w:rPr>
            </w:pPr>
            <w:r>
              <w:rPr>
                <w:rFonts w:hint="eastAsia"/>
                <w:szCs w:val="21"/>
                <w:lang w:val="en-US"/>
              </w:rPr>
              <w:t>绿翅鸭</w:t>
            </w:r>
            <w:r>
              <w:rPr>
                <w:i/>
                <w:iCs/>
                <w:szCs w:val="21"/>
                <w:lang w:val="en-US"/>
              </w:rPr>
              <w:t>Anas</w:t>
            </w:r>
            <w:r>
              <w:rPr>
                <w:szCs w:val="21"/>
                <w:lang w:val="en-US"/>
              </w:rPr>
              <w:t xml:space="preserve"> </w:t>
            </w:r>
            <w:r>
              <w:rPr>
                <w:i/>
                <w:iCs/>
                <w:szCs w:val="21"/>
                <w:lang w:val="en-US"/>
              </w:rPr>
              <w:t>crecca</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5BE25">
            <w:pPr>
              <w:pStyle w:val="307"/>
              <w:rPr>
                <w:szCs w:val="21"/>
                <w:lang w:val="en-US"/>
              </w:rPr>
            </w:pPr>
            <w:r>
              <w:rPr>
                <w:szCs w:val="21"/>
                <w:lang w:val="en-US"/>
              </w:rPr>
              <w:t>S</w:t>
            </w:r>
            <w:r>
              <w:rPr>
                <w:rFonts w:hint="eastAsia"/>
                <w:szCs w:val="21"/>
                <w:lang w:val="en-US"/>
              </w:rPr>
              <w:t>，</w:t>
            </w:r>
            <w:r>
              <w:rPr>
                <w:szCs w:val="21"/>
                <w:lang w:val="en-US"/>
              </w:rPr>
              <w:t>P</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C4EA9">
            <w:pPr>
              <w:pStyle w:val="307"/>
              <w:rPr>
                <w:szCs w:val="21"/>
                <w:lang w:val="en-US"/>
              </w:rPr>
            </w:pPr>
            <w:r>
              <w:rPr>
                <w:rFonts w:hint="eastAsia"/>
                <w:szCs w:val="21"/>
                <w:lang w:val="en-US"/>
              </w:rPr>
              <w:t>湿地</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26C3A">
            <w:pPr>
              <w:pStyle w:val="307"/>
              <w:rPr>
                <w:szCs w:val="21"/>
                <w:lang w:val="en-US"/>
              </w:rPr>
            </w:pPr>
            <w:r>
              <w:rPr>
                <w:szCs w:val="21"/>
                <w:lang w:val="en-US"/>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EEE2D">
            <w:pPr>
              <w:pStyle w:val="307"/>
              <w:rPr>
                <w:szCs w:val="21"/>
                <w:lang w:val="en-US"/>
              </w:rPr>
            </w:pPr>
            <w:r>
              <w:rPr>
                <w:rFonts w:hint="eastAsia"/>
                <w:szCs w:val="21"/>
                <w:lang w:val="en-US"/>
              </w:rPr>
              <w:t>访问资料</w:t>
            </w:r>
          </w:p>
        </w:tc>
      </w:tr>
      <w:tr w14:paraId="7E10DE76">
        <w:tblPrEx>
          <w:tblCellMar>
            <w:top w:w="0" w:type="dxa"/>
            <w:left w:w="108" w:type="dxa"/>
            <w:bottom w:w="0" w:type="dxa"/>
            <w:right w:w="108" w:type="dxa"/>
          </w:tblCellMar>
        </w:tblPrEx>
        <w:trPr>
          <w:trHeight w:val="288"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35D65">
            <w:pPr>
              <w:pStyle w:val="307"/>
              <w:rPr>
                <w:szCs w:val="21"/>
                <w:lang w:val="en-US"/>
              </w:rPr>
            </w:pPr>
            <w:r>
              <w:rPr>
                <w:szCs w:val="21"/>
                <w:lang w:val="en-US"/>
              </w:rPr>
              <w:t>3</w:t>
            </w:r>
          </w:p>
        </w:tc>
        <w:tc>
          <w:tcPr>
            <w:tcW w:w="7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82BA4A">
            <w:pPr>
              <w:pStyle w:val="307"/>
              <w:rPr>
                <w:szCs w:val="21"/>
                <w:lang w:val="en-US"/>
              </w:rPr>
            </w:pPr>
          </w:p>
        </w:tc>
        <w:tc>
          <w:tcPr>
            <w:tcW w:w="6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19779">
            <w:pPr>
              <w:pStyle w:val="307"/>
              <w:rPr>
                <w:szCs w:val="21"/>
                <w:lang w:val="en-US"/>
              </w:rPr>
            </w:pP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D010F">
            <w:pPr>
              <w:pStyle w:val="307"/>
              <w:rPr>
                <w:szCs w:val="21"/>
                <w:lang w:val="en-US"/>
              </w:rPr>
            </w:pPr>
            <w:r>
              <w:rPr>
                <w:rFonts w:hint="eastAsia"/>
                <w:szCs w:val="21"/>
                <w:lang w:val="en-US"/>
              </w:rPr>
              <w:t>豆雁</w:t>
            </w:r>
            <w:r>
              <w:rPr>
                <w:i/>
                <w:iCs/>
                <w:szCs w:val="21"/>
                <w:lang w:val="en-US"/>
              </w:rPr>
              <w:t>Anser</w:t>
            </w:r>
            <w:r>
              <w:rPr>
                <w:szCs w:val="21"/>
                <w:lang w:val="en-US"/>
              </w:rPr>
              <w:t xml:space="preserve"> </w:t>
            </w:r>
            <w:r>
              <w:rPr>
                <w:i/>
                <w:iCs/>
                <w:szCs w:val="21"/>
                <w:lang w:val="en-US"/>
              </w:rPr>
              <w:t>fabalis</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E58EB">
            <w:pPr>
              <w:pStyle w:val="307"/>
              <w:rPr>
                <w:szCs w:val="21"/>
                <w:lang w:val="en-US"/>
              </w:rPr>
            </w:pPr>
            <w:r>
              <w:rPr>
                <w:szCs w:val="21"/>
                <w:lang w:val="en-US"/>
              </w:rPr>
              <w:t xml:space="preserve"> P</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5F940">
            <w:pPr>
              <w:pStyle w:val="307"/>
              <w:rPr>
                <w:szCs w:val="21"/>
                <w:lang w:val="en-US"/>
              </w:rPr>
            </w:pPr>
            <w:r>
              <w:rPr>
                <w:rFonts w:hint="eastAsia"/>
                <w:szCs w:val="21"/>
                <w:lang w:val="en-US"/>
              </w:rPr>
              <w:t>林地、农田、湿地</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7E9D7">
            <w:pPr>
              <w:pStyle w:val="307"/>
              <w:rPr>
                <w:szCs w:val="21"/>
                <w:lang w:val="en-US"/>
              </w:rPr>
            </w:pPr>
            <w:r>
              <w:rPr>
                <w:szCs w:val="21"/>
                <w:lang w:val="en-US"/>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28B90">
            <w:pPr>
              <w:pStyle w:val="307"/>
              <w:rPr>
                <w:szCs w:val="21"/>
                <w:lang w:val="en-US"/>
              </w:rPr>
            </w:pPr>
            <w:r>
              <w:rPr>
                <w:rFonts w:hint="eastAsia"/>
                <w:szCs w:val="21"/>
                <w:lang w:val="en-US"/>
              </w:rPr>
              <w:t>访问资料</w:t>
            </w:r>
          </w:p>
        </w:tc>
      </w:tr>
      <w:tr w14:paraId="27F51563">
        <w:tblPrEx>
          <w:tblCellMar>
            <w:top w:w="0" w:type="dxa"/>
            <w:left w:w="108" w:type="dxa"/>
            <w:bottom w:w="0" w:type="dxa"/>
            <w:right w:w="108" w:type="dxa"/>
          </w:tblCellMar>
        </w:tblPrEx>
        <w:trPr>
          <w:trHeight w:val="288"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35C30">
            <w:pPr>
              <w:pStyle w:val="307"/>
              <w:rPr>
                <w:szCs w:val="21"/>
                <w:lang w:val="en-US"/>
              </w:rPr>
            </w:pPr>
            <w:r>
              <w:rPr>
                <w:szCs w:val="21"/>
                <w:lang w:val="en-US"/>
              </w:rPr>
              <w:t>4</w:t>
            </w:r>
          </w:p>
        </w:tc>
        <w:tc>
          <w:tcPr>
            <w:tcW w:w="7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647914">
            <w:pPr>
              <w:pStyle w:val="307"/>
              <w:rPr>
                <w:szCs w:val="21"/>
                <w:lang w:val="en-US"/>
              </w:rPr>
            </w:pPr>
          </w:p>
        </w:tc>
        <w:tc>
          <w:tcPr>
            <w:tcW w:w="6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5AD5C">
            <w:pPr>
              <w:pStyle w:val="307"/>
              <w:rPr>
                <w:szCs w:val="21"/>
                <w:lang w:val="en-US"/>
              </w:rPr>
            </w:pP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88C00">
            <w:pPr>
              <w:pStyle w:val="307"/>
              <w:rPr>
                <w:szCs w:val="21"/>
                <w:lang w:val="en-US"/>
              </w:rPr>
            </w:pPr>
            <w:r>
              <w:rPr>
                <w:rFonts w:hint="eastAsia"/>
                <w:szCs w:val="21"/>
                <w:lang w:val="en-US"/>
              </w:rPr>
              <w:t>赤膀鸭</w:t>
            </w:r>
            <w:r>
              <w:rPr>
                <w:i/>
                <w:iCs/>
                <w:szCs w:val="21"/>
                <w:lang w:val="en-US"/>
              </w:rPr>
              <w:t>Mareca</w:t>
            </w:r>
            <w:r>
              <w:rPr>
                <w:szCs w:val="21"/>
                <w:lang w:val="en-US"/>
              </w:rPr>
              <w:t xml:space="preserve"> </w:t>
            </w:r>
            <w:r>
              <w:rPr>
                <w:i/>
                <w:iCs/>
                <w:szCs w:val="21"/>
                <w:lang w:val="en-US"/>
              </w:rPr>
              <w:t>strepera</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F8CDB">
            <w:pPr>
              <w:pStyle w:val="307"/>
              <w:rPr>
                <w:szCs w:val="21"/>
                <w:lang w:val="en-US"/>
              </w:rPr>
            </w:pPr>
            <w:r>
              <w:rPr>
                <w:szCs w:val="21"/>
                <w:lang w:val="en-US"/>
              </w:rPr>
              <w:t>S, P</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B7184">
            <w:pPr>
              <w:pStyle w:val="307"/>
              <w:rPr>
                <w:szCs w:val="21"/>
                <w:lang w:val="en-US"/>
              </w:rPr>
            </w:pPr>
            <w:r>
              <w:rPr>
                <w:rFonts w:hint="eastAsia"/>
                <w:szCs w:val="21"/>
                <w:lang w:val="en-US"/>
              </w:rPr>
              <w:t>湿地</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ECB7D">
            <w:pPr>
              <w:pStyle w:val="307"/>
              <w:rPr>
                <w:szCs w:val="21"/>
                <w:lang w:val="en-US"/>
              </w:rPr>
            </w:pPr>
            <w:r>
              <w:rPr>
                <w:szCs w:val="21"/>
                <w:lang w:val="en-US"/>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161E2">
            <w:pPr>
              <w:pStyle w:val="307"/>
              <w:rPr>
                <w:szCs w:val="21"/>
                <w:lang w:val="en-US"/>
              </w:rPr>
            </w:pPr>
            <w:r>
              <w:rPr>
                <w:rFonts w:hint="eastAsia"/>
                <w:szCs w:val="21"/>
                <w:lang w:val="en-US"/>
              </w:rPr>
              <w:t>访问资料</w:t>
            </w:r>
          </w:p>
        </w:tc>
      </w:tr>
      <w:tr w14:paraId="2E31F51E">
        <w:tblPrEx>
          <w:tblCellMar>
            <w:top w:w="0" w:type="dxa"/>
            <w:left w:w="108" w:type="dxa"/>
            <w:bottom w:w="0" w:type="dxa"/>
            <w:right w:w="108" w:type="dxa"/>
          </w:tblCellMar>
        </w:tblPrEx>
        <w:trPr>
          <w:trHeight w:val="288"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23B3B">
            <w:pPr>
              <w:pStyle w:val="307"/>
              <w:rPr>
                <w:szCs w:val="21"/>
                <w:lang w:val="en-US"/>
              </w:rPr>
            </w:pPr>
            <w:r>
              <w:rPr>
                <w:szCs w:val="21"/>
                <w:lang w:val="en-US"/>
              </w:rPr>
              <w:t>5</w:t>
            </w:r>
          </w:p>
        </w:tc>
        <w:tc>
          <w:tcPr>
            <w:tcW w:w="7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E6E5C2">
            <w:pPr>
              <w:pStyle w:val="307"/>
              <w:rPr>
                <w:szCs w:val="21"/>
                <w:lang w:val="en-US"/>
              </w:rPr>
            </w:pPr>
          </w:p>
        </w:tc>
        <w:tc>
          <w:tcPr>
            <w:tcW w:w="6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8F41B">
            <w:pPr>
              <w:pStyle w:val="307"/>
              <w:rPr>
                <w:szCs w:val="21"/>
                <w:lang w:val="en-US"/>
              </w:rPr>
            </w:pP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9939B">
            <w:pPr>
              <w:pStyle w:val="307"/>
              <w:rPr>
                <w:szCs w:val="21"/>
                <w:lang w:val="en-US"/>
              </w:rPr>
            </w:pPr>
            <w:r>
              <w:rPr>
                <w:rFonts w:hint="eastAsia"/>
                <w:szCs w:val="21"/>
                <w:lang w:val="en-US"/>
              </w:rPr>
              <w:t>普通秋沙鸭</w:t>
            </w:r>
            <w:r>
              <w:rPr>
                <w:i/>
                <w:iCs/>
                <w:szCs w:val="21"/>
                <w:lang w:val="en-US"/>
              </w:rPr>
              <w:t>Mergus</w:t>
            </w:r>
            <w:r>
              <w:rPr>
                <w:szCs w:val="21"/>
                <w:lang w:val="en-US"/>
              </w:rPr>
              <w:t xml:space="preserve"> </w:t>
            </w:r>
            <w:r>
              <w:rPr>
                <w:i/>
                <w:iCs/>
                <w:szCs w:val="21"/>
                <w:lang w:val="en-US"/>
              </w:rPr>
              <w:t>merganser</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069C3">
            <w:pPr>
              <w:pStyle w:val="307"/>
              <w:rPr>
                <w:szCs w:val="21"/>
                <w:lang w:val="en-US"/>
              </w:rPr>
            </w:pPr>
            <w:r>
              <w:rPr>
                <w:szCs w:val="21"/>
                <w:lang w:val="en-US"/>
              </w:rPr>
              <w:t>S, P</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6507B">
            <w:pPr>
              <w:pStyle w:val="307"/>
              <w:rPr>
                <w:szCs w:val="21"/>
                <w:lang w:val="en-US"/>
              </w:rPr>
            </w:pPr>
            <w:r>
              <w:rPr>
                <w:rFonts w:hint="eastAsia"/>
                <w:szCs w:val="21"/>
                <w:lang w:val="en-US"/>
              </w:rPr>
              <w:t>林地、湿地</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A5514">
            <w:pPr>
              <w:pStyle w:val="307"/>
              <w:rPr>
                <w:szCs w:val="21"/>
                <w:lang w:val="en-US"/>
              </w:rPr>
            </w:pPr>
            <w:r>
              <w:rPr>
                <w:szCs w:val="21"/>
                <w:lang w:val="en-US"/>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EA44C">
            <w:pPr>
              <w:pStyle w:val="307"/>
              <w:rPr>
                <w:szCs w:val="21"/>
                <w:lang w:val="en-US"/>
              </w:rPr>
            </w:pPr>
            <w:r>
              <w:rPr>
                <w:rFonts w:hint="eastAsia"/>
                <w:szCs w:val="21"/>
                <w:lang w:val="en-US"/>
              </w:rPr>
              <w:t>访问资料</w:t>
            </w:r>
          </w:p>
        </w:tc>
      </w:tr>
      <w:tr w14:paraId="7DB8A6B7">
        <w:tblPrEx>
          <w:tblCellMar>
            <w:top w:w="0" w:type="dxa"/>
            <w:left w:w="108" w:type="dxa"/>
            <w:bottom w:w="0" w:type="dxa"/>
            <w:right w:w="108" w:type="dxa"/>
          </w:tblCellMar>
        </w:tblPrEx>
        <w:trPr>
          <w:trHeight w:val="288"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53CF7">
            <w:pPr>
              <w:pStyle w:val="307"/>
              <w:rPr>
                <w:szCs w:val="21"/>
                <w:lang w:val="en-US"/>
              </w:rPr>
            </w:pPr>
            <w:r>
              <w:rPr>
                <w:szCs w:val="21"/>
                <w:lang w:val="en-US"/>
              </w:rPr>
              <w:t>6</w:t>
            </w:r>
          </w:p>
        </w:tc>
        <w:tc>
          <w:tcPr>
            <w:tcW w:w="7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50AAFE">
            <w:pPr>
              <w:pStyle w:val="307"/>
              <w:rPr>
                <w:szCs w:val="21"/>
                <w:lang w:val="en-US"/>
              </w:rPr>
            </w:pPr>
          </w:p>
        </w:tc>
        <w:tc>
          <w:tcPr>
            <w:tcW w:w="6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CB541">
            <w:pPr>
              <w:pStyle w:val="307"/>
              <w:rPr>
                <w:szCs w:val="21"/>
                <w:lang w:val="en-US"/>
              </w:rPr>
            </w:pP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25681">
            <w:pPr>
              <w:pStyle w:val="307"/>
              <w:rPr>
                <w:szCs w:val="21"/>
                <w:lang w:val="en-US"/>
              </w:rPr>
            </w:pPr>
            <w:r>
              <w:rPr>
                <w:rFonts w:hint="eastAsia"/>
                <w:szCs w:val="21"/>
                <w:lang w:val="en-US"/>
              </w:rPr>
              <w:t>赤麻鸭</w:t>
            </w:r>
            <w:r>
              <w:rPr>
                <w:i/>
                <w:iCs/>
                <w:szCs w:val="21"/>
                <w:lang w:val="en-US"/>
              </w:rPr>
              <w:t>Tadorna</w:t>
            </w:r>
            <w:r>
              <w:rPr>
                <w:szCs w:val="21"/>
                <w:lang w:val="en-US"/>
              </w:rPr>
              <w:t xml:space="preserve"> </w:t>
            </w:r>
            <w:r>
              <w:rPr>
                <w:i/>
                <w:iCs/>
                <w:szCs w:val="21"/>
                <w:lang w:val="en-US"/>
              </w:rPr>
              <w:t>ferruginea</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D6F2C">
            <w:pPr>
              <w:pStyle w:val="307"/>
              <w:rPr>
                <w:szCs w:val="21"/>
                <w:lang w:val="en-US"/>
              </w:rPr>
            </w:pPr>
            <w:r>
              <w:rPr>
                <w:szCs w:val="21"/>
                <w:lang w:val="en-US"/>
              </w:rPr>
              <w:t>S, P</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EE2CC">
            <w:pPr>
              <w:pStyle w:val="307"/>
              <w:rPr>
                <w:szCs w:val="21"/>
                <w:lang w:val="en-US"/>
              </w:rPr>
            </w:pPr>
            <w:r>
              <w:rPr>
                <w:rFonts w:hint="eastAsia"/>
                <w:szCs w:val="21"/>
                <w:lang w:val="en-US"/>
              </w:rPr>
              <w:t>湿地</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F70AB">
            <w:pPr>
              <w:pStyle w:val="307"/>
              <w:rPr>
                <w:szCs w:val="21"/>
                <w:lang w:val="en-US"/>
              </w:rPr>
            </w:pPr>
            <w:r>
              <w:rPr>
                <w:szCs w:val="21"/>
                <w:lang w:val="en-US"/>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231AD">
            <w:pPr>
              <w:pStyle w:val="307"/>
              <w:rPr>
                <w:szCs w:val="21"/>
                <w:lang w:val="en-US"/>
              </w:rPr>
            </w:pPr>
            <w:r>
              <w:rPr>
                <w:rFonts w:hint="eastAsia"/>
                <w:szCs w:val="21"/>
                <w:lang w:val="en-US"/>
              </w:rPr>
              <w:t>访问资料</w:t>
            </w:r>
          </w:p>
        </w:tc>
      </w:tr>
      <w:tr w14:paraId="0993D25F">
        <w:tblPrEx>
          <w:tblCellMar>
            <w:top w:w="0" w:type="dxa"/>
            <w:left w:w="108" w:type="dxa"/>
            <w:bottom w:w="0" w:type="dxa"/>
            <w:right w:w="108" w:type="dxa"/>
          </w:tblCellMar>
        </w:tblPrEx>
        <w:trPr>
          <w:trHeight w:val="288"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0B7C3">
            <w:pPr>
              <w:pStyle w:val="307"/>
              <w:rPr>
                <w:szCs w:val="21"/>
                <w:lang w:val="en-US"/>
              </w:rPr>
            </w:pPr>
            <w:r>
              <w:rPr>
                <w:szCs w:val="21"/>
                <w:lang w:val="en-US"/>
              </w:rPr>
              <w:t>7</w:t>
            </w:r>
          </w:p>
        </w:tc>
        <w:tc>
          <w:tcPr>
            <w:tcW w:w="7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F6824A">
            <w:pPr>
              <w:pStyle w:val="307"/>
              <w:rPr>
                <w:szCs w:val="21"/>
                <w:lang w:val="en-US"/>
              </w:rPr>
            </w:pPr>
          </w:p>
        </w:tc>
        <w:tc>
          <w:tcPr>
            <w:tcW w:w="6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1318A">
            <w:pPr>
              <w:pStyle w:val="307"/>
              <w:rPr>
                <w:szCs w:val="21"/>
                <w:lang w:val="en-US"/>
              </w:rPr>
            </w:pP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6611C">
            <w:pPr>
              <w:pStyle w:val="307"/>
              <w:rPr>
                <w:szCs w:val="21"/>
                <w:lang w:val="en-US"/>
              </w:rPr>
            </w:pPr>
            <w:r>
              <w:rPr>
                <w:rFonts w:hint="eastAsia"/>
                <w:szCs w:val="21"/>
                <w:lang w:val="en-US"/>
              </w:rPr>
              <w:t>翘鼻麻鸭</w:t>
            </w:r>
            <w:r>
              <w:rPr>
                <w:i/>
                <w:iCs/>
                <w:szCs w:val="21"/>
                <w:lang w:val="en-US"/>
              </w:rPr>
              <w:t>Tadorna</w:t>
            </w:r>
            <w:r>
              <w:rPr>
                <w:szCs w:val="21"/>
                <w:lang w:val="en-US"/>
              </w:rPr>
              <w:t xml:space="preserve"> </w:t>
            </w:r>
            <w:r>
              <w:rPr>
                <w:i/>
                <w:iCs/>
                <w:szCs w:val="21"/>
                <w:lang w:val="en-US"/>
              </w:rPr>
              <w:t>tadorna</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8512E">
            <w:pPr>
              <w:pStyle w:val="307"/>
              <w:rPr>
                <w:szCs w:val="21"/>
                <w:lang w:val="en-US"/>
              </w:rPr>
            </w:pPr>
            <w:r>
              <w:rPr>
                <w:szCs w:val="21"/>
                <w:lang w:val="en-US"/>
              </w:rPr>
              <w:t>S, P</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F1BAB">
            <w:pPr>
              <w:pStyle w:val="307"/>
              <w:rPr>
                <w:szCs w:val="21"/>
                <w:lang w:val="en-US"/>
              </w:rPr>
            </w:pPr>
            <w:r>
              <w:rPr>
                <w:rFonts w:hint="eastAsia"/>
                <w:szCs w:val="21"/>
                <w:lang w:val="en-US"/>
              </w:rPr>
              <w:t>湿地、灌丛</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52D50">
            <w:pPr>
              <w:pStyle w:val="307"/>
              <w:rPr>
                <w:szCs w:val="21"/>
                <w:lang w:val="en-US"/>
              </w:rPr>
            </w:pPr>
            <w:r>
              <w:rPr>
                <w:szCs w:val="21"/>
                <w:lang w:val="en-US"/>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826C3">
            <w:pPr>
              <w:pStyle w:val="307"/>
              <w:rPr>
                <w:szCs w:val="21"/>
                <w:lang w:val="en-US"/>
              </w:rPr>
            </w:pPr>
            <w:r>
              <w:rPr>
                <w:rFonts w:hint="eastAsia"/>
                <w:szCs w:val="21"/>
                <w:lang w:val="en-US"/>
              </w:rPr>
              <w:t>访问资料</w:t>
            </w:r>
          </w:p>
        </w:tc>
      </w:tr>
      <w:tr w14:paraId="4FB6CAD5">
        <w:tblPrEx>
          <w:tblCellMar>
            <w:top w:w="0" w:type="dxa"/>
            <w:left w:w="108" w:type="dxa"/>
            <w:bottom w:w="0" w:type="dxa"/>
            <w:right w:w="108" w:type="dxa"/>
          </w:tblCellMar>
        </w:tblPrEx>
        <w:trPr>
          <w:trHeight w:val="84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A3D96">
            <w:pPr>
              <w:pStyle w:val="307"/>
              <w:rPr>
                <w:szCs w:val="21"/>
                <w:lang w:val="en-US"/>
              </w:rPr>
            </w:pPr>
            <w:r>
              <w:rPr>
                <w:szCs w:val="21"/>
                <w:lang w:val="en-US"/>
              </w:rPr>
              <w:t>8</w:t>
            </w:r>
          </w:p>
        </w:tc>
        <w:tc>
          <w:tcPr>
            <w:tcW w:w="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96A60">
            <w:pPr>
              <w:pStyle w:val="307"/>
              <w:rPr>
                <w:szCs w:val="21"/>
                <w:lang w:val="en-US"/>
              </w:rPr>
            </w:pPr>
            <w:r>
              <w:rPr>
                <w:rFonts w:hint="eastAsia"/>
                <w:szCs w:val="21"/>
                <w:lang w:val="en-US"/>
              </w:rPr>
              <w:t>犀鸟目</w:t>
            </w:r>
            <w:r>
              <w:rPr>
                <w:szCs w:val="21"/>
                <w:lang w:val="en-US"/>
              </w:rPr>
              <w:t>BUCEROTIFORMES</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2B845">
            <w:pPr>
              <w:pStyle w:val="307"/>
              <w:rPr>
                <w:szCs w:val="21"/>
                <w:lang w:val="en-US"/>
              </w:rPr>
            </w:pPr>
            <w:r>
              <w:rPr>
                <w:rFonts w:hint="eastAsia"/>
                <w:szCs w:val="21"/>
                <w:lang w:val="en-US"/>
              </w:rPr>
              <w:t>戴胜科</w:t>
            </w:r>
            <w:r>
              <w:rPr>
                <w:i/>
                <w:iCs/>
                <w:szCs w:val="21"/>
                <w:lang w:val="en-US"/>
              </w:rPr>
              <w:t>Upupidae</w:t>
            </w: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40F46">
            <w:pPr>
              <w:pStyle w:val="307"/>
              <w:rPr>
                <w:szCs w:val="21"/>
                <w:lang w:val="en-US"/>
              </w:rPr>
            </w:pPr>
            <w:r>
              <w:rPr>
                <w:rFonts w:hint="eastAsia"/>
                <w:szCs w:val="21"/>
                <w:lang w:val="en-US"/>
              </w:rPr>
              <w:t>戴胜</w:t>
            </w:r>
            <w:r>
              <w:rPr>
                <w:i/>
                <w:iCs/>
                <w:szCs w:val="21"/>
                <w:lang w:val="en-US"/>
              </w:rPr>
              <w:t>Upupa</w:t>
            </w:r>
            <w:r>
              <w:rPr>
                <w:szCs w:val="21"/>
                <w:lang w:val="en-US"/>
              </w:rPr>
              <w:t xml:space="preserve"> </w:t>
            </w:r>
            <w:r>
              <w:rPr>
                <w:i/>
                <w:iCs/>
                <w:szCs w:val="21"/>
                <w:lang w:val="en-US"/>
              </w:rPr>
              <w:t>epops</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AD2F6">
            <w:pPr>
              <w:pStyle w:val="307"/>
              <w:rPr>
                <w:szCs w:val="21"/>
                <w:lang w:val="en-US"/>
              </w:rPr>
            </w:pPr>
            <w:r>
              <w:rPr>
                <w:szCs w:val="21"/>
                <w:lang w:val="en-US"/>
              </w:rPr>
              <w:t>S</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BFBBC">
            <w:pPr>
              <w:pStyle w:val="307"/>
              <w:rPr>
                <w:szCs w:val="21"/>
                <w:lang w:val="en-US"/>
              </w:rPr>
            </w:pPr>
            <w:r>
              <w:rPr>
                <w:rFonts w:hint="eastAsia"/>
                <w:szCs w:val="21"/>
                <w:lang w:val="en-US"/>
              </w:rPr>
              <w:t>林地</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5495D">
            <w:pPr>
              <w:pStyle w:val="307"/>
              <w:rPr>
                <w:szCs w:val="21"/>
                <w:lang w:val="en-US"/>
              </w:rPr>
            </w:pPr>
            <w:r>
              <w:rPr>
                <w:szCs w:val="21"/>
                <w:lang w:val="en-US"/>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C6E78">
            <w:pPr>
              <w:pStyle w:val="307"/>
              <w:rPr>
                <w:szCs w:val="21"/>
                <w:lang w:val="en-US"/>
              </w:rPr>
            </w:pPr>
            <w:r>
              <w:rPr>
                <w:rFonts w:hint="eastAsia"/>
                <w:szCs w:val="21"/>
                <w:lang w:val="en-US"/>
              </w:rPr>
              <w:t>目击</w:t>
            </w:r>
          </w:p>
        </w:tc>
      </w:tr>
      <w:tr w14:paraId="12F10572">
        <w:tblPrEx>
          <w:tblCellMar>
            <w:top w:w="0" w:type="dxa"/>
            <w:left w:w="108" w:type="dxa"/>
            <w:bottom w:w="0" w:type="dxa"/>
            <w:right w:w="108" w:type="dxa"/>
          </w:tblCellMar>
        </w:tblPrEx>
        <w:trPr>
          <w:trHeight w:val="84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03408">
            <w:pPr>
              <w:pStyle w:val="307"/>
              <w:rPr>
                <w:szCs w:val="21"/>
                <w:lang w:val="en-US"/>
              </w:rPr>
            </w:pPr>
            <w:r>
              <w:rPr>
                <w:szCs w:val="21"/>
                <w:lang w:val="en-US"/>
              </w:rPr>
              <w:t>9</w:t>
            </w:r>
          </w:p>
        </w:tc>
        <w:tc>
          <w:tcPr>
            <w:tcW w:w="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8EAE6">
            <w:pPr>
              <w:pStyle w:val="307"/>
              <w:rPr>
                <w:szCs w:val="21"/>
                <w:lang w:val="en-US"/>
              </w:rPr>
            </w:pPr>
            <w:r>
              <w:rPr>
                <w:rFonts w:hint="eastAsia"/>
                <w:szCs w:val="21"/>
                <w:lang w:val="en-US"/>
              </w:rPr>
              <w:t>夜鹰目</w:t>
            </w:r>
            <w:r>
              <w:rPr>
                <w:szCs w:val="21"/>
                <w:lang w:val="en-US"/>
              </w:rPr>
              <w:t>CAPRIMULGIFORMES</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86B25">
            <w:pPr>
              <w:pStyle w:val="307"/>
              <w:rPr>
                <w:szCs w:val="21"/>
                <w:lang w:val="en-US"/>
              </w:rPr>
            </w:pPr>
            <w:r>
              <w:rPr>
                <w:rFonts w:hint="eastAsia"/>
                <w:szCs w:val="21"/>
                <w:lang w:val="en-US"/>
              </w:rPr>
              <w:t>雨燕科</w:t>
            </w:r>
            <w:r>
              <w:rPr>
                <w:i/>
                <w:iCs/>
                <w:szCs w:val="21"/>
                <w:lang w:val="en-US"/>
              </w:rPr>
              <w:t>Apodidae</w:t>
            </w: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3525F">
            <w:pPr>
              <w:pStyle w:val="307"/>
              <w:rPr>
                <w:szCs w:val="21"/>
                <w:lang w:val="en-US"/>
              </w:rPr>
            </w:pPr>
            <w:r>
              <w:rPr>
                <w:rFonts w:hint="eastAsia"/>
                <w:szCs w:val="21"/>
                <w:lang w:val="en-US"/>
              </w:rPr>
              <w:t>白腰雨燕</w:t>
            </w:r>
            <w:r>
              <w:rPr>
                <w:i/>
                <w:iCs/>
                <w:szCs w:val="21"/>
                <w:lang w:val="en-US"/>
              </w:rPr>
              <w:t>Apus</w:t>
            </w:r>
            <w:r>
              <w:rPr>
                <w:szCs w:val="21"/>
                <w:lang w:val="en-US"/>
              </w:rPr>
              <w:t xml:space="preserve"> </w:t>
            </w:r>
            <w:r>
              <w:rPr>
                <w:i/>
                <w:iCs/>
                <w:szCs w:val="21"/>
                <w:lang w:val="en-US"/>
              </w:rPr>
              <w:t>pacificus</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BB798">
            <w:pPr>
              <w:pStyle w:val="307"/>
              <w:rPr>
                <w:szCs w:val="21"/>
                <w:lang w:val="en-US"/>
              </w:rPr>
            </w:pPr>
            <w:r>
              <w:rPr>
                <w:szCs w:val="21"/>
                <w:lang w:val="en-US"/>
              </w:rPr>
              <w:t>R</w:t>
            </w:r>
            <w:r>
              <w:rPr>
                <w:rFonts w:hint="eastAsia"/>
                <w:szCs w:val="21"/>
                <w:lang w:val="en-US"/>
              </w:rPr>
              <w:t>，</w:t>
            </w:r>
            <w:r>
              <w:rPr>
                <w:szCs w:val="21"/>
                <w:lang w:val="en-US"/>
              </w:rPr>
              <w:t>S</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EF4B8">
            <w:pPr>
              <w:pStyle w:val="307"/>
              <w:rPr>
                <w:szCs w:val="21"/>
                <w:lang w:val="en-US"/>
              </w:rPr>
            </w:pPr>
            <w:r>
              <w:rPr>
                <w:rFonts w:hint="eastAsia"/>
                <w:szCs w:val="21"/>
                <w:lang w:val="en-US"/>
              </w:rPr>
              <w:t>农田、居民点</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F2104">
            <w:pPr>
              <w:pStyle w:val="307"/>
              <w:rPr>
                <w:szCs w:val="21"/>
                <w:lang w:val="en-US"/>
              </w:rPr>
            </w:pPr>
            <w:r>
              <w:rPr>
                <w:szCs w:val="21"/>
                <w:lang w:val="en-US"/>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27F0E">
            <w:pPr>
              <w:pStyle w:val="307"/>
              <w:rPr>
                <w:szCs w:val="21"/>
                <w:lang w:val="en-US"/>
              </w:rPr>
            </w:pPr>
            <w:r>
              <w:rPr>
                <w:rFonts w:hint="eastAsia"/>
                <w:szCs w:val="21"/>
                <w:lang w:val="en-US"/>
              </w:rPr>
              <w:t>访问资料</w:t>
            </w:r>
          </w:p>
        </w:tc>
      </w:tr>
      <w:tr w14:paraId="69E608CE">
        <w:tblPrEx>
          <w:tblCellMar>
            <w:top w:w="0" w:type="dxa"/>
            <w:left w:w="108" w:type="dxa"/>
            <w:bottom w:w="0" w:type="dxa"/>
            <w:right w:w="108" w:type="dxa"/>
          </w:tblCellMar>
        </w:tblPrEx>
        <w:trPr>
          <w:trHeight w:val="288"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A9339">
            <w:pPr>
              <w:pStyle w:val="307"/>
              <w:rPr>
                <w:szCs w:val="21"/>
                <w:lang w:val="en-US"/>
              </w:rPr>
            </w:pPr>
            <w:r>
              <w:rPr>
                <w:szCs w:val="21"/>
                <w:lang w:val="en-US"/>
              </w:rPr>
              <w:t>10</w:t>
            </w:r>
          </w:p>
        </w:tc>
        <w:tc>
          <w:tcPr>
            <w:tcW w:w="7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9EBD02">
            <w:pPr>
              <w:pStyle w:val="307"/>
              <w:rPr>
                <w:szCs w:val="21"/>
                <w:lang w:val="en-US"/>
              </w:rPr>
            </w:pPr>
            <w:r>
              <w:rPr>
                <w:rFonts w:hint="eastAsia"/>
                <w:szCs w:val="21"/>
                <w:lang w:val="en-US"/>
              </w:rPr>
              <w:t>鸻形目</w:t>
            </w:r>
            <w:r>
              <w:rPr>
                <w:szCs w:val="21"/>
                <w:lang w:val="en-US"/>
              </w:rPr>
              <w:t>CHARADRIIFORMES</w:t>
            </w:r>
          </w:p>
        </w:tc>
        <w:tc>
          <w:tcPr>
            <w:tcW w:w="6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5E49E">
            <w:pPr>
              <w:pStyle w:val="307"/>
              <w:rPr>
                <w:szCs w:val="21"/>
                <w:lang w:val="en-US"/>
              </w:rPr>
            </w:pPr>
            <w:r>
              <w:rPr>
                <w:rFonts w:hint="eastAsia"/>
                <w:szCs w:val="21"/>
                <w:lang w:val="en-US"/>
              </w:rPr>
              <w:t>鸻科</w:t>
            </w:r>
            <w:r>
              <w:rPr>
                <w:i/>
                <w:iCs/>
                <w:szCs w:val="21"/>
                <w:lang w:val="en-US"/>
              </w:rPr>
              <w:t>Charadriidae</w:t>
            </w: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07B02">
            <w:pPr>
              <w:pStyle w:val="307"/>
              <w:rPr>
                <w:szCs w:val="21"/>
                <w:lang w:val="en-US"/>
              </w:rPr>
            </w:pPr>
            <w:r>
              <w:rPr>
                <w:rFonts w:hint="eastAsia"/>
                <w:szCs w:val="21"/>
                <w:lang w:val="en-US"/>
              </w:rPr>
              <w:t>灰头麦鸡</w:t>
            </w:r>
            <w:r>
              <w:rPr>
                <w:i/>
                <w:iCs/>
                <w:szCs w:val="21"/>
                <w:lang w:val="en-US"/>
              </w:rPr>
              <w:t>Vanellus</w:t>
            </w:r>
            <w:r>
              <w:rPr>
                <w:szCs w:val="21"/>
                <w:lang w:val="en-US"/>
              </w:rPr>
              <w:t xml:space="preserve"> </w:t>
            </w:r>
            <w:r>
              <w:rPr>
                <w:i/>
                <w:iCs/>
                <w:szCs w:val="21"/>
                <w:lang w:val="en-US"/>
              </w:rPr>
              <w:t>cinereus</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BCDFF">
            <w:pPr>
              <w:pStyle w:val="307"/>
              <w:rPr>
                <w:szCs w:val="21"/>
                <w:lang w:val="en-US"/>
              </w:rPr>
            </w:pPr>
            <w:r>
              <w:rPr>
                <w:szCs w:val="21"/>
                <w:lang w:val="en-US"/>
              </w:rPr>
              <w:t>S</w:t>
            </w:r>
            <w:r>
              <w:rPr>
                <w:rFonts w:hint="eastAsia"/>
                <w:szCs w:val="21"/>
                <w:lang w:val="en-US"/>
              </w:rPr>
              <w:t>，</w:t>
            </w:r>
            <w:r>
              <w:rPr>
                <w:szCs w:val="21"/>
                <w:lang w:val="en-US"/>
              </w:rPr>
              <w:t>P</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A9A68">
            <w:pPr>
              <w:pStyle w:val="307"/>
              <w:rPr>
                <w:szCs w:val="21"/>
                <w:lang w:val="en-US"/>
              </w:rPr>
            </w:pPr>
            <w:r>
              <w:rPr>
                <w:rFonts w:hint="eastAsia"/>
                <w:szCs w:val="21"/>
                <w:lang w:val="en-US"/>
              </w:rPr>
              <w:t>农田</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281C4">
            <w:pPr>
              <w:pStyle w:val="307"/>
              <w:rPr>
                <w:szCs w:val="21"/>
                <w:lang w:val="en-US"/>
              </w:rPr>
            </w:pPr>
            <w:r>
              <w:rPr>
                <w:szCs w:val="21"/>
                <w:lang w:val="en-US"/>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90AF4">
            <w:pPr>
              <w:pStyle w:val="307"/>
              <w:rPr>
                <w:szCs w:val="21"/>
                <w:lang w:val="en-US"/>
              </w:rPr>
            </w:pPr>
            <w:r>
              <w:rPr>
                <w:rFonts w:hint="eastAsia"/>
                <w:szCs w:val="21"/>
                <w:lang w:val="en-US"/>
              </w:rPr>
              <w:t>访问资料</w:t>
            </w:r>
          </w:p>
        </w:tc>
      </w:tr>
      <w:tr w14:paraId="2EB89459">
        <w:tblPrEx>
          <w:tblCellMar>
            <w:top w:w="0" w:type="dxa"/>
            <w:left w:w="108" w:type="dxa"/>
            <w:bottom w:w="0" w:type="dxa"/>
            <w:right w:w="108" w:type="dxa"/>
          </w:tblCellMar>
        </w:tblPrEx>
        <w:trPr>
          <w:trHeight w:val="288"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CC2B1">
            <w:pPr>
              <w:pStyle w:val="307"/>
              <w:rPr>
                <w:szCs w:val="21"/>
                <w:lang w:val="en-US"/>
              </w:rPr>
            </w:pPr>
            <w:r>
              <w:rPr>
                <w:szCs w:val="21"/>
                <w:lang w:val="en-US"/>
              </w:rPr>
              <w:t>11</w:t>
            </w:r>
          </w:p>
        </w:tc>
        <w:tc>
          <w:tcPr>
            <w:tcW w:w="7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F5E3CE">
            <w:pPr>
              <w:pStyle w:val="307"/>
              <w:rPr>
                <w:szCs w:val="21"/>
                <w:lang w:val="en-US"/>
              </w:rPr>
            </w:pPr>
          </w:p>
        </w:tc>
        <w:tc>
          <w:tcPr>
            <w:tcW w:w="6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13812">
            <w:pPr>
              <w:pStyle w:val="307"/>
              <w:rPr>
                <w:szCs w:val="21"/>
                <w:lang w:val="en-US"/>
              </w:rPr>
            </w:pP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0C31C">
            <w:pPr>
              <w:pStyle w:val="307"/>
              <w:rPr>
                <w:szCs w:val="21"/>
                <w:lang w:val="en-US"/>
              </w:rPr>
            </w:pPr>
            <w:r>
              <w:rPr>
                <w:rFonts w:hint="eastAsia"/>
                <w:szCs w:val="21"/>
                <w:lang w:val="en-US"/>
              </w:rPr>
              <w:t>凤头麦鸡</w:t>
            </w:r>
            <w:r>
              <w:rPr>
                <w:i/>
                <w:iCs/>
                <w:szCs w:val="21"/>
                <w:lang w:val="en-US"/>
              </w:rPr>
              <w:t>Vanellus</w:t>
            </w:r>
            <w:r>
              <w:rPr>
                <w:szCs w:val="21"/>
                <w:lang w:val="en-US"/>
              </w:rPr>
              <w:t xml:space="preserve"> </w:t>
            </w:r>
            <w:r>
              <w:rPr>
                <w:i/>
                <w:iCs/>
                <w:szCs w:val="21"/>
                <w:lang w:val="en-US"/>
              </w:rPr>
              <w:t>vanellus</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9E855">
            <w:pPr>
              <w:pStyle w:val="307"/>
              <w:rPr>
                <w:szCs w:val="21"/>
                <w:lang w:val="en-US"/>
              </w:rPr>
            </w:pPr>
            <w:r>
              <w:rPr>
                <w:szCs w:val="21"/>
                <w:lang w:val="en-US"/>
              </w:rPr>
              <w:t>S</w:t>
            </w:r>
            <w:r>
              <w:rPr>
                <w:rFonts w:hint="eastAsia"/>
                <w:szCs w:val="21"/>
                <w:lang w:val="en-US"/>
              </w:rPr>
              <w:t>，</w:t>
            </w:r>
            <w:r>
              <w:rPr>
                <w:szCs w:val="21"/>
                <w:lang w:val="en-US"/>
              </w:rPr>
              <w:t>P</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2D294">
            <w:pPr>
              <w:pStyle w:val="307"/>
              <w:rPr>
                <w:szCs w:val="21"/>
                <w:lang w:val="en-US"/>
              </w:rPr>
            </w:pPr>
            <w:r>
              <w:rPr>
                <w:rFonts w:hint="eastAsia"/>
                <w:szCs w:val="21"/>
                <w:lang w:val="en-US"/>
              </w:rPr>
              <w:t>湿地</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55F78">
            <w:pPr>
              <w:pStyle w:val="307"/>
              <w:rPr>
                <w:szCs w:val="21"/>
                <w:lang w:val="en-US"/>
              </w:rPr>
            </w:pPr>
            <w:r>
              <w:rPr>
                <w:szCs w:val="21"/>
                <w:lang w:val="en-US"/>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C410E">
            <w:pPr>
              <w:pStyle w:val="307"/>
              <w:rPr>
                <w:szCs w:val="21"/>
                <w:lang w:val="en-US"/>
              </w:rPr>
            </w:pPr>
            <w:r>
              <w:rPr>
                <w:rFonts w:hint="eastAsia"/>
                <w:szCs w:val="21"/>
                <w:lang w:val="en-US"/>
              </w:rPr>
              <w:t>访问资料</w:t>
            </w:r>
          </w:p>
        </w:tc>
      </w:tr>
      <w:tr w14:paraId="4A8A222F">
        <w:tblPrEx>
          <w:tblCellMar>
            <w:top w:w="0" w:type="dxa"/>
            <w:left w:w="108" w:type="dxa"/>
            <w:bottom w:w="0" w:type="dxa"/>
            <w:right w:w="108" w:type="dxa"/>
          </w:tblCellMar>
        </w:tblPrEx>
        <w:trPr>
          <w:trHeight w:val="288"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FE123">
            <w:pPr>
              <w:pStyle w:val="307"/>
              <w:rPr>
                <w:szCs w:val="21"/>
                <w:lang w:val="en-US"/>
              </w:rPr>
            </w:pPr>
            <w:r>
              <w:rPr>
                <w:szCs w:val="21"/>
                <w:lang w:val="en-US"/>
              </w:rPr>
              <w:t>12</w:t>
            </w:r>
          </w:p>
        </w:tc>
        <w:tc>
          <w:tcPr>
            <w:tcW w:w="7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0CEE82">
            <w:pPr>
              <w:pStyle w:val="307"/>
              <w:rPr>
                <w:szCs w:val="21"/>
                <w:lang w:val="en-US"/>
              </w:rPr>
            </w:pP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6AF31">
            <w:pPr>
              <w:pStyle w:val="307"/>
              <w:rPr>
                <w:szCs w:val="21"/>
                <w:lang w:val="en-US"/>
              </w:rPr>
            </w:pPr>
            <w:r>
              <w:rPr>
                <w:rFonts w:hint="eastAsia"/>
                <w:szCs w:val="21"/>
                <w:lang w:val="en-US"/>
              </w:rPr>
              <w:t>反嘴鹬科</w:t>
            </w:r>
            <w:r>
              <w:rPr>
                <w:i/>
                <w:iCs/>
                <w:szCs w:val="21"/>
                <w:lang w:val="en-US"/>
              </w:rPr>
              <w:t>Recurvirostridae</w:t>
            </w: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BCCF5">
            <w:pPr>
              <w:pStyle w:val="307"/>
              <w:rPr>
                <w:szCs w:val="21"/>
                <w:lang w:val="en-US"/>
              </w:rPr>
            </w:pPr>
            <w:r>
              <w:rPr>
                <w:rFonts w:hint="eastAsia"/>
                <w:szCs w:val="21"/>
                <w:lang w:val="en-US"/>
              </w:rPr>
              <w:t>黑翅长脚鹬</w:t>
            </w:r>
            <w:r>
              <w:rPr>
                <w:i/>
                <w:iCs/>
                <w:szCs w:val="21"/>
                <w:lang w:val="en-US"/>
              </w:rPr>
              <w:t>Himantopus</w:t>
            </w:r>
            <w:r>
              <w:rPr>
                <w:szCs w:val="21"/>
                <w:lang w:val="en-US"/>
              </w:rPr>
              <w:t xml:space="preserve"> </w:t>
            </w:r>
            <w:r>
              <w:rPr>
                <w:i/>
                <w:iCs/>
                <w:szCs w:val="21"/>
                <w:lang w:val="en-US"/>
              </w:rPr>
              <w:t>himantopus</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2AB0B">
            <w:pPr>
              <w:pStyle w:val="307"/>
              <w:rPr>
                <w:szCs w:val="21"/>
                <w:lang w:val="en-US"/>
              </w:rPr>
            </w:pPr>
            <w:r>
              <w:rPr>
                <w:szCs w:val="21"/>
                <w:lang w:val="en-US"/>
              </w:rPr>
              <w:t>S, P</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8AF3F">
            <w:pPr>
              <w:pStyle w:val="307"/>
              <w:rPr>
                <w:szCs w:val="21"/>
                <w:lang w:val="en-US"/>
              </w:rPr>
            </w:pPr>
            <w:r>
              <w:rPr>
                <w:rFonts w:hint="eastAsia"/>
                <w:szCs w:val="21"/>
                <w:lang w:val="en-US"/>
              </w:rPr>
              <w:t>湿地</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7CD18">
            <w:pPr>
              <w:pStyle w:val="307"/>
              <w:rPr>
                <w:szCs w:val="21"/>
                <w:lang w:val="en-US"/>
              </w:rPr>
            </w:pPr>
            <w:r>
              <w:rPr>
                <w:szCs w:val="21"/>
                <w:lang w:val="en-US"/>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3D6F3">
            <w:pPr>
              <w:pStyle w:val="307"/>
              <w:rPr>
                <w:szCs w:val="21"/>
                <w:lang w:val="en-US"/>
              </w:rPr>
            </w:pPr>
            <w:r>
              <w:rPr>
                <w:rFonts w:hint="eastAsia"/>
                <w:szCs w:val="21"/>
                <w:lang w:val="en-US"/>
              </w:rPr>
              <w:t>访问资料</w:t>
            </w:r>
          </w:p>
        </w:tc>
      </w:tr>
      <w:tr w14:paraId="540708CD">
        <w:tblPrEx>
          <w:tblCellMar>
            <w:top w:w="0" w:type="dxa"/>
            <w:left w:w="108" w:type="dxa"/>
            <w:bottom w:w="0" w:type="dxa"/>
            <w:right w:w="108" w:type="dxa"/>
          </w:tblCellMar>
        </w:tblPrEx>
        <w:trPr>
          <w:trHeight w:val="564"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E5338">
            <w:pPr>
              <w:pStyle w:val="307"/>
              <w:rPr>
                <w:szCs w:val="21"/>
                <w:lang w:val="en-US"/>
              </w:rPr>
            </w:pPr>
            <w:r>
              <w:rPr>
                <w:szCs w:val="21"/>
                <w:lang w:val="en-US"/>
              </w:rPr>
              <w:t>13</w:t>
            </w:r>
          </w:p>
        </w:tc>
        <w:tc>
          <w:tcPr>
            <w:tcW w:w="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B65A2">
            <w:pPr>
              <w:pStyle w:val="307"/>
              <w:rPr>
                <w:szCs w:val="21"/>
                <w:lang w:val="en-US"/>
              </w:rPr>
            </w:pPr>
            <w:r>
              <w:rPr>
                <w:rFonts w:hint="eastAsia"/>
                <w:szCs w:val="21"/>
                <w:lang w:val="en-US"/>
              </w:rPr>
              <w:t>鹳形目</w:t>
            </w:r>
            <w:r>
              <w:rPr>
                <w:szCs w:val="21"/>
                <w:lang w:val="en-US"/>
              </w:rPr>
              <w:t>CICONIIFORMES</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6CCF8">
            <w:pPr>
              <w:pStyle w:val="307"/>
              <w:rPr>
                <w:szCs w:val="21"/>
                <w:lang w:val="en-US"/>
              </w:rPr>
            </w:pPr>
            <w:r>
              <w:rPr>
                <w:rFonts w:hint="eastAsia"/>
                <w:szCs w:val="21"/>
                <w:lang w:val="en-US"/>
              </w:rPr>
              <w:t>鹳科</w:t>
            </w:r>
            <w:r>
              <w:rPr>
                <w:i/>
                <w:iCs/>
                <w:szCs w:val="21"/>
                <w:lang w:val="en-US"/>
              </w:rPr>
              <w:t>Ciconiidae</w:t>
            </w: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22D1F">
            <w:pPr>
              <w:pStyle w:val="307"/>
              <w:rPr>
                <w:szCs w:val="21"/>
                <w:lang w:val="en-US"/>
              </w:rPr>
            </w:pPr>
            <w:r>
              <w:rPr>
                <w:rFonts w:hint="eastAsia"/>
                <w:szCs w:val="21"/>
                <w:lang w:val="en-US"/>
              </w:rPr>
              <w:t>黑鹳</w:t>
            </w:r>
            <w:r>
              <w:rPr>
                <w:i/>
                <w:iCs/>
                <w:szCs w:val="21"/>
                <w:lang w:val="en-US"/>
              </w:rPr>
              <w:t>Ciconia</w:t>
            </w:r>
            <w:r>
              <w:rPr>
                <w:szCs w:val="21"/>
                <w:lang w:val="en-US"/>
              </w:rPr>
              <w:t xml:space="preserve"> </w:t>
            </w:r>
            <w:r>
              <w:rPr>
                <w:i/>
                <w:iCs/>
                <w:szCs w:val="21"/>
                <w:lang w:val="en-US"/>
              </w:rPr>
              <w:t>nigra</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9CEBC">
            <w:pPr>
              <w:pStyle w:val="307"/>
              <w:rPr>
                <w:szCs w:val="21"/>
                <w:lang w:val="en-US"/>
              </w:rPr>
            </w:pPr>
            <w:r>
              <w:rPr>
                <w:szCs w:val="21"/>
                <w:lang w:val="en-US"/>
              </w:rPr>
              <w:t>S</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CDF48">
            <w:pPr>
              <w:pStyle w:val="307"/>
              <w:rPr>
                <w:szCs w:val="21"/>
                <w:lang w:val="en-US"/>
              </w:rPr>
            </w:pPr>
            <w:r>
              <w:rPr>
                <w:rFonts w:hint="eastAsia"/>
                <w:szCs w:val="21"/>
                <w:lang w:val="en-US"/>
              </w:rPr>
              <w:t>湿地、草地、农田</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EB6F4">
            <w:pPr>
              <w:pStyle w:val="307"/>
              <w:rPr>
                <w:szCs w:val="21"/>
                <w:lang w:val="en-US"/>
              </w:rPr>
            </w:pPr>
            <w:r>
              <w:rPr>
                <w:szCs w:val="21"/>
                <w:lang w:val="en-US"/>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D9AC3">
            <w:pPr>
              <w:pStyle w:val="307"/>
              <w:rPr>
                <w:szCs w:val="21"/>
                <w:lang w:val="en-US"/>
              </w:rPr>
            </w:pPr>
            <w:r>
              <w:rPr>
                <w:rFonts w:hint="eastAsia"/>
                <w:szCs w:val="21"/>
                <w:lang w:val="en-US"/>
              </w:rPr>
              <w:t>资料访问</w:t>
            </w:r>
          </w:p>
        </w:tc>
      </w:tr>
      <w:tr w14:paraId="0885DBCA">
        <w:tblPrEx>
          <w:tblCellMar>
            <w:top w:w="0" w:type="dxa"/>
            <w:left w:w="108" w:type="dxa"/>
            <w:bottom w:w="0" w:type="dxa"/>
            <w:right w:w="108" w:type="dxa"/>
          </w:tblCellMar>
        </w:tblPrEx>
        <w:trPr>
          <w:trHeight w:val="288"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971C5">
            <w:pPr>
              <w:pStyle w:val="307"/>
              <w:rPr>
                <w:szCs w:val="21"/>
                <w:lang w:val="en-US"/>
              </w:rPr>
            </w:pPr>
            <w:r>
              <w:rPr>
                <w:szCs w:val="21"/>
                <w:lang w:val="en-US"/>
              </w:rPr>
              <w:t>14</w:t>
            </w:r>
          </w:p>
        </w:tc>
        <w:tc>
          <w:tcPr>
            <w:tcW w:w="7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BE6F7B">
            <w:pPr>
              <w:pStyle w:val="307"/>
              <w:rPr>
                <w:szCs w:val="21"/>
                <w:lang w:val="en-US"/>
              </w:rPr>
            </w:pPr>
            <w:r>
              <w:rPr>
                <w:rFonts w:hint="eastAsia"/>
                <w:szCs w:val="21"/>
                <w:lang w:val="en-US"/>
              </w:rPr>
              <w:t>鸽形目</w:t>
            </w:r>
            <w:r>
              <w:rPr>
                <w:szCs w:val="21"/>
                <w:lang w:val="en-US"/>
              </w:rPr>
              <w:t>COLUMBIFORMES</w:t>
            </w:r>
          </w:p>
        </w:tc>
        <w:tc>
          <w:tcPr>
            <w:tcW w:w="6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77E27">
            <w:pPr>
              <w:pStyle w:val="307"/>
              <w:rPr>
                <w:szCs w:val="21"/>
                <w:lang w:val="en-US"/>
              </w:rPr>
            </w:pPr>
            <w:r>
              <w:rPr>
                <w:rFonts w:hint="eastAsia"/>
                <w:szCs w:val="21"/>
                <w:lang w:val="en-US"/>
              </w:rPr>
              <w:t>鸠鸽科</w:t>
            </w:r>
            <w:r>
              <w:rPr>
                <w:i/>
                <w:iCs/>
                <w:szCs w:val="21"/>
                <w:lang w:val="en-US"/>
              </w:rPr>
              <w:t>Columbidae</w:t>
            </w: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F680C">
            <w:pPr>
              <w:pStyle w:val="307"/>
              <w:rPr>
                <w:szCs w:val="21"/>
                <w:lang w:val="en-US"/>
              </w:rPr>
            </w:pPr>
            <w:r>
              <w:rPr>
                <w:rFonts w:hint="eastAsia"/>
                <w:szCs w:val="21"/>
                <w:lang w:val="en-US"/>
              </w:rPr>
              <w:t>灰斑鸠</w:t>
            </w:r>
            <w:r>
              <w:rPr>
                <w:i/>
                <w:iCs/>
                <w:szCs w:val="21"/>
                <w:lang w:val="en-US"/>
              </w:rPr>
              <w:t>Streptopelia</w:t>
            </w:r>
            <w:r>
              <w:rPr>
                <w:szCs w:val="21"/>
                <w:lang w:val="en-US"/>
              </w:rPr>
              <w:t xml:space="preserve"> </w:t>
            </w:r>
            <w:r>
              <w:rPr>
                <w:i/>
                <w:iCs/>
                <w:szCs w:val="21"/>
                <w:lang w:val="en-US"/>
              </w:rPr>
              <w:t>decaocto</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771F2">
            <w:pPr>
              <w:pStyle w:val="307"/>
              <w:rPr>
                <w:szCs w:val="21"/>
                <w:lang w:val="en-US"/>
              </w:rPr>
            </w:pPr>
            <w:r>
              <w:rPr>
                <w:szCs w:val="21"/>
                <w:lang w:val="en-US"/>
              </w:rPr>
              <w:t>R</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B25BC">
            <w:pPr>
              <w:pStyle w:val="307"/>
              <w:rPr>
                <w:szCs w:val="21"/>
                <w:lang w:val="en-US"/>
              </w:rPr>
            </w:pPr>
            <w:r>
              <w:rPr>
                <w:rFonts w:hint="eastAsia"/>
                <w:szCs w:val="21"/>
                <w:lang w:val="en-US"/>
              </w:rPr>
              <w:t>林地、灌丛</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36873">
            <w:pPr>
              <w:pStyle w:val="307"/>
              <w:rPr>
                <w:szCs w:val="21"/>
                <w:lang w:val="en-US"/>
              </w:rPr>
            </w:pPr>
            <w:r>
              <w:rPr>
                <w:szCs w:val="21"/>
                <w:lang w:val="en-US"/>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AE4BD">
            <w:pPr>
              <w:pStyle w:val="307"/>
              <w:rPr>
                <w:szCs w:val="21"/>
                <w:lang w:val="en-US"/>
              </w:rPr>
            </w:pPr>
            <w:r>
              <w:rPr>
                <w:rFonts w:hint="eastAsia"/>
                <w:szCs w:val="21"/>
                <w:lang w:val="en-US"/>
              </w:rPr>
              <w:t>目击</w:t>
            </w:r>
          </w:p>
        </w:tc>
      </w:tr>
      <w:tr w14:paraId="18E99C45">
        <w:tblPrEx>
          <w:tblCellMar>
            <w:top w:w="0" w:type="dxa"/>
            <w:left w:w="108" w:type="dxa"/>
            <w:bottom w:w="0" w:type="dxa"/>
            <w:right w:w="108" w:type="dxa"/>
          </w:tblCellMar>
        </w:tblPrEx>
        <w:trPr>
          <w:trHeight w:val="288"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D7F8B">
            <w:pPr>
              <w:pStyle w:val="307"/>
              <w:rPr>
                <w:szCs w:val="21"/>
                <w:lang w:val="en-US"/>
              </w:rPr>
            </w:pPr>
            <w:r>
              <w:rPr>
                <w:szCs w:val="21"/>
                <w:lang w:val="en-US"/>
              </w:rPr>
              <w:t>15</w:t>
            </w:r>
          </w:p>
        </w:tc>
        <w:tc>
          <w:tcPr>
            <w:tcW w:w="7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22C2F3">
            <w:pPr>
              <w:pStyle w:val="307"/>
              <w:rPr>
                <w:szCs w:val="21"/>
                <w:lang w:val="en-US"/>
              </w:rPr>
            </w:pPr>
          </w:p>
        </w:tc>
        <w:tc>
          <w:tcPr>
            <w:tcW w:w="6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DBABF">
            <w:pPr>
              <w:pStyle w:val="307"/>
              <w:rPr>
                <w:szCs w:val="21"/>
                <w:lang w:val="en-US"/>
              </w:rPr>
            </w:pP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1FC64">
            <w:pPr>
              <w:pStyle w:val="307"/>
              <w:rPr>
                <w:szCs w:val="21"/>
                <w:lang w:val="en-US"/>
              </w:rPr>
            </w:pPr>
            <w:r>
              <w:rPr>
                <w:rFonts w:hint="eastAsia"/>
                <w:szCs w:val="21"/>
                <w:lang w:val="en-US"/>
              </w:rPr>
              <w:t>山斑鸠</w:t>
            </w:r>
            <w:r>
              <w:rPr>
                <w:i/>
                <w:iCs/>
                <w:szCs w:val="21"/>
                <w:lang w:val="en-US"/>
              </w:rPr>
              <w:t>Streptopelia</w:t>
            </w:r>
            <w:r>
              <w:rPr>
                <w:szCs w:val="21"/>
                <w:lang w:val="en-US"/>
              </w:rPr>
              <w:t xml:space="preserve"> </w:t>
            </w:r>
            <w:r>
              <w:rPr>
                <w:i/>
                <w:iCs/>
                <w:szCs w:val="21"/>
                <w:lang w:val="en-US"/>
              </w:rPr>
              <w:t>orientalis</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C5B59">
            <w:pPr>
              <w:pStyle w:val="307"/>
              <w:rPr>
                <w:szCs w:val="21"/>
                <w:lang w:val="en-US"/>
              </w:rPr>
            </w:pPr>
            <w:r>
              <w:rPr>
                <w:szCs w:val="21"/>
                <w:lang w:val="en-US"/>
              </w:rPr>
              <w:t>R</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94911">
            <w:pPr>
              <w:pStyle w:val="307"/>
              <w:rPr>
                <w:szCs w:val="21"/>
                <w:lang w:val="en-US"/>
              </w:rPr>
            </w:pPr>
            <w:r>
              <w:rPr>
                <w:rFonts w:hint="eastAsia"/>
                <w:szCs w:val="21"/>
                <w:lang w:val="en-US"/>
              </w:rPr>
              <w:t>林地、灌丛、草地</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4BBA8">
            <w:pPr>
              <w:pStyle w:val="307"/>
              <w:rPr>
                <w:szCs w:val="21"/>
                <w:lang w:val="en-US"/>
              </w:rPr>
            </w:pPr>
            <w:r>
              <w:rPr>
                <w:szCs w:val="21"/>
                <w:lang w:val="en-US"/>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01BDB">
            <w:pPr>
              <w:pStyle w:val="307"/>
              <w:rPr>
                <w:szCs w:val="21"/>
                <w:lang w:val="en-US"/>
              </w:rPr>
            </w:pPr>
            <w:r>
              <w:rPr>
                <w:rFonts w:hint="eastAsia"/>
                <w:szCs w:val="21"/>
                <w:lang w:val="en-US"/>
              </w:rPr>
              <w:t>鸣声</w:t>
            </w:r>
          </w:p>
        </w:tc>
      </w:tr>
      <w:tr w14:paraId="0DC2AF5F">
        <w:tblPrEx>
          <w:tblCellMar>
            <w:top w:w="0" w:type="dxa"/>
            <w:left w:w="108" w:type="dxa"/>
            <w:bottom w:w="0" w:type="dxa"/>
            <w:right w:w="108" w:type="dxa"/>
          </w:tblCellMar>
        </w:tblPrEx>
        <w:trPr>
          <w:trHeight w:val="564"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CB245">
            <w:pPr>
              <w:pStyle w:val="307"/>
              <w:rPr>
                <w:szCs w:val="21"/>
                <w:lang w:val="en-US"/>
              </w:rPr>
            </w:pPr>
            <w:r>
              <w:rPr>
                <w:szCs w:val="21"/>
                <w:lang w:val="en-US"/>
              </w:rPr>
              <w:t>16</w:t>
            </w:r>
          </w:p>
        </w:tc>
        <w:tc>
          <w:tcPr>
            <w:tcW w:w="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FEB8A">
            <w:pPr>
              <w:pStyle w:val="307"/>
              <w:rPr>
                <w:szCs w:val="21"/>
                <w:lang w:val="en-US"/>
              </w:rPr>
            </w:pPr>
            <w:r>
              <w:rPr>
                <w:rFonts w:hint="eastAsia"/>
                <w:szCs w:val="21"/>
                <w:lang w:val="en-US"/>
              </w:rPr>
              <w:t>佛法僧目</w:t>
            </w:r>
            <w:r>
              <w:rPr>
                <w:szCs w:val="21"/>
                <w:lang w:val="en-US"/>
              </w:rPr>
              <w:t>CORACIIFORMES</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BEB3E">
            <w:pPr>
              <w:pStyle w:val="307"/>
              <w:rPr>
                <w:szCs w:val="21"/>
                <w:lang w:val="en-US"/>
              </w:rPr>
            </w:pPr>
            <w:r>
              <w:rPr>
                <w:rFonts w:hint="eastAsia"/>
                <w:szCs w:val="21"/>
                <w:lang w:val="en-US"/>
              </w:rPr>
              <w:t>翠鸟科</w:t>
            </w:r>
            <w:r>
              <w:rPr>
                <w:i/>
                <w:iCs/>
                <w:szCs w:val="21"/>
                <w:lang w:val="en-US"/>
              </w:rPr>
              <w:t>Alcedinidae</w:t>
            </w: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C88C2">
            <w:pPr>
              <w:pStyle w:val="307"/>
              <w:rPr>
                <w:szCs w:val="21"/>
                <w:lang w:val="en-US"/>
              </w:rPr>
            </w:pPr>
            <w:r>
              <w:rPr>
                <w:rFonts w:hint="eastAsia"/>
                <w:szCs w:val="21"/>
                <w:lang w:val="en-US"/>
              </w:rPr>
              <w:t>普通翠鸟</w:t>
            </w:r>
            <w:r>
              <w:rPr>
                <w:i/>
                <w:iCs/>
                <w:szCs w:val="21"/>
                <w:lang w:val="en-US"/>
              </w:rPr>
              <w:t>Alcedo</w:t>
            </w:r>
            <w:r>
              <w:rPr>
                <w:szCs w:val="21"/>
                <w:lang w:val="en-US"/>
              </w:rPr>
              <w:t xml:space="preserve"> </w:t>
            </w:r>
            <w:r>
              <w:rPr>
                <w:i/>
                <w:iCs/>
                <w:szCs w:val="21"/>
                <w:lang w:val="en-US"/>
              </w:rPr>
              <w:t>atthis</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74F25">
            <w:pPr>
              <w:pStyle w:val="307"/>
              <w:rPr>
                <w:szCs w:val="21"/>
                <w:lang w:val="en-US"/>
              </w:rPr>
            </w:pPr>
            <w:r>
              <w:rPr>
                <w:szCs w:val="21"/>
                <w:lang w:val="en-US"/>
              </w:rPr>
              <w:t>S, R</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42205">
            <w:pPr>
              <w:pStyle w:val="307"/>
              <w:rPr>
                <w:szCs w:val="21"/>
                <w:lang w:val="en-US"/>
              </w:rPr>
            </w:pPr>
            <w:r>
              <w:rPr>
                <w:rFonts w:hint="eastAsia"/>
                <w:szCs w:val="21"/>
                <w:lang w:val="en-US"/>
              </w:rPr>
              <w:t>乔木林</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A0305">
            <w:pPr>
              <w:pStyle w:val="307"/>
              <w:rPr>
                <w:szCs w:val="21"/>
                <w:lang w:val="en-US"/>
              </w:rPr>
            </w:pPr>
            <w:r>
              <w:rPr>
                <w:szCs w:val="21"/>
                <w:lang w:val="en-US"/>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28B32">
            <w:pPr>
              <w:pStyle w:val="307"/>
              <w:rPr>
                <w:szCs w:val="21"/>
                <w:lang w:val="en-US"/>
              </w:rPr>
            </w:pPr>
            <w:r>
              <w:rPr>
                <w:rFonts w:hint="eastAsia"/>
                <w:szCs w:val="21"/>
                <w:lang w:val="en-US"/>
              </w:rPr>
              <w:t>访问资料</w:t>
            </w:r>
          </w:p>
        </w:tc>
      </w:tr>
      <w:tr w14:paraId="31334301">
        <w:tblPrEx>
          <w:tblCellMar>
            <w:top w:w="0" w:type="dxa"/>
            <w:left w:w="108" w:type="dxa"/>
            <w:bottom w:w="0" w:type="dxa"/>
            <w:right w:w="108" w:type="dxa"/>
          </w:tblCellMar>
        </w:tblPrEx>
        <w:trPr>
          <w:trHeight w:val="564"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E8E72">
            <w:pPr>
              <w:pStyle w:val="307"/>
              <w:rPr>
                <w:szCs w:val="21"/>
                <w:lang w:val="en-US"/>
              </w:rPr>
            </w:pPr>
            <w:r>
              <w:rPr>
                <w:szCs w:val="21"/>
                <w:lang w:val="en-US"/>
              </w:rPr>
              <w:t>17</w:t>
            </w:r>
          </w:p>
        </w:tc>
        <w:tc>
          <w:tcPr>
            <w:tcW w:w="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B65D3">
            <w:pPr>
              <w:pStyle w:val="307"/>
              <w:rPr>
                <w:szCs w:val="21"/>
                <w:lang w:val="en-US"/>
              </w:rPr>
            </w:pPr>
            <w:r>
              <w:rPr>
                <w:rFonts w:hint="eastAsia"/>
                <w:szCs w:val="21"/>
                <w:lang w:val="en-US"/>
              </w:rPr>
              <w:t>鹃形目</w:t>
            </w:r>
            <w:r>
              <w:rPr>
                <w:szCs w:val="21"/>
                <w:lang w:val="en-US"/>
              </w:rPr>
              <w:t>CUCULIFORMES</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E0689">
            <w:pPr>
              <w:pStyle w:val="307"/>
              <w:rPr>
                <w:szCs w:val="21"/>
                <w:lang w:val="en-US"/>
              </w:rPr>
            </w:pPr>
            <w:r>
              <w:rPr>
                <w:rFonts w:hint="eastAsia"/>
                <w:szCs w:val="21"/>
                <w:lang w:val="en-US"/>
              </w:rPr>
              <w:t>杜鹃科</w:t>
            </w:r>
            <w:r>
              <w:rPr>
                <w:i/>
                <w:iCs/>
                <w:szCs w:val="21"/>
                <w:lang w:val="en-US"/>
              </w:rPr>
              <w:t>Cuculidae</w:t>
            </w: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DB047">
            <w:pPr>
              <w:pStyle w:val="307"/>
              <w:rPr>
                <w:szCs w:val="21"/>
                <w:lang w:val="en-US"/>
              </w:rPr>
            </w:pPr>
            <w:r>
              <w:rPr>
                <w:rFonts w:hint="eastAsia"/>
                <w:szCs w:val="21"/>
                <w:lang w:val="en-US"/>
              </w:rPr>
              <w:t>大杜鹃</w:t>
            </w:r>
            <w:r>
              <w:rPr>
                <w:szCs w:val="21"/>
                <w:lang w:val="en-US"/>
              </w:rPr>
              <w:t xml:space="preserve"> </w:t>
            </w:r>
            <w:r>
              <w:rPr>
                <w:i/>
                <w:iCs/>
                <w:szCs w:val="21"/>
                <w:lang w:val="en-US"/>
              </w:rPr>
              <w:t>Cuculus</w:t>
            </w:r>
            <w:r>
              <w:rPr>
                <w:szCs w:val="21"/>
                <w:lang w:val="en-US"/>
              </w:rPr>
              <w:t xml:space="preserve"> </w:t>
            </w:r>
            <w:r>
              <w:rPr>
                <w:i/>
                <w:iCs/>
                <w:szCs w:val="21"/>
                <w:lang w:val="en-US"/>
              </w:rPr>
              <w:t>canorus</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06D08">
            <w:pPr>
              <w:pStyle w:val="307"/>
              <w:rPr>
                <w:szCs w:val="21"/>
                <w:lang w:val="en-US"/>
              </w:rPr>
            </w:pPr>
            <w:r>
              <w:rPr>
                <w:szCs w:val="21"/>
                <w:lang w:val="en-US"/>
              </w:rPr>
              <w:t>S</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3B28F">
            <w:pPr>
              <w:pStyle w:val="307"/>
              <w:rPr>
                <w:szCs w:val="21"/>
                <w:lang w:val="en-US"/>
              </w:rPr>
            </w:pPr>
            <w:r>
              <w:rPr>
                <w:rFonts w:hint="eastAsia"/>
                <w:szCs w:val="21"/>
                <w:lang w:val="en-US"/>
              </w:rPr>
              <w:t>林地</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5EBF2">
            <w:pPr>
              <w:pStyle w:val="307"/>
              <w:rPr>
                <w:szCs w:val="21"/>
                <w:lang w:val="en-US"/>
              </w:rPr>
            </w:pPr>
            <w:r>
              <w:rPr>
                <w:szCs w:val="21"/>
                <w:lang w:val="en-US"/>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96E24">
            <w:pPr>
              <w:pStyle w:val="307"/>
              <w:rPr>
                <w:szCs w:val="21"/>
                <w:lang w:val="en-US"/>
              </w:rPr>
            </w:pPr>
            <w:r>
              <w:rPr>
                <w:rFonts w:hint="eastAsia"/>
                <w:szCs w:val="21"/>
                <w:lang w:val="en-US"/>
              </w:rPr>
              <w:t>鸣声</w:t>
            </w:r>
          </w:p>
        </w:tc>
      </w:tr>
      <w:tr w14:paraId="3A4DDCCD">
        <w:tblPrEx>
          <w:tblCellMar>
            <w:top w:w="0" w:type="dxa"/>
            <w:left w:w="108" w:type="dxa"/>
            <w:bottom w:w="0" w:type="dxa"/>
            <w:right w:w="108" w:type="dxa"/>
          </w:tblCellMar>
        </w:tblPrEx>
        <w:trPr>
          <w:trHeight w:val="288"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E54BC">
            <w:pPr>
              <w:pStyle w:val="307"/>
              <w:rPr>
                <w:szCs w:val="21"/>
                <w:lang w:val="en-US"/>
              </w:rPr>
            </w:pPr>
            <w:r>
              <w:rPr>
                <w:szCs w:val="21"/>
                <w:lang w:val="en-US"/>
              </w:rPr>
              <w:t>18</w:t>
            </w:r>
          </w:p>
        </w:tc>
        <w:tc>
          <w:tcPr>
            <w:tcW w:w="7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255BD4">
            <w:pPr>
              <w:pStyle w:val="307"/>
              <w:rPr>
                <w:szCs w:val="21"/>
                <w:lang w:val="en-US"/>
              </w:rPr>
            </w:pPr>
            <w:r>
              <w:rPr>
                <w:rFonts w:hint="eastAsia"/>
                <w:szCs w:val="21"/>
                <w:lang w:val="en-US"/>
              </w:rPr>
              <w:t>隼形目</w:t>
            </w:r>
            <w:r>
              <w:rPr>
                <w:szCs w:val="21"/>
                <w:lang w:val="en-US"/>
              </w:rPr>
              <w:t>FALCONIFORMES</w:t>
            </w:r>
          </w:p>
        </w:tc>
        <w:tc>
          <w:tcPr>
            <w:tcW w:w="6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0C24F">
            <w:pPr>
              <w:pStyle w:val="307"/>
              <w:rPr>
                <w:szCs w:val="21"/>
                <w:lang w:val="en-US"/>
              </w:rPr>
            </w:pPr>
            <w:r>
              <w:rPr>
                <w:rFonts w:hint="eastAsia"/>
                <w:szCs w:val="21"/>
                <w:lang w:val="en-US"/>
              </w:rPr>
              <w:t>隼科</w:t>
            </w:r>
            <w:r>
              <w:rPr>
                <w:i/>
                <w:iCs/>
                <w:szCs w:val="21"/>
                <w:lang w:val="en-US"/>
              </w:rPr>
              <w:t>Falconidae</w:t>
            </w: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B38EC">
            <w:pPr>
              <w:pStyle w:val="307"/>
              <w:rPr>
                <w:szCs w:val="21"/>
                <w:lang w:val="en-US"/>
              </w:rPr>
            </w:pPr>
            <w:r>
              <w:rPr>
                <w:rFonts w:hint="eastAsia"/>
                <w:szCs w:val="21"/>
                <w:lang w:val="en-US"/>
              </w:rPr>
              <w:t>红脚隼</w:t>
            </w:r>
            <w:r>
              <w:rPr>
                <w:i/>
                <w:iCs/>
                <w:szCs w:val="21"/>
                <w:lang w:val="en-US"/>
              </w:rPr>
              <w:t>Falco</w:t>
            </w:r>
            <w:r>
              <w:rPr>
                <w:szCs w:val="21"/>
                <w:lang w:val="en-US"/>
              </w:rPr>
              <w:t xml:space="preserve"> </w:t>
            </w:r>
            <w:r>
              <w:rPr>
                <w:i/>
                <w:iCs/>
                <w:szCs w:val="21"/>
                <w:lang w:val="en-US"/>
              </w:rPr>
              <w:t>amurensis</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3A8F9">
            <w:pPr>
              <w:pStyle w:val="307"/>
              <w:rPr>
                <w:szCs w:val="21"/>
                <w:lang w:val="en-US"/>
              </w:rPr>
            </w:pPr>
            <w:r>
              <w:rPr>
                <w:szCs w:val="21"/>
                <w:lang w:val="en-US"/>
              </w:rPr>
              <w:t>S</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6403C">
            <w:pPr>
              <w:pStyle w:val="307"/>
              <w:rPr>
                <w:szCs w:val="21"/>
                <w:lang w:val="en-US"/>
              </w:rPr>
            </w:pPr>
            <w:r>
              <w:rPr>
                <w:rFonts w:hint="eastAsia"/>
                <w:szCs w:val="21"/>
                <w:lang w:val="en-US"/>
              </w:rPr>
              <w:t>林地、灌丛、草地</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B0739">
            <w:pPr>
              <w:pStyle w:val="307"/>
              <w:rPr>
                <w:szCs w:val="21"/>
                <w:lang w:val="en-US"/>
              </w:rPr>
            </w:pPr>
            <w:r>
              <w:rPr>
                <w:szCs w:val="21"/>
                <w:lang w:val="en-US"/>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11635">
            <w:pPr>
              <w:pStyle w:val="307"/>
              <w:rPr>
                <w:szCs w:val="21"/>
                <w:lang w:val="en-US"/>
              </w:rPr>
            </w:pPr>
            <w:r>
              <w:rPr>
                <w:rFonts w:hint="eastAsia"/>
                <w:szCs w:val="21"/>
                <w:lang w:val="en-US"/>
              </w:rPr>
              <w:t>目击</w:t>
            </w:r>
          </w:p>
        </w:tc>
      </w:tr>
      <w:tr w14:paraId="72F2C573">
        <w:tblPrEx>
          <w:tblCellMar>
            <w:top w:w="0" w:type="dxa"/>
            <w:left w:w="108" w:type="dxa"/>
            <w:bottom w:w="0" w:type="dxa"/>
            <w:right w:w="108" w:type="dxa"/>
          </w:tblCellMar>
        </w:tblPrEx>
        <w:trPr>
          <w:trHeight w:val="288"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C6D60">
            <w:pPr>
              <w:pStyle w:val="307"/>
              <w:rPr>
                <w:szCs w:val="21"/>
                <w:lang w:val="en-US"/>
              </w:rPr>
            </w:pPr>
            <w:r>
              <w:rPr>
                <w:szCs w:val="21"/>
                <w:lang w:val="en-US"/>
              </w:rPr>
              <w:t>19</w:t>
            </w:r>
          </w:p>
        </w:tc>
        <w:tc>
          <w:tcPr>
            <w:tcW w:w="7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9CF1F6">
            <w:pPr>
              <w:pStyle w:val="307"/>
              <w:rPr>
                <w:szCs w:val="21"/>
                <w:lang w:val="en-US"/>
              </w:rPr>
            </w:pPr>
          </w:p>
        </w:tc>
        <w:tc>
          <w:tcPr>
            <w:tcW w:w="6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B4E67">
            <w:pPr>
              <w:pStyle w:val="307"/>
              <w:rPr>
                <w:szCs w:val="21"/>
                <w:lang w:val="en-US"/>
              </w:rPr>
            </w:pP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B6556">
            <w:pPr>
              <w:pStyle w:val="307"/>
              <w:rPr>
                <w:szCs w:val="21"/>
                <w:lang w:val="en-US"/>
              </w:rPr>
            </w:pPr>
            <w:r>
              <w:rPr>
                <w:rFonts w:hint="eastAsia"/>
                <w:szCs w:val="21"/>
                <w:lang w:val="en-US"/>
              </w:rPr>
              <w:t>灰背隼</w:t>
            </w:r>
            <w:r>
              <w:rPr>
                <w:i/>
                <w:iCs/>
                <w:szCs w:val="21"/>
                <w:lang w:val="en-US"/>
              </w:rPr>
              <w:t>Falco</w:t>
            </w:r>
            <w:r>
              <w:rPr>
                <w:szCs w:val="21"/>
                <w:lang w:val="en-US"/>
              </w:rPr>
              <w:t xml:space="preserve"> </w:t>
            </w:r>
            <w:r>
              <w:rPr>
                <w:i/>
                <w:iCs/>
                <w:szCs w:val="21"/>
                <w:lang w:val="en-US"/>
              </w:rPr>
              <w:t>columbarius</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B7C9F">
            <w:pPr>
              <w:pStyle w:val="307"/>
              <w:rPr>
                <w:szCs w:val="21"/>
                <w:lang w:val="en-US"/>
              </w:rPr>
            </w:pPr>
            <w:r>
              <w:rPr>
                <w:szCs w:val="21"/>
                <w:lang w:val="en-US"/>
              </w:rPr>
              <w:t>S, P</w:t>
            </w:r>
            <w:r>
              <w:rPr>
                <w:rFonts w:hint="eastAsia"/>
                <w:szCs w:val="21"/>
                <w:lang w:val="en-US"/>
              </w:rPr>
              <w:t>，</w:t>
            </w:r>
            <w:r>
              <w:rPr>
                <w:szCs w:val="21"/>
                <w:lang w:val="en-US"/>
              </w:rPr>
              <w:t>W</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89FAE">
            <w:pPr>
              <w:pStyle w:val="307"/>
              <w:rPr>
                <w:szCs w:val="21"/>
                <w:lang w:val="en-US"/>
              </w:rPr>
            </w:pPr>
            <w:r>
              <w:rPr>
                <w:rFonts w:hint="eastAsia"/>
                <w:szCs w:val="21"/>
                <w:lang w:val="en-US"/>
              </w:rPr>
              <w:t>林地、草原</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2875E">
            <w:pPr>
              <w:pStyle w:val="307"/>
              <w:rPr>
                <w:szCs w:val="21"/>
                <w:lang w:val="en-US"/>
              </w:rPr>
            </w:pPr>
            <w:r>
              <w:rPr>
                <w:szCs w:val="21"/>
                <w:lang w:val="en-US"/>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FDA9D">
            <w:pPr>
              <w:pStyle w:val="307"/>
              <w:rPr>
                <w:szCs w:val="21"/>
                <w:lang w:val="en-US"/>
              </w:rPr>
            </w:pPr>
            <w:r>
              <w:rPr>
                <w:rFonts w:hint="eastAsia"/>
                <w:szCs w:val="21"/>
                <w:lang w:val="en-US"/>
              </w:rPr>
              <w:t>访问资料</w:t>
            </w:r>
          </w:p>
        </w:tc>
      </w:tr>
      <w:tr w14:paraId="35BAA979">
        <w:tblPrEx>
          <w:tblCellMar>
            <w:top w:w="0" w:type="dxa"/>
            <w:left w:w="108" w:type="dxa"/>
            <w:bottom w:w="0" w:type="dxa"/>
            <w:right w:w="108" w:type="dxa"/>
          </w:tblCellMar>
        </w:tblPrEx>
        <w:trPr>
          <w:trHeight w:val="288"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DB5E6">
            <w:pPr>
              <w:pStyle w:val="307"/>
              <w:rPr>
                <w:szCs w:val="21"/>
                <w:lang w:val="en-US"/>
              </w:rPr>
            </w:pPr>
            <w:r>
              <w:rPr>
                <w:szCs w:val="21"/>
                <w:lang w:val="en-US"/>
              </w:rPr>
              <w:t>20</w:t>
            </w:r>
          </w:p>
        </w:tc>
        <w:tc>
          <w:tcPr>
            <w:tcW w:w="7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8832C3">
            <w:pPr>
              <w:pStyle w:val="307"/>
              <w:rPr>
                <w:szCs w:val="21"/>
                <w:lang w:val="en-US"/>
              </w:rPr>
            </w:pPr>
            <w:r>
              <w:rPr>
                <w:rFonts w:hint="eastAsia"/>
                <w:szCs w:val="21"/>
                <w:lang w:val="en-US"/>
              </w:rPr>
              <w:t>鸡形目</w:t>
            </w:r>
            <w:r>
              <w:rPr>
                <w:szCs w:val="21"/>
                <w:lang w:val="en-US"/>
              </w:rPr>
              <w:t>GALLIFORMES</w:t>
            </w:r>
          </w:p>
        </w:tc>
        <w:tc>
          <w:tcPr>
            <w:tcW w:w="6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0467F">
            <w:pPr>
              <w:pStyle w:val="307"/>
              <w:rPr>
                <w:szCs w:val="21"/>
                <w:lang w:val="en-US"/>
              </w:rPr>
            </w:pPr>
            <w:r>
              <w:rPr>
                <w:rFonts w:hint="eastAsia"/>
                <w:szCs w:val="21"/>
                <w:lang w:val="en-US"/>
              </w:rPr>
              <w:t>雉科</w:t>
            </w:r>
            <w:r>
              <w:rPr>
                <w:i/>
                <w:iCs/>
                <w:szCs w:val="21"/>
                <w:lang w:val="en-US"/>
              </w:rPr>
              <w:t>Phasianidae</w:t>
            </w: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D3FF1">
            <w:pPr>
              <w:pStyle w:val="307"/>
              <w:rPr>
                <w:szCs w:val="21"/>
                <w:lang w:val="en-US"/>
              </w:rPr>
            </w:pPr>
            <w:r>
              <w:rPr>
                <w:rFonts w:hint="eastAsia"/>
                <w:szCs w:val="21"/>
                <w:lang w:val="en-US"/>
              </w:rPr>
              <w:t>环颈雉</w:t>
            </w:r>
            <w:r>
              <w:rPr>
                <w:szCs w:val="21"/>
                <w:lang w:val="en-US"/>
              </w:rPr>
              <w:t xml:space="preserve"> </w:t>
            </w:r>
            <w:r>
              <w:rPr>
                <w:i/>
                <w:iCs/>
                <w:szCs w:val="21"/>
                <w:lang w:val="en-US"/>
              </w:rPr>
              <w:t>Phasianus</w:t>
            </w:r>
            <w:r>
              <w:rPr>
                <w:szCs w:val="21"/>
                <w:lang w:val="en-US"/>
              </w:rPr>
              <w:t xml:space="preserve"> </w:t>
            </w:r>
            <w:r>
              <w:rPr>
                <w:i/>
                <w:iCs/>
                <w:szCs w:val="21"/>
                <w:lang w:val="en-US"/>
              </w:rPr>
              <w:t>colchicus</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AD72C">
            <w:pPr>
              <w:pStyle w:val="307"/>
              <w:rPr>
                <w:szCs w:val="21"/>
                <w:lang w:val="en-US"/>
              </w:rPr>
            </w:pPr>
            <w:r>
              <w:rPr>
                <w:szCs w:val="21"/>
                <w:lang w:val="en-US"/>
              </w:rPr>
              <w:t>R</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D658F">
            <w:pPr>
              <w:pStyle w:val="307"/>
              <w:rPr>
                <w:szCs w:val="21"/>
                <w:lang w:val="en-US"/>
              </w:rPr>
            </w:pPr>
            <w:r>
              <w:rPr>
                <w:rFonts w:hint="eastAsia"/>
                <w:szCs w:val="21"/>
                <w:lang w:val="en-US"/>
              </w:rPr>
              <w:t>农田、草地</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E1018">
            <w:pPr>
              <w:pStyle w:val="307"/>
              <w:rPr>
                <w:szCs w:val="21"/>
                <w:lang w:val="en-US"/>
              </w:rPr>
            </w:pPr>
            <w:r>
              <w:rPr>
                <w:szCs w:val="21"/>
                <w:lang w:val="en-US"/>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C26D5">
            <w:pPr>
              <w:pStyle w:val="307"/>
              <w:rPr>
                <w:szCs w:val="21"/>
                <w:lang w:val="en-US"/>
              </w:rPr>
            </w:pPr>
            <w:r>
              <w:rPr>
                <w:rFonts w:hint="eastAsia"/>
                <w:szCs w:val="21"/>
                <w:lang w:val="en-US"/>
              </w:rPr>
              <w:t>访问资料</w:t>
            </w:r>
          </w:p>
        </w:tc>
      </w:tr>
      <w:tr w14:paraId="3F7AACBA">
        <w:tblPrEx>
          <w:tblCellMar>
            <w:top w:w="0" w:type="dxa"/>
            <w:left w:w="108" w:type="dxa"/>
            <w:bottom w:w="0" w:type="dxa"/>
            <w:right w:w="108" w:type="dxa"/>
          </w:tblCellMar>
        </w:tblPrEx>
        <w:trPr>
          <w:trHeight w:val="288"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4569B">
            <w:pPr>
              <w:pStyle w:val="307"/>
              <w:rPr>
                <w:szCs w:val="21"/>
                <w:lang w:val="en-US"/>
              </w:rPr>
            </w:pPr>
            <w:r>
              <w:rPr>
                <w:szCs w:val="21"/>
                <w:lang w:val="en-US"/>
              </w:rPr>
              <w:t>21</w:t>
            </w:r>
          </w:p>
        </w:tc>
        <w:tc>
          <w:tcPr>
            <w:tcW w:w="7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7B555F">
            <w:pPr>
              <w:pStyle w:val="307"/>
              <w:rPr>
                <w:szCs w:val="21"/>
                <w:lang w:val="en-US"/>
              </w:rPr>
            </w:pPr>
          </w:p>
        </w:tc>
        <w:tc>
          <w:tcPr>
            <w:tcW w:w="6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6E7EA">
            <w:pPr>
              <w:pStyle w:val="307"/>
              <w:rPr>
                <w:szCs w:val="21"/>
                <w:lang w:val="en-US"/>
              </w:rPr>
            </w:pP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BE403">
            <w:pPr>
              <w:pStyle w:val="307"/>
              <w:rPr>
                <w:szCs w:val="21"/>
                <w:lang w:val="en-US"/>
              </w:rPr>
            </w:pPr>
            <w:r>
              <w:rPr>
                <w:rFonts w:hint="eastAsia"/>
                <w:szCs w:val="21"/>
                <w:lang w:val="en-US"/>
              </w:rPr>
              <w:t>石鸡</w:t>
            </w:r>
            <w:r>
              <w:rPr>
                <w:i/>
                <w:iCs/>
                <w:szCs w:val="21"/>
                <w:lang w:val="en-US"/>
              </w:rPr>
              <w:t>Alectoris</w:t>
            </w:r>
            <w:r>
              <w:rPr>
                <w:szCs w:val="21"/>
                <w:lang w:val="en-US"/>
              </w:rPr>
              <w:t xml:space="preserve"> </w:t>
            </w:r>
            <w:r>
              <w:rPr>
                <w:i/>
                <w:iCs/>
                <w:szCs w:val="21"/>
                <w:lang w:val="en-US"/>
              </w:rPr>
              <w:t>chukar</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6FF0F">
            <w:pPr>
              <w:pStyle w:val="307"/>
              <w:rPr>
                <w:szCs w:val="21"/>
                <w:lang w:val="en-US"/>
              </w:rPr>
            </w:pPr>
            <w:r>
              <w:rPr>
                <w:szCs w:val="21"/>
                <w:lang w:val="en-US"/>
              </w:rPr>
              <w:t>R</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3D697">
            <w:pPr>
              <w:pStyle w:val="307"/>
              <w:rPr>
                <w:szCs w:val="21"/>
                <w:lang w:val="en-US"/>
              </w:rPr>
            </w:pPr>
            <w:r>
              <w:rPr>
                <w:rFonts w:hint="eastAsia"/>
                <w:szCs w:val="21"/>
                <w:lang w:val="en-US"/>
              </w:rPr>
              <w:t>林地、灌丛</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C3E29">
            <w:pPr>
              <w:pStyle w:val="307"/>
              <w:rPr>
                <w:szCs w:val="21"/>
                <w:lang w:val="en-US"/>
              </w:rPr>
            </w:pPr>
            <w:r>
              <w:rPr>
                <w:szCs w:val="21"/>
                <w:lang w:val="en-US"/>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9ACE5">
            <w:pPr>
              <w:pStyle w:val="307"/>
              <w:rPr>
                <w:szCs w:val="21"/>
                <w:lang w:val="en-US"/>
              </w:rPr>
            </w:pPr>
            <w:r>
              <w:rPr>
                <w:rFonts w:hint="eastAsia"/>
                <w:szCs w:val="21"/>
                <w:lang w:val="en-US"/>
              </w:rPr>
              <w:t>访问资料</w:t>
            </w:r>
          </w:p>
        </w:tc>
      </w:tr>
      <w:tr w14:paraId="67682F15">
        <w:tblPrEx>
          <w:tblCellMar>
            <w:top w:w="0" w:type="dxa"/>
            <w:left w:w="108" w:type="dxa"/>
            <w:bottom w:w="0" w:type="dxa"/>
            <w:right w:w="108" w:type="dxa"/>
          </w:tblCellMar>
        </w:tblPrEx>
        <w:trPr>
          <w:trHeight w:val="288"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125BF">
            <w:pPr>
              <w:pStyle w:val="307"/>
              <w:rPr>
                <w:szCs w:val="21"/>
                <w:lang w:val="en-US"/>
              </w:rPr>
            </w:pPr>
            <w:r>
              <w:rPr>
                <w:szCs w:val="21"/>
                <w:lang w:val="en-US"/>
              </w:rPr>
              <w:t>22</w:t>
            </w:r>
          </w:p>
        </w:tc>
        <w:tc>
          <w:tcPr>
            <w:tcW w:w="7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5209D9">
            <w:pPr>
              <w:pStyle w:val="307"/>
              <w:rPr>
                <w:szCs w:val="21"/>
                <w:lang w:val="en-US"/>
              </w:rPr>
            </w:pPr>
          </w:p>
        </w:tc>
        <w:tc>
          <w:tcPr>
            <w:tcW w:w="6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08E2A">
            <w:pPr>
              <w:pStyle w:val="307"/>
              <w:rPr>
                <w:szCs w:val="21"/>
                <w:lang w:val="en-US"/>
              </w:rPr>
            </w:pP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AD445">
            <w:pPr>
              <w:pStyle w:val="307"/>
              <w:rPr>
                <w:szCs w:val="21"/>
                <w:lang w:val="en-US"/>
              </w:rPr>
            </w:pPr>
            <w:r>
              <w:rPr>
                <w:rFonts w:hint="eastAsia"/>
                <w:szCs w:val="21"/>
                <w:lang w:val="en-US"/>
              </w:rPr>
              <w:t>鹌鹑</w:t>
            </w:r>
            <w:r>
              <w:rPr>
                <w:i/>
                <w:iCs/>
                <w:szCs w:val="21"/>
                <w:lang w:val="en-US"/>
              </w:rPr>
              <w:t>Coturnix</w:t>
            </w:r>
            <w:r>
              <w:rPr>
                <w:szCs w:val="21"/>
                <w:lang w:val="en-US"/>
              </w:rPr>
              <w:t xml:space="preserve"> </w:t>
            </w:r>
            <w:r>
              <w:rPr>
                <w:i/>
                <w:iCs/>
                <w:szCs w:val="21"/>
                <w:lang w:val="en-US"/>
              </w:rPr>
              <w:t>coturnix</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E5460">
            <w:pPr>
              <w:pStyle w:val="307"/>
              <w:rPr>
                <w:szCs w:val="21"/>
                <w:lang w:val="en-US"/>
              </w:rPr>
            </w:pPr>
            <w:r>
              <w:rPr>
                <w:szCs w:val="21"/>
                <w:lang w:val="en-US"/>
              </w:rPr>
              <w:t>W</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7C3A3">
            <w:pPr>
              <w:pStyle w:val="307"/>
              <w:rPr>
                <w:szCs w:val="21"/>
                <w:lang w:val="en-US"/>
              </w:rPr>
            </w:pPr>
            <w:r>
              <w:rPr>
                <w:rFonts w:hint="eastAsia"/>
                <w:szCs w:val="21"/>
                <w:lang w:val="en-US"/>
              </w:rPr>
              <w:t>林地、农田、草地</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9191B">
            <w:pPr>
              <w:pStyle w:val="307"/>
              <w:rPr>
                <w:szCs w:val="21"/>
                <w:lang w:val="en-US"/>
              </w:rPr>
            </w:pPr>
            <w:r>
              <w:rPr>
                <w:szCs w:val="21"/>
                <w:lang w:val="en-US"/>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5194C">
            <w:pPr>
              <w:pStyle w:val="307"/>
              <w:rPr>
                <w:szCs w:val="21"/>
                <w:lang w:val="en-US"/>
              </w:rPr>
            </w:pPr>
            <w:r>
              <w:rPr>
                <w:rFonts w:hint="eastAsia"/>
                <w:szCs w:val="21"/>
                <w:lang w:val="en-US"/>
              </w:rPr>
              <w:t>访问资料</w:t>
            </w:r>
          </w:p>
        </w:tc>
      </w:tr>
      <w:tr w14:paraId="6A394853">
        <w:tblPrEx>
          <w:tblCellMar>
            <w:top w:w="0" w:type="dxa"/>
            <w:left w:w="108" w:type="dxa"/>
            <w:bottom w:w="0" w:type="dxa"/>
            <w:right w:w="108" w:type="dxa"/>
          </w:tblCellMar>
        </w:tblPrEx>
        <w:trPr>
          <w:trHeight w:val="564"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3147E">
            <w:pPr>
              <w:pStyle w:val="307"/>
              <w:rPr>
                <w:szCs w:val="21"/>
                <w:lang w:val="en-US"/>
              </w:rPr>
            </w:pPr>
            <w:r>
              <w:rPr>
                <w:szCs w:val="21"/>
                <w:lang w:val="en-US"/>
              </w:rPr>
              <w:t>23</w:t>
            </w:r>
          </w:p>
        </w:tc>
        <w:tc>
          <w:tcPr>
            <w:tcW w:w="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5F3C5">
            <w:pPr>
              <w:pStyle w:val="307"/>
              <w:rPr>
                <w:szCs w:val="21"/>
                <w:lang w:val="en-US"/>
              </w:rPr>
            </w:pPr>
            <w:r>
              <w:rPr>
                <w:rFonts w:hint="eastAsia"/>
                <w:szCs w:val="21"/>
                <w:lang w:val="en-US"/>
              </w:rPr>
              <w:t>鹤形目</w:t>
            </w:r>
            <w:r>
              <w:rPr>
                <w:szCs w:val="21"/>
                <w:lang w:val="en-US"/>
              </w:rPr>
              <w:t>GRUIFORMES</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5D025">
            <w:pPr>
              <w:pStyle w:val="307"/>
              <w:rPr>
                <w:szCs w:val="21"/>
                <w:lang w:val="en-US"/>
              </w:rPr>
            </w:pPr>
            <w:r>
              <w:rPr>
                <w:rFonts w:hint="eastAsia"/>
                <w:szCs w:val="21"/>
                <w:lang w:val="en-US"/>
              </w:rPr>
              <w:t>秧鸡科</w:t>
            </w:r>
            <w:r>
              <w:rPr>
                <w:i/>
                <w:iCs/>
                <w:szCs w:val="21"/>
                <w:lang w:val="en-US"/>
              </w:rPr>
              <w:t>Rallidae</w:t>
            </w: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ECD6C">
            <w:pPr>
              <w:pStyle w:val="307"/>
              <w:rPr>
                <w:szCs w:val="21"/>
                <w:lang w:val="en-US"/>
              </w:rPr>
            </w:pPr>
            <w:r>
              <w:rPr>
                <w:rFonts w:hint="eastAsia"/>
                <w:szCs w:val="21"/>
                <w:lang w:val="en-US"/>
              </w:rPr>
              <w:t>白骨顶</w:t>
            </w:r>
            <w:r>
              <w:rPr>
                <w:i/>
                <w:iCs/>
                <w:szCs w:val="21"/>
                <w:lang w:val="en-US"/>
              </w:rPr>
              <w:t>Fulica</w:t>
            </w:r>
            <w:r>
              <w:rPr>
                <w:szCs w:val="21"/>
                <w:lang w:val="en-US"/>
              </w:rPr>
              <w:t xml:space="preserve"> </w:t>
            </w:r>
            <w:r>
              <w:rPr>
                <w:i/>
                <w:iCs/>
                <w:szCs w:val="21"/>
                <w:lang w:val="en-US"/>
              </w:rPr>
              <w:t>atra</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B61A0">
            <w:pPr>
              <w:pStyle w:val="307"/>
              <w:rPr>
                <w:szCs w:val="21"/>
                <w:lang w:val="en-US"/>
              </w:rPr>
            </w:pPr>
            <w:r>
              <w:rPr>
                <w:szCs w:val="21"/>
                <w:lang w:val="en-US"/>
              </w:rPr>
              <w:t>S</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D3C93">
            <w:pPr>
              <w:pStyle w:val="307"/>
              <w:rPr>
                <w:szCs w:val="21"/>
                <w:lang w:val="en-US"/>
              </w:rPr>
            </w:pPr>
            <w:r>
              <w:rPr>
                <w:rFonts w:hint="eastAsia"/>
                <w:szCs w:val="21"/>
                <w:lang w:val="en-US"/>
              </w:rPr>
              <w:t>湿地</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99A36">
            <w:pPr>
              <w:pStyle w:val="307"/>
              <w:rPr>
                <w:szCs w:val="21"/>
                <w:lang w:val="en-US"/>
              </w:rPr>
            </w:pPr>
            <w:r>
              <w:rPr>
                <w:szCs w:val="21"/>
                <w:lang w:val="en-US"/>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DD60C">
            <w:pPr>
              <w:pStyle w:val="307"/>
              <w:rPr>
                <w:szCs w:val="21"/>
                <w:lang w:val="en-US"/>
              </w:rPr>
            </w:pPr>
            <w:r>
              <w:rPr>
                <w:rFonts w:hint="eastAsia"/>
                <w:szCs w:val="21"/>
                <w:lang w:val="en-US"/>
              </w:rPr>
              <w:t>目击</w:t>
            </w:r>
          </w:p>
        </w:tc>
      </w:tr>
      <w:tr w14:paraId="5A4F4018">
        <w:tblPrEx>
          <w:tblCellMar>
            <w:top w:w="0" w:type="dxa"/>
            <w:left w:w="108" w:type="dxa"/>
            <w:bottom w:w="0" w:type="dxa"/>
            <w:right w:w="108" w:type="dxa"/>
          </w:tblCellMar>
        </w:tblPrEx>
        <w:trPr>
          <w:trHeight w:val="288"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87A4F">
            <w:pPr>
              <w:pStyle w:val="307"/>
              <w:rPr>
                <w:szCs w:val="21"/>
                <w:lang w:val="en-US"/>
              </w:rPr>
            </w:pPr>
            <w:r>
              <w:rPr>
                <w:szCs w:val="21"/>
                <w:lang w:val="en-US"/>
              </w:rPr>
              <w:t>24</w:t>
            </w:r>
          </w:p>
        </w:tc>
        <w:tc>
          <w:tcPr>
            <w:tcW w:w="7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990098">
            <w:pPr>
              <w:pStyle w:val="307"/>
              <w:rPr>
                <w:szCs w:val="21"/>
                <w:lang w:val="en-US"/>
              </w:rPr>
            </w:pPr>
            <w:r>
              <w:rPr>
                <w:rFonts w:hint="eastAsia"/>
                <w:szCs w:val="21"/>
                <w:lang w:val="en-US"/>
              </w:rPr>
              <w:t>雀形目</w:t>
            </w:r>
            <w:r>
              <w:rPr>
                <w:szCs w:val="21"/>
                <w:lang w:val="en-US"/>
              </w:rPr>
              <w:t>PASSERIFORMES</w:t>
            </w:r>
          </w:p>
        </w:tc>
        <w:tc>
          <w:tcPr>
            <w:tcW w:w="6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87D2A">
            <w:pPr>
              <w:pStyle w:val="307"/>
              <w:rPr>
                <w:szCs w:val="21"/>
                <w:lang w:val="en-US"/>
              </w:rPr>
            </w:pPr>
            <w:r>
              <w:rPr>
                <w:rFonts w:hint="eastAsia"/>
                <w:szCs w:val="21"/>
                <w:lang w:val="en-US"/>
              </w:rPr>
              <w:t>鸦科</w:t>
            </w:r>
            <w:r>
              <w:rPr>
                <w:i/>
                <w:iCs/>
                <w:szCs w:val="21"/>
                <w:lang w:val="en-US"/>
              </w:rPr>
              <w:t>Corvidae</w:t>
            </w: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6AC12">
            <w:pPr>
              <w:pStyle w:val="307"/>
              <w:rPr>
                <w:szCs w:val="21"/>
                <w:lang w:val="en-US"/>
              </w:rPr>
            </w:pPr>
            <w:r>
              <w:rPr>
                <w:rFonts w:hint="eastAsia"/>
                <w:szCs w:val="21"/>
                <w:lang w:val="en-US"/>
              </w:rPr>
              <w:t>小嘴乌鸦</w:t>
            </w:r>
            <w:r>
              <w:rPr>
                <w:szCs w:val="21"/>
                <w:lang w:val="en-US"/>
              </w:rPr>
              <w:t xml:space="preserve"> </w:t>
            </w:r>
            <w:r>
              <w:rPr>
                <w:i/>
                <w:iCs/>
                <w:szCs w:val="21"/>
                <w:lang w:val="en-US"/>
              </w:rPr>
              <w:t>Corvus</w:t>
            </w:r>
            <w:r>
              <w:rPr>
                <w:szCs w:val="21"/>
                <w:lang w:val="en-US"/>
              </w:rPr>
              <w:t xml:space="preserve"> </w:t>
            </w:r>
            <w:r>
              <w:rPr>
                <w:i/>
                <w:iCs/>
                <w:szCs w:val="21"/>
                <w:lang w:val="en-US"/>
              </w:rPr>
              <w:t>corone</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3F319">
            <w:pPr>
              <w:pStyle w:val="307"/>
              <w:rPr>
                <w:szCs w:val="21"/>
                <w:lang w:val="en-US"/>
              </w:rPr>
            </w:pPr>
            <w:r>
              <w:rPr>
                <w:szCs w:val="21"/>
                <w:lang w:val="en-US"/>
              </w:rPr>
              <w:t>R</w:t>
            </w:r>
            <w:r>
              <w:rPr>
                <w:rFonts w:hint="eastAsia"/>
                <w:szCs w:val="21"/>
                <w:lang w:val="en-US"/>
              </w:rPr>
              <w:t>，</w:t>
            </w:r>
            <w:r>
              <w:rPr>
                <w:szCs w:val="21"/>
                <w:lang w:val="en-US"/>
              </w:rPr>
              <w:t>P</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1E7A5">
            <w:pPr>
              <w:pStyle w:val="307"/>
              <w:rPr>
                <w:szCs w:val="21"/>
                <w:lang w:val="en-US"/>
              </w:rPr>
            </w:pPr>
            <w:r>
              <w:rPr>
                <w:rFonts w:hint="eastAsia"/>
                <w:szCs w:val="21"/>
                <w:lang w:val="en-US"/>
              </w:rPr>
              <w:t>农田</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04515">
            <w:pPr>
              <w:pStyle w:val="307"/>
              <w:rPr>
                <w:szCs w:val="21"/>
                <w:lang w:val="en-US"/>
              </w:rPr>
            </w:pPr>
            <w:r>
              <w:rPr>
                <w:szCs w:val="21"/>
                <w:lang w:val="en-US"/>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733E9">
            <w:pPr>
              <w:pStyle w:val="307"/>
              <w:rPr>
                <w:szCs w:val="21"/>
                <w:lang w:val="en-US"/>
              </w:rPr>
            </w:pPr>
            <w:r>
              <w:rPr>
                <w:rFonts w:hint="eastAsia"/>
                <w:szCs w:val="21"/>
                <w:lang w:val="en-US"/>
              </w:rPr>
              <w:t>目击</w:t>
            </w:r>
          </w:p>
        </w:tc>
      </w:tr>
      <w:tr w14:paraId="0BECE043">
        <w:tblPrEx>
          <w:tblCellMar>
            <w:top w:w="0" w:type="dxa"/>
            <w:left w:w="108" w:type="dxa"/>
            <w:bottom w:w="0" w:type="dxa"/>
            <w:right w:w="108" w:type="dxa"/>
          </w:tblCellMar>
        </w:tblPrEx>
        <w:trPr>
          <w:trHeight w:val="288"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AB961">
            <w:pPr>
              <w:pStyle w:val="307"/>
              <w:rPr>
                <w:szCs w:val="21"/>
                <w:lang w:val="en-US"/>
              </w:rPr>
            </w:pPr>
            <w:r>
              <w:rPr>
                <w:szCs w:val="21"/>
                <w:lang w:val="en-US"/>
              </w:rPr>
              <w:t>25</w:t>
            </w:r>
          </w:p>
        </w:tc>
        <w:tc>
          <w:tcPr>
            <w:tcW w:w="7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867DDB">
            <w:pPr>
              <w:pStyle w:val="307"/>
              <w:rPr>
                <w:szCs w:val="21"/>
                <w:lang w:val="en-US"/>
              </w:rPr>
            </w:pPr>
          </w:p>
        </w:tc>
        <w:tc>
          <w:tcPr>
            <w:tcW w:w="6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6F634">
            <w:pPr>
              <w:pStyle w:val="307"/>
              <w:rPr>
                <w:szCs w:val="21"/>
                <w:lang w:val="en-US"/>
              </w:rPr>
            </w:pP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FF2D9">
            <w:pPr>
              <w:pStyle w:val="307"/>
              <w:rPr>
                <w:szCs w:val="21"/>
                <w:lang w:val="en-US"/>
              </w:rPr>
            </w:pPr>
            <w:r>
              <w:rPr>
                <w:rFonts w:hint="eastAsia"/>
                <w:szCs w:val="21"/>
                <w:lang w:val="en-US"/>
              </w:rPr>
              <w:t>大嘴乌鸦</w:t>
            </w:r>
            <w:r>
              <w:rPr>
                <w:szCs w:val="21"/>
                <w:lang w:val="en-US"/>
              </w:rPr>
              <w:t xml:space="preserve"> </w:t>
            </w:r>
            <w:r>
              <w:rPr>
                <w:i/>
                <w:iCs/>
                <w:szCs w:val="21"/>
                <w:lang w:val="en-US"/>
              </w:rPr>
              <w:t>Corvus</w:t>
            </w:r>
            <w:r>
              <w:rPr>
                <w:szCs w:val="21"/>
                <w:lang w:val="en-US"/>
              </w:rPr>
              <w:t xml:space="preserve"> </w:t>
            </w:r>
            <w:r>
              <w:rPr>
                <w:i/>
                <w:iCs/>
                <w:szCs w:val="21"/>
                <w:lang w:val="en-US"/>
              </w:rPr>
              <w:t>macrorhynchos</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42D07">
            <w:pPr>
              <w:pStyle w:val="307"/>
              <w:rPr>
                <w:szCs w:val="21"/>
                <w:lang w:val="en-US"/>
              </w:rPr>
            </w:pPr>
            <w:r>
              <w:rPr>
                <w:szCs w:val="21"/>
                <w:lang w:val="en-US"/>
              </w:rPr>
              <w:t>R</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00FE0">
            <w:pPr>
              <w:pStyle w:val="307"/>
              <w:rPr>
                <w:szCs w:val="21"/>
                <w:lang w:val="en-US"/>
              </w:rPr>
            </w:pPr>
            <w:r>
              <w:rPr>
                <w:rFonts w:hint="eastAsia"/>
                <w:szCs w:val="21"/>
                <w:lang w:val="en-US"/>
              </w:rPr>
              <w:t>林地、农田</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DF645">
            <w:pPr>
              <w:pStyle w:val="307"/>
              <w:rPr>
                <w:szCs w:val="21"/>
                <w:lang w:val="en-US"/>
              </w:rPr>
            </w:pPr>
            <w:r>
              <w:rPr>
                <w:szCs w:val="21"/>
                <w:lang w:val="en-US"/>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D8324">
            <w:pPr>
              <w:pStyle w:val="307"/>
              <w:rPr>
                <w:szCs w:val="21"/>
                <w:lang w:val="en-US"/>
              </w:rPr>
            </w:pPr>
            <w:r>
              <w:rPr>
                <w:rFonts w:hint="eastAsia"/>
                <w:szCs w:val="21"/>
                <w:lang w:val="en-US"/>
              </w:rPr>
              <w:t>访问资料</w:t>
            </w:r>
          </w:p>
        </w:tc>
      </w:tr>
      <w:tr w14:paraId="728B29EB">
        <w:tblPrEx>
          <w:tblCellMar>
            <w:top w:w="0" w:type="dxa"/>
            <w:left w:w="108" w:type="dxa"/>
            <w:bottom w:w="0" w:type="dxa"/>
            <w:right w:w="108" w:type="dxa"/>
          </w:tblCellMar>
        </w:tblPrEx>
        <w:trPr>
          <w:trHeight w:val="288"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41846">
            <w:pPr>
              <w:pStyle w:val="307"/>
              <w:rPr>
                <w:szCs w:val="21"/>
                <w:lang w:val="en-US"/>
              </w:rPr>
            </w:pPr>
            <w:r>
              <w:rPr>
                <w:szCs w:val="21"/>
                <w:lang w:val="en-US"/>
              </w:rPr>
              <w:t>26</w:t>
            </w:r>
          </w:p>
        </w:tc>
        <w:tc>
          <w:tcPr>
            <w:tcW w:w="7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03F62B">
            <w:pPr>
              <w:pStyle w:val="307"/>
              <w:rPr>
                <w:szCs w:val="21"/>
                <w:lang w:val="en-US"/>
              </w:rPr>
            </w:pPr>
          </w:p>
        </w:tc>
        <w:tc>
          <w:tcPr>
            <w:tcW w:w="6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7A711">
            <w:pPr>
              <w:pStyle w:val="307"/>
              <w:rPr>
                <w:szCs w:val="21"/>
                <w:lang w:val="en-US"/>
              </w:rPr>
            </w:pP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0E9AD">
            <w:pPr>
              <w:pStyle w:val="307"/>
              <w:rPr>
                <w:szCs w:val="21"/>
                <w:lang w:val="en-US"/>
              </w:rPr>
            </w:pPr>
            <w:r>
              <w:rPr>
                <w:rFonts w:hint="eastAsia"/>
                <w:szCs w:val="21"/>
                <w:lang w:val="en-US"/>
              </w:rPr>
              <w:t>喜鹊</w:t>
            </w:r>
            <w:r>
              <w:rPr>
                <w:szCs w:val="21"/>
                <w:lang w:val="en-US"/>
              </w:rPr>
              <w:t xml:space="preserve"> </w:t>
            </w:r>
            <w:r>
              <w:rPr>
                <w:i/>
                <w:iCs/>
                <w:szCs w:val="21"/>
                <w:lang w:val="en-US"/>
              </w:rPr>
              <w:t>Pica</w:t>
            </w:r>
            <w:r>
              <w:rPr>
                <w:szCs w:val="21"/>
                <w:lang w:val="en-US"/>
              </w:rPr>
              <w:t xml:space="preserve"> </w:t>
            </w:r>
            <w:r>
              <w:rPr>
                <w:i/>
                <w:iCs/>
                <w:szCs w:val="21"/>
                <w:lang w:val="en-US"/>
              </w:rPr>
              <w:t>pica</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17C05">
            <w:pPr>
              <w:pStyle w:val="307"/>
              <w:rPr>
                <w:szCs w:val="21"/>
                <w:lang w:val="en-US"/>
              </w:rPr>
            </w:pPr>
            <w:r>
              <w:rPr>
                <w:szCs w:val="21"/>
                <w:lang w:val="en-US"/>
              </w:rPr>
              <w:t>R</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FB47E">
            <w:pPr>
              <w:pStyle w:val="307"/>
              <w:rPr>
                <w:szCs w:val="21"/>
                <w:lang w:val="en-US"/>
              </w:rPr>
            </w:pPr>
            <w:r>
              <w:rPr>
                <w:rFonts w:hint="eastAsia"/>
                <w:szCs w:val="21"/>
                <w:lang w:val="en-US"/>
              </w:rPr>
              <w:t>林地、草地</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C162B">
            <w:pPr>
              <w:pStyle w:val="307"/>
              <w:rPr>
                <w:szCs w:val="21"/>
                <w:lang w:val="en-US"/>
              </w:rPr>
            </w:pPr>
            <w:r>
              <w:rPr>
                <w:szCs w:val="21"/>
                <w:lang w:val="en-US"/>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B6C00">
            <w:pPr>
              <w:pStyle w:val="307"/>
              <w:rPr>
                <w:szCs w:val="21"/>
                <w:lang w:val="en-US"/>
              </w:rPr>
            </w:pPr>
            <w:r>
              <w:rPr>
                <w:rFonts w:hint="eastAsia"/>
                <w:szCs w:val="21"/>
                <w:lang w:val="en-US"/>
              </w:rPr>
              <w:t>目击</w:t>
            </w:r>
          </w:p>
        </w:tc>
      </w:tr>
      <w:tr w14:paraId="4F0348C9">
        <w:tblPrEx>
          <w:tblCellMar>
            <w:top w:w="0" w:type="dxa"/>
            <w:left w:w="108" w:type="dxa"/>
            <w:bottom w:w="0" w:type="dxa"/>
            <w:right w:w="108" w:type="dxa"/>
          </w:tblCellMar>
        </w:tblPrEx>
        <w:trPr>
          <w:trHeight w:val="288"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40831">
            <w:pPr>
              <w:pStyle w:val="307"/>
              <w:rPr>
                <w:szCs w:val="21"/>
                <w:lang w:val="en-US"/>
              </w:rPr>
            </w:pPr>
            <w:r>
              <w:rPr>
                <w:szCs w:val="21"/>
                <w:lang w:val="en-US"/>
              </w:rPr>
              <w:t>27</w:t>
            </w:r>
          </w:p>
        </w:tc>
        <w:tc>
          <w:tcPr>
            <w:tcW w:w="7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B2853">
            <w:pPr>
              <w:pStyle w:val="307"/>
              <w:rPr>
                <w:szCs w:val="21"/>
                <w:lang w:val="en-US"/>
              </w:rPr>
            </w:pPr>
          </w:p>
        </w:tc>
        <w:tc>
          <w:tcPr>
            <w:tcW w:w="6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6E0E7">
            <w:pPr>
              <w:pStyle w:val="307"/>
              <w:rPr>
                <w:szCs w:val="21"/>
                <w:lang w:val="en-US"/>
              </w:rPr>
            </w:pP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ED536">
            <w:pPr>
              <w:pStyle w:val="307"/>
              <w:rPr>
                <w:szCs w:val="21"/>
                <w:lang w:val="en-US"/>
              </w:rPr>
            </w:pPr>
            <w:r>
              <w:rPr>
                <w:rFonts w:hint="eastAsia"/>
                <w:szCs w:val="21"/>
                <w:lang w:val="en-US"/>
              </w:rPr>
              <w:t>灰喜鹊</w:t>
            </w:r>
            <w:r>
              <w:rPr>
                <w:i/>
                <w:iCs/>
                <w:szCs w:val="21"/>
                <w:lang w:val="en-US"/>
              </w:rPr>
              <w:t>Cyanopica</w:t>
            </w:r>
            <w:r>
              <w:rPr>
                <w:szCs w:val="21"/>
                <w:lang w:val="en-US"/>
              </w:rPr>
              <w:t xml:space="preserve"> </w:t>
            </w:r>
            <w:r>
              <w:rPr>
                <w:i/>
                <w:iCs/>
                <w:szCs w:val="21"/>
                <w:lang w:val="en-US"/>
              </w:rPr>
              <w:t>cyanus</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6438B">
            <w:pPr>
              <w:pStyle w:val="307"/>
              <w:rPr>
                <w:szCs w:val="21"/>
                <w:lang w:val="en-US"/>
              </w:rPr>
            </w:pPr>
            <w:r>
              <w:rPr>
                <w:szCs w:val="21"/>
                <w:lang w:val="en-US"/>
              </w:rPr>
              <w:t>R</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A1DEA">
            <w:pPr>
              <w:pStyle w:val="307"/>
              <w:rPr>
                <w:szCs w:val="21"/>
                <w:lang w:val="en-US"/>
              </w:rPr>
            </w:pPr>
            <w:r>
              <w:rPr>
                <w:rFonts w:hint="eastAsia"/>
                <w:szCs w:val="21"/>
                <w:lang w:val="en-US"/>
              </w:rPr>
              <w:t>乔木林</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A5B7E">
            <w:pPr>
              <w:pStyle w:val="307"/>
              <w:rPr>
                <w:szCs w:val="21"/>
                <w:lang w:val="en-US"/>
              </w:rPr>
            </w:pPr>
            <w:r>
              <w:rPr>
                <w:szCs w:val="21"/>
                <w:lang w:val="en-US"/>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4E789">
            <w:pPr>
              <w:pStyle w:val="307"/>
              <w:rPr>
                <w:szCs w:val="21"/>
                <w:lang w:val="en-US"/>
              </w:rPr>
            </w:pPr>
            <w:r>
              <w:rPr>
                <w:rFonts w:hint="eastAsia"/>
                <w:szCs w:val="21"/>
                <w:lang w:val="en-US"/>
              </w:rPr>
              <w:t>访问资料</w:t>
            </w:r>
          </w:p>
        </w:tc>
      </w:tr>
      <w:tr w14:paraId="0F21A09B">
        <w:tblPrEx>
          <w:tblCellMar>
            <w:top w:w="0" w:type="dxa"/>
            <w:left w:w="108" w:type="dxa"/>
            <w:bottom w:w="0" w:type="dxa"/>
            <w:right w:w="108" w:type="dxa"/>
          </w:tblCellMar>
        </w:tblPrEx>
        <w:trPr>
          <w:trHeight w:val="288"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C34F0">
            <w:pPr>
              <w:pStyle w:val="307"/>
              <w:rPr>
                <w:szCs w:val="21"/>
                <w:lang w:val="en-US"/>
              </w:rPr>
            </w:pPr>
            <w:r>
              <w:rPr>
                <w:szCs w:val="21"/>
                <w:lang w:val="en-US"/>
              </w:rPr>
              <w:t>28</w:t>
            </w:r>
          </w:p>
        </w:tc>
        <w:tc>
          <w:tcPr>
            <w:tcW w:w="7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57C6F0">
            <w:pPr>
              <w:pStyle w:val="307"/>
              <w:rPr>
                <w:szCs w:val="21"/>
                <w:lang w:val="en-US"/>
              </w:rPr>
            </w:pPr>
          </w:p>
        </w:tc>
        <w:tc>
          <w:tcPr>
            <w:tcW w:w="6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7A04E">
            <w:pPr>
              <w:pStyle w:val="307"/>
              <w:rPr>
                <w:szCs w:val="21"/>
                <w:lang w:val="en-US"/>
              </w:rPr>
            </w:pPr>
            <w:r>
              <w:rPr>
                <w:rFonts w:hint="eastAsia"/>
                <w:szCs w:val="21"/>
                <w:lang w:val="en-US"/>
              </w:rPr>
              <w:t>鹀科</w:t>
            </w:r>
            <w:r>
              <w:rPr>
                <w:i/>
                <w:iCs/>
                <w:szCs w:val="21"/>
                <w:lang w:val="en-US"/>
              </w:rPr>
              <w:t>Emberizidae</w:t>
            </w: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DB63E">
            <w:pPr>
              <w:pStyle w:val="307"/>
              <w:rPr>
                <w:szCs w:val="21"/>
                <w:lang w:val="en-US"/>
              </w:rPr>
            </w:pPr>
            <w:r>
              <w:rPr>
                <w:rFonts w:hint="eastAsia"/>
                <w:szCs w:val="21"/>
                <w:lang w:val="en-US"/>
              </w:rPr>
              <w:t>三道眉草鹀</w:t>
            </w:r>
            <w:r>
              <w:rPr>
                <w:i/>
                <w:iCs/>
                <w:szCs w:val="21"/>
                <w:lang w:val="en-US"/>
              </w:rPr>
              <w:t>Emberiza</w:t>
            </w:r>
            <w:r>
              <w:rPr>
                <w:szCs w:val="21"/>
                <w:lang w:val="en-US"/>
              </w:rPr>
              <w:t xml:space="preserve"> </w:t>
            </w:r>
            <w:r>
              <w:rPr>
                <w:i/>
                <w:iCs/>
                <w:szCs w:val="21"/>
                <w:lang w:val="en-US"/>
              </w:rPr>
              <w:t>cioides</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51D33">
            <w:pPr>
              <w:pStyle w:val="307"/>
              <w:rPr>
                <w:szCs w:val="21"/>
                <w:lang w:val="en-US"/>
              </w:rPr>
            </w:pPr>
            <w:r>
              <w:rPr>
                <w:szCs w:val="21"/>
                <w:lang w:val="en-US"/>
              </w:rPr>
              <w:t>R</w:t>
            </w:r>
            <w:r>
              <w:rPr>
                <w:rFonts w:hint="eastAsia"/>
                <w:szCs w:val="21"/>
                <w:lang w:val="en-US"/>
              </w:rPr>
              <w:t>，</w:t>
            </w:r>
            <w:r>
              <w:rPr>
                <w:szCs w:val="21"/>
                <w:lang w:val="en-US"/>
              </w:rPr>
              <w:t>S</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DFB9B">
            <w:pPr>
              <w:pStyle w:val="307"/>
              <w:rPr>
                <w:szCs w:val="21"/>
                <w:lang w:val="en-US"/>
              </w:rPr>
            </w:pPr>
            <w:r>
              <w:rPr>
                <w:rFonts w:hint="eastAsia"/>
                <w:szCs w:val="21"/>
                <w:lang w:val="en-US"/>
              </w:rPr>
              <w:t>林地、灌丛、草地</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A2720">
            <w:pPr>
              <w:pStyle w:val="307"/>
              <w:rPr>
                <w:szCs w:val="21"/>
                <w:lang w:val="en-US"/>
              </w:rPr>
            </w:pPr>
            <w:r>
              <w:rPr>
                <w:szCs w:val="21"/>
                <w:lang w:val="en-US"/>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BCAD9">
            <w:pPr>
              <w:pStyle w:val="307"/>
              <w:rPr>
                <w:szCs w:val="21"/>
                <w:lang w:val="en-US"/>
              </w:rPr>
            </w:pPr>
            <w:r>
              <w:rPr>
                <w:rFonts w:hint="eastAsia"/>
                <w:szCs w:val="21"/>
                <w:lang w:val="en-US"/>
              </w:rPr>
              <w:t>访问资料</w:t>
            </w:r>
          </w:p>
        </w:tc>
      </w:tr>
      <w:tr w14:paraId="3CE9AD2F">
        <w:tblPrEx>
          <w:tblCellMar>
            <w:top w:w="0" w:type="dxa"/>
            <w:left w:w="108" w:type="dxa"/>
            <w:bottom w:w="0" w:type="dxa"/>
            <w:right w:w="108" w:type="dxa"/>
          </w:tblCellMar>
        </w:tblPrEx>
        <w:trPr>
          <w:trHeight w:val="288"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B0F83">
            <w:pPr>
              <w:pStyle w:val="307"/>
              <w:rPr>
                <w:szCs w:val="21"/>
                <w:lang w:val="en-US"/>
              </w:rPr>
            </w:pPr>
            <w:r>
              <w:rPr>
                <w:szCs w:val="21"/>
                <w:lang w:val="en-US"/>
              </w:rPr>
              <w:t>29</w:t>
            </w:r>
          </w:p>
        </w:tc>
        <w:tc>
          <w:tcPr>
            <w:tcW w:w="7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2EC6B7">
            <w:pPr>
              <w:pStyle w:val="307"/>
              <w:rPr>
                <w:szCs w:val="21"/>
                <w:lang w:val="en-US"/>
              </w:rPr>
            </w:pPr>
          </w:p>
        </w:tc>
        <w:tc>
          <w:tcPr>
            <w:tcW w:w="6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A482D">
            <w:pPr>
              <w:pStyle w:val="307"/>
              <w:rPr>
                <w:szCs w:val="21"/>
                <w:lang w:val="en-US"/>
              </w:rPr>
            </w:pP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FBD32">
            <w:pPr>
              <w:pStyle w:val="307"/>
              <w:rPr>
                <w:szCs w:val="21"/>
                <w:lang w:val="en-US"/>
              </w:rPr>
            </w:pPr>
            <w:r>
              <w:rPr>
                <w:rFonts w:hint="eastAsia"/>
                <w:szCs w:val="21"/>
                <w:lang w:val="en-US"/>
              </w:rPr>
              <w:t>白头鹀</w:t>
            </w:r>
            <w:r>
              <w:rPr>
                <w:i/>
                <w:iCs/>
                <w:szCs w:val="21"/>
                <w:lang w:val="en-US"/>
              </w:rPr>
              <w:t>Emberiza</w:t>
            </w:r>
            <w:r>
              <w:rPr>
                <w:szCs w:val="21"/>
                <w:lang w:val="en-US"/>
              </w:rPr>
              <w:t xml:space="preserve"> </w:t>
            </w:r>
            <w:r>
              <w:rPr>
                <w:i/>
                <w:iCs/>
                <w:szCs w:val="21"/>
                <w:lang w:val="en-US"/>
              </w:rPr>
              <w:t>leucocephalos</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9C848">
            <w:pPr>
              <w:pStyle w:val="307"/>
              <w:rPr>
                <w:szCs w:val="21"/>
                <w:lang w:val="en-US"/>
              </w:rPr>
            </w:pPr>
            <w:r>
              <w:rPr>
                <w:szCs w:val="21"/>
                <w:lang w:val="en-US"/>
              </w:rPr>
              <w:t>W</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556EF">
            <w:pPr>
              <w:pStyle w:val="307"/>
              <w:rPr>
                <w:szCs w:val="21"/>
                <w:lang w:val="en-US"/>
              </w:rPr>
            </w:pPr>
            <w:r>
              <w:rPr>
                <w:rFonts w:hint="eastAsia"/>
                <w:szCs w:val="21"/>
                <w:lang w:val="en-US"/>
              </w:rPr>
              <w:t>灌丛、草地、农田</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4F46D">
            <w:pPr>
              <w:pStyle w:val="307"/>
              <w:rPr>
                <w:szCs w:val="21"/>
                <w:lang w:val="en-US"/>
              </w:rPr>
            </w:pPr>
            <w:r>
              <w:rPr>
                <w:szCs w:val="21"/>
                <w:lang w:val="en-US"/>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1DF21">
            <w:pPr>
              <w:pStyle w:val="307"/>
              <w:rPr>
                <w:szCs w:val="21"/>
                <w:lang w:val="en-US"/>
              </w:rPr>
            </w:pPr>
            <w:r>
              <w:rPr>
                <w:rFonts w:hint="eastAsia"/>
                <w:szCs w:val="21"/>
                <w:lang w:val="en-US"/>
              </w:rPr>
              <w:t>资料访问</w:t>
            </w:r>
          </w:p>
        </w:tc>
      </w:tr>
      <w:tr w14:paraId="6823AA1F">
        <w:tblPrEx>
          <w:tblCellMar>
            <w:top w:w="0" w:type="dxa"/>
            <w:left w:w="108" w:type="dxa"/>
            <w:bottom w:w="0" w:type="dxa"/>
            <w:right w:w="108" w:type="dxa"/>
          </w:tblCellMar>
        </w:tblPrEx>
        <w:trPr>
          <w:trHeight w:val="288"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5C6C1">
            <w:pPr>
              <w:pStyle w:val="307"/>
              <w:rPr>
                <w:szCs w:val="21"/>
                <w:lang w:val="en-US"/>
              </w:rPr>
            </w:pPr>
            <w:r>
              <w:rPr>
                <w:szCs w:val="21"/>
                <w:lang w:val="en-US"/>
              </w:rPr>
              <w:t>30</w:t>
            </w:r>
          </w:p>
        </w:tc>
        <w:tc>
          <w:tcPr>
            <w:tcW w:w="7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C6C7E2">
            <w:pPr>
              <w:pStyle w:val="307"/>
              <w:rPr>
                <w:szCs w:val="21"/>
                <w:lang w:val="en-US"/>
              </w:rPr>
            </w:pPr>
          </w:p>
        </w:tc>
        <w:tc>
          <w:tcPr>
            <w:tcW w:w="6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F06FC">
            <w:pPr>
              <w:pStyle w:val="307"/>
              <w:rPr>
                <w:szCs w:val="21"/>
                <w:lang w:val="en-US"/>
              </w:rPr>
            </w:pPr>
            <w:r>
              <w:rPr>
                <w:rFonts w:hint="eastAsia"/>
                <w:szCs w:val="21"/>
                <w:lang w:val="en-US"/>
              </w:rPr>
              <w:t>燕科</w:t>
            </w:r>
            <w:r>
              <w:rPr>
                <w:i/>
                <w:iCs/>
                <w:szCs w:val="21"/>
                <w:lang w:val="en-US"/>
              </w:rPr>
              <w:t>Hirundinidae</w:t>
            </w: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BE23D">
            <w:pPr>
              <w:pStyle w:val="307"/>
              <w:rPr>
                <w:szCs w:val="21"/>
                <w:lang w:val="en-US"/>
              </w:rPr>
            </w:pPr>
            <w:r>
              <w:rPr>
                <w:rFonts w:hint="eastAsia"/>
                <w:szCs w:val="21"/>
                <w:lang w:val="en-US"/>
              </w:rPr>
              <w:t>金腰燕</w:t>
            </w:r>
            <w:r>
              <w:rPr>
                <w:szCs w:val="21"/>
                <w:lang w:val="en-US"/>
              </w:rPr>
              <w:t xml:space="preserve"> </w:t>
            </w:r>
            <w:r>
              <w:rPr>
                <w:i/>
                <w:iCs/>
                <w:szCs w:val="21"/>
                <w:lang w:val="en-US"/>
              </w:rPr>
              <w:t>Hirundo</w:t>
            </w:r>
            <w:r>
              <w:rPr>
                <w:szCs w:val="21"/>
                <w:lang w:val="en-US"/>
              </w:rPr>
              <w:t xml:space="preserve"> </w:t>
            </w:r>
            <w:r>
              <w:rPr>
                <w:i/>
                <w:iCs/>
                <w:szCs w:val="21"/>
                <w:lang w:val="en-US"/>
              </w:rPr>
              <w:t>daurica</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31F31">
            <w:pPr>
              <w:pStyle w:val="307"/>
              <w:rPr>
                <w:szCs w:val="21"/>
                <w:lang w:val="en-US"/>
              </w:rPr>
            </w:pPr>
            <w:r>
              <w:rPr>
                <w:szCs w:val="21"/>
                <w:lang w:val="en-US"/>
              </w:rPr>
              <w:t>S</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07D42">
            <w:pPr>
              <w:pStyle w:val="307"/>
              <w:rPr>
                <w:szCs w:val="21"/>
                <w:lang w:val="en-US"/>
              </w:rPr>
            </w:pPr>
            <w:r>
              <w:rPr>
                <w:rFonts w:hint="eastAsia"/>
                <w:szCs w:val="21"/>
                <w:lang w:val="en-US"/>
              </w:rPr>
              <w:t>林地、草地</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21A62">
            <w:pPr>
              <w:pStyle w:val="307"/>
              <w:rPr>
                <w:szCs w:val="21"/>
                <w:lang w:val="en-US"/>
              </w:rPr>
            </w:pPr>
            <w:r>
              <w:rPr>
                <w:szCs w:val="21"/>
                <w:lang w:val="en-US"/>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AC711">
            <w:pPr>
              <w:pStyle w:val="307"/>
              <w:rPr>
                <w:szCs w:val="21"/>
                <w:lang w:val="en-US"/>
              </w:rPr>
            </w:pPr>
            <w:r>
              <w:rPr>
                <w:rFonts w:hint="eastAsia"/>
                <w:szCs w:val="21"/>
                <w:lang w:val="en-US"/>
              </w:rPr>
              <w:t>访问资料</w:t>
            </w:r>
          </w:p>
        </w:tc>
      </w:tr>
      <w:tr w14:paraId="17A27EBC">
        <w:tblPrEx>
          <w:tblCellMar>
            <w:top w:w="0" w:type="dxa"/>
            <w:left w:w="108" w:type="dxa"/>
            <w:bottom w:w="0" w:type="dxa"/>
            <w:right w:w="108" w:type="dxa"/>
          </w:tblCellMar>
        </w:tblPrEx>
        <w:trPr>
          <w:trHeight w:val="288"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25B07">
            <w:pPr>
              <w:pStyle w:val="307"/>
              <w:rPr>
                <w:szCs w:val="21"/>
                <w:lang w:val="en-US"/>
              </w:rPr>
            </w:pPr>
            <w:r>
              <w:rPr>
                <w:szCs w:val="21"/>
                <w:lang w:val="en-US"/>
              </w:rPr>
              <w:t>31</w:t>
            </w:r>
          </w:p>
        </w:tc>
        <w:tc>
          <w:tcPr>
            <w:tcW w:w="7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AE75E">
            <w:pPr>
              <w:pStyle w:val="307"/>
              <w:rPr>
                <w:szCs w:val="21"/>
                <w:lang w:val="en-US"/>
              </w:rPr>
            </w:pPr>
          </w:p>
        </w:tc>
        <w:tc>
          <w:tcPr>
            <w:tcW w:w="6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AFA75">
            <w:pPr>
              <w:pStyle w:val="307"/>
              <w:rPr>
                <w:szCs w:val="21"/>
                <w:lang w:val="en-US"/>
              </w:rPr>
            </w:pP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73758">
            <w:pPr>
              <w:pStyle w:val="307"/>
              <w:rPr>
                <w:szCs w:val="21"/>
                <w:lang w:val="en-US"/>
              </w:rPr>
            </w:pPr>
            <w:r>
              <w:rPr>
                <w:rFonts w:hint="eastAsia"/>
                <w:szCs w:val="21"/>
                <w:lang w:val="en-US"/>
              </w:rPr>
              <w:t>家燕</w:t>
            </w:r>
            <w:r>
              <w:rPr>
                <w:szCs w:val="21"/>
                <w:lang w:val="en-US"/>
              </w:rPr>
              <w:t xml:space="preserve"> </w:t>
            </w:r>
            <w:r>
              <w:rPr>
                <w:i/>
                <w:iCs/>
                <w:szCs w:val="21"/>
                <w:lang w:val="en-US"/>
              </w:rPr>
              <w:t>Hirundo</w:t>
            </w:r>
            <w:r>
              <w:rPr>
                <w:szCs w:val="21"/>
                <w:lang w:val="en-US"/>
              </w:rPr>
              <w:t xml:space="preserve"> </w:t>
            </w:r>
            <w:r>
              <w:rPr>
                <w:i/>
                <w:iCs/>
                <w:szCs w:val="21"/>
                <w:lang w:val="en-US"/>
              </w:rPr>
              <w:t>rustica</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2E078">
            <w:pPr>
              <w:pStyle w:val="307"/>
              <w:rPr>
                <w:szCs w:val="21"/>
                <w:lang w:val="en-US"/>
              </w:rPr>
            </w:pPr>
            <w:r>
              <w:rPr>
                <w:szCs w:val="21"/>
                <w:lang w:val="en-US"/>
              </w:rPr>
              <w:t>S</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A2999">
            <w:pPr>
              <w:pStyle w:val="307"/>
              <w:rPr>
                <w:szCs w:val="21"/>
                <w:lang w:val="en-US"/>
              </w:rPr>
            </w:pPr>
            <w:r>
              <w:rPr>
                <w:rFonts w:hint="eastAsia"/>
                <w:szCs w:val="21"/>
                <w:lang w:val="en-US"/>
              </w:rPr>
              <w:t>林地、草地</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A896E">
            <w:pPr>
              <w:pStyle w:val="307"/>
              <w:rPr>
                <w:szCs w:val="21"/>
                <w:lang w:val="en-US"/>
              </w:rPr>
            </w:pPr>
            <w:r>
              <w:rPr>
                <w:szCs w:val="21"/>
                <w:lang w:val="en-US"/>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7194D">
            <w:pPr>
              <w:pStyle w:val="307"/>
              <w:rPr>
                <w:szCs w:val="21"/>
                <w:lang w:val="en-US"/>
              </w:rPr>
            </w:pPr>
            <w:r>
              <w:rPr>
                <w:rFonts w:hint="eastAsia"/>
                <w:szCs w:val="21"/>
                <w:lang w:val="en-US"/>
              </w:rPr>
              <w:t>访问资料</w:t>
            </w:r>
          </w:p>
        </w:tc>
      </w:tr>
      <w:tr w14:paraId="5DF5CBAA">
        <w:tblPrEx>
          <w:tblCellMar>
            <w:top w:w="0" w:type="dxa"/>
            <w:left w:w="108" w:type="dxa"/>
            <w:bottom w:w="0" w:type="dxa"/>
            <w:right w:w="108" w:type="dxa"/>
          </w:tblCellMar>
        </w:tblPrEx>
        <w:trPr>
          <w:trHeight w:val="288"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4AB04">
            <w:pPr>
              <w:pStyle w:val="307"/>
              <w:rPr>
                <w:szCs w:val="21"/>
                <w:lang w:val="en-US"/>
              </w:rPr>
            </w:pPr>
            <w:r>
              <w:rPr>
                <w:szCs w:val="21"/>
                <w:lang w:val="en-US"/>
              </w:rPr>
              <w:t>32</w:t>
            </w:r>
          </w:p>
        </w:tc>
        <w:tc>
          <w:tcPr>
            <w:tcW w:w="7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81A58D">
            <w:pPr>
              <w:pStyle w:val="307"/>
              <w:rPr>
                <w:szCs w:val="21"/>
                <w:lang w:val="en-US"/>
              </w:rPr>
            </w:pPr>
          </w:p>
        </w:tc>
        <w:tc>
          <w:tcPr>
            <w:tcW w:w="6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8D7AF">
            <w:pPr>
              <w:pStyle w:val="307"/>
              <w:rPr>
                <w:szCs w:val="21"/>
                <w:lang w:val="en-US"/>
              </w:rPr>
            </w:pP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716A9">
            <w:pPr>
              <w:pStyle w:val="307"/>
              <w:rPr>
                <w:szCs w:val="21"/>
                <w:lang w:val="en-US"/>
              </w:rPr>
            </w:pPr>
            <w:r>
              <w:rPr>
                <w:rFonts w:hint="eastAsia"/>
                <w:szCs w:val="21"/>
                <w:lang w:val="en-US"/>
              </w:rPr>
              <w:t>白腹毛脚燕</w:t>
            </w:r>
            <w:r>
              <w:rPr>
                <w:i/>
                <w:iCs/>
                <w:szCs w:val="21"/>
                <w:lang w:val="en-US"/>
              </w:rPr>
              <w:t>Delichon</w:t>
            </w:r>
            <w:r>
              <w:rPr>
                <w:szCs w:val="21"/>
                <w:lang w:val="en-US"/>
              </w:rPr>
              <w:t xml:space="preserve"> </w:t>
            </w:r>
            <w:r>
              <w:rPr>
                <w:i/>
                <w:iCs/>
                <w:szCs w:val="21"/>
                <w:lang w:val="en-US"/>
              </w:rPr>
              <w:t>urbicum</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D332D">
            <w:pPr>
              <w:pStyle w:val="307"/>
              <w:rPr>
                <w:szCs w:val="21"/>
                <w:lang w:val="en-US"/>
              </w:rPr>
            </w:pPr>
            <w:r>
              <w:rPr>
                <w:szCs w:val="21"/>
                <w:lang w:val="en-US"/>
              </w:rPr>
              <w:t>R</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120C2">
            <w:pPr>
              <w:pStyle w:val="307"/>
              <w:rPr>
                <w:szCs w:val="21"/>
                <w:lang w:val="en-US"/>
              </w:rPr>
            </w:pPr>
            <w:r>
              <w:rPr>
                <w:rFonts w:hint="eastAsia"/>
                <w:szCs w:val="21"/>
                <w:lang w:val="en-US"/>
              </w:rPr>
              <w:t>林地、草地、湿地</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2A365">
            <w:pPr>
              <w:pStyle w:val="307"/>
              <w:rPr>
                <w:szCs w:val="21"/>
                <w:lang w:val="en-US"/>
              </w:rPr>
            </w:pPr>
            <w:r>
              <w:rPr>
                <w:szCs w:val="21"/>
                <w:lang w:val="en-US"/>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32958">
            <w:pPr>
              <w:pStyle w:val="307"/>
              <w:rPr>
                <w:szCs w:val="21"/>
                <w:lang w:val="en-US"/>
              </w:rPr>
            </w:pPr>
            <w:r>
              <w:rPr>
                <w:rFonts w:hint="eastAsia"/>
                <w:szCs w:val="21"/>
                <w:lang w:val="en-US"/>
              </w:rPr>
              <w:t>资料访问</w:t>
            </w:r>
          </w:p>
        </w:tc>
      </w:tr>
      <w:tr w14:paraId="58763CEE">
        <w:tblPrEx>
          <w:tblCellMar>
            <w:top w:w="0" w:type="dxa"/>
            <w:left w:w="108" w:type="dxa"/>
            <w:bottom w:w="0" w:type="dxa"/>
            <w:right w:w="108" w:type="dxa"/>
          </w:tblCellMar>
        </w:tblPrEx>
        <w:trPr>
          <w:trHeight w:val="288"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32987">
            <w:pPr>
              <w:pStyle w:val="307"/>
              <w:rPr>
                <w:szCs w:val="21"/>
                <w:lang w:val="en-US"/>
              </w:rPr>
            </w:pPr>
            <w:r>
              <w:rPr>
                <w:szCs w:val="21"/>
                <w:lang w:val="en-US"/>
              </w:rPr>
              <w:t>33</w:t>
            </w:r>
          </w:p>
        </w:tc>
        <w:tc>
          <w:tcPr>
            <w:tcW w:w="7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ACE1AE">
            <w:pPr>
              <w:pStyle w:val="307"/>
              <w:rPr>
                <w:szCs w:val="21"/>
                <w:lang w:val="en-US"/>
              </w:rPr>
            </w:pP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AAE8C">
            <w:pPr>
              <w:pStyle w:val="307"/>
              <w:rPr>
                <w:szCs w:val="21"/>
                <w:lang w:val="en-US"/>
              </w:rPr>
            </w:pPr>
            <w:r>
              <w:rPr>
                <w:rFonts w:hint="eastAsia"/>
                <w:szCs w:val="21"/>
                <w:lang w:val="en-US"/>
              </w:rPr>
              <w:t>伯劳科</w:t>
            </w:r>
            <w:r>
              <w:rPr>
                <w:i/>
                <w:iCs/>
                <w:szCs w:val="21"/>
                <w:lang w:val="en-US"/>
              </w:rPr>
              <w:t>Laniidae</w:t>
            </w: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6FEA2">
            <w:pPr>
              <w:pStyle w:val="307"/>
              <w:rPr>
                <w:szCs w:val="21"/>
                <w:lang w:val="en-US"/>
              </w:rPr>
            </w:pPr>
            <w:r>
              <w:rPr>
                <w:rFonts w:hint="eastAsia"/>
                <w:szCs w:val="21"/>
                <w:lang w:val="en-US"/>
              </w:rPr>
              <w:t>楔尾伯劳</w:t>
            </w:r>
            <w:r>
              <w:rPr>
                <w:i/>
                <w:iCs/>
                <w:szCs w:val="21"/>
                <w:lang w:val="en-US"/>
              </w:rPr>
              <w:t>Lanius</w:t>
            </w:r>
            <w:r>
              <w:rPr>
                <w:szCs w:val="21"/>
                <w:lang w:val="en-US"/>
              </w:rPr>
              <w:t xml:space="preserve"> </w:t>
            </w:r>
            <w:r>
              <w:rPr>
                <w:i/>
                <w:iCs/>
                <w:szCs w:val="21"/>
                <w:lang w:val="en-US"/>
              </w:rPr>
              <w:t>sphenocercus</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37B86">
            <w:pPr>
              <w:pStyle w:val="307"/>
              <w:rPr>
                <w:szCs w:val="21"/>
                <w:lang w:val="en-US"/>
              </w:rPr>
            </w:pPr>
            <w:r>
              <w:rPr>
                <w:szCs w:val="21"/>
                <w:lang w:val="en-US"/>
              </w:rPr>
              <w:t>S</w:t>
            </w:r>
            <w:r>
              <w:rPr>
                <w:rFonts w:hint="eastAsia"/>
                <w:szCs w:val="21"/>
                <w:lang w:val="en-US"/>
              </w:rPr>
              <w:t>，</w:t>
            </w:r>
            <w:r>
              <w:rPr>
                <w:szCs w:val="21"/>
                <w:lang w:val="en-US"/>
              </w:rPr>
              <w:t>W</w:t>
            </w:r>
            <w:r>
              <w:rPr>
                <w:rFonts w:hint="eastAsia"/>
                <w:szCs w:val="21"/>
                <w:lang w:val="en-US"/>
              </w:rPr>
              <w:t>，</w:t>
            </w:r>
            <w:r>
              <w:rPr>
                <w:szCs w:val="21"/>
                <w:lang w:val="en-US"/>
              </w:rPr>
              <w:t>P</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68205">
            <w:pPr>
              <w:pStyle w:val="307"/>
              <w:rPr>
                <w:szCs w:val="21"/>
                <w:lang w:val="en-US"/>
              </w:rPr>
            </w:pPr>
            <w:r>
              <w:rPr>
                <w:rFonts w:hint="eastAsia"/>
                <w:szCs w:val="21"/>
                <w:lang w:val="en-US"/>
              </w:rPr>
              <w:t>草原、湿地</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6D873">
            <w:pPr>
              <w:pStyle w:val="307"/>
              <w:rPr>
                <w:szCs w:val="21"/>
                <w:lang w:val="en-US"/>
              </w:rPr>
            </w:pPr>
            <w:r>
              <w:rPr>
                <w:szCs w:val="21"/>
                <w:lang w:val="en-US"/>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A9D6C">
            <w:pPr>
              <w:pStyle w:val="307"/>
              <w:rPr>
                <w:szCs w:val="21"/>
                <w:lang w:val="en-US"/>
              </w:rPr>
            </w:pPr>
            <w:r>
              <w:rPr>
                <w:rFonts w:hint="eastAsia"/>
                <w:szCs w:val="21"/>
                <w:lang w:val="en-US"/>
              </w:rPr>
              <w:t>访问资料</w:t>
            </w:r>
          </w:p>
        </w:tc>
      </w:tr>
      <w:tr w14:paraId="420B35B0">
        <w:tblPrEx>
          <w:tblCellMar>
            <w:top w:w="0" w:type="dxa"/>
            <w:left w:w="108" w:type="dxa"/>
            <w:bottom w:w="0" w:type="dxa"/>
            <w:right w:w="108" w:type="dxa"/>
          </w:tblCellMar>
        </w:tblPrEx>
        <w:trPr>
          <w:trHeight w:val="288"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C6AAD">
            <w:pPr>
              <w:pStyle w:val="307"/>
              <w:rPr>
                <w:szCs w:val="21"/>
                <w:lang w:val="en-US"/>
              </w:rPr>
            </w:pPr>
            <w:r>
              <w:rPr>
                <w:szCs w:val="21"/>
                <w:lang w:val="en-US"/>
              </w:rPr>
              <w:t>34</w:t>
            </w:r>
          </w:p>
        </w:tc>
        <w:tc>
          <w:tcPr>
            <w:tcW w:w="7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653E1F">
            <w:pPr>
              <w:pStyle w:val="307"/>
              <w:rPr>
                <w:szCs w:val="21"/>
                <w:lang w:val="en-US"/>
              </w:rPr>
            </w:pP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D0BD8">
            <w:pPr>
              <w:pStyle w:val="307"/>
              <w:rPr>
                <w:szCs w:val="21"/>
                <w:lang w:val="en-US"/>
              </w:rPr>
            </w:pPr>
            <w:r>
              <w:rPr>
                <w:rFonts w:hint="eastAsia"/>
                <w:szCs w:val="21"/>
                <w:lang w:val="en-US"/>
              </w:rPr>
              <w:t>鹡鸰科</w:t>
            </w:r>
            <w:r>
              <w:rPr>
                <w:i/>
                <w:iCs/>
                <w:szCs w:val="21"/>
                <w:lang w:val="en-US"/>
              </w:rPr>
              <w:t>Motacillidae</w:t>
            </w: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C3C7A">
            <w:pPr>
              <w:pStyle w:val="307"/>
              <w:rPr>
                <w:szCs w:val="21"/>
                <w:lang w:val="en-US"/>
              </w:rPr>
            </w:pPr>
            <w:r>
              <w:rPr>
                <w:rFonts w:hint="eastAsia"/>
                <w:szCs w:val="21"/>
                <w:lang w:val="en-US"/>
              </w:rPr>
              <w:t>白鹡鸰</w:t>
            </w:r>
            <w:r>
              <w:rPr>
                <w:i/>
                <w:iCs/>
                <w:szCs w:val="21"/>
                <w:lang w:val="en-US"/>
              </w:rPr>
              <w:t>Motacilla</w:t>
            </w:r>
            <w:r>
              <w:rPr>
                <w:szCs w:val="21"/>
                <w:lang w:val="en-US"/>
              </w:rPr>
              <w:t xml:space="preserve"> </w:t>
            </w:r>
            <w:r>
              <w:rPr>
                <w:i/>
                <w:iCs/>
                <w:szCs w:val="21"/>
                <w:lang w:val="en-US"/>
              </w:rPr>
              <w:t>alba</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8FA72">
            <w:pPr>
              <w:pStyle w:val="307"/>
              <w:rPr>
                <w:szCs w:val="21"/>
                <w:lang w:val="en-US"/>
              </w:rPr>
            </w:pPr>
            <w:r>
              <w:rPr>
                <w:szCs w:val="21"/>
                <w:lang w:val="en-US"/>
              </w:rPr>
              <w:t>S</w:t>
            </w:r>
            <w:r>
              <w:rPr>
                <w:rFonts w:hint="eastAsia"/>
                <w:szCs w:val="21"/>
                <w:lang w:val="en-US"/>
              </w:rPr>
              <w:t>，</w:t>
            </w:r>
            <w:r>
              <w:rPr>
                <w:szCs w:val="21"/>
                <w:lang w:val="en-US"/>
              </w:rPr>
              <w:t>P</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CD75C">
            <w:pPr>
              <w:pStyle w:val="307"/>
              <w:rPr>
                <w:szCs w:val="21"/>
                <w:lang w:val="en-US"/>
              </w:rPr>
            </w:pPr>
            <w:r>
              <w:rPr>
                <w:rFonts w:hint="eastAsia"/>
                <w:szCs w:val="21"/>
                <w:lang w:val="en-US"/>
              </w:rPr>
              <w:t>湿地</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EA622">
            <w:pPr>
              <w:pStyle w:val="307"/>
              <w:rPr>
                <w:szCs w:val="21"/>
                <w:lang w:val="en-US"/>
              </w:rPr>
            </w:pPr>
            <w:r>
              <w:rPr>
                <w:szCs w:val="21"/>
                <w:lang w:val="en-US"/>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84BA7">
            <w:pPr>
              <w:pStyle w:val="307"/>
              <w:rPr>
                <w:szCs w:val="21"/>
                <w:lang w:val="en-US"/>
              </w:rPr>
            </w:pPr>
            <w:r>
              <w:rPr>
                <w:rFonts w:hint="eastAsia"/>
                <w:szCs w:val="21"/>
                <w:lang w:val="en-US"/>
              </w:rPr>
              <w:t>访问资料</w:t>
            </w:r>
          </w:p>
        </w:tc>
      </w:tr>
      <w:tr w14:paraId="4D3F7C94">
        <w:tblPrEx>
          <w:tblCellMar>
            <w:top w:w="0" w:type="dxa"/>
            <w:left w:w="108" w:type="dxa"/>
            <w:bottom w:w="0" w:type="dxa"/>
            <w:right w:w="108" w:type="dxa"/>
          </w:tblCellMar>
        </w:tblPrEx>
        <w:trPr>
          <w:trHeight w:val="288"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769B1">
            <w:pPr>
              <w:pStyle w:val="307"/>
              <w:rPr>
                <w:szCs w:val="21"/>
                <w:lang w:val="en-US"/>
              </w:rPr>
            </w:pPr>
            <w:r>
              <w:rPr>
                <w:szCs w:val="21"/>
                <w:lang w:val="en-US"/>
              </w:rPr>
              <w:t>35</w:t>
            </w:r>
          </w:p>
        </w:tc>
        <w:tc>
          <w:tcPr>
            <w:tcW w:w="7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3E9373">
            <w:pPr>
              <w:pStyle w:val="307"/>
              <w:rPr>
                <w:szCs w:val="21"/>
                <w:lang w:val="en-US"/>
              </w:rPr>
            </w:pP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B8F0D">
            <w:pPr>
              <w:pStyle w:val="307"/>
              <w:rPr>
                <w:szCs w:val="21"/>
                <w:lang w:val="en-US"/>
              </w:rPr>
            </w:pPr>
            <w:r>
              <w:rPr>
                <w:rFonts w:hint="eastAsia"/>
                <w:szCs w:val="21"/>
                <w:lang w:val="en-US"/>
              </w:rPr>
              <w:t>鹟科</w:t>
            </w:r>
            <w:r>
              <w:rPr>
                <w:i/>
                <w:iCs/>
                <w:szCs w:val="21"/>
                <w:lang w:val="en-US"/>
              </w:rPr>
              <w:t>Muscicapidae</w:t>
            </w: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BAB56">
            <w:pPr>
              <w:pStyle w:val="307"/>
              <w:rPr>
                <w:szCs w:val="21"/>
                <w:lang w:val="en-US"/>
              </w:rPr>
            </w:pPr>
            <w:r>
              <w:rPr>
                <w:rFonts w:hint="eastAsia"/>
                <w:szCs w:val="21"/>
                <w:lang w:val="en-US"/>
              </w:rPr>
              <w:t>北红尾鸲</w:t>
            </w:r>
            <w:r>
              <w:rPr>
                <w:i/>
                <w:iCs/>
                <w:szCs w:val="21"/>
                <w:lang w:val="en-US"/>
              </w:rPr>
              <w:t>Phoenicurus</w:t>
            </w:r>
            <w:r>
              <w:rPr>
                <w:szCs w:val="21"/>
                <w:lang w:val="en-US"/>
              </w:rPr>
              <w:t xml:space="preserve"> </w:t>
            </w:r>
            <w:r>
              <w:rPr>
                <w:i/>
                <w:iCs/>
                <w:szCs w:val="21"/>
                <w:lang w:val="en-US"/>
              </w:rPr>
              <w:t>auroreus</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8ABE7">
            <w:pPr>
              <w:pStyle w:val="307"/>
              <w:rPr>
                <w:szCs w:val="21"/>
                <w:lang w:val="en-US"/>
              </w:rPr>
            </w:pPr>
            <w:r>
              <w:rPr>
                <w:szCs w:val="21"/>
                <w:lang w:val="en-US"/>
              </w:rPr>
              <w:t>S</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79676">
            <w:pPr>
              <w:pStyle w:val="307"/>
              <w:rPr>
                <w:szCs w:val="21"/>
                <w:lang w:val="en-US"/>
              </w:rPr>
            </w:pPr>
            <w:r>
              <w:rPr>
                <w:rFonts w:hint="eastAsia"/>
                <w:szCs w:val="21"/>
                <w:lang w:val="en-US"/>
              </w:rPr>
              <w:t>林地、湿地、居民点</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3E2AB">
            <w:pPr>
              <w:pStyle w:val="307"/>
              <w:rPr>
                <w:szCs w:val="21"/>
                <w:lang w:val="en-US"/>
              </w:rPr>
            </w:pPr>
            <w:r>
              <w:rPr>
                <w:szCs w:val="21"/>
                <w:lang w:val="en-US"/>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B7DA3">
            <w:pPr>
              <w:pStyle w:val="307"/>
              <w:rPr>
                <w:szCs w:val="21"/>
                <w:lang w:val="en-US"/>
              </w:rPr>
            </w:pPr>
            <w:r>
              <w:rPr>
                <w:rFonts w:hint="eastAsia"/>
                <w:szCs w:val="21"/>
                <w:lang w:val="en-US"/>
              </w:rPr>
              <w:t>资料访问</w:t>
            </w:r>
          </w:p>
        </w:tc>
      </w:tr>
      <w:tr w14:paraId="34FFE0E8">
        <w:tblPrEx>
          <w:tblCellMar>
            <w:top w:w="0" w:type="dxa"/>
            <w:left w:w="108" w:type="dxa"/>
            <w:bottom w:w="0" w:type="dxa"/>
            <w:right w:w="108" w:type="dxa"/>
          </w:tblCellMar>
        </w:tblPrEx>
        <w:trPr>
          <w:trHeight w:val="288"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B139C">
            <w:pPr>
              <w:pStyle w:val="307"/>
              <w:rPr>
                <w:szCs w:val="21"/>
                <w:lang w:val="en-US"/>
              </w:rPr>
            </w:pPr>
            <w:r>
              <w:rPr>
                <w:szCs w:val="21"/>
                <w:lang w:val="en-US"/>
              </w:rPr>
              <w:t>36</w:t>
            </w:r>
          </w:p>
        </w:tc>
        <w:tc>
          <w:tcPr>
            <w:tcW w:w="7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4BF2FB">
            <w:pPr>
              <w:pStyle w:val="307"/>
              <w:rPr>
                <w:szCs w:val="21"/>
                <w:lang w:val="en-US"/>
              </w:rPr>
            </w:pP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56094">
            <w:pPr>
              <w:pStyle w:val="307"/>
              <w:rPr>
                <w:szCs w:val="21"/>
                <w:lang w:val="en-US"/>
              </w:rPr>
            </w:pPr>
            <w:r>
              <w:rPr>
                <w:rFonts w:hint="eastAsia"/>
                <w:szCs w:val="21"/>
                <w:lang w:val="en-US"/>
              </w:rPr>
              <w:t>雀科</w:t>
            </w:r>
            <w:r>
              <w:rPr>
                <w:i/>
                <w:iCs/>
                <w:szCs w:val="21"/>
                <w:lang w:val="en-US"/>
              </w:rPr>
              <w:t>Passeridae</w:t>
            </w: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6B5A0">
            <w:pPr>
              <w:pStyle w:val="307"/>
              <w:rPr>
                <w:szCs w:val="21"/>
                <w:lang w:val="en-US"/>
              </w:rPr>
            </w:pPr>
            <w:r>
              <w:rPr>
                <w:rFonts w:hint="eastAsia"/>
                <w:szCs w:val="21"/>
                <w:lang w:val="en-US"/>
              </w:rPr>
              <w:t>麻雀</w:t>
            </w:r>
            <w:r>
              <w:rPr>
                <w:szCs w:val="21"/>
                <w:lang w:val="en-US"/>
              </w:rPr>
              <w:t xml:space="preserve"> </w:t>
            </w:r>
            <w:r>
              <w:rPr>
                <w:i/>
                <w:iCs/>
                <w:szCs w:val="21"/>
                <w:lang w:val="en-US"/>
              </w:rPr>
              <w:t>Passer</w:t>
            </w:r>
            <w:r>
              <w:rPr>
                <w:szCs w:val="21"/>
                <w:lang w:val="en-US"/>
              </w:rPr>
              <w:t xml:space="preserve"> </w:t>
            </w:r>
            <w:r>
              <w:rPr>
                <w:i/>
                <w:iCs/>
                <w:szCs w:val="21"/>
                <w:lang w:val="en-US"/>
              </w:rPr>
              <w:t>montanus</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2AD3E">
            <w:pPr>
              <w:pStyle w:val="307"/>
              <w:rPr>
                <w:szCs w:val="21"/>
                <w:lang w:val="en-US"/>
              </w:rPr>
            </w:pPr>
            <w:r>
              <w:rPr>
                <w:szCs w:val="21"/>
                <w:lang w:val="en-US"/>
              </w:rPr>
              <w:t>R</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CEF80">
            <w:pPr>
              <w:pStyle w:val="307"/>
              <w:rPr>
                <w:szCs w:val="21"/>
                <w:lang w:val="en-US"/>
              </w:rPr>
            </w:pPr>
            <w:r>
              <w:rPr>
                <w:rFonts w:hint="eastAsia"/>
                <w:szCs w:val="21"/>
                <w:lang w:val="en-US"/>
              </w:rPr>
              <w:t>林地、草地、农田</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CE262">
            <w:pPr>
              <w:pStyle w:val="307"/>
              <w:rPr>
                <w:szCs w:val="21"/>
                <w:lang w:val="en-US"/>
              </w:rPr>
            </w:pPr>
            <w:r>
              <w:rPr>
                <w:szCs w:val="21"/>
                <w:lang w:val="en-US"/>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59E1F">
            <w:pPr>
              <w:pStyle w:val="307"/>
              <w:rPr>
                <w:szCs w:val="21"/>
                <w:lang w:val="en-US"/>
              </w:rPr>
            </w:pPr>
            <w:r>
              <w:rPr>
                <w:rFonts w:hint="eastAsia"/>
                <w:szCs w:val="21"/>
                <w:lang w:val="en-US"/>
              </w:rPr>
              <w:t>目击</w:t>
            </w:r>
          </w:p>
        </w:tc>
      </w:tr>
      <w:tr w14:paraId="1CA1E7D3">
        <w:tblPrEx>
          <w:tblCellMar>
            <w:top w:w="0" w:type="dxa"/>
            <w:left w:w="108" w:type="dxa"/>
            <w:bottom w:w="0" w:type="dxa"/>
            <w:right w:w="108" w:type="dxa"/>
          </w:tblCellMar>
        </w:tblPrEx>
        <w:trPr>
          <w:trHeight w:val="288"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3EF5C">
            <w:pPr>
              <w:pStyle w:val="307"/>
              <w:rPr>
                <w:szCs w:val="21"/>
                <w:lang w:val="en-US"/>
              </w:rPr>
            </w:pPr>
            <w:r>
              <w:rPr>
                <w:szCs w:val="21"/>
                <w:lang w:val="en-US"/>
              </w:rPr>
              <w:t>37</w:t>
            </w:r>
          </w:p>
        </w:tc>
        <w:tc>
          <w:tcPr>
            <w:tcW w:w="7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E27669">
            <w:pPr>
              <w:pStyle w:val="307"/>
              <w:rPr>
                <w:szCs w:val="21"/>
                <w:lang w:val="en-US"/>
              </w:rPr>
            </w:pP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579C1">
            <w:pPr>
              <w:pStyle w:val="307"/>
              <w:rPr>
                <w:szCs w:val="21"/>
                <w:lang w:val="en-US"/>
              </w:rPr>
            </w:pPr>
            <w:r>
              <w:rPr>
                <w:rFonts w:hint="eastAsia"/>
                <w:szCs w:val="21"/>
                <w:lang w:val="en-US"/>
              </w:rPr>
              <w:t>鹎科</w:t>
            </w:r>
            <w:r>
              <w:rPr>
                <w:i/>
                <w:iCs/>
                <w:szCs w:val="21"/>
                <w:lang w:val="en-US"/>
              </w:rPr>
              <w:t>Pycnonotidae</w:t>
            </w: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CB244">
            <w:pPr>
              <w:pStyle w:val="307"/>
              <w:rPr>
                <w:szCs w:val="21"/>
                <w:lang w:val="en-US"/>
              </w:rPr>
            </w:pPr>
            <w:r>
              <w:rPr>
                <w:rFonts w:hint="eastAsia"/>
                <w:szCs w:val="21"/>
                <w:lang w:val="en-US"/>
              </w:rPr>
              <w:t>白头鹎</w:t>
            </w:r>
            <w:r>
              <w:rPr>
                <w:i/>
                <w:iCs/>
                <w:szCs w:val="21"/>
                <w:lang w:val="en-US"/>
              </w:rPr>
              <w:t>Pycnonotus</w:t>
            </w:r>
            <w:r>
              <w:rPr>
                <w:szCs w:val="21"/>
                <w:lang w:val="en-US"/>
              </w:rPr>
              <w:t xml:space="preserve"> </w:t>
            </w:r>
            <w:r>
              <w:rPr>
                <w:i/>
                <w:iCs/>
                <w:szCs w:val="21"/>
                <w:lang w:val="en-US"/>
              </w:rPr>
              <w:t>sinensis</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F8350">
            <w:pPr>
              <w:pStyle w:val="307"/>
              <w:rPr>
                <w:szCs w:val="21"/>
                <w:lang w:val="en-US"/>
              </w:rPr>
            </w:pPr>
            <w:r>
              <w:rPr>
                <w:szCs w:val="21"/>
                <w:lang w:val="en-US"/>
              </w:rPr>
              <w:t>S</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D7F23">
            <w:pPr>
              <w:pStyle w:val="307"/>
              <w:rPr>
                <w:szCs w:val="21"/>
                <w:lang w:val="en-US"/>
              </w:rPr>
            </w:pPr>
            <w:r>
              <w:rPr>
                <w:rFonts w:hint="eastAsia"/>
                <w:szCs w:val="21"/>
                <w:lang w:val="en-US"/>
              </w:rPr>
              <w:t>灌丛、草地</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32AD8">
            <w:pPr>
              <w:pStyle w:val="307"/>
              <w:rPr>
                <w:szCs w:val="21"/>
                <w:lang w:val="en-US"/>
              </w:rPr>
            </w:pPr>
            <w:r>
              <w:rPr>
                <w:szCs w:val="21"/>
                <w:lang w:val="en-US"/>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F8519">
            <w:pPr>
              <w:pStyle w:val="307"/>
              <w:rPr>
                <w:szCs w:val="21"/>
                <w:lang w:val="en-US"/>
              </w:rPr>
            </w:pPr>
            <w:r>
              <w:rPr>
                <w:rFonts w:hint="eastAsia"/>
                <w:szCs w:val="21"/>
                <w:lang w:val="en-US"/>
              </w:rPr>
              <w:t>资料访问</w:t>
            </w:r>
          </w:p>
        </w:tc>
      </w:tr>
      <w:tr w14:paraId="6A2B4F99">
        <w:tblPrEx>
          <w:tblCellMar>
            <w:top w:w="0" w:type="dxa"/>
            <w:left w:w="108" w:type="dxa"/>
            <w:bottom w:w="0" w:type="dxa"/>
            <w:right w:w="108" w:type="dxa"/>
          </w:tblCellMar>
        </w:tblPrEx>
        <w:trPr>
          <w:trHeight w:val="288"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75808">
            <w:pPr>
              <w:pStyle w:val="307"/>
              <w:rPr>
                <w:szCs w:val="21"/>
                <w:lang w:val="en-US"/>
              </w:rPr>
            </w:pPr>
            <w:r>
              <w:rPr>
                <w:szCs w:val="21"/>
                <w:lang w:val="en-US"/>
              </w:rPr>
              <w:t>38</w:t>
            </w:r>
          </w:p>
        </w:tc>
        <w:tc>
          <w:tcPr>
            <w:tcW w:w="7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08DE3B">
            <w:pPr>
              <w:pStyle w:val="307"/>
              <w:rPr>
                <w:szCs w:val="21"/>
                <w:lang w:val="en-US"/>
              </w:rPr>
            </w:pPr>
            <w:r>
              <w:rPr>
                <w:rFonts w:hint="eastAsia"/>
                <w:szCs w:val="21"/>
                <w:lang w:val="en-US"/>
              </w:rPr>
              <w:t>鹈形目</w:t>
            </w:r>
            <w:r>
              <w:rPr>
                <w:szCs w:val="21"/>
                <w:lang w:val="en-US"/>
              </w:rPr>
              <w:t>PELECANIFORMES</w:t>
            </w:r>
          </w:p>
        </w:tc>
        <w:tc>
          <w:tcPr>
            <w:tcW w:w="6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26788">
            <w:pPr>
              <w:pStyle w:val="307"/>
              <w:rPr>
                <w:szCs w:val="21"/>
                <w:lang w:val="en-US"/>
              </w:rPr>
            </w:pPr>
            <w:r>
              <w:rPr>
                <w:rFonts w:hint="eastAsia"/>
                <w:szCs w:val="21"/>
                <w:lang w:val="en-US"/>
              </w:rPr>
              <w:t>鹭科</w:t>
            </w:r>
            <w:r>
              <w:rPr>
                <w:i/>
                <w:iCs/>
                <w:szCs w:val="21"/>
                <w:lang w:val="en-US"/>
              </w:rPr>
              <w:t>Ardeidae</w:t>
            </w: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AAE0A">
            <w:pPr>
              <w:pStyle w:val="307"/>
              <w:rPr>
                <w:szCs w:val="21"/>
                <w:lang w:val="en-US"/>
              </w:rPr>
            </w:pPr>
            <w:r>
              <w:rPr>
                <w:rFonts w:hint="eastAsia"/>
                <w:szCs w:val="21"/>
                <w:lang w:val="en-US"/>
              </w:rPr>
              <w:t>大白鹭</w:t>
            </w:r>
            <w:r>
              <w:rPr>
                <w:szCs w:val="21"/>
                <w:lang w:val="en-US"/>
              </w:rPr>
              <w:t xml:space="preserve"> </w:t>
            </w:r>
            <w:r>
              <w:rPr>
                <w:i/>
                <w:iCs/>
                <w:szCs w:val="21"/>
                <w:lang w:val="en-US"/>
              </w:rPr>
              <w:t>Ardea</w:t>
            </w:r>
            <w:r>
              <w:rPr>
                <w:szCs w:val="21"/>
                <w:lang w:val="en-US"/>
              </w:rPr>
              <w:t xml:space="preserve"> </w:t>
            </w:r>
            <w:r>
              <w:rPr>
                <w:i/>
                <w:iCs/>
                <w:szCs w:val="21"/>
                <w:lang w:val="en-US"/>
              </w:rPr>
              <w:t>alba</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3831C">
            <w:pPr>
              <w:pStyle w:val="307"/>
              <w:rPr>
                <w:szCs w:val="21"/>
                <w:lang w:val="en-US"/>
              </w:rPr>
            </w:pPr>
            <w:r>
              <w:rPr>
                <w:szCs w:val="21"/>
                <w:lang w:val="en-US"/>
              </w:rPr>
              <w:t>S</w:t>
            </w:r>
            <w:r>
              <w:rPr>
                <w:rFonts w:hint="eastAsia"/>
                <w:szCs w:val="21"/>
                <w:lang w:val="en-US"/>
              </w:rPr>
              <w:t>，</w:t>
            </w:r>
            <w:r>
              <w:rPr>
                <w:szCs w:val="21"/>
                <w:lang w:val="en-US"/>
              </w:rPr>
              <w:t>P</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99BF8">
            <w:pPr>
              <w:pStyle w:val="307"/>
              <w:rPr>
                <w:szCs w:val="21"/>
                <w:lang w:val="en-US"/>
              </w:rPr>
            </w:pPr>
            <w:r>
              <w:rPr>
                <w:rFonts w:hint="eastAsia"/>
                <w:szCs w:val="21"/>
                <w:lang w:val="en-US"/>
              </w:rPr>
              <w:t>湿地</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147EB">
            <w:pPr>
              <w:pStyle w:val="307"/>
              <w:rPr>
                <w:szCs w:val="21"/>
                <w:lang w:val="en-US"/>
              </w:rPr>
            </w:pPr>
            <w:r>
              <w:rPr>
                <w:szCs w:val="21"/>
                <w:lang w:val="en-US"/>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0DF82">
            <w:pPr>
              <w:pStyle w:val="307"/>
              <w:rPr>
                <w:szCs w:val="21"/>
                <w:lang w:val="en-US"/>
              </w:rPr>
            </w:pPr>
            <w:r>
              <w:rPr>
                <w:rFonts w:hint="eastAsia"/>
                <w:szCs w:val="21"/>
                <w:lang w:val="en-US"/>
              </w:rPr>
              <w:t>访问资料</w:t>
            </w:r>
          </w:p>
        </w:tc>
      </w:tr>
      <w:tr w14:paraId="0F547B76">
        <w:tblPrEx>
          <w:tblCellMar>
            <w:top w:w="0" w:type="dxa"/>
            <w:left w:w="108" w:type="dxa"/>
            <w:bottom w:w="0" w:type="dxa"/>
            <w:right w:w="108" w:type="dxa"/>
          </w:tblCellMar>
        </w:tblPrEx>
        <w:trPr>
          <w:trHeight w:val="288"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98477">
            <w:pPr>
              <w:pStyle w:val="307"/>
              <w:rPr>
                <w:szCs w:val="21"/>
                <w:lang w:val="en-US"/>
              </w:rPr>
            </w:pPr>
            <w:r>
              <w:rPr>
                <w:szCs w:val="21"/>
                <w:lang w:val="en-US"/>
              </w:rPr>
              <w:t>39</w:t>
            </w:r>
          </w:p>
        </w:tc>
        <w:tc>
          <w:tcPr>
            <w:tcW w:w="7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7B8194">
            <w:pPr>
              <w:pStyle w:val="307"/>
              <w:rPr>
                <w:szCs w:val="21"/>
                <w:lang w:val="en-US"/>
              </w:rPr>
            </w:pPr>
          </w:p>
        </w:tc>
        <w:tc>
          <w:tcPr>
            <w:tcW w:w="6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6D505">
            <w:pPr>
              <w:pStyle w:val="307"/>
              <w:rPr>
                <w:szCs w:val="21"/>
                <w:lang w:val="en-US"/>
              </w:rPr>
            </w:pP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6FAE1">
            <w:pPr>
              <w:pStyle w:val="307"/>
              <w:rPr>
                <w:szCs w:val="21"/>
                <w:lang w:val="en-US"/>
              </w:rPr>
            </w:pPr>
            <w:r>
              <w:rPr>
                <w:rFonts w:hint="eastAsia"/>
                <w:szCs w:val="21"/>
                <w:lang w:val="en-US"/>
              </w:rPr>
              <w:t>苍鹭</w:t>
            </w:r>
            <w:r>
              <w:rPr>
                <w:i/>
                <w:iCs/>
                <w:szCs w:val="21"/>
                <w:lang w:val="en-US"/>
              </w:rPr>
              <w:t>Ardea</w:t>
            </w:r>
            <w:r>
              <w:rPr>
                <w:szCs w:val="21"/>
                <w:lang w:val="en-US"/>
              </w:rPr>
              <w:t xml:space="preserve"> </w:t>
            </w:r>
            <w:r>
              <w:rPr>
                <w:i/>
                <w:iCs/>
                <w:szCs w:val="21"/>
                <w:lang w:val="en-US"/>
              </w:rPr>
              <w:t>cinerea</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37051">
            <w:pPr>
              <w:pStyle w:val="307"/>
              <w:rPr>
                <w:szCs w:val="21"/>
                <w:lang w:val="en-US"/>
              </w:rPr>
            </w:pPr>
            <w:r>
              <w:rPr>
                <w:szCs w:val="21"/>
                <w:lang w:val="en-US"/>
              </w:rPr>
              <w:t>S</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8A087">
            <w:pPr>
              <w:pStyle w:val="307"/>
              <w:rPr>
                <w:szCs w:val="21"/>
                <w:lang w:val="en-US"/>
              </w:rPr>
            </w:pPr>
            <w:r>
              <w:rPr>
                <w:rFonts w:hint="eastAsia"/>
                <w:szCs w:val="21"/>
                <w:lang w:val="en-US"/>
              </w:rPr>
              <w:t>林地、湿地</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3315D">
            <w:pPr>
              <w:pStyle w:val="307"/>
              <w:rPr>
                <w:szCs w:val="21"/>
                <w:lang w:val="en-US"/>
              </w:rPr>
            </w:pPr>
            <w:r>
              <w:rPr>
                <w:szCs w:val="21"/>
                <w:lang w:val="en-US"/>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979DB">
            <w:pPr>
              <w:pStyle w:val="307"/>
              <w:rPr>
                <w:szCs w:val="21"/>
                <w:lang w:val="en-US"/>
              </w:rPr>
            </w:pPr>
            <w:r>
              <w:rPr>
                <w:rFonts w:hint="eastAsia"/>
                <w:szCs w:val="21"/>
                <w:lang w:val="en-US"/>
              </w:rPr>
              <w:t>访问资料</w:t>
            </w:r>
          </w:p>
        </w:tc>
      </w:tr>
      <w:tr w14:paraId="4246701A">
        <w:tblPrEx>
          <w:tblCellMar>
            <w:top w:w="0" w:type="dxa"/>
            <w:left w:w="108" w:type="dxa"/>
            <w:bottom w:w="0" w:type="dxa"/>
            <w:right w:w="108" w:type="dxa"/>
          </w:tblCellMar>
        </w:tblPrEx>
        <w:trPr>
          <w:trHeight w:val="288"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11A7C">
            <w:pPr>
              <w:pStyle w:val="307"/>
              <w:rPr>
                <w:szCs w:val="21"/>
                <w:lang w:val="en-US"/>
              </w:rPr>
            </w:pPr>
            <w:r>
              <w:rPr>
                <w:szCs w:val="21"/>
                <w:lang w:val="en-US"/>
              </w:rPr>
              <w:t>40</w:t>
            </w:r>
          </w:p>
        </w:tc>
        <w:tc>
          <w:tcPr>
            <w:tcW w:w="7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31DEDD">
            <w:pPr>
              <w:pStyle w:val="307"/>
              <w:rPr>
                <w:szCs w:val="21"/>
                <w:lang w:val="en-US"/>
              </w:rPr>
            </w:pPr>
          </w:p>
        </w:tc>
        <w:tc>
          <w:tcPr>
            <w:tcW w:w="6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F99A0">
            <w:pPr>
              <w:pStyle w:val="307"/>
              <w:rPr>
                <w:szCs w:val="21"/>
                <w:lang w:val="en-US"/>
              </w:rPr>
            </w:pP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58B0F">
            <w:pPr>
              <w:pStyle w:val="307"/>
              <w:rPr>
                <w:szCs w:val="21"/>
                <w:lang w:val="en-US"/>
              </w:rPr>
            </w:pPr>
            <w:r>
              <w:rPr>
                <w:rFonts w:hint="eastAsia"/>
                <w:szCs w:val="21"/>
                <w:lang w:val="en-US"/>
              </w:rPr>
              <w:t>白鹭</w:t>
            </w:r>
            <w:r>
              <w:rPr>
                <w:i/>
                <w:iCs/>
                <w:szCs w:val="21"/>
                <w:lang w:val="en-US"/>
              </w:rPr>
              <w:t>Egretta</w:t>
            </w:r>
            <w:r>
              <w:rPr>
                <w:szCs w:val="21"/>
                <w:lang w:val="en-US"/>
              </w:rPr>
              <w:t xml:space="preserve"> </w:t>
            </w:r>
            <w:r>
              <w:rPr>
                <w:i/>
                <w:iCs/>
                <w:szCs w:val="21"/>
                <w:lang w:val="en-US"/>
              </w:rPr>
              <w:t>garzetta</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4828F">
            <w:pPr>
              <w:pStyle w:val="307"/>
              <w:rPr>
                <w:szCs w:val="21"/>
                <w:lang w:val="en-US"/>
              </w:rPr>
            </w:pPr>
            <w:r>
              <w:rPr>
                <w:szCs w:val="21"/>
                <w:lang w:val="en-US"/>
              </w:rPr>
              <w:t>S</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18610">
            <w:pPr>
              <w:pStyle w:val="307"/>
              <w:rPr>
                <w:szCs w:val="21"/>
                <w:lang w:val="en-US"/>
              </w:rPr>
            </w:pPr>
            <w:r>
              <w:rPr>
                <w:rFonts w:hint="eastAsia"/>
                <w:szCs w:val="21"/>
                <w:lang w:val="en-US"/>
              </w:rPr>
              <w:t>湿地、农田</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0CCAF">
            <w:pPr>
              <w:pStyle w:val="307"/>
              <w:rPr>
                <w:szCs w:val="21"/>
                <w:lang w:val="en-US"/>
              </w:rPr>
            </w:pPr>
            <w:r>
              <w:rPr>
                <w:szCs w:val="21"/>
                <w:lang w:val="en-US"/>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92A3F">
            <w:pPr>
              <w:pStyle w:val="307"/>
              <w:rPr>
                <w:szCs w:val="21"/>
                <w:lang w:val="en-US"/>
              </w:rPr>
            </w:pPr>
            <w:r>
              <w:rPr>
                <w:rFonts w:hint="eastAsia"/>
                <w:szCs w:val="21"/>
                <w:lang w:val="en-US"/>
              </w:rPr>
              <w:t>资料访问</w:t>
            </w:r>
          </w:p>
        </w:tc>
      </w:tr>
      <w:tr w14:paraId="6DA25DE3">
        <w:tblPrEx>
          <w:tblCellMar>
            <w:top w:w="0" w:type="dxa"/>
            <w:left w:w="108" w:type="dxa"/>
            <w:bottom w:w="0" w:type="dxa"/>
            <w:right w:w="108" w:type="dxa"/>
          </w:tblCellMar>
        </w:tblPrEx>
        <w:trPr>
          <w:trHeight w:val="288"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77EA6">
            <w:pPr>
              <w:pStyle w:val="307"/>
              <w:rPr>
                <w:szCs w:val="21"/>
                <w:lang w:val="en-US"/>
              </w:rPr>
            </w:pPr>
            <w:r>
              <w:rPr>
                <w:szCs w:val="21"/>
                <w:lang w:val="en-US"/>
              </w:rPr>
              <w:t>41</w:t>
            </w:r>
          </w:p>
        </w:tc>
        <w:tc>
          <w:tcPr>
            <w:tcW w:w="7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D25AAF">
            <w:pPr>
              <w:pStyle w:val="307"/>
              <w:rPr>
                <w:szCs w:val="21"/>
                <w:lang w:val="en-US"/>
              </w:rPr>
            </w:pPr>
            <w:r>
              <w:rPr>
                <w:rFonts w:hint="eastAsia"/>
                <w:szCs w:val="21"/>
                <w:lang w:val="en-US"/>
              </w:rPr>
              <w:t>啄木鸟目</w:t>
            </w:r>
            <w:r>
              <w:rPr>
                <w:szCs w:val="21"/>
                <w:lang w:val="en-US"/>
              </w:rPr>
              <w:t>PICIFORMES</w:t>
            </w:r>
          </w:p>
        </w:tc>
        <w:tc>
          <w:tcPr>
            <w:tcW w:w="6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D9DC8">
            <w:pPr>
              <w:pStyle w:val="307"/>
              <w:rPr>
                <w:szCs w:val="21"/>
                <w:lang w:val="en-US"/>
              </w:rPr>
            </w:pPr>
            <w:r>
              <w:rPr>
                <w:rFonts w:hint="eastAsia"/>
                <w:szCs w:val="21"/>
                <w:lang w:val="en-US"/>
              </w:rPr>
              <w:t>啄木鸟科</w:t>
            </w:r>
            <w:r>
              <w:rPr>
                <w:i/>
                <w:iCs/>
                <w:szCs w:val="21"/>
                <w:lang w:val="en-US"/>
              </w:rPr>
              <w:t>Picidae</w:t>
            </w: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AA998">
            <w:pPr>
              <w:pStyle w:val="307"/>
              <w:rPr>
                <w:szCs w:val="21"/>
                <w:lang w:val="en-US"/>
              </w:rPr>
            </w:pPr>
            <w:r>
              <w:rPr>
                <w:rFonts w:hint="eastAsia"/>
                <w:szCs w:val="21"/>
                <w:lang w:val="en-US"/>
              </w:rPr>
              <w:t>大斑啄木鸟</w:t>
            </w:r>
            <w:r>
              <w:rPr>
                <w:szCs w:val="21"/>
                <w:lang w:val="en-US"/>
              </w:rPr>
              <w:t xml:space="preserve"> </w:t>
            </w:r>
            <w:r>
              <w:rPr>
                <w:i/>
                <w:iCs/>
                <w:szCs w:val="21"/>
                <w:lang w:val="en-US"/>
              </w:rPr>
              <w:t>Picoides</w:t>
            </w:r>
            <w:r>
              <w:rPr>
                <w:szCs w:val="21"/>
                <w:lang w:val="en-US"/>
              </w:rPr>
              <w:t xml:space="preserve"> </w:t>
            </w:r>
            <w:r>
              <w:rPr>
                <w:i/>
                <w:iCs/>
                <w:szCs w:val="21"/>
                <w:lang w:val="en-US"/>
              </w:rPr>
              <w:t>major</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8FEF0">
            <w:pPr>
              <w:pStyle w:val="307"/>
              <w:rPr>
                <w:szCs w:val="21"/>
                <w:lang w:val="en-US"/>
              </w:rPr>
            </w:pPr>
            <w:r>
              <w:rPr>
                <w:szCs w:val="21"/>
                <w:lang w:val="en-US"/>
              </w:rPr>
              <w:t>R</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92B69">
            <w:pPr>
              <w:pStyle w:val="307"/>
              <w:rPr>
                <w:szCs w:val="21"/>
                <w:lang w:val="en-US"/>
              </w:rPr>
            </w:pPr>
            <w:r>
              <w:rPr>
                <w:rFonts w:hint="eastAsia"/>
                <w:szCs w:val="21"/>
                <w:lang w:val="en-US"/>
              </w:rPr>
              <w:t>林地、农田</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3160A">
            <w:pPr>
              <w:pStyle w:val="307"/>
              <w:rPr>
                <w:szCs w:val="21"/>
                <w:lang w:val="en-US"/>
              </w:rPr>
            </w:pPr>
            <w:r>
              <w:rPr>
                <w:szCs w:val="21"/>
                <w:lang w:val="en-US"/>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14EA2">
            <w:pPr>
              <w:pStyle w:val="307"/>
              <w:rPr>
                <w:szCs w:val="21"/>
                <w:lang w:val="en-US"/>
              </w:rPr>
            </w:pPr>
            <w:r>
              <w:rPr>
                <w:rFonts w:hint="eastAsia"/>
                <w:szCs w:val="21"/>
                <w:lang w:val="en-US"/>
              </w:rPr>
              <w:t>目击</w:t>
            </w:r>
          </w:p>
        </w:tc>
      </w:tr>
      <w:tr w14:paraId="222A6C68">
        <w:tblPrEx>
          <w:tblCellMar>
            <w:top w:w="0" w:type="dxa"/>
            <w:left w:w="108" w:type="dxa"/>
            <w:bottom w:w="0" w:type="dxa"/>
            <w:right w:w="108" w:type="dxa"/>
          </w:tblCellMar>
        </w:tblPrEx>
        <w:trPr>
          <w:trHeight w:val="288"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8C0C8">
            <w:pPr>
              <w:pStyle w:val="307"/>
              <w:rPr>
                <w:szCs w:val="21"/>
                <w:lang w:val="en-US"/>
              </w:rPr>
            </w:pPr>
            <w:r>
              <w:rPr>
                <w:szCs w:val="21"/>
                <w:lang w:val="en-US"/>
              </w:rPr>
              <w:t>42</w:t>
            </w:r>
          </w:p>
        </w:tc>
        <w:tc>
          <w:tcPr>
            <w:tcW w:w="7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8811D">
            <w:pPr>
              <w:pStyle w:val="307"/>
              <w:rPr>
                <w:szCs w:val="21"/>
                <w:lang w:val="en-US"/>
              </w:rPr>
            </w:pPr>
          </w:p>
        </w:tc>
        <w:tc>
          <w:tcPr>
            <w:tcW w:w="6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E01D0">
            <w:pPr>
              <w:pStyle w:val="307"/>
              <w:rPr>
                <w:szCs w:val="21"/>
                <w:lang w:val="en-US"/>
              </w:rPr>
            </w:pP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85EF5">
            <w:pPr>
              <w:pStyle w:val="307"/>
              <w:rPr>
                <w:szCs w:val="21"/>
                <w:lang w:val="en-US"/>
              </w:rPr>
            </w:pPr>
            <w:r>
              <w:rPr>
                <w:rFonts w:hint="eastAsia"/>
                <w:szCs w:val="21"/>
                <w:lang w:val="en-US"/>
              </w:rPr>
              <w:t>灰头绿啄木鸟</w:t>
            </w:r>
            <w:r>
              <w:rPr>
                <w:i/>
                <w:iCs/>
                <w:szCs w:val="21"/>
                <w:lang w:val="en-US"/>
              </w:rPr>
              <w:t>Picus</w:t>
            </w:r>
            <w:r>
              <w:rPr>
                <w:szCs w:val="21"/>
                <w:lang w:val="en-US"/>
              </w:rPr>
              <w:t xml:space="preserve"> </w:t>
            </w:r>
            <w:r>
              <w:rPr>
                <w:i/>
                <w:iCs/>
                <w:szCs w:val="21"/>
                <w:lang w:val="en-US"/>
              </w:rPr>
              <w:t>canus</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FA10A">
            <w:pPr>
              <w:pStyle w:val="307"/>
              <w:rPr>
                <w:szCs w:val="21"/>
                <w:lang w:val="en-US"/>
              </w:rPr>
            </w:pPr>
            <w:r>
              <w:rPr>
                <w:szCs w:val="21"/>
                <w:lang w:val="en-US"/>
              </w:rPr>
              <w:t>R</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1D3C5">
            <w:pPr>
              <w:pStyle w:val="307"/>
              <w:rPr>
                <w:szCs w:val="21"/>
                <w:lang w:val="en-US"/>
              </w:rPr>
            </w:pPr>
            <w:r>
              <w:rPr>
                <w:rFonts w:hint="eastAsia"/>
                <w:szCs w:val="21"/>
                <w:lang w:val="en-US"/>
              </w:rPr>
              <w:t>乔木林</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63648">
            <w:pPr>
              <w:pStyle w:val="307"/>
              <w:rPr>
                <w:szCs w:val="21"/>
                <w:lang w:val="en-US"/>
              </w:rPr>
            </w:pPr>
            <w:r>
              <w:rPr>
                <w:szCs w:val="21"/>
                <w:lang w:val="en-US"/>
              </w:rPr>
              <w:t>+</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D62F7">
            <w:pPr>
              <w:pStyle w:val="307"/>
              <w:rPr>
                <w:szCs w:val="21"/>
                <w:lang w:val="en-US"/>
              </w:rPr>
            </w:pPr>
            <w:r>
              <w:rPr>
                <w:rFonts w:hint="eastAsia"/>
                <w:szCs w:val="21"/>
                <w:lang w:val="en-US"/>
              </w:rPr>
              <w:t>访问资料</w:t>
            </w:r>
          </w:p>
        </w:tc>
      </w:tr>
    </w:tbl>
    <w:p w14:paraId="508DA0FB">
      <w:pPr>
        <w:pStyle w:val="85"/>
        <w:ind w:firstLine="480"/>
        <w:rPr>
          <w:kern w:val="0"/>
        </w:rPr>
      </w:pPr>
      <w:r>
        <w:rPr>
          <w:kern w:val="0"/>
        </w:rPr>
        <w:fldChar w:fldCharType="begin"/>
      </w:r>
      <w:r>
        <w:rPr>
          <w:kern w:val="0"/>
        </w:rPr>
        <w:instrText xml:space="preserve"> </w:instrText>
      </w:r>
      <w:r>
        <w:rPr>
          <w:rFonts w:hint="eastAsia"/>
          <w:kern w:val="0"/>
        </w:rPr>
        <w:instrText xml:space="preserve">= 2 \* GB3</w:instrText>
      </w:r>
      <w:r>
        <w:rPr>
          <w:kern w:val="0"/>
        </w:rPr>
        <w:instrText xml:space="preserve"> </w:instrText>
      </w:r>
      <w:r>
        <w:rPr>
          <w:kern w:val="0"/>
        </w:rPr>
        <w:fldChar w:fldCharType="separate"/>
      </w:r>
      <w:r>
        <w:rPr>
          <w:rFonts w:hint="eastAsia"/>
          <w:kern w:val="0"/>
        </w:rPr>
        <w:t>②</w:t>
      </w:r>
      <w:r>
        <w:rPr>
          <w:kern w:val="0"/>
        </w:rPr>
        <w:fldChar w:fldCharType="end"/>
      </w:r>
      <w:r>
        <w:rPr>
          <w:rFonts w:hint="eastAsia"/>
          <w:kern w:val="0"/>
        </w:rPr>
        <w:t>生态习性</w:t>
      </w:r>
    </w:p>
    <w:p w14:paraId="646596CC">
      <w:pPr>
        <w:pStyle w:val="85"/>
        <w:ind w:firstLine="480"/>
        <w:rPr>
          <w:kern w:val="0"/>
        </w:rPr>
      </w:pPr>
      <w:r>
        <w:rPr>
          <w:kern w:val="0"/>
        </w:rPr>
        <w:t>根据鸟类生活习性的不同，将评价范围内的</w:t>
      </w:r>
      <w:r>
        <w:rPr>
          <w:rFonts w:hint="eastAsia"/>
          <w:kern w:val="0"/>
        </w:rPr>
        <w:t>42</w:t>
      </w:r>
      <w:r>
        <w:rPr>
          <w:kern w:val="0"/>
        </w:rPr>
        <w:t>种野生鸟类分为以下6种生态类型：</w:t>
      </w:r>
    </w:p>
    <w:p w14:paraId="2856F33E">
      <w:pPr>
        <w:pStyle w:val="85"/>
        <w:ind w:firstLine="480"/>
        <w:rPr>
          <w:kern w:val="0"/>
        </w:rPr>
      </w:pPr>
      <w:r>
        <w:rPr>
          <w:kern w:val="0"/>
        </w:rPr>
        <w:t>涉禽（嘴，颈和脚都比较长，脚趾也很长，适于涉水行进，不会游泳，常用长嘴插入水底或地面取食）：评价范围分布的涉禽有鹤形目</w:t>
      </w:r>
      <w:r>
        <w:rPr>
          <w:rFonts w:hint="eastAsia"/>
          <w:kern w:val="0"/>
        </w:rPr>
        <w:t>1</w:t>
      </w:r>
      <w:r>
        <w:rPr>
          <w:kern w:val="0"/>
        </w:rPr>
        <w:t>种、鹈形目</w:t>
      </w:r>
      <w:r>
        <w:rPr>
          <w:rFonts w:hint="eastAsia"/>
          <w:kern w:val="0"/>
        </w:rPr>
        <w:t>3</w:t>
      </w:r>
      <w:r>
        <w:rPr>
          <w:kern w:val="0"/>
        </w:rPr>
        <w:t>种</w:t>
      </w:r>
      <w:r>
        <w:rPr>
          <w:rFonts w:hint="eastAsia"/>
          <w:kern w:val="0"/>
        </w:rPr>
        <w:t>、鹳形目1种、佛法僧目1种</w:t>
      </w:r>
      <w:r>
        <w:rPr>
          <w:kern w:val="0"/>
        </w:rPr>
        <w:t>和鸻形目</w:t>
      </w:r>
      <w:r>
        <w:rPr>
          <w:rFonts w:hint="eastAsia"/>
          <w:kern w:val="0"/>
        </w:rPr>
        <w:t>3</w:t>
      </w:r>
      <w:r>
        <w:rPr>
          <w:kern w:val="0"/>
        </w:rPr>
        <w:t>种</w:t>
      </w:r>
      <w:r>
        <w:rPr>
          <w:rFonts w:hint="eastAsia"/>
          <w:kern w:val="0"/>
        </w:rPr>
        <w:t>，包括</w:t>
      </w:r>
      <w:r>
        <w:rPr>
          <w:kern w:val="0"/>
        </w:rPr>
        <w:t>：白骨顶、</w:t>
      </w:r>
      <w:r>
        <w:rPr>
          <w:rFonts w:hint="eastAsia"/>
          <w:kern w:val="0"/>
        </w:rPr>
        <w:t>大白鹭、</w:t>
      </w:r>
      <w:r>
        <w:rPr>
          <w:kern w:val="0"/>
        </w:rPr>
        <w:t>苍鹭、灰头麦鸡、凤头麦鸡、普通</w:t>
      </w:r>
      <w:r>
        <w:rPr>
          <w:rFonts w:hint="eastAsia"/>
          <w:kern w:val="0"/>
        </w:rPr>
        <w:t>翠鸟</w:t>
      </w:r>
      <w:r>
        <w:rPr>
          <w:kern w:val="0"/>
        </w:rPr>
        <w:t>等共</w:t>
      </w:r>
      <w:r>
        <w:rPr>
          <w:rFonts w:hint="eastAsia"/>
          <w:kern w:val="0"/>
        </w:rPr>
        <w:t>9</w:t>
      </w:r>
      <w:r>
        <w:rPr>
          <w:kern w:val="0"/>
        </w:rPr>
        <w:t>种，它们主要分布在评价范围内河流滩涂</w:t>
      </w:r>
      <w:r>
        <w:rPr>
          <w:rFonts w:hint="eastAsia"/>
          <w:kern w:val="0"/>
        </w:rPr>
        <w:t>、湿地周边</w:t>
      </w:r>
      <w:r>
        <w:rPr>
          <w:kern w:val="0"/>
        </w:rPr>
        <w:t>以及林地</w:t>
      </w:r>
      <w:r>
        <w:rPr>
          <w:rFonts w:hint="eastAsia"/>
          <w:kern w:val="0"/>
        </w:rPr>
        <w:t>、</w:t>
      </w:r>
      <w:r>
        <w:rPr>
          <w:kern w:val="0"/>
        </w:rPr>
        <w:t>草地等附近。</w:t>
      </w:r>
    </w:p>
    <w:p w14:paraId="2ABE50EA">
      <w:pPr>
        <w:pStyle w:val="85"/>
        <w:ind w:firstLine="480"/>
        <w:rPr>
          <w:kern w:val="0"/>
        </w:rPr>
      </w:pPr>
      <w:r>
        <w:rPr>
          <w:kern w:val="0"/>
        </w:rPr>
        <w:t>游禽</w:t>
      </w:r>
      <w:r>
        <w:rPr>
          <w:rFonts w:hint="eastAsia"/>
          <w:kern w:val="0"/>
        </w:rPr>
        <w:t>（</w:t>
      </w:r>
      <w:r>
        <w:rPr>
          <w:kern w:val="0"/>
        </w:rPr>
        <w:t>脚向后伸，趾间有蹼，有扁阔的或尖嘴，善于游泳、潜水和在水中掏取食物</w:t>
      </w:r>
      <w:r>
        <w:rPr>
          <w:rFonts w:hint="eastAsia"/>
          <w:kern w:val="0"/>
        </w:rPr>
        <w:t>）</w:t>
      </w:r>
      <w:r>
        <w:rPr>
          <w:kern w:val="0"/>
        </w:rPr>
        <w:t>：评价范围分布的游禽</w:t>
      </w:r>
      <w:bookmarkStart w:id="118" w:name="OLE_LINK291"/>
      <w:r>
        <w:rPr>
          <w:rFonts w:hint="eastAsia"/>
          <w:kern w:val="0"/>
        </w:rPr>
        <w:t>均为</w:t>
      </w:r>
      <w:r>
        <w:rPr>
          <w:kern w:val="0"/>
        </w:rPr>
        <w:t>雁行目</w:t>
      </w:r>
      <w:r>
        <w:rPr>
          <w:rFonts w:hint="eastAsia"/>
          <w:kern w:val="0"/>
        </w:rPr>
        <w:t>鸦科</w:t>
      </w:r>
      <w:r>
        <w:rPr>
          <w:kern w:val="0"/>
        </w:rPr>
        <w:t>，如：豆雁、赤麻鸭、绿翅鸭、赤膀鸭</w:t>
      </w:r>
      <w:r>
        <w:rPr>
          <w:rFonts w:hint="eastAsia"/>
          <w:kern w:val="0"/>
        </w:rPr>
        <w:t>等</w:t>
      </w:r>
      <w:r>
        <w:rPr>
          <w:kern w:val="0"/>
        </w:rPr>
        <w:t>共</w:t>
      </w:r>
      <w:r>
        <w:rPr>
          <w:rFonts w:hint="eastAsia"/>
          <w:kern w:val="0"/>
        </w:rPr>
        <w:t>7</w:t>
      </w:r>
      <w:r>
        <w:rPr>
          <w:kern w:val="0"/>
        </w:rPr>
        <w:t>种</w:t>
      </w:r>
      <w:bookmarkEnd w:id="118"/>
      <w:r>
        <w:rPr>
          <w:kern w:val="0"/>
        </w:rPr>
        <w:t>，这些游禽类在评价范围内集中分布于河流周边</w:t>
      </w:r>
      <w:r>
        <w:rPr>
          <w:rFonts w:hint="eastAsia"/>
          <w:kern w:val="0"/>
        </w:rPr>
        <w:t>，</w:t>
      </w:r>
      <w:r>
        <w:rPr>
          <w:kern w:val="0"/>
        </w:rPr>
        <w:t>林地及草地</w:t>
      </w:r>
      <w:r>
        <w:rPr>
          <w:rFonts w:hint="eastAsia"/>
          <w:kern w:val="0"/>
        </w:rPr>
        <w:t>等区域</w:t>
      </w:r>
      <w:r>
        <w:rPr>
          <w:kern w:val="0"/>
        </w:rPr>
        <w:t>。</w:t>
      </w:r>
    </w:p>
    <w:p w14:paraId="6232EE1B">
      <w:pPr>
        <w:pStyle w:val="85"/>
        <w:ind w:firstLine="480"/>
        <w:rPr>
          <w:kern w:val="0"/>
        </w:rPr>
      </w:pPr>
      <w:r>
        <w:rPr>
          <w:kern w:val="0"/>
        </w:rPr>
        <w:t>陆禽（体格结实，嘴坚硬，脚强而有力，适于挖土，多在地面活动觅食）：评价范围分布的陆禽有鸡形目</w:t>
      </w:r>
      <w:r>
        <w:rPr>
          <w:rFonts w:hint="eastAsia"/>
          <w:kern w:val="0"/>
        </w:rPr>
        <w:t>3</w:t>
      </w:r>
      <w:r>
        <w:rPr>
          <w:kern w:val="0"/>
        </w:rPr>
        <w:t>种和鸽形目</w:t>
      </w:r>
      <w:r>
        <w:rPr>
          <w:rFonts w:hint="eastAsia"/>
          <w:kern w:val="0"/>
        </w:rPr>
        <w:t>2</w:t>
      </w:r>
      <w:r>
        <w:rPr>
          <w:kern w:val="0"/>
        </w:rPr>
        <w:t>种，如：石鸡</w:t>
      </w:r>
      <w:r>
        <w:rPr>
          <w:rFonts w:hint="eastAsia"/>
          <w:kern w:val="0"/>
        </w:rPr>
        <w:t>、</w:t>
      </w:r>
      <w:r>
        <w:rPr>
          <w:kern w:val="0"/>
        </w:rPr>
        <w:t>环颈雉</w:t>
      </w:r>
      <w:r>
        <w:rPr>
          <w:rFonts w:hint="eastAsia"/>
          <w:kern w:val="0"/>
        </w:rPr>
        <w:t>、</w:t>
      </w:r>
      <w:r>
        <w:rPr>
          <w:kern w:val="0"/>
        </w:rPr>
        <w:t>灰斑鸠</w:t>
      </w:r>
      <w:r>
        <w:rPr>
          <w:rFonts w:hint="eastAsia"/>
          <w:kern w:val="0"/>
        </w:rPr>
        <w:t>、</w:t>
      </w:r>
      <w:r>
        <w:rPr>
          <w:kern w:val="0"/>
        </w:rPr>
        <w:t>山斑鸠</w:t>
      </w:r>
      <w:r>
        <w:rPr>
          <w:rFonts w:hint="eastAsia"/>
          <w:kern w:val="0"/>
        </w:rPr>
        <w:t>等</w:t>
      </w:r>
      <w:r>
        <w:rPr>
          <w:kern w:val="0"/>
        </w:rPr>
        <w:t>共</w:t>
      </w:r>
      <w:r>
        <w:rPr>
          <w:rFonts w:hint="eastAsia"/>
          <w:kern w:val="0"/>
        </w:rPr>
        <w:t>5</w:t>
      </w:r>
      <w:r>
        <w:rPr>
          <w:kern w:val="0"/>
        </w:rPr>
        <w:t>种，主要分布于路边林地、灌丛以及农田区均可见，适应人为干扰能力较强。</w:t>
      </w:r>
    </w:p>
    <w:p w14:paraId="56E57E7D">
      <w:pPr>
        <w:pStyle w:val="85"/>
        <w:ind w:firstLine="480"/>
        <w:rPr>
          <w:kern w:val="0"/>
        </w:rPr>
      </w:pPr>
      <w:r>
        <w:rPr>
          <w:kern w:val="0"/>
        </w:rPr>
        <w:t>猛禽（具有弯曲如钩的锐利嘴和爪，翅膀强大有力，能在天空翱翔或滑翔，捕食空中或地下活的猎物）：评价范围分布的猛禽有鹰形目</w:t>
      </w:r>
      <w:r>
        <w:rPr>
          <w:rFonts w:hint="eastAsia"/>
          <w:kern w:val="0"/>
        </w:rPr>
        <w:t>1</w:t>
      </w:r>
      <w:r>
        <w:rPr>
          <w:kern w:val="0"/>
        </w:rPr>
        <w:t>种和隼形目</w:t>
      </w:r>
      <w:r>
        <w:rPr>
          <w:rFonts w:hint="eastAsia"/>
          <w:kern w:val="0"/>
        </w:rPr>
        <w:t>2</w:t>
      </w:r>
      <w:r>
        <w:rPr>
          <w:kern w:val="0"/>
        </w:rPr>
        <w:t>种，</w:t>
      </w:r>
      <w:r>
        <w:rPr>
          <w:rFonts w:hint="eastAsia"/>
          <w:kern w:val="0"/>
        </w:rPr>
        <w:t>包括</w:t>
      </w:r>
      <w:r>
        <w:rPr>
          <w:kern w:val="0"/>
        </w:rPr>
        <w:t>：雀鹰</w:t>
      </w:r>
      <w:r>
        <w:rPr>
          <w:rFonts w:hint="eastAsia"/>
          <w:kern w:val="0"/>
        </w:rPr>
        <w:t>、</w:t>
      </w:r>
      <w:r>
        <w:rPr>
          <w:kern w:val="0"/>
        </w:rPr>
        <w:t>红脚隼</w:t>
      </w:r>
      <w:r>
        <w:rPr>
          <w:rFonts w:hint="eastAsia"/>
          <w:kern w:val="0"/>
        </w:rPr>
        <w:t>和灰背隼，</w:t>
      </w:r>
      <w:r>
        <w:rPr>
          <w:kern w:val="0"/>
        </w:rPr>
        <w:t>共</w:t>
      </w:r>
      <w:r>
        <w:rPr>
          <w:rFonts w:hint="eastAsia"/>
          <w:kern w:val="0"/>
        </w:rPr>
        <w:t>3</w:t>
      </w:r>
      <w:r>
        <w:rPr>
          <w:kern w:val="0"/>
        </w:rPr>
        <w:t>种。它们栖息于开阔平原、草地、荒原和低山丘陵等地带，活动范围较广，偶尔在评价范围上空游荡。猛禽处于食物链顶端，在生态系统中占有重要地位。它们在控制啮齿类动物的数量，维持环境健康和生态平衡方面具有不可替代的作用。</w:t>
      </w:r>
    </w:p>
    <w:p w14:paraId="3D3264D7">
      <w:pPr>
        <w:pStyle w:val="85"/>
        <w:ind w:firstLine="480"/>
        <w:rPr>
          <w:kern w:val="0"/>
        </w:rPr>
      </w:pPr>
      <w:r>
        <w:rPr>
          <w:kern w:val="0"/>
        </w:rPr>
        <w:t>攀禽（嘴、脚和尾的构造都很特殊，善于在树上攀缘）：评价范围分布的攀禽有夜鹰目</w:t>
      </w:r>
      <w:r>
        <w:rPr>
          <w:rFonts w:hint="eastAsia"/>
          <w:kern w:val="0"/>
        </w:rPr>
        <w:t>1</w:t>
      </w:r>
      <w:r>
        <w:rPr>
          <w:kern w:val="0"/>
        </w:rPr>
        <w:t>种、鹃形目</w:t>
      </w:r>
      <w:r>
        <w:rPr>
          <w:rFonts w:hint="eastAsia"/>
          <w:kern w:val="0"/>
        </w:rPr>
        <w:t>1</w:t>
      </w:r>
      <w:r>
        <w:rPr>
          <w:kern w:val="0"/>
        </w:rPr>
        <w:t>种、犀鸟目1种</w:t>
      </w:r>
      <w:r>
        <w:rPr>
          <w:rFonts w:hint="eastAsia"/>
          <w:kern w:val="0"/>
        </w:rPr>
        <w:t>和啄木鸟目2种，</w:t>
      </w:r>
      <w:r>
        <w:rPr>
          <w:kern w:val="0"/>
        </w:rPr>
        <w:t>如白腰雨燕</w:t>
      </w:r>
      <w:r>
        <w:rPr>
          <w:rFonts w:hint="eastAsia"/>
          <w:kern w:val="0"/>
        </w:rPr>
        <w:t>、</w:t>
      </w:r>
      <w:r>
        <w:rPr>
          <w:kern w:val="0"/>
        </w:rPr>
        <w:t>大杜鹃</w:t>
      </w:r>
      <w:r>
        <w:rPr>
          <w:rFonts w:hint="eastAsia"/>
          <w:kern w:val="0"/>
        </w:rPr>
        <w:t>和</w:t>
      </w:r>
      <w:r>
        <w:rPr>
          <w:kern w:val="0"/>
        </w:rPr>
        <w:t>戴胜</w:t>
      </w:r>
      <w:r>
        <w:rPr>
          <w:rFonts w:hint="eastAsia"/>
          <w:kern w:val="0"/>
        </w:rPr>
        <w:t>等</w:t>
      </w:r>
      <w:r>
        <w:rPr>
          <w:kern w:val="0"/>
        </w:rPr>
        <w:t>，共</w:t>
      </w:r>
      <w:r>
        <w:rPr>
          <w:rFonts w:hint="eastAsia"/>
          <w:kern w:val="0"/>
        </w:rPr>
        <w:t>5</w:t>
      </w:r>
      <w:r>
        <w:rPr>
          <w:kern w:val="0"/>
        </w:rPr>
        <w:t>种。其中</w:t>
      </w:r>
      <w:r>
        <w:rPr>
          <w:rFonts w:hint="eastAsia"/>
          <w:kern w:val="0"/>
        </w:rPr>
        <w:t>白腰</w:t>
      </w:r>
      <w:r>
        <w:rPr>
          <w:kern w:val="0"/>
        </w:rPr>
        <w:t>雨燕和大杜鹃主要分布于高大乔木林间，戴胜主要分布于居民区与农田区域，在评价范围内较常见。大杜鹃主要分布在项目所在区的森林中活动或水域边。</w:t>
      </w:r>
    </w:p>
    <w:p w14:paraId="5153675E">
      <w:pPr>
        <w:pStyle w:val="85"/>
        <w:ind w:firstLine="480"/>
        <w:rPr>
          <w:kern w:val="0"/>
          <w:lang w:bidi="en-US"/>
        </w:rPr>
      </w:pPr>
      <w:r>
        <w:rPr>
          <w:kern w:val="0"/>
        </w:rPr>
        <w:t>鸣禽（鸣管和鸣肌特别发达。一般体形较小，体态轻捷，活泼灵巧，善于鸣叫和歌唱，且巧于筑巢）：评价范围分布的</w:t>
      </w:r>
      <w:r>
        <w:rPr>
          <w:rFonts w:hint="eastAsia"/>
          <w:kern w:val="0"/>
        </w:rPr>
        <w:t>14</w:t>
      </w:r>
      <w:r>
        <w:rPr>
          <w:kern w:val="0"/>
        </w:rPr>
        <w:t>种雀形目鸟类均为鸣禽，它们在评价范围内广泛分布，主要生境为林地、农田、居民区或灌丛。灰喜鹊、喜鹊、麻雀等鸣禽为评价范围的优势种</w:t>
      </w:r>
      <w:r>
        <w:rPr>
          <w:rFonts w:hint="eastAsia"/>
          <w:kern w:val="0"/>
        </w:rPr>
        <w:t>，</w:t>
      </w:r>
      <w:r>
        <w:rPr>
          <w:kern w:val="0"/>
        </w:rPr>
        <w:t>其生活习性多种多样，广泛分布于项目所在区各类生境中，如树林、灌丛、农田、居民点及水域附近等。</w:t>
      </w:r>
    </w:p>
    <w:p w14:paraId="07B16422">
      <w:pPr>
        <w:pStyle w:val="85"/>
        <w:ind w:left="454" w:firstLine="0" w:firstLineChars="0"/>
        <w:rPr>
          <w:kern w:val="0"/>
        </w:rPr>
      </w:pPr>
      <w:r>
        <w:rPr>
          <w:kern w:val="0"/>
        </w:rPr>
        <w:fldChar w:fldCharType="begin"/>
      </w:r>
      <w:r>
        <w:rPr>
          <w:kern w:val="0"/>
        </w:rPr>
        <w:instrText xml:space="preserve"> </w:instrText>
      </w:r>
      <w:r>
        <w:rPr>
          <w:rFonts w:hint="eastAsia"/>
          <w:kern w:val="0"/>
        </w:rPr>
        <w:instrText xml:space="preserve">= 3 \* GB3</w:instrText>
      </w:r>
      <w:r>
        <w:rPr>
          <w:kern w:val="0"/>
        </w:rPr>
        <w:instrText xml:space="preserve"> </w:instrText>
      </w:r>
      <w:r>
        <w:rPr>
          <w:kern w:val="0"/>
        </w:rPr>
        <w:fldChar w:fldCharType="separate"/>
      </w:r>
      <w:r>
        <w:rPr>
          <w:rFonts w:hint="eastAsia"/>
          <w:kern w:val="0"/>
        </w:rPr>
        <w:t>③</w:t>
      </w:r>
      <w:r>
        <w:rPr>
          <w:kern w:val="0"/>
        </w:rPr>
        <w:fldChar w:fldCharType="end"/>
      </w:r>
      <w:r>
        <w:rPr>
          <w:kern w:val="0"/>
        </w:rPr>
        <w:t>鸟类迁徙现状</w:t>
      </w:r>
    </w:p>
    <w:p w14:paraId="3B5B1DCE">
      <w:pPr>
        <w:pStyle w:val="85"/>
        <w:ind w:firstLine="480"/>
        <w:rPr>
          <w:color w:val="FF0000"/>
          <w:kern w:val="0"/>
        </w:rPr>
      </w:pPr>
      <w:r>
        <w:rPr>
          <w:kern w:val="0"/>
        </w:rPr>
        <w:t>鸟类迁徙是候鸟在繁殖地与越冬地之间沿相对固定的路线定期往返的习性。现已证实全球约有9条候鸟迁徙路线，自西向东，有4条路线穿越我国，分别是西亚—东非迁徙路线、中亚迁徙路线、东亚—澳大利西亚迁徙路线和西太平洋迁徙路线，在我国形成</w:t>
      </w:r>
      <w:bookmarkStart w:id="119" w:name="OLE_LINK384"/>
      <w:r>
        <w:rPr>
          <w:kern w:val="0"/>
        </w:rPr>
        <w:t>东部、中部和西部3个候鸟迁徙区</w:t>
      </w:r>
      <w:r>
        <w:rPr>
          <w:rFonts w:hint="eastAsia"/>
          <w:kern w:val="0"/>
        </w:rPr>
        <w:t>，</w:t>
      </w:r>
      <w:bookmarkEnd w:id="119"/>
      <w:r>
        <w:rPr>
          <w:rFonts w:hint="eastAsia"/>
          <w:kern w:val="0"/>
        </w:rPr>
        <w:t>覆盖了我国全部疆域，并贯穿南北，代表了我国候鸟主要的迁徙路线和方向，本项目不涉及候鸟迁徙区</w:t>
      </w:r>
      <w:r>
        <w:rPr>
          <w:kern w:val="0"/>
        </w:rPr>
        <w:t>。</w:t>
      </w:r>
      <w:r>
        <w:rPr>
          <w:rFonts w:hint="eastAsia"/>
          <w:kern w:val="0"/>
        </w:rPr>
        <w:t>根据调查，评价区可能分布鸟类中夏候鸟占比64.29%，但是根据《候鸟迁飞通道保护修复中国行动计划（2024-2030年）》（发改农经〔2024〕798号）候鸟迁飞通道关键栖息地名录，本项目不涉及候鸟迁飞通道关键栖息地。</w:t>
      </w:r>
    </w:p>
    <w:p w14:paraId="31933D2E">
      <w:pPr>
        <w:pStyle w:val="85"/>
        <w:ind w:firstLine="480"/>
        <w:rPr>
          <w:kern w:val="0"/>
        </w:rPr>
      </w:pPr>
      <w:r>
        <w:rPr>
          <w:rFonts w:hint="eastAsia"/>
          <w:kern w:val="0"/>
        </w:rPr>
        <w:t>（3）爬行类</w:t>
      </w:r>
    </w:p>
    <w:p w14:paraId="789EE347">
      <w:pPr>
        <w:pStyle w:val="85"/>
        <w:ind w:firstLine="480"/>
        <w:rPr>
          <w:color w:val="FF0000"/>
          <w:kern w:val="0"/>
        </w:rPr>
      </w:pPr>
      <w:r>
        <w:rPr>
          <w:rFonts w:hint="eastAsia"/>
          <w:kern w:val="0"/>
        </w:rPr>
        <w:t>评价范围内野生爬行类共有</w:t>
      </w:r>
      <w:r>
        <w:rPr>
          <w:kern w:val="0"/>
        </w:rPr>
        <w:t>2</w:t>
      </w:r>
      <w:r>
        <w:rPr>
          <w:rFonts w:hint="eastAsia"/>
          <w:kern w:val="0"/>
        </w:rPr>
        <w:t>目</w:t>
      </w:r>
      <w:r>
        <w:rPr>
          <w:kern w:val="0"/>
        </w:rPr>
        <w:t>5</w:t>
      </w:r>
      <w:r>
        <w:rPr>
          <w:rFonts w:hint="eastAsia"/>
          <w:kern w:val="0"/>
        </w:rPr>
        <w:t>科</w:t>
      </w:r>
      <w:r>
        <w:rPr>
          <w:kern w:val="0"/>
        </w:rPr>
        <w:t>7</w:t>
      </w:r>
      <w:r>
        <w:rPr>
          <w:rFonts w:hint="eastAsia"/>
          <w:kern w:val="0"/>
        </w:rPr>
        <w:t>种，评价范围内未发现国家重点保护野生动物，有河北省重点保护爬行类野生动物1种。</w:t>
      </w:r>
    </w:p>
    <w:p w14:paraId="02820545">
      <w:pPr>
        <w:pStyle w:val="351"/>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1 \s</w:instrText>
      </w:r>
      <w:r>
        <w:rPr>
          <w:color w:val="auto"/>
        </w:rPr>
        <w:instrText xml:space="preserve"> </w:instrText>
      </w:r>
      <w:r>
        <w:rPr>
          <w:color w:val="auto"/>
        </w:rPr>
        <w:fldChar w:fldCharType="separate"/>
      </w:r>
      <w:r>
        <w:rPr>
          <w:color w:val="auto"/>
        </w:rPr>
        <w:t>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1</w:instrText>
      </w:r>
      <w:r>
        <w:rPr>
          <w:color w:val="auto"/>
        </w:rPr>
        <w:instrText xml:space="preserve"> </w:instrText>
      </w:r>
      <w:r>
        <w:rPr>
          <w:color w:val="auto"/>
        </w:rPr>
        <w:fldChar w:fldCharType="separate"/>
      </w:r>
      <w:r>
        <w:rPr>
          <w:color w:val="auto"/>
        </w:rPr>
        <w:t>23</w:t>
      </w:r>
      <w:r>
        <w:rPr>
          <w:color w:val="auto"/>
        </w:rPr>
        <w:fldChar w:fldCharType="end"/>
      </w:r>
      <w:r>
        <w:rPr>
          <w:color w:val="auto"/>
        </w:rPr>
        <w:t xml:space="preserve">  </w:t>
      </w:r>
      <w:r>
        <w:rPr>
          <w:rFonts w:hint="eastAsia"/>
          <w:color w:val="auto"/>
        </w:rPr>
        <w:t>爬行类调查情况统计表</w:t>
      </w:r>
    </w:p>
    <w:tbl>
      <w:tblPr>
        <w:tblStyle w:val="63"/>
        <w:tblW w:w="4995" w:type="pct"/>
        <w:tblInd w:w="0" w:type="dxa"/>
        <w:tblLayout w:type="fixed"/>
        <w:tblCellMar>
          <w:top w:w="0" w:type="dxa"/>
          <w:left w:w="108" w:type="dxa"/>
          <w:bottom w:w="0" w:type="dxa"/>
          <w:right w:w="108" w:type="dxa"/>
        </w:tblCellMar>
      </w:tblPr>
      <w:tblGrid>
        <w:gridCol w:w="563"/>
        <w:gridCol w:w="997"/>
        <w:gridCol w:w="1287"/>
        <w:gridCol w:w="2382"/>
        <w:gridCol w:w="1792"/>
        <w:gridCol w:w="562"/>
        <w:gridCol w:w="936"/>
      </w:tblGrid>
      <w:tr w14:paraId="140DCED5">
        <w:tblPrEx>
          <w:tblCellMar>
            <w:top w:w="0" w:type="dxa"/>
            <w:left w:w="108" w:type="dxa"/>
            <w:bottom w:w="0" w:type="dxa"/>
            <w:right w:w="108" w:type="dxa"/>
          </w:tblCellMar>
        </w:tblPrEx>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0DFE3">
            <w:pPr>
              <w:pStyle w:val="307"/>
              <w:rPr>
                <w:lang w:val="en-US"/>
              </w:rPr>
            </w:pPr>
            <w:r>
              <w:rPr>
                <w:rFonts w:hint="eastAsia"/>
                <w:lang w:val="en-US"/>
              </w:rPr>
              <w:t>序号</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9EDAC">
            <w:pPr>
              <w:pStyle w:val="307"/>
              <w:rPr>
                <w:lang w:val="en-US"/>
              </w:rPr>
            </w:pPr>
            <w:r>
              <w:rPr>
                <w:rFonts w:hint="eastAsia"/>
                <w:lang w:val="en-US"/>
              </w:rPr>
              <w:t>目</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FA0AB">
            <w:pPr>
              <w:pStyle w:val="307"/>
              <w:rPr>
                <w:lang w:val="en-US"/>
              </w:rPr>
            </w:pPr>
            <w:r>
              <w:rPr>
                <w:rFonts w:hint="eastAsia"/>
                <w:lang w:val="en-US"/>
              </w:rPr>
              <w:t>科</w:t>
            </w:r>
          </w:p>
        </w:tc>
        <w:tc>
          <w:tcPr>
            <w:tcW w:w="1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3C15F">
            <w:pPr>
              <w:pStyle w:val="307"/>
              <w:rPr>
                <w:lang w:val="en-US"/>
              </w:rPr>
            </w:pPr>
            <w:r>
              <w:rPr>
                <w:rFonts w:hint="eastAsia"/>
                <w:lang w:val="en-US"/>
              </w:rPr>
              <w:t>物种（中文名/拉丁名）</w:t>
            </w:r>
          </w:p>
        </w:tc>
        <w:tc>
          <w:tcPr>
            <w:tcW w:w="10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E4017">
            <w:pPr>
              <w:pStyle w:val="307"/>
              <w:rPr>
                <w:lang w:val="en-US"/>
              </w:rPr>
            </w:pPr>
            <w:r>
              <w:rPr>
                <w:rFonts w:hint="eastAsia"/>
                <w:lang w:val="en-US"/>
              </w:rPr>
              <w:t>生境</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D7F62">
            <w:pPr>
              <w:pStyle w:val="307"/>
              <w:rPr>
                <w:lang w:val="en-US"/>
              </w:rPr>
            </w:pPr>
            <w:r>
              <w:rPr>
                <w:rFonts w:hint="eastAsia"/>
                <w:lang w:val="en-US"/>
              </w:rPr>
              <w:t>数量</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CA1F3">
            <w:pPr>
              <w:pStyle w:val="307"/>
              <w:rPr>
                <w:lang w:val="en-US"/>
              </w:rPr>
            </w:pPr>
            <w:r>
              <w:rPr>
                <w:rFonts w:hint="eastAsia"/>
                <w:lang w:val="en-US"/>
              </w:rPr>
              <w:t>来源</w:t>
            </w:r>
          </w:p>
        </w:tc>
      </w:tr>
      <w:tr w14:paraId="5578CD4B">
        <w:tblPrEx>
          <w:tblCellMar>
            <w:top w:w="0" w:type="dxa"/>
            <w:left w:w="108" w:type="dxa"/>
            <w:bottom w:w="0" w:type="dxa"/>
            <w:right w:w="108" w:type="dxa"/>
          </w:tblCellMar>
        </w:tblPrEx>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475E7">
            <w:pPr>
              <w:pStyle w:val="307"/>
              <w:rPr>
                <w:lang w:val="en-US"/>
              </w:rPr>
            </w:pPr>
            <w:r>
              <w:rPr>
                <w:rFonts w:hint="eastAsia"/>
                <w:lang w:val="en-US"/>
              </w:rPr>
              <w:t>1</w:t>
            </w:r>
          </w:p>
        </w:tc>
        <w:tc>
          <w:tcPr>
            <w:tcW w:w="5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EC056C">
            <w:pPr>
              <w:pStyle w:val="307"/>
              <w:rPr>
                <w:lang w:val="en-US"/>
              </w:rPr>
            </w:pPr>
            <w:r>
              <w:rPr>
                <w:rFonts w:hint="eastAsia"/>
                <w:lang w:val="en-US"/>
              </w:rPr>
              <w:t>有鳞目Squamata</w:t>
            </w:r>
          </w:p>
        </w:tc>
        <w:tc>
          <w:tcPr>
            <w:tcW w:w="75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98C64A">
            <w:pPr>
              <w:pStyle w:val="307"/>
              <w:rPr>
                <w:lang w:val="en-US"/>
              </w:rPr>
            </w:pPr>
            <w:r>
              <w:rPr>
                <w:rFonts w:hint="eastAsia"/>
                <w:lang w:val="en-US"/>
              </w:rPr>
              <w:t>游蛇科</w:t>
            </w:r>
            <w:r>
              <w:rPr>
                <w:rFonts w:hint="eastAsia"/>
                <w:i/>
                <w:iCs/>
                <w:lang w:val="en-US"/>
              </w:rPr>
              <w:t>Colubridae</w:t>
            </w:r>
          </w:p>
        </w:tc>
        <w:tc>
          <w:tcPr>
            <w:tcW w:w="1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BFEB7">
            <w:pPr>
              <w:pStyle w:val="307"/>
              <w:rPr>
                <w:lang w:val="en-US"/>
              </w:rPr>
            </w:pPr>
            <w:r>
              <w:rPr>
                <w:rFonts w:hint="eastAsia"/>
                <w:lang w:val="en-US"/>
              </w:rPr>
              <w:t>双斑锦蛇</w:t>
            </w:r>
            <w:r>
              <w:rPr>
                <w:rFonts w:hint="eastAsia"/>
                <w:i/>
                <w:iCs/>
                <w:lang w:val="en-US"/>
              </w:rPr>
              <w:t>Elaphe</w:t>
            </w:r>
            <w:r>
              <w:rPr>
                <w:rFonts w:hint="eastAsia"/>
                <w:lang w:val="en-US"/>
              </w:rPr>
              <w:t xml:space="preserve"> </w:t>
            </w:r>
            <w:r>
              <w:rPr>
                <w:rFonts w:hint="eastAsia"/>
                <w:i/>
                <w:iCs/>
                <w:lang w:val="en-US"/>
              </w:rPr>
              <w:t>bimaculata</w:t>
            </w:r>
          </w:p>
        </w:tc>
        <w:tc>
          <w:tcPr>
            <w:tcW w:w="10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799A9">
            <w:pPr>
              <w:pStyle w:val="307"/>
              <w:rPr>
                <w:lang w:val="en-US"/>
              </w:rPr>
            </w:pPr>
            <w:r>
              <w:rPr>
                <w:rFonts w:hint="eastAsia"/>
                <w:lang w:val="en-US"/>
              </w:rPr>
              <w:t>草地</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EA072">
            <w:pPr>
              <w:pStyle w:val="307"/>
              <w:rPr>
                <w:lang w:val="en-US"/>
              </w:rPr>
            </w:pPr>
            <w:r>
              <w:rPr>
                <w:lang w:val="en-US"/>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DE3CB">
            <w:pPr>
              <w:pStyle w:val="307"/>
              <w:rPr>
                <w:lang w:val="en-US"/>
              </w:rPr>
            </w:pPr>
            <w:r>
              <w:rPr>
                <w:rFonts w:hint="eastAsia"/>
                <w:lang w:val="en-US"/>
              </w:rPr>
              <w:t>资料访问</w:t>
            </w:r>
          </w:p>
        </w:tc>
      </w:tr>
      <w:tr w14:paraId="012A1BAE">
        <w:tblPrEx>
          <w:tblCellMar>
            <w:top w:w="0" w:type="dxa"/>
            <w:left w:w="108" w:type="dxa"/>
            <w:bottom w:w="0" w:type="dxa"/>
            <w:right w:w="108" w:type="dxa"/>
          </w:tblCellMar>
        </w:tblPrEx>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89B54">
            <w:pPr>
              <w:pStyle w:val="307"/>
              <w:rPr>
                <w:lang w:val="en-US"/>
              </w:rPr>
            </w:pPr>
            <w:r>
              <w:rPr>
                <w:rFonts w:hint="eastAsia"/>
                <w:lang w:val="en-US"/>
              </w:rPr>
              <w:t>2</w:t>
            </w:r>
          </w:p>
        </w:tc>
        <w:tc>
          <w:tcPr>
            <w:tcW w:w="5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1B9A44">
            <w:pPr>
              <w:pStyle w:val="307"/>
              <w:rPr>
                <w:lang w:val="en-US"/>
              </w:rPr>
            </w:pPr>
          </w:p>
        </w:tc>
        <w:tc>
          <w:tcPr>
            <w:tcW w:w="7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F9F7C0">
            <w:pPr>
              <w:pStyle w:val="307"/>
              <w:rPr>
                <w:lang w:val="en-US"/>
              </w:rPr>
            </w:pPr>
          </w:p>
        </w:tc>
        <w:tc>
          <w:tcPr>
            <w:tcW w:w="1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23A72">
            <w:pPr>
              <w:pStyle w:val="307"/>
              <w:rPr>
                <w:lang w:val="en-US"/>
              </w:rPr>
            </w:pPr>
            <w:r>
              <w:rPr>
                <w:rFonts w:hint="eastAsia"/>
                <w:lang w:val="en-US"/>
              </w:rPr>
              <w:t>白条锦蛇</w:t>
            </w:r>
            <w:r>
              <w:rPr>
                <w:rFonts w:hint="eastAsia"/>
                <w:i/>
                <w:iCs/>
                <w:lang w:val="en-US"/>
              </w:rPr>
              <w:t>Elaphe</w:t>
            </w:r>
            <w:r>
              <w:rPr>
                <w:rFonts w:hint="eastAsia"/>
                <w:lang w:val="en-US"/>
              </w:rPr>
              <w:t xml:space="preserve"> </w:t>
            </w:r>
            <w:r>
              <w:rPr>
                <w:rFonts w:hint="eastAsia"/>
                <w:i/>
                <w:iCs/>
                <w:lang w:val="en-US"/>
              </w:rPr>
              <w:t>dione</w:t>
            </w:r>
          </w:p>
        </w:tc>
        <w:tc>
          <w:tcPr>
            <w:tcW w:w="10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8FC01">
            <w:pPr>
              <w:pStyle w:val="307"/>
              <w:rPr>
                <w:lang w:val="en-US"/>
              </w:rPr>
            </w:pPr>
            <w:r>
              <w:rPr>
                <w:rFonts w:hint="eastAsia"/>
                <w:lang w:val="en-US"/>
              </w:rPr>
              <w:t>林地、草地、农田</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B556">
            <w:pPr>
              <w:pStyle w:val="307"/>
              <w:rPr>
                <w:lang w:val="en-US"/>
              </w:rPr>
            </w:pPr>
            <w:r>
              <w:rPr>
                <w:lang w:val="en-US"/>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19190">
            <w:pPr>
              <w:pStyle w:val="307"/>
              <w:rPr>
                <w:lang w:val="en-US"/>
              </w:rPr>
            </w:pPr>
            <w:r>
              <w:rPr>
                <w:rFonts w:hint="eastAsia"/>
                <w:lang w:val="en-US"/>
              </w:rPr>
              <w:t>资料访问</w:t>
            </w:r>
          </w:p>
        </w:tc>
      </w:tr>
      <w:tr w14:paraId="49A60539">
        <w:tblPrEx>
          <w:tblCellMar>
            <w:top w:w="0" w:type="dxa"/>
            <w:left w:w="108" w:type="dxa"/>
            <w:bottom w:w="0" w:type="dxa"/>
            <w:right w:w="108" w:type="dxa"/>
          </w:tblCellMar>
        </w:tblPrEx>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497EF">
            <w:pPr>
              <w:pStyle w:val="307"/>
              <w:rPr>
                <w:lang w:val="en-US"/>
              </w:rPr>
            </w:pPr>
            <w:r>
              <w:rPr>
                <w:rFonts w:hint="eastAsia"/>
                <w:lang w:val="en-US"/>
              </w:rPr>
              <w:t>3</w:t>
            </w:r>
          </w:p>
        </w:tc>
        <w:tc>
          <w:tcPr>
            <w:tcW w:w="5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58EBB">
            <w:pPr>
              <w:pStyle w:val="307"/>
              <w:rPr>
                <w:lang w:val="en-US"/>
              </w:rPr>
            </w:pP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17840">
            <w:pPr>
              <w:pStyle w:val="307"/>
              <w:rPr>
                <w:lang w:val="en-US"/>
              </w:rPr>
            </w:pPr>
            <w:r>
              <w:rPr>
                <w:rFonts w:hint="eastAsia"/>
                <w:lang w:val="en-US"/>
              </w:rPr>
              <w:t>壁虎科</w:t>
            </w:r>
            <w:r>
              <w:rPr>
                <w:rFonts w:hint="eastAsia"/>
                <w:i/>
                <w:iCs/>
                <w:lang w:val="en-US"/>
              </w:rPr>
              <w:t>Gekkonidae</w:t>
            </w:r>
          </w:p>
        </w:tc>
        <w:tc>
          <w:tcPr>
            <w:tcW w:w="1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EDA55">
            <w:pPr>
              <w:pStyle w:val="307"/>
              <w:rPr>
                <w:lang w:val="en-US"/>
              </w:rPr>
            </w:pPr>
            <w:r>
              <w:rPr>
                <w:rFonts w:hint="eastAsia"/>
                <w:lang w:val="en-US"/>
              </w:rPr>
              <w:t>无蹼壁虎</w:t>
            </w:r>
            <w:r>
              <w:rPr>
                <w:rFonts w:hint="eastAsia"/>
                <w:i/>
                <w:iCs/>
                <w:lang w:val="en-US"/>
              </w:rPr>
              <w:t>Gekko</w:t>
            </w:r>
            <w:r>
              <w:rPr>
                <w:rFonts w:hint="eastAsia"/>
                <w:lang w:val="en-US"/>
              </w:rPr>
              <w:t xml:space="preserve"> </w:t>
            </w:r>
            <w:r>
              <w:rPr>
                <w:rFonts w:hint="eastAsia"/>
                <w:i/>
                <w:iCs/>
                <w:lang w:val="en-US"/>
              </w:rPr>
              <w:t>swinhonis</w:t>
            </w:r>
          </w:p>
        </w:tc>
        <w:tc>
          <w:tcPr>
            <w:tcW w:w="10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AD9BB">
            <w:pPr>
              <w:pStyle w:val="307"/>
              <w:rPr>
                <w:lang w:val="en-US"/>
              </w:rPr>
            </w:pPr>
            <w:r>
              <w:rPr>
                <w:rFonts w:hint="eastAsia"/>
                <w:lang w:val="en-US"/>
              </w:rPr>
              <w:t>林地、农田</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F8F2A">
            <w:pPr>
              <w:pStyle w:val="307"/>
              <w:rPr>
                <w:lang w:val="en-US"/>
              </w:rPr>
            </w:pPr>
            <w:r>
              <w:rPr>
                <w:lang w:val="en-US"/>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3E286">
            <w:pPr>
              <w:pStyle w:val="307"/>
              <w:rPr>
                <w:lang w:val="en-US"/>
              </w:rPr>
            </w:pPr>
            <w:r>
              <w:rPr>
                <w:rFonts w:hint="eastAsia"/>
                <w:lang w:val="en-US"/>
              </w:rPr>
              <w:t>资料访问</w:t>
            </w:r>
          </w:p>
        </w:tc>
      </w:tr>
      <w:tr w14:paraId="2E0C907F">
        <w:tblPrEx>
          <w:tblCellMar>
            <w:top w:w="0" w:type="dxa"/>
            <w:left w:w="108" w:type="dxa"/>
            <w:bottom w:w="0" w:type="dxa"/>
            <w:right w:w="108" w:type="dxa"/>
          </w:tblCellMar>
        </w:tblPrEx>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32DAF">
            <w:pPr>
              <w:pStyle w:val="307"/>
              <w:rPr>
                <w:lang w:val="en-US"/>
              </w:rPr>
            </w:pPr>
            <w:r>
              <w:rPr>
                <w:rFonts w:hint="eastAsia"/>
                <w:lang w:val="en-US"/>
              </w:rPr>
              <w:t>4</w:t>
            </w:r>
          </w:p>
        </w:tc>
        <w:tc>
          <w:tcPr>
            <w:tcW w:w="5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9C3B1C">
            <w:pPr>
              <w:pStyle w:val="307"/>
              <w:rPr>
                <w:lang w:val="en-US"/>
              </w:rPr>
            </w:pPr>
          </w:p>
        </w:tc>
        <w:tc>
          <w:tcPr>
            <w:tcW w:w="75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948547">
            <w:pPr>
              <w:pStyle w:val="307"/>
              <w:rPr>
                <w:lang w:val="en-US"/>
              </w:rPr>
            </w:pPr>
            <w:r>
              <w:rPr>
                <w:rFonts w:hint="eastAsia"/>
                <w:lang w:val="en-US"/>
              </w:rPr>
              <w:t>蜥蜴科</w:t>
            </w:r>
            <w:r>
              <w:rPr>
                <w:rFonts w:hint="eastAsia"/>
                <w:i/>
                <w:iCs/>
                <w:lang w:val="en-US"/>
              </w:rPr>
              <w:t>Lacertidae</w:t>
            </w:r>
          </w:p>
        </w:tc>
        <w:tc>
          <w:tcPr>
            <w:tcW w:w="1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9CD82">
            <w:pPr>
              <w:pStyle w:val="307"/>
              <w:rPr>
                <w:lang w:val="en-US"/>
              </w:rPr>
            </w:pPr>
            <w:r>
              <w:rPr>
                <w:rFonts w:hint="eastAsia"/>
                <w:lang w:val="en-US"/>
              </w:rPr>
              <w:t>丽斑麻蜥</w:t>
            </w:r>
            <w:r>
              <w:rPr>
                <w:rFonts w:hint="eastAsia"/>
                <w:i/>
                <w:iCs/>
                <w:lang w:val="en-US"/>
              </w:rPr>
              <w:t>Eremias</w:t>
            </w:r>
            <w:r>
              <w:rPr>
                <w:rFonts w:hint="eastAsia"/>
                <w:lang w:val="en-US"/>
              </w:rPr>
              <w:t xml:space="preserve"> </w:t>
            </w:r>
            <w:r>
              <w:rPr>
                <w:rFonts w:hint="eastAsia"/>
                <w:i/>
                <w:iCs/>
                <w:lang w:val="en-US"/>
              </w:rPr>
              <w:t>argus</w:t>
            </w:r>
          </w:p>
        </w:tc>
        <w:tc>
          <w:tcPr>
            <w:tcW w:w="10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DD077">
            <w:pPr>
              <w:pStyle w:val="307"/>
              <w:rPr>
                <w:lang w:val="en-US"/>
              </w:rPr>
            </w:pPr>
            <w:r>
              <w:rPr>
                <w:rFonts w:hint="eastAsia"/>
                <w:lang w:val="en-US"/>
              </w:rPr>
              <w:t>农田、草地</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32FB5">
            <w:pPr>
              <w:pStyle w:val="307"/>
              <w:rPr>
                <w:lang w:val="en-US"/>
              </w:rPr>
            </w:pPr>
            <w:r>
              <w:rPr>
                <w:lang w:val="en-US"/>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A21B9">
            <w:pPr>
              <w:pStyle w:val="307"/>
              <w:rPr>
                <w:lang w:val="en-US"/>
              </w:rPr>
            </w:pPr>
            <w:r>
              <w:rPr>
                <w:rFonts w:hint="eastAsia"/>
                <w:lang w:val="en-US"/>
              </w:rPr>
              <w:t>资料访问</w:t>
            </w:r>
          </w:p>
        </w:tc>
      </w:tr>
      <w:tr w14:paraId="17D4DEC3">
        <w:tblPrEx>
          <w:tblCellMar>
            <w:top w:w="0" w:type="dxa"/>
            <w:left w:w="108" w:type="dxa"/>
            <w:bottom w:w="0" w:type="dxa"/>
            <w:right w:w="108" w:type="dxa"/>
          </w:tblCellMar>
        </w:tblPrEx>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02D42">
            <w:pPr>
              <w:pStyle w:val="307"/>
              <w:rPr>
                <w:lang w:val="en-US"/>
              </w:rPr>
            </w:pPr>
            <w:r>
              <w:rPr>
                <w:rFonts w:hint="eastAsia"/>
                <w:lang w:val="en-US"/>
              </w:rPr>
              <w:t>5</w:t>
            </w:r>
          </w:p>
        </w:tc>
        <w:tc>
          <w:tcPr>
            <w:tcW w:w="5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4FDA5">
            <w:pPr>
              <w:pStyle w:val="307"/>
              <w:rPr>
                <w:lang w:val="en-US"/>
              </w:rPr>
            </w:pPr>
          </w:p>
        </w:tc>
        <w:tc>
          <w:tcPr>
            <w:tcW w:w="7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A34D0D">
            <w:pPr>
              <w:pStyle w:val="307"/>
              <w:rPr>
                <w:lang w:val="en-US"/>
              </w:rPr>
            </w:pPr>
          </w:p>
        </w:tc>
        <w:tc>
          <w:tcPr>
            <w:tcW w:w="1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FC8B6">
            <w:pPr>
              <w:pStyle w:val="307"/>
              <w:rPr>
                <w:lang w:val="en-US"/>
              </w:rPr>
            </w:pPr>
            <w:r>
              <w:rPr>
                <w:rFonts w:hint="eastAsia"/>
                <w:lang w:val="en-US"/>
              </w:rPr>
              <w:t>山地麻蜥</w:t>
            </w:r>
            <w:r>
              <w:rPr>
                <w:rFonts w:hint="eastAsia"/>
                <w:i/>
                <w:iCs/>
                <w:lang w:val="en-US"/>
              </w:rPr>
              <w:t>Eremias</w:t>
            </w:r>
            <w:r>
              <w:rPr>
                <w:rFonts w:hint="eastAsia"/>
                <w:lang w:val="en-US"/>
              </w:rPr>
              <w:t xml:space="preserve"> </w:t>
            </w:r>
            <w:r>
              <w:rPr>
                <w:rFonts w:hint="eastAsia"/>
                <w:i/>
                <w:iCs/>
                <w:lang w:val="en-US"/>
              </w:rPr>
              <w:t>brenchleyi</w:t>
            </w:r>
          </w:p>
        </w:tc>
        <w:tc>
          <w:tcPr>
            <w:tcW w:w="10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3B18D">
            <w:pPr>
              <w:pStyle w:val="307"/>
              <w:rPr>
                <w:lang w:val="en-US"/>
              </w:rPr>
            </w:pPr>
            <w:r>
              <w:rPr>
                <w:rFonts w:hint="eastAsia"/>
                <w:lang w:val="en-US"/>
              </w:rPr>
              <w:t>林地、草地</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F5A59">
            <w:pPr>
              <w:pStyle w:val="307"/>
              <w:rPr>
                <w:lang w:val="en-US"/>
              </w:rPr>
            </w:pPr>
            <w:r>
              <w:rPr>
                <w:lang w:val="en-US"/>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9BFEE">
            <w:pPr>
              <w:pStyle w:val="307"/>
              <w:rPr>
                <w:lang w:val="en-US"/>
              </w:rPr>
            </w:pPr>
            <w:r>
              <w:rPr>
                <w:rFonts w:hint="eastAsia"/>
                <w:lang w:val="en-US"/>
              </w:rPr>
              <w:t>资料访问</w:t>
            </w:r>
          </w:p>
        </w:tc>
      </w:tr>
      <w:tr w14:paraId="717FDEE5">
        <w:tblPrEx>
          <w:tblCellMar>
            <w:top w:w="0" w:type="dxa"/>
            <w:left w:w="108" w:type="dxa"/>
            <w:bottom w:w="0" w:type="dxa"/>
            <w:right w:w="108" w:type="dxa"/>
          </w:tblCellMar>
        </w:tblPrEx>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29563">
            <w:pPr>
              <w:pStyle w:val="307"/>
              <w:rPr>
                <w:lang w:val="en-US"/>
              </w:rPr>
            </w:pPr>
            <w:r>
              <w:rPr>
                <w:rFonts w:hint="eastAsia"/>
                <w:lang w:val="en-US"/>
              </w:rPr>
              <w:t>6</w:t>
            </w:r>
          </w:p>
        </w:tc>
        <w:tc>
          <w:tcPr>
            <w:tcW w:w="5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D9D9CC">
            <w:pPr>
              <w:pStyle w:val="307"/>
              <w:rPr>
                <w:lang w:val="en-US"/>
              </w:rPr>
            </w:pP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530FD">
            <w:pPr>
              <w:pStyle w:val="307"/>
              <w:rPr>
                <w:lang w:val="en-US"/>
              </w:rPr>
            </w:pPr>
            <w:r>
              <w:rPr>
                <w:rFonts w:hint="eastAsia"/>
                <w:lang w:val="en-US"/>
              </w:rPr>
              <w:t>水游蛇科</w:t>
            </w:r>
            <w:r>
              <w:rPr>
                <w:rFonts w:hint="eastAsia"/>
                <w:i/>
                <w:iCs/>
                <w:lang w:val="en-US"/>
              </w:rPr>
              <w:t>Natricidae</w:t>
            </w:r>
          </w:p>
        </w:tc>
        <w:tc>
          <w:tcPr>
            <w:tcW w:w="1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53780">
            <w:pPr>
              <w:pStyle w:val="307"/>
              <w:rPr>
                <w:lang w:val="en-US"/>
              </w:rPr>
            </w:pPr>
            <w:r>
              <w:rPr>
                <w:rFonts w:hint="eastAsia"/>
                <w:lang w:val="en-US"/>
              </w:rPr>
              <w:t>虎斑颈槽蛇</w:t>
            </w:r>
            <w:r>
              <w:rPr>
                <w:rFonts w:hint="eastAsia"/>
                <w:i/>
                <w:iCs/>
                <w:lang w:val="en-US"/>
              </w:rPr>
              <w:t>Rhabdcphis</w:t>
            </w:r>
            <w:r>
              <w:rPr>
                <w:rFonts w:hint="eastAsia"/>
                <w:lang w:val="en-US"/>
              </w:rPr>
              <w:t xml:space="preserve"> </w:t>
            </w:r>
            <w:r>
              <w:rPr>
                <w:rFonts w:hint="eastAsia"/>
                <w:i/>
                <w:iCs/>
                <w:lang w:val="en-US"/>
              </w:rPr>
              <w:t>tigrinus</w:t>
            </w:r>
          </w:p>
        </w:tc>
        <w:tc>
          <w:tcPr>
            <w:tcW w:w="10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ED7F4">
            <w:pPr>
              <w:pStyle w:val="307"/>
              <w:rPr>
                <w:lang w:val="en-US"/>
              </w:rPr>
            </w:pPr>
            <w:r>
              <w:rPr>
                <w:rFonts w:hint="eastAsia"/>
                <w:lang w:val="en-US"/>
              </w:rPr>
              <w:t>林地、农田、湿地、草地</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F9D28">
            <w:pPr>
              <w:pStyle w:val="307"/>
              <w:rPr>
                <w:lang w:val="en-US"/>
              </w:rPr>
            </w:pPr>
            <w:r>
              <w:rPr>
                <w:lang w:val="en-US"/>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CE87E">
            <w:pPr>
              <w:pStyle w:val="307"/>
              <w:rPr>
                <w:lang w:val="en-US"/>
              </w:rPr>
            </w:pPr>
            <w:r>
              <w:rPr>
                <w:rFonts w:hint="eastAsia"/>
                <w:lang w:val="en-US"/>
              </w:rPr>
              <w:t>资料访问</w:t>
            </w:r>
          </w:p>
        </w:tc>
      </w:tr>
      <w:tr w14:paraId="755EA939">
        <w:tblPrEx>
          <w:tblCellMar>
            <w:top w:w="0" w:type="dxa"/>
            <w:left w:w="108" w:type="dxa"/>
            <w:bottom w:w="0" w:type="dxa"/>
            <w:right w:w="108" w:type="dxa"/>
          </w:tblCellMar>
        </w:tblPrEx>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6EF13">
            <w:pPr>
              <w:pStyle w:val="307"/>
              <w:rPr>
                <w:lang w:val="en-US"/>
              </w:rPr>
            </w:pPr>
            <w:r>
              <w:rPr>
                <w:rFonts w:hint="eastAsia"/>
                <w:lang w:val="en-US"/>
              </w:rPr>
              <w:t>7</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E9DB8">
            <w:pPr>
              <w:pStyle w:val="307"/>
              <w:rPr>
                <w:lang w:val="en-US"/>
              </w:rPr>
            </w:pPr>
            <w:r>
              <w:rPr>
                <w:rFonts w:hint="eastAsia"/>
                <w:lang w:val="en-US"/>
              </w:rPr>
              <w:t>龟鳖目Testudines</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57250">
            <w:pPr>
              <w:pStyle w:val="307"/>
              <w:rPr>
                <w:lang w:val="en-US"/>
              </w:rPr>
            </w:pPr>
            <w:r>
              <w:rPr>
                <w:rFonts w:hint="eastAsia"/>
                <w:lang w:val="en-US"/>
              </w:rPr>
              <w:t>鳖科</w:t>
            </w:r>
            <w:r>
              <w:rPr>
                <w:rFonts w:hint="eastAsia"/>
                <w:i/>
                <w:iCs/>
                <w:lang w:val="en-US"/>
              </w:rPr>
              <w:t>Trionychidae</w:t>
            </w:r>
          </w:p>
        </w:tc>
        <w:tc>
          <w:tcPr>
            <w:tcW w:w="1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F3212">
            <w:pPr>
              <w:pStyle w:val="307"/>
              <w:rPr>
                <w:lang w:val="en-US"/>
              </w:rPr>
            </w:pPr>
            <w:r>
              <w:rPr>
                <w:rFonts w:hint="eastAsia"/>
                <w:lang w:val="en-US"/>
              </w:rPr>
              <w:t>中华鳖</w:t>
            </w:r>
            <w:r>
              <w:rPr>
                <w:rFonts w:hint="eastAsia"/>
                <w:i/>
                <w:iCs/>
                <w:lang w:val="en-US"/>
              </w:rPr>
              <w:t>Pelodiscus</w:t>
            </w:r>
            <w:r>
              <w:rPr>
                <w:rFonts w:hint="eastAsia"/>
                <w:lang w:val="en-US"/>
              </w:rPr>
              <w:t xml:space="preserve"> </w:t>
            </w:r>
            <w:r>
              <w:rPr>
                <w:rFonts w:hint="eastAsia"/>
                <w:i/>
                <w:iCs/>
                <w:lang w:val="en-US"/>
              </w:rPr>
              <w:t>sinensis</w:t>
            </w:r>
          </w:p>
        </w:tc>
        <w:tc>
          <w:tcPr>
            <w:tcW w:w="10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08933">
            <w:pPr>
              <w:pStyle w:val="307"/>
              <w:rPr>
                <w:lang w:val="en-US"/>
              </w:rPr>
            </w:pPr>
            <w:r>
              <w:rPr>
                <w:rFonts w:hint="eastAsia"/>
                <w:lang w:val="en-US"/>
              </w:rPr>
              <w:t>湿地</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C26E5">
            <w:pPr>
              <w:pStyle w:val="307"/>
              <w:rPr>
                <w:lang w:val="en-US"/>
              </w:rPr>
            </w:pPr>
            <w:r>
              <w:rPr>
                <w:lang w:val="en-US"/>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CEFF6">
            <w:pPr>
              <w:pStyle w:val="307"/>
              <w:rPr>
                <w:lang w:val="en-US"/>
              </w:rPr>
            </w:pPr>
            <w:r>
              <w:rPr>
                <w:rFonts w:hint="eastAsia"/>
                <w:lang w:val="en-US"/>
              </w:rPr>
              <w:t>目击</w:t>
            </w:r>
          </w:p>
        </w:tc>
      </w:tr>
    </w:tbl>
    <w:p w14:paraId="4B8EEF76">
      <w:pPr>
        <w:pStyle w:val="307"/>
      </w:pPr>
    </w:p>
    <w:p w14:paraId="4585502B">
      <w:pPr>
        <w:pStyle w:val="85"/>
        <w:ind w:firstLine="480"/>
        <w:rPr>
          <w:kern w:val="0"/>
        </w:rPr>
      </w:pPr>
      <w:r>
        <w:rPr>
          <w:rFonts w:hint="eastAsia"/>
          <w:kern w:val="0"/>
        </w:rPr>
        <w:t>（4）两栖类</w:t>
      </w:r>
    </w:p>
    <w:p w14:paraId="26615458">
      <w:pPr>
        <w:pStyle w:val="85"/>
        <w:ind w:firstLine="480"/>
        <w:rPr>
          <w:kern w:val="0"/>
        </w:rPr>
      </w:pPr>
      <w:r>
        <w:rPr>
          <w:rFonts w:hint="eastAsia"/>
          <w:kern w:val="0"/>
        </w:rPr>
        <w:t>调查及资料表明，评价范围内两栖类有1目3科4种，无国家重点保护野生动物，有河北省级重点保护野生动物1种，北方狭口蛙。。</w:t>
      </w:r>
    </w:p>
    <w:p w14:paraId="7EED7BD2">
      <w:pPr>
        <w:pStyle w:val="351"/>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1 \s</w:instrText>
      </w:r>
      <w:r>
        <w:rPr>
          <w:color w:val="auto"/>
        </w:rPr>
        <w:instrText xml:space="preserve"> </w:instrText>
      </w:r>
      <w:r>
        <w:rPr>
          <w:color w:val="auto"/>
        </w:rPr>
        <w:fldChar w:fldCharType="separate"/>
      </w:r>
      <w:r>
        <w:rPr>
          <w:color w:val="auto"/>
        </w:rPr>
        <w:t>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1</w:instrText>
      </w:r>
      <w:r>
        <w:rPr>
          <w:color w:val="auto"/>
        </w:rPr>
        <w:instrText xml:space="preserve"> </w:instrText>
      </w:r>
      <w:r>
        <w:rPr>
          <w:color w:val="auto"/>
        </w:rPr>
        <w:fldChar w:fldCharType="separate"/>
      </w:r>
      <w:r>
        <w:rPr>
          <w:color w:val="auto"/>
        </w:rPr>
        <w:t>24</w:t>
      </w:r>
      <w:r>
        <w:rPr>
          <w:color w:val="auto"/>
        </w:rPr>
        <w:fldChar w:fldCharType="end"/>
      </w:r>
      <w:r>
        <w:rPr>
          <w:color w:val="auto"/>
        </w:rPr>
        <w:t xml:space="preserve">  </w:t>
      </w:r>
      <w:r>
        <w:rPr>
          <w:rFonts w:hint="eastAsia"/>
          <w:color w:val="auto"/>
        </w:rPr>
        <w:t>两栖类调查情况统计表</w:t>
      </w:r>
    </w:p>
    <w:tbl>
      <w:tblPr>
        <w:tblStyle w:val="63"/>
        <w:tblW w:w="0" w:type="auto"/>
        <w:tblInd w:w="0" w:type="dxa"/>
        <w:tblLayout w:type="autofit"/>
        <w:tblCellMar>
          <w:top w:w="0" w:type="dxa"/>
          <w:left w:w="108" w:type="dxa"/>
          <w:bottom w:w="0" w:type="dxa"/>
          <w:right w:w="108" w:type="dxa"/>
        </w:tblCellMar>
      </w:tblPr>
      <w:tblGrid>
        <w:gridCol w:w="636"/>
        <w:gridCol w:w="1231"/>
        <w:gridCol w:w="1383"/>
        <w:gridCol w:w="2320"/>
        <w:gridCol w:w="1266"/>
        <w:gridCol w:w="636"/>
        <w:gridCol w:w="1056"/>
      </w:tblGrid>
      <w:tr w14:paraId="7686EF57">
        <w:tblPrEx>
          <w:tblCellMar>
            <w:top w:w="0" w:type="dxa"/>
            <w:left w:w="108" w:type="dxa"/>
            <w:bottom w:w="0" w:type="dxa"/>
            <w:right w:w="108" w:type="dxa"/>
          </w:tblCellMar>
        </w:tblPrEx>
        <w:trPr>
          <w:cantSplit/>
          <w:tblHead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42EE8">
            <w:pPr>
              <w:pStyle w:val="307"/>
              <w:rPr>
                <w:lang w:val="en-US"/>
              </w:rPr>
            </w:pPr>
            <w:r>
              <w:rPr>
                <w:rFonts w:hint="eastAsia"/>
                <w:lang w:val="en-US"/>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871CA">
            <w:pPr>
              <w:pStyle w:val="307"/>
              <w:rPr>
                <w:lang w:val="en-US"/>
              </w:rPr>
            </w:pPr>
            <w:r>
              <w:rPr>
                <w:rFonts w:hint="eastAsia"/>
                <w:lang w:val="en-US"/>
              </w:rPr>
              <w:t>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247CB">
            <w:pPr>
              <w:pStyle w:val="307"/>
              <w:rPr>
                <w:lang w:val="en-US"/>
              </w:rPr>
            </w:pPr>
            <w:r>
              <w:rPr>
                <w:rFonts w:hint="eastAsia"/>
                <w:lang w:val="en-US"/>
              </w:rPr>
              <w:t>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7928CA">
            <w:pPr>
              <w:pStyle w:val="307"/>
              <w:rPr>
                <w:lang w:val="en-US"/>
              </w:rPr>
            </w:pPr>
            <w:r>
              <w:rPr>
                <w:rFonts w:hint="eastAsia"/>
                <w:lang w:val="en-US"/>
              </w:rPr>
              <w:t>物种（中文名/拉丁名）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E9264">
            <w:pPr>
              <w:pStyle w:val="307"/>
              <w:rPr>
                <w:lang w:val="en-US"/>
              </w:rPr>
            </w:pPr>
            <w:r>
              <w:rPr>
                <w:rFonts w:hint="eastAsia"/>
                <w:lang w:val="en-US"/>
              </w:rPr>
              <w:t>生境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2EB54">
            <w:pPr>
              <w:pStyle w:val="307"/>
              <w:rPr>
                <w:lang w:val="en-US"/>
              </w:rPr>
            </w:pPr>
            <w:r>
              <w:rPr>
                <w:rFonts w:hint="eastAsia"/>
                <w:lang w:val="en-US"/>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AF006">
            <w:pPr>
              <w:pStyle w:val="307"/>
              <w:rPr>
                <w:lang w:val="en-US"/>
              </w:rPr>
            </w:pPr>
            <w:r>
              <w:rPr>
                <w:rFonts w:hint="eastAsia"/>
                <w:lang w:val="en-US"/>
              </w:rPr>
              <w:t>来源</w:t>
            </w:r>
          </w:p>
        </w:tc>
      </w:tr>
      <w:tr w14:paraId="7FF99B8A">
        <w:tblPrEx>
          <w:tblCellMar>
            <w:top w:w="0" w:type="dxa"/>
            <w:left w:w="108" w:type="dxa"/>
            <w:bottom w:w="0" w:type="dxa"/>
            <w:right w:w="108" w:type="dxa"/>
          </w:tblCellMar>
        </w:tblPrEx>
        <w:trPr>
          <w:cantSpli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8E2A7">
            <w:pPr>
              <w:pStyle w:val="307"/>
              <w:rPr>
                <w:lang w:val="en-US"/>
              </w:rPr>
            </w:pPr>
            <w:r>
              <w:rPr>
                <w:rFonts w:hint="eastAsia"/>
                <w:lang w:val="en-US"/>
              </w:rPr>
              <w:t>1</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3BF8DC">
            <w:pPr>
              <w:pStyle w:val="307"/>
              <w:rPr>
                <w:lang w:val="en-US"/>
              </w:rPr>
            </w:pPr>
            <w:r>
              <w:rPr>
                <w:rFonts w:hint="eastAsia"/>
                <w:lang w:val="en-US"/>
              </w:rPr>
              <w:t>无尾目Anura</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C6E1BF">
            <w:pPr>
              <w:pStyle w:val="307"/>
              <w:rPr>
                <w:lang w:val="en-US"/>
              </w:rPr>
            </w:pPr>
            <w:r>
              <w:rPr>
                <w:rFonts w:hint="eastAsia"/>
                <w:lang w:val="en-US"/>
              </w:rPr>
              <w:t>蟾蜍科</w:t>
            </w:r>
            <w:r>
              <w:rPr>
                <w:rFonts w:hint="eastAsia"/>
                <w:i/>
                <w:iCs/>
                <w:lang w:val="en-US"/>
              </w:rPr>
              <w:t>Bufo</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CF1D59">
            <w:pPr>
              <w:pStyle w:val="307"/>
              <w:rPr>
                <w:lang w:val="en-US"/>
              </w:rPr>
            </w:pPr>
            <w:r>
              <w:rPr>
                <w:rFonts w:hint="eastAsia"/>
                <w:lang w:val="en-US"/>
              </w:rPr>
              <w:t>中华蟾蜍</w:t>
            </w:r>
            <w:r>
              <w:rPr>
                <w:rFonts w:hint="eastAsia"/>
                <w:i/>
                <w:iCs/>
                <w:lang w:val="en-US"/>
              </w:rPr>
              <w:t>Bufo</w:t>
            </w:r>
            <w:r>
              <w:rPr>
                <w:rFonts w:hint="eastAsia"/>
                <w:lang w:val="en-US"/>
              </w:rPr>
              <w:t xml:space="preserve"> </w:t>
            </w:r>
            <w:r>
              <w:rPr>
                <w:rFonts w:hint="eastAsia"/>
                <w:i/>
                <w:iCs/>
                <w:lang w:val="en-US"/>
              </w:rPr>
              <w:t>gargarizans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5CBAE">
            <w:pPr>
              <w:pStyle w:val="307"/>
              <w:rPr>
                <w:lang w:val="en-US"/>
              </w:rPr>
            </w:pPr>
            <w:r>
              <w:rPr>
                <w:rFonts w:hint="eastAsia"/>
                <w:lang w:val="en-US"/>
              </w:rPr>
              <w:t>湿地、草地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39EB6">
            <w:pPr>
              <w:pStyle w:val="307"/>
              <w:rPr>
                <w:lang w:val="en-US"/>
              </w:rPr>
            </w:pPr>
            <w:r>
              <w:rPr>
                <w:lang w:val="en-US"/>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C976B">
            <w:pPr>
              <w:pStyle w:val="307"/>
              <w:rPr>
                <w:lang w:val="en-US"/>
              </w:rPr>
            </w:pPr>
            <w:r>
              <w:rPr>
                <w:rFonts w:hint="eastAsia"/>
                <w:lang w:val="en-US"/>
              </w:rPr>
              <w:t>资料访问</w:t>
            </w:r>
          </w:p>
        </w:tc>
      </w:tr>
      <w:tr w14:paraId="346F20AA">
        <w:tblPrEx>
          <w:tblCellMar>
            <w:top w:w="0" w:type="dxa"/>
            <w:left w:w="108" w:type="dxa"/>
            <w:bottom w:w="0" w:type="dxa"/>
            <w:right w:w="108" w:type="dxa"/>
          </w:tblCellMar>
        </w:tblPrEx>
        <w:trPr>
          <w:cantSpli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0FBC3">
            <w:pPr>
              <w:pStyle w:val="307"/>
              <w:rPr>
                <w:lang w:val="en-US"/>
              </w:rPr>
            </w:pPr>
            <w:r>
              <w:rPr>
                <w:rFonts w:hint="eastAsia"/>
                <w:lang w:val="en-US"/>
              </w:rPr>
              <w:t>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5740C7">
            <w:pPr>
              <w:pStyle w:val="307"/>
              <w:rPr>
                <w:lang w:val="en-US"/>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5D036E">
            <w:pPr>
              <w:pStyle w:val="307"/>
              <w:rPr>
                <w:lang w:val="en-US"/>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599DCE">
            <w:pPr>
              <w:pStyle w:val="307"/>
              <w:rPr>
                <w:lang w:val="en-US"/>
              </w:rPr>
            </w:pPr>
            <w:r>
              <w:rPr>
                <w:rFonts w:hint="eastAsia"/>
                <w:lang w:val="en-US"/>
              </w:rPr>
              <w:t>花背蟾蜍</w:t>
            </w:r>
            <w:r>
              <w:rPr>
                <w:rFonts w:hint="eastAsia"/>
                <w:i/>
                <w:iCs/>
                <w:lang w:val="en-US"/>
              </w:rPr>
              <w:t>Bufo</w:t>
            </w:r>
            <w:r>
              <w:rPr>
                <w:rFonts w:hint="eastAsia"/>
                <w:lang w:val="en-US"/>
              </w:rPr>
              <w:t xml:space="preserve"> </w:t>
            </w:r>
            <w:r>
              <w:rPr>
                <w:rFonts w:hint="eastAsia"/>
                <w:i/>
                <w:iCs/>
                <w:lang w:val="en-US"/>
              </w:rPr>
              <w:t>raddei</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7B1A3">
            <w:pPr>
              <w:pStyle w:val="307"/>
              <w:rPr>
                <w:lang w:val="en-US"/>
              </w:rPr>
            </w:pPr>
            <w:r>
              <w:rPr>
                <w:rFonts w:hint="eastAsia"/>
                <w:lang w:val="en-US"/>
              </w:rPr>
              <w:t>草地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6B731">
            <w:pPr>
              <w:pStyle w:val="307"/>
              <w:rPr>
                <w:lang w:val="en-US"/>
              </w:rPr>
            </w:pPr>
            <w:r>
              <w:rPr>
                <w:lang w:val="en-US"/>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ED21B">
            <w:pPr>
              <w:pStyle w:val="307"/>
              <w:rPr>
                <w:lang w:val="en-US"/>
              </w:rPr>
            </w:pPr>
            <w:r>
              <w:rPr>
                <w:rFonts w:hint="eastAsia"/>
                <w:lang w:val="en-US"/>
              </w:rPr>
              <w:t>资料访问</w:t>
            </w:r>
          </w:p>
        </w:tc>
      </w:tr>
      <w:tr w14:paraId="5A4E4442">
        <w:tblPrEx>
          <w:tblCellMar>
            <w:top w:w="0" w:type="dxa"/>
            <w:left w:w="108" w:type="dxa"/>
            <w:bottom w:w="0" w:type="dxa"/>
            <w:right w:w="108" w:type="dxa"/>
          </w:tblCellMar>
        </w:tblPrEx>
        <w:trPr>
          <w:cantSpli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4DED8">
            <w:pPr>
              <w:pStyle w:val="307"/>
              <w:rPr>
                <w:color w:val="FF0000"/>
                <w:lang w:val="en-US"/>
              </w:rPr>
            </w:pPr>
            <w:r>
              <w:rPr>
                <w:rFonts w:hint="eastAsia"/>
                <w:color w:val="FF0000"/>
                <w:lang w:val="en-US"/>
              </w:rPr>
              <w:t>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25CA14">
            <w:pPr>
              <w:pStyle w:val="307"/>
              <w:rPr>
                <w:color w:val="FF0000"/>
                <w:lang w:val="en-US"/>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C6314A">
            <w:pPr>
              <w:pStyle w:val="307"/>
              <w:rPr>
                <w:lang w:val="en-US"/>
              </w:rPr>
            </w:pPr>
            <w:r>
              <w:rPr>
                <w:rFonts w:hint="eastAsia"/>
                <w:lang w:val="en-US"/>
              </w:rPr>
              <w:t>姬蛙科</w:t>
            </w:r>
            <w:r>
              <w:rPr>
                <w:rFonts w:hint="eastAsia"/>
                <w:i/>
                <w:iCs/>
                <w:lang w:val="en-US"/>
              </w:rPr>
              <w:t>Kaloula</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5DBD6C">
            <w:pPr>
              <w:pStyle w:val="307"/>
              <w:rPr>
                <w:lang w:val="en-US"/>
              </w:rPr>
            </w:pPr>
            <w:r>
              <w:rPr>
                <w:rFonts w:hint="eastAsia"/>
                <w:lang w:val="en-US"/>
              </w:rPr>
              <w:t>北方狭口蛙</w:t>
            </w:r>
            <w:r>
              <w:rPr>
                <w:rFonts w:hint="eastAsia"/>
                <w:i/>
                <w:iCs/>
                <w:lang w:val="en-US"/>
              </w:rPr>
              <w:t>Kaloula</w:t>
            </w:r>
            <w:r>
              <w:rPr>
                <w:rFonts w:hint="eastAsia"/>
                <w:lang w:val="en-US"/>
              </w:rPr>
              <w:t xml:space="preserve"> </w:t>
            </w:r>
            <w:r>
              <w:rPr>
                <w:rFonts w:hint="eastAsia"/>
                <w:i/>
                <w:iCs/>
                <w:lang w:val="en-US"/>
              </w:rPr>
              <w:t>borealis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8B466">
            <w:pPr>
              <w:pStyle w:val="307"/>
              <w:rPr>
                <w:lang w:val="en-US"/>
              </w:rPr>
            </w:pPr>
            <w:r>
              <w:rPr>
                <w:rFonts w:hint="eastAsia"/>
                <w:lang w:val="en-US"/>
              </w:rPr>
              <w:t>湿地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D7092">
            <w:pPr>
              <w:pStyle w:val="307"/>
              <w:rPr>
                <w:lang w:val="en-US"/>
              </w:rPr>
            </w:pPr>
            <w:r>
              <w:rPr>
                <w:lang w:val="en-US"/>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43767">
            <w:pPr>
              <w:pStyle w:val="307"/>
              <w:rPr>
                <w:lang w:val="en-US"/>
              </w:rPr>
            </w:pPr>
            <w:r>
              <w:rPr>
                <w:rFonts w:hint="eastAsia"/>
                <w:lang w:val="en-US"/>
              </w:rPr>
              <w:t>资料访问</w:t>
            </w:r>
          </w:p>
        </w:tc>
      </w:tr>
      <w:tr w14:paraId="7F99C165">
        <w:tblPrEx>
          <w:tblCellMar>
            <w:top w:w="0" w:type="dxa"/>
            <w:left w:w="108" w:type="dxa"/>
            <w:bottom w:w="0" w:type="dxa"/>
            <w:right w:w="108" w:type="dxa"/>
          </w:tblCellMar>
        </w:tblPrEx>
        <w:trPr>
          <w:cantSpli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D80A8">
            <w:pPr>
              <w:pStyle w:val="307"/>
              <w:rPr>
                <w:lang w:val="en-US"/>
              </w:rPr>
            </w:pPr>
            <w:r>
              <w:rPr>
                <w:rFonts w:hint="eastAsia"/>
                <w:lang w:val="en-US"/>
              </w:rPr>
              <w:t>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5D56FE">
            <w:pPr>
              <w:pStyle w:val="307"/>
              <w:rPr>
                <w:lang w:val="en-US"/>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DF1D52">
            <w:pPr>
              <w:pStyle w:val="307"/>
              <w:rPr>
                <w:lang w:val="en-US"/>
              </w:rPr>
            </w:pPr>
            <w:r>
              <w:rPr>
                <w:rFonts w:hint="eastAsia"/>
                <w:lang w:val="en-US"/>
              </w:rPr>
              <w:t>蛙科</w:t>
            </w:r>
            <w:r>
              <w:rPr>
                <w:rFonts w:hint="eastAsia"/>
                <w:i/>
                <w:iCs/>
                <w:lang w:val="en-US"/>
              </w:rPr>
              <w:t>Rana</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74C4D5">
            <w:pPr>
              <w:pStyle w:val="307"/>
              <w:rPr>
                <w:lang w:val="en-US"/>
              </w:rPr>
            </w:pPr>
            <w:r>
              <w:rPr>
                <w:rFonts w:hint="eastAsia"/>
                <w:lang w:val="en-US"/>
              </w:rPr>
              <w:t>中国林蛙</w:t>
            </w:r>
            <w:r>
              <w:rPr>
                <w:rFonts w:hint="eastAsia"/>
                <w:i/>
                <w:iCs/>
                <w:lang w:val="en-US"/>
              </w:rPr>
              <w:t>Rana</w:t>
            </w:r>
            <w:r>
              <w:rPr>
                <w:rFonts w:hint="eastAsia"/>
                <w:lang w:val="en-US"/>
              </w:rPr>
              <w:t xml:space="preserve"> </w:t>
            </w:r>
            <w:r>
              <w:rPr>
                <w:rFonts w:hint="eastAsia"/>
                <w:i/>
                <w:iCs/>
                <w:lang w:val="en-US"/>
              </w:rPr>
              <w:t>chensinensis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FE464">
            <w:pPr>
              <w:pStyle w:val="307"/>
              <w:rPr>
                <w:lang w:val="en-US"/>
              </w:rPr>
            </w:pPr>
            <w:r>
              <w:rPr>
                <w:rFonts w:hint="eastAsia"/>
                <w:lang w:val="en-US"/>
              </w:rPr>
              <w:t>林地、草地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98EF7">
            <w:pPr>
              <w:pStyle w:val="307"/>
              <w:rPr>
                <w:lang w:val="en-US"/>
              </w:rPr>
            </w:pPr>
            <w:r>
              <w:rPr>
                <w:lang w:val="en-US"/>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E943D">
            <w:pPr>
              <w:pStyle w:val="307"/>
              <w:rPr>
                <w:lang w:val="en-US"/>
              </w:rPr>
            </w:pPr>
            <w:r>
              <w:rPr>
                <w:rFonts w:hint="eastAsia"/>
                <w:lang w:val="en-US"/>
              </w:rPr>
              <w:t>资料访问</w:t>
            </w:r>
          </w:p>
        </w:tc>
      </w:tr>
    </w:tbl>
    <w:p w14:paraId="489D4CB5">
      <w:pPr>
        <w:pStyle w:val="307"/>
      </w:pPr>
    </w:p>
    <w:p w14:paraId="55948FE6">
      <w:pPr>
        <w:pStyle w:val="85"/>
        <w:ind w:firstLine="482"/>
        <w:rPr>
          <w:b/>
          <w:bCs/>
          <w:kern w:val="0"/>
        </w:rPr>
      </w:pPr>
      <w:r>
        <w:rPr>
          <w:rFonts w:hint="eastAsia"/>
          <w:b/>
          <w:bCs/>
          <w:kern w:val="0"/>
        </w:rPr>
        <w:t>4、重要野生动物</w:t>
      </w:r>
    </w:p>
    <w:p w14:paraId="3F6143B8">
      <w:pPr>
        <w:pStyle w:val="85"/>
        <w:ind w:firstLine="480"/>
        <w:rPr>
          <w:kern w:val="0"/>
        </w:rPr>
      </w:pPr>
      <w:r>
        <w:rPr>
          <w:rFonts w:hint="eastAsia"/>
          <w:kern w:val="0"/>
        </w:rPr>
        <w:t>根据《国家重点保护野生动物名录》(国家林业和草原局、农业农村部，2021 年)、《中国生物多样性红色名录-脊椎动物卷（2020）》（生态环境部、中国科学院公告 2023年 第 15 号）及河北省重点保护野生动物名录等资料结合现场调查，评价区分布有重要野生动物29种，其中国家一级保护野生动物1种；国家二级保护野生动物3种，河北省级重点保护动物21种，濒危物种1种中华鳖、易危物种1种黑鹳，特有种4种，详见下表所示。</w:t>
      </w:r>
    </w:p>
    <w:p w14:paraId="116FC988">
      <w:pPr>
        <w:pStyle w:val="351"/>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1 \s</w:instrText>
      </w:r>
      <w:r>
        <w:rPr>
          <w:color w:val="auto"/>
        </w:rPr>
        <w:instrText xml:space="preserve"> </w:instrText>
      </w:r>
      <w:r>
        <w:rPr>
          <w:color w:val="auto"/>
        </w:rPr>
        <w:fldChar w:fldCharType="separate"/>
      </w:r>
      <w:r>
        <w:rPr>
          <w:color w:val="auto"/>
        </w:rPr>
        <w:t>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1</w:instrText>
      </w:r>
      <w:r>
        <w:rPr>
          <w:color w:val="auto"/>
        </w:rPr>
        <w:instrText xml:space="preserve"> </w:instrText>
      </w:r>
      <w:r>
        <w:rPr>
          <w:color w:val="auto"/>
        </w:rPr>
        <w:fldChar w:fldCharType="separate"/>
      </w:r>
      <w:r>
        <w:rPr>
          <w:color w:val="auto"/>
        </w:rPr>
        <w:t>25</w:t>
      </w:r>
      <w:r>
        <w:rPr>
          <w:color w:val="auto"/>
        </w:rPr>
        <w:fldChar w:fldCharType="end"/>
      </w:r>
      <w:r>
        <w:rPr>
          <w:color w:val="auto"/>
        </w:rPr>
        <w:t xml:space="preserve">  </w:t>
      </w:r>
      <w:r>
        <w:rPr>
          <w:rFonts w:hint="eastAsia"/>
          <w:color w:val="auto"/>
        </w:rPr>
        <w:t>重点保护野生动物调查结果统计表</w:t>
      </w:r>
    </w:p>
    <w:tbl>
      <w:tblPr>
        <w:tblStyle w:val="63"/>
        <w:tblW w:w="5000" w:type="pct"/>
        <w:tblInd w:w="0" w:type="dxa"/>
        <w:tblLayout w:type="fixed"/>
        <w:tblCellMar>
          <w:top w:w="0" w:type="dxa"/>
          <w:left w:w="108" w:type="dxa"/>
          <w:bottom w:w="0" w:type="dxa"/>
          <w:right w:w="108" w:type="dxa"/>
        </w:tblCellMar>
      </w:tblPr>
      <w:tblGrid>
        <w:gridCol w:w="577"/>
        <w:gridCol w:w="3057"/>
        <w:gridCol w:w="730"/>
        <w:gridCol w:w="730"/>
        <w:gridCol w:w="726"/>
        <w:gridCol w:w="1457"/>
        <w:gridCol w:w="1250"/>
      </w:tblGrid>
      <w:tr w14:paraId="13981452">
        <w:tblPrEx>
          <w:tblCellMar>
            <w:top w:w="0" w:type="dxa"/>
            <w:left w:w="108" w:type="dxa"/>
            <w:bottom w:w="0" w:type="dxa"/>
            <w:right w:w="108" w:type="dxa"/>
          </w:tblCellMar>
        </w:tblPrEx>
        <w:trPr>
          <w:trHeight w:val="576" w:hRule="atLeast"/>
          <w:tblHead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E97E5">
            <w:pPr>
              <w:pStyle w:val="307"/>
              <w:rPr>
                <w:lang w:val="en-US"/>
              </w:rPr>
            </w:pPr>
            <w:r>
              <w:rPr>
                <w:rFonts w:hint="eastAsia"/>
                <w:lang w:val="en-US"/>
              </w:rPr>
              <w:t>序号</w:t>
            </w:r>
          </w:p>
        </w:tc>
        <w:tc>
          <w:tcPr>
            <w:tcW w:w="17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60B46">
            <w:pPr>
              <w:pStyle w:val="307"/>
              <w:rPr>
                <w:lang w:val="en-US"/>
              </w:rPr>
            </w:pPr>
            <w:r>
              <w:rPr>
                <w:rFonts w:hint="eastAsia"/>
                <w:lang w:val="en-US"/>
              </w:rPr>
              <w:t>中文名、学名</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B6999">
            <w:pPr>
              <w:pStyle w:val="307"/>
              <w:rPr>
                <w:lang w:val="en-US"/>
              </w:rPr>
            </w:pPr>
            <w:r>
              <w:rPr>
                <w:rFonts w:hint="eastAsia"/>
                <w:lang w:val="en-US"/>
              </w:rPr>
              <w:t>保护级别</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F0572">
            <w:pPr>
              <w:pStyle w:val="307"/>
              <w:rPr>
                <w:lang w:val="en-US"/>
              </w:rPr>
            </w:pPr>
            <w:r>
              <w:rPr>
                <w:rFonts w:hint="eastAsia"/>
                <w:lang w:val="en-US"/>
              </w:rPr>
              <w:t>濒危等级</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0D1CA">
            <w:pPr>
              <w:pStyle w:val="307"/>
              <w:rPr>
                <w:lang w:val="en-US"/>
              </w:rPr>
            </w:pPr>
            <w:r>
              <w:rPr>
                <w:rFonts w:hint="eastAsia"/>
                <w:lang w:val="en-US"/>
              </w:rPr>
              <w:t>特有种</w:t>
            </w:r>
          </w:p>
        </w:tc>
        <w:tc>
          <w:tcPr>
            <w:tcW w:w="8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CF106">
            <w:pPr>
              <w:pStyle w:val="307"/>
              <w:rPr>
                <w:lang w:val="en-US"/>
              </w:rPr>
            </w:pPr>
            <w:r>
              <w:rPr>
                <w:rFonts w:hint="eastAsia"/>
                <w:lang w:val="en-US"/>
              </w:rPr>
              <w:t>生境</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74753">
            <w:pPr>
              <w:pStyle w:val="307"/>
              <w:rPr>
                <w:lang w:val="en-US"/>
              </w:rPr>
            </w:pPr>
            <w:r>
              <w:rPr>
                <w:rFonts w:hint="eastAsia"/>
                <w:lang w:val="en-US"/>
              </w:rPr>
              <w:t>资料来源</w:t>
            </w:r>
          </w:p>
        </w:tc>
      </w:tr>
      <w:tr w14:paraId="48E2AC48">
        <w:tblPrEx>
          <w:tblCellMar>
            <w:top w:w="0" w:type="dxa"/>
            <w:left w:w="108" w:type="dxa"/>
            <w:bottom w:w="0" w:type="dxa"/>
            <w:right w:w="108" w:type="dxa"/>
          </w:tblCellMar>
        </w:tblPrEx>
        <w:trPr>
          <w:trHeight w:val="288" w:hRule="atLeast"/>
        </w:trPr>
        <w:tc>
          <w:tcPr>
            <w:tcW w:w="3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50471C">
            <w:pPr>
              <w:pStyle w:val="307"/>
              <w:rPr>
                <w:lang w:val="en-US"/>
              </w:rPr>
            </w:pPr>
            <w:r>
              <w:rPr>
                <w:lang w:val="en-US"/>
              </w:rPr>
              <w:t>1</w:t>
            </w:r>
          </w:p>
        </w:tc>
        <w:tc>
          <w:tcPr>
            <w:tcW w:w="1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4D54A">
            <w:pPr>
              <w:pStyle w:val="307"/>
              <w:rPr>
                <w:lang w:val="en-US"/>
              </w:rPr>
            </w:pPr>
            <w:r>
              <w:rPr>
                <w:rFonts w:hint="eastAsia"/>
                <w:lang w:val="en-US"/>
              </w:rPr>
              <w:t>白鹭</w:t>
            </w:r>
            <w:r>
              <w:rPr>
                <w:rFonts w:hint="eastAsia"/>
                <w:i/>
                <w:iCs/>
                <w:lang w:val="en-US"/>
              </w:rPr>
              <w:t>Egretta</w:t>
            </w:r>
            <w:r>
              <w:rPr>
                <w:rFonts w:hint="eastAsia"/>
                <w:lang w:val="en-US"/>
              </w:rPr>
              <w:t xml:space="preserve"> </w:t>
            </w:r>
            <w:r>
              <w:rPr>
                <w:rFonts w:hint="eastAsia"/>
                <w:i/>
                <w:iCs/>
                <w:lang w:val="en-US"/>
              </w:rPr>
              <w:t>garzetta</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742BD">
            <w:pPr>
              <w:pStyle w:val="307"/>
              <w:rPr>
                <w:lang w:val="en-US"/>
              </w:rPr>
            </w:pPr>
            <w:r>
              <w:rPr>
                <w:rFonts w:hint="eastAsia"/>
                <w:lang w:val="en-US"/>
              </w:rPr>
              <w:t>省级</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811C0">
            <w:pPr>
              <w:pStyle w:val="307"/>
              <w:rPr>
                <w:lang w:val="en-US"/>
              </w:rPr>
            </w:pPr>
            <w:r>
              <w:rPr>
                <w:lang w:val="en-US"/>
              </w:rPr>
              <w:t>LC</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D91FE">
            <w:pPr>
              <w:pStyle w:val="307"/>
              <w:rPr>
                <w:lang w:val="en-US"/>
              </w:rPr>
            </w:pPr>
            <w:r>
              <w:rPr>
                <w:rFonts w:hint="eastAsia"/>
                <w:lang w:val="en-US"/>
              </w:rPr>
              <w:t>否</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6B3AA">
            <w:pPr>
              <w:pStyle w:val="307"/>
              <w:rPr>
                <w:lang w:val="en-US"/>
              </w:rPr>
            </w:pPr>
            <w:r>
              <w:rPr>
                <w:rFonts w:hint="eastAsia"/>
                <w:lang w:val="en-US"/>
              </w:rPr>
              <w:t>湿地、农田</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74AEF">
            <w:pPr>
              <w:pStyle w:val="307"/>
              <w:rPr>
                <w:lang w:val="en-US"/>
              </w:rPr>
            </w:pPr>
            <w:r>
              <w:rPr>
                <w:rFonts w:hint="eastAsia"/>
                <w:lang w:val="en-US"/>
              </w:rPr>
              <w:t>资料访问</w:t>
            </w:r>
          </w:p>
        </w:tc>
      </w:tr>
      <w:tr w14:paraId="5C8126F2">
        <w:tblPrEx>
          <w:tblCellMar>
            <w:top w:w="0" w:type="dxa"/>
            <w:left w:w="108" w:type="dxa"/>
            <w:bottom w:w="0" w:type="dxa"/>
            <w:right w:w="108" w:type="dxa"/>
          </w:tblCellMar>
        </w:tblPrEx>
        <w:trPr>
          <w:trHeight w:val="288" w:hRule="atLeast"/>
        </w:trPr>
        <w:tc>
          <w:tcPr>
            <w:tcW w:w="3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F830EE">
            <w:pPr>
              <w:pStyle w:val="307"/>
              <w:rPr>
                <w:lang w:val="en-US"/>
              </w:rPr>
            </w:pPr>
            <w:r>
              <w:rPr>
                <w:lang w:val="en-US"/>
              </w:rPr>
              <w:t>2</w:t>
            </w:r>
          </w:p>
        </w:tc>
        <w:tc>
          <w:tcPr>
            <w:tcW w:w="1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9EE14">
            <w:pPr>
              <w:pStyle w:val="307"/>
              <w:rPr>
                <w:lang w:val="en-US"/>
              </w:rPr>
            </w:pPr>
            <w:r>
              <w:rPr>
                <w:rFonts w:hint="eastAsia"/>
                <w:lang w:val="en-US"/>
              </w:rPr>
              <w:t>白头鹎</w:t>
            </w:r>
            <w:r>
              <w:rPr>
                <w:rFonts w:hint="eastAsia"/>
                <w:i/>
                <w:iCs/>
                <w:lang w:val="en-US"/>
              </w:rPr>
              <w:t>Pycnonotus</w:t>
            </w:r>
            <w:r>
              <w:rPr>
                <w:rFonts w:hint="eastAsia"/>
                <w:lang w:val="en-US"/>
              </w:rPr>
              <w:t xml:space="preserve"> </w:t>
            </w:r>
            <w:r>
              <w:rPr>
                <w:rFonts w:hint="eastAsia"/>
                <w:i/>
                <w:iCs/>
                <w:lang w:val="en-US"/>
              </w:rPr>
              <w:t>sinensis</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F6A62">
            <w:pPr>
              <w:pStyle w:val="307"/>
              <w:rPr>
                <w:lang w:val="en-US"/>
              </w:rPr>
            </w:pPr>
            <w:r>
              <w:rPr>
                <w:rFonts w:hint="eastAsia"/>
                <w:lang w:val="en-US"/>
              </w:rPr>
              <w:t>省级</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0E169">
            <w:pPr>
              <w:pStyle w:val="307"/>
              <w:rPr>
                <w:lang w:val="en-US"/>
              </w:rPr>
            </w:pPr>
            <w:r>
              <w:rPr>
                <w:lang w:val="en-US"/>
              </w:rPr>
              <w:t>LC</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42846">
            <w:pPr>
              <w:pStyle w:val="307"/>
              <w:rPr>
                <w:lang w:val="en-US"/>
              </w:rPr>
            </w:pPr>
            <w:r>
              <w:rPr>
                <w:rFonts w:hint="eastAsia"/>
                <w:lang w:val="en-US"/>
              </w:rPr>
              <w:t>否</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9E8F0">
            <w:pPr>
              <w:pStyle w:val="307"/>
              <w:rPr>
                <w:lang w:val="en-US"/>
              </w:rPr>
            </w:pPr>
            <w:r>
              <w:rPr>
                <w:rFonts w:hint="eastAsia"/>
                <w:lang w:val="en-US"/>
              </w:rPr>
              <w:t>灌丛、草地</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9FB0F">
            <w:pPr>
              <w:pStyle w:val="307"/>
              <w:rPr>
                <w:lang w:val="en-US"/>
              </w:rPr>
            </w:pPr>
            <w:r>
              <w:rPr>
                <w:rFonts w:hint="eastAsia"/>
                <w:lang w:val="en-US"/>
              </w:rPr>
              <w:t>资料访问</w:t>
            </w:r>
          </w:p>
        </w:tc>
      </w:tr>
      <w:tr w14:paraId="752ED755">
        <w:tblPrEx>
          <w:tblCellMar>
            <w:top w:w="0" w:type="dxa"/>
            <w:left w:w="108" w:type="dxa"/>
            <w:bottom w:w="0" w:type="dxa"/>
            <w:right w:w="108" w:type="dxa"/>
          </w:tblCellMar>
        </w:tblPrEx>
        <w:trPr>
          <w:trHeight w:val="288" w:hRule="atLeast"/>
        </w:trPr>
        <w:tc>
          <w:tcPr>
            <w:tcW w:w="3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BFEA1A">
            <w:pPr>
              <w:pStyle w:val="307"/>
              <w:rPr>
                <w:lang w:val="en-US"/>
              </w:rPr>
            </w:pPr>
            <w:r>
              <w:rPr>
                <w:lang w:val="en-US"/>
              </w:rPr>
              <w:t>3</w:t>
            </w:r>
          </w:p>
        </w:tc>
        <w:tc>
          <w:tcPr>
            <w:tcW w:w="1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4DFA2">
            <w:pPr>
              <w:pStyle w:val="307"/>
              <w:rPr>
                <w:lang w:val="en-US"/>
              </w:rPr>
            </w:pPr>
            <w:r>
              <w:rPr>
                <w:rFonts w:hint="eastAsia"/>
                <w:lang w:val="en-US"/>
              </w:rPr>
              <w:t>白腰雨燕</w:t>
            </w:r>
            <w:r>
              <w:rPr>
                <w:rFonts w:hint="eastAsia"/>
                <w:i/>
                <w:iCs/>
                <w:lang w:val="en-US"/>
              </w:rPr>
              <w:t>Apus</w:t>
            </w:r>
            <w:r>
              <w:rPr>
                <w:rFonts w:hint="eastAsia"/>
                <w:lang w:val="en-US"/>
              </w:rPr>
              <w:t xml:space="preserve"> </w:t>
            </w:r>
            <w:r>
              <w:rPr>
                <w:rFonts w:hint="eastAsia"/>
                <w:i/>
                <w:iCs/>
                <w:lang w:val="en-US"/>
              </w:rPr>
              <w:t>pacificus</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40AD0">
            <w:pPr>
              <w:pStyle w:val="307"/>
              <w:rPr>
                <w:lang w:val="en-US"/>
              </w:rPr>
            </w:pPr>
            <w:r>
              <w:rPr>
                <w:rFonts w:hint="eastAsia"/>
                <w:lang w:val="en-US"/>
              </w:rPr>
              <w:t>省级</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FB9E9">
            <w:pPr>
              <w:pStyle w:val="307"/>
              <w:rPr>
                <w:lang w:val="en-US"/>
              </w:rPr>
            </w:pPr>
            <w:r>
              <w:rPr>
                <w:lang w:val="en-US"/>
              </w:rPr>
              <w:t>LC</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BEC4D">
            <w:pPr>
              <w:pStyle w:val="307"/>
              <w:rPr>
                <w:lang w:val="en-US"/>
              </w:rPr>
            </w:pPr>
            <w:r>
              <w:rPr>
                <w:rFonts w:hint="eastAsia"/>
                <w:lang w:val="en-US"/>
              </w:rPr>
              <w:t>否</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4F27B">
            <w:pPr>
              <w:pStyle w:val="307"/>
              <w:rPr>
                <w:lang w:val="en-US"/>
              </w:rPr>
            </w:pPr>
            <w:r>
              <w:rPr>
                <w:rFonts w:hint="eastAsia"/>
                <w:lang w:val="en-US"/>
              </w:rPr>
              <w:t>农田、居民点</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72E7A">
            <w:pPr>
              <w:pStyle w:val="307"/>
              <w:rPr>
                <w:lang w:val="en-US"/>
              </w:rPr>
            </w:pPr>
            <w:r>
              <w:rPr>
                <w:rFonts w:hint="eastAsia"/>
                <w:lang w:val="en-US"/>
              </w:rPr>
              <w:t>资料访问</w:t>
            </w:r>
          </w:p>
        </w:tc>
      </w:tr>
      <w:tr w14:paraId="333E0E76">
        <w:tblPrEx>
          <w:tblCellMar>
            <w:top w:w="0" w:type="dxa"/>
            <w:left w:w="108" w:type="dxa"/>
            <w:bottom w:w="0" w:type="dxa"/>
            <w:right w:w="108" w:type="dxa"/>
          </w:tblCellMar>
        </w:tblPrEx>
        <w:trPr>
          <w:trHeight w:val="288" w:hRule="atLeast"/>
        </w:trPr>
        <w:tc>
          <w:tcPr>
            <w:tcW w:w="3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07CFFE">
            <w:pPr>
              <w:pStyle w:val="307"/>
              <w:rPr>
                <w:lang w:val="en-US"/>
              </w:rPr>
            </w:pPr>
            <w:r>
              <w:rPr>
                <w:lang w:val="en-US"/>
              </w:rPr>
              <w:t>4</w:t>
            </w:r>
          </w:p>
        </w:tc>
        <w:tc>
          <w:tcPr>
            <w:tcW w:w="1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2FD58">
            <w:pPr>
              <w:pStyle w:val="307"/>
              <w:rPr>
                <w:lang w:val="en-US"/>
              </w:rPr>
            </w:pPr>
            <w:r>
              <w:rPr>
                <w:rFonts w:hint="eastAsia"/>
                <w:lang w:val="en-US"/>
              </w:rPr>
              <w:t>苍鹭</w:t>
            </w:r>
            <w:r>
              <w:rPr>
                <w:rFonts w:hint="eastAsia"/>
                <w:i/>
                <w:iCs/>
                <w:lang w:val="en-US"/>
              </w:rPr>
              <w:t>Ardea</w:t>
            </w:r>
            <w:r>
              <w:rPr>
                <w:rFonts w:hint="eastAsia"/>
                <w:lang w:val="en-US"/>
              </w:rPr>
              <w:t xml:space="preserve"> </w:t>
            </w:r>
            <w:r>
              <w:rPr>
                <w:rFonts w:hint="eastAsia"/>
                <w:i/>
                <w:iCs/>
                <w:lang w:val="en-US"/>
              </w:rPr>
              <w:t>cinerea</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DEA0B">
            <w:pPr>
              <w:pStyle w:val="307"/>
              <w:rPr>
                <w:lang w:val="en-US"/>
              </w:rPr>
            </w:pPr>
            <w:r>
              <w:rPr>
                <w:rFonts w:hint="eastAsia"/>
                <w:lang w:val="en-US"/>
              </w:rPr>
              <w:t>省级</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87001">
            <w:pPr>
              <w:pStyle w:val="307"/>
              <w:rPr>
                <w:lang w:val="en-US"/>
              </w:rPr>
            </w:pPr>
            <w:r>
              <w:rPr>
                <w:lang w:val="en-US"/>
              </w:rPr>
              <w:t>LC</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D9F31">
            <w:pPr>
              <w:pStyle w:val="307"/>
              <w:rPr>
                <w:lang w:val="en-US"/>
              </w:rPr>
            </w:pPr>
            <w:r>
              <w:rPr>
                <w:rFonts w:hint="eastAsia"/>
                <w:lang w:val="en-US"/>
              </w:rPr>
              <w:t>否</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109EB">
            <w:pPr>
              <w:pStyle w:val="307"/>
              <w:rPr>
                <w:lang w:val="en-US"/>
              </w:rPr>
            </w:pPr>
            <w:r>
              <w:rPr>
                <w:rFonts w:hint="eastAsia"/>
                <w:lang w:val="en-US"/>
              </w:rPr>
              <w:t>林地、湿地</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66499">
            <w:pPr>
              <w:pStyle w:val="307"/>
              <w:rPr>
                <w:lang w:val="en-US"/>
              </w:rPr>
            </w:pPr>
            <w:r>
              <w:rPr>
                <w:rFonts w:hint="eastAsia"/>
                <w:lang w:val="en-US"/>
              </w:rPr>
              <w:t>资料访问</w:t>
            </w:r>
          </w:p>
        </w:tc>
      </w:tr>
      <w:tr w14:paraId="3BA2AFB1">
        <w:tblPrEx>
          <w:tblCellMar>
            <w:top w:w="0" w:type="dxa"/>
            <w:left w:w="108" w:type="dxa"/>
            <w:bottom w:w="0" w:type="dxa"/>
            <w:right w:w="108" w:type="dxa"/>
          </w:tblCellMar>
        </w:tblPrEx>
        <w:trPr>
          <w:trHeight w:val="288" w:hRule="atLeast"/>
        </w:trPr>
        <w:tc>
          <w:tcPr>
            <w:tcW w:w="3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BD8647">
            <w:pPr>
              <w:pStyle w:val="307"/>
              <w:rPr>
                <w:lang w:val="en-US"/>
              </w:rPr>
            </w:pPr>
            <w:r>
              <w:rPr>
                <w:lang w:val="en-US"/>
              </w:rPr>
              <w:t>5</w:t>
            </w:r>
          </w:p>
        </w:tc>
        <w:tc>
          <w:tcPr>
            <w:tcW w:w="1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54195">
            <w:pPr>
              <w:pStyle w:val="307"/>
              <w:rPr>
                <w:lang w:val="en-US"/>
              </w:rPr>
            </w:pPr>
            <w:r>
              <w:rPr>
                <w:rFonts w:hint="eastAsia"/>
                <w:lang w:val="en-US"/>
              </w:rPr>
              <w:t>东北刺猬</w:t>
            </w:r>
            <w:r>
              <w:rPr>
                <w:rFonts w:hint="eastAsia"/>
                <w:i/>
                <w:iCs/>
                <w:lang w:val="en-US"/>
              </w:rPr>
              <w:t>Erinaceus</w:t>
            </w:r>
            <w:r>
              <w:rPr>
                <w:rFonts w:hint="eastAsia"/>
                <w:lang w:val="en-US"/>
              </w:rPr>
              <w:t xml:space="preserve"> </w:t>
            </w:r>
            <w:r>
              <w:rPr>
                <w:rFonts w:hint="eastAsia"/>
                <w:i/>
                <w:iCs/>
                <w:lang w:val="en-US"/>
              </w:rPr>
              <w:t>amurensis</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1F1A1">
            <w:pPr>
              <w:pStyle w:val="307"/>
              <w:rPr>
                <w:lang w:val="en-US"/>
              </w:rPr>
            </w:pPr>
            <w:r>
              <w:rPr>
                <w:rFonts w:hint="eastAsia"/>
                <w:lang w:val="en-US"/>
              </w:rPr>
              <w:t>省级</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F9B1C">
            <w:pPr>
              <w:pStyle w:val="307"/>
              <w:rPr>
                <w:lang w:val="en-US"/>
              </w:rPr>
            </w:pPr>
            <w:r>
              <w:rPr>
                <w:lang w:val="en-US"/>
              </w:rPr>
              <w:t>LC</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E510D">
            <w:pPr>
              <w:pStyle w:val="307"/>
              <w:rPr>
                <w:lang w:val="en-US"/>
              </w:rPr>
            </w:pPr>
            <w:r>
              <w:rPr>
                <w:rFonts w:hint="eastAsia"/>
                <w:lang w:val="en-US"/>
              </w:rPr>
              <w:t>否</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804F7">
            <w:pPr>
              <w:pStyle w:val="307"/>
              <w:rPr>
                <w:lang w:val="en-US"/>
              </w:rPr>
            </w:pPr>
            <w:r>
              <w:rPr>
                <w:rFonts w:hint="eastAsia"/>
                <w:lang w:val="en-US"/>
              </w:rPr>
              <w:t>林地、草地</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335C6">
            <w:pPr>
              <w:pStyle w:val="307"/>
              <w:rPr>
                <w:lang w:val="en-US"/>
              </w:rPr>
            </w:pPr>
            <w:r>
              <w:rPr>
                <w:rFonts w:hint="eastAsia"/>
                <w:lang w:val="en-US"/>
              </w:rPr>
              <w:t>资料访问</w:t>
            </w:r>
          </w:p>
        </w:tc>
      </w:tr>
      <w:tr w14:paraId="353EC792">
        <w:tblPrEx>
          <w:tblCellMar>
            <w:top w:w="0" w:type="dxa"/>
            <w:left w:w="108" w:type="dxa"/>
            <w:bottom w:w="0" w:type="dxa"/>
            <w:right w:w="108" w:type="dxa"/>
          </w:tblCellMar>
        </w:tblPrEx>
        <w:trPr>
          <w:trHeight w:val="288" w:hRule="atLeast"/>
        </w:trPr>
        <w:tc>
          <w:tcPr>
            <w:tcW w:w="3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3AED11">
            <w:pPr>
              <w:pStyle w:val="307"/>
              <w:rPr>
                <w:lang w:val="en-US"/>
              </w:rPr>
            </w:pPr>
            <w:r>
              <w:rPr>
                <w:lang w:val="en-US"/>
              </w:rPr>
              <w:t>6</w:t>
            </w:r>
          </w:p>
        </w:tc>
        <w:tc>
          <w:tcPr>
            <w:tcW w:w="1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5A83A">
            <w:pPr>
              <w:pStyle w:val="307"/>
              <w:rPr>
                <w:lang w:val="en-US"/>
              </w:rPr>
            </w:pPr>
            <w:r>
              <w:rPr>
                <w:rFonts w:hint="eastAsia"/>
                <w:lang w:val="en-US"/>
              </w:rPr>
              <w:t xml:space="preserve">大白鹭 </w:t>
            </w:r>
            <w:r>
              <w:rPr>
                <w:rFonts w:hint="eastAsia"/>
                <w:i/>
                <w:iCs/>
                <w:lang w:val="en-US"/>
              </w:rPr>
              <w:t>Ardea</w:t>
            </w:r>
            <w:r>
              <w:rPr>
                <w:rFonts w:hint="eastAsia"/>
                <w:lang w:val="en-US"/>
              </w:rPr>
              <w:t xml:space="preserve"> </w:t>
            </w:r>
            <w:r>
              <w:rPr>
                <w:rFonts w:hint="eastAsia"/>
                <w:i/>
                <w:iCs/>
                <w:lang w:val="en-US"/>
              </w:rPr>
              <w:t>alba</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38712">
            <w:pPr>
              <w:pStyle w:val="307"/>
              <w:rPr>
                <w:lang w:val="en-US"/>
              </w:rPr>
            </w:pPr>
            <w:r>
              <w:rPr>
                <w:rFonts w:hint="eastAsia"/>
                <w:lang w:val="en-US"/>
              </w:rPr>
              <w:t>省级</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19AC1">
            <w:pPr>
              <w:pStyle w:val="307"/>
              <w:rPr>
                <w:lang w:val="en-US"/>
              </w:rPr>
            </w:pPr>
            <w:r>
              <w:rPr>
                <w:lang w:val="en-US"/>
              </w:rPr>
              <w:t>LC</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A9018">
            <w:pPr>
              <w:pStyle w:val="307"/>
              <w:rPr>
                <w:lang w:val="en-US"/>
              </w:rPr>
            </w:pPr>
            <w:r>
              <w:rPr>
                <w:rFonts w:hint="eastAsia"/>
                <w:lang w:val="en-US"/>
              </w:rPr>
              <w:t>否</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6A21C">
            <w:pPr>
              <w:pStyle w:val="307"/>
              <w:rPr>
                <w:lang w:val="en-US"/>
              </w:rPr>
            </w:pPr>
            <w:r>
              <w:rPr>
                <w:rFonts w:hint="eastAsia"/>
                <w:lang w:val="en-US"/>
              </w:rPr>
              <w:t>湿地</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6119F">
            <w:pPr>
              <w:pStyle w:val="307"/>
              <w:rPr>
                <w:lang w:val="en-US"/>
              </w:rPr>
            </w:pPr>
            <w:r>
              <w:rPr>
                <w:rFonts w:hint="eastAsia"/>
                <w:lang w:val="en-US"/>
              </w:rPr>
              <w:t>资料访问</w:t>
            </w:r>
          </w:p>
        </w:tc>
      </w:tr>
      <w:tr w14:paraId="6C622EA0">
        <w:tblPrEx>
          <w:tblCellMar>
            <w:top w:w="0" w:type="dxa"/>
            <w:left w:w="108" w:type="dxa"/>
            <w:bottom w:w="0" w:type="dxa"/>
            <w:right w:w="108" w:type="dxa"/>
          </w:tblCellMar>
        </w:tblPrEx>
        <w:trPr>
          <w:trHeight w:val="288" w:hRule="atLeast"/>
        </w:trPr>
        <w:tc>
          <w:tcPr>
            <w:tcW w:w="3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7AF877">
            <w:pPr>
              <w:pStyle w:val="307"/>
              <w:rPr>
                <w:lang w:val="en-US"/>
              </w:rPr>
            </w:pPr>
            <w:r>
              <w:rPr>
                <w:lang w:val="en-US"/>
              </w:rPr>
              <w:t>7</w:t>
            </w:r>
          </w:p>
        </w:tc>
        <w:tc>
          <w:tcPr>
            <w:tcW w:w="1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AD18F">
            <w:pPr>
              <w:pStyle w:val="307"/>
              <w:rPr>
                <w:lang w:val="en-US"/>
              </w:rPr>
            </w:pPr>
            <w:r>
              <w:rPr>
                <w:rFonts w:hint="eastAsia"/>
                <w:lang w:val="en-US"/>
              </w:rPr>
              <w:t xml:space="preserve">大斑啄木鸟 </w:t>
            </w:r>
            <w:r>
              <w:rPr>
                <w:rFonts w:hint="eastAsia"/>
                <w:i/>
                <w:iCs/>
                <w:lang w:val="en-US"/>
              </w:rPr>
              <w:t>Picoides</w:t>
            </w:r>
            <w:r>
              <w:rPr>
                <w:rFonts w:hint="eastAsia"/>
                <w:lang w:val="en-US"/>
              </w:rPr>
              <w:t xml:space="preserve"> </w:t>
            </w:r>
            <w:r>
              <w:rPr>
                <w:rFonts w:hint="eastAsia"/>
                <w:i/>
                <w:iCs/>
                <w:lang w:val="en-US"/>
              </w:rPr>
              <w:t>major</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63D1C">
            <w:pPr>
              <w:pStyle w:val="307"/>
              <w:rPr>
                <w:lang w:val="en-US"/>
              </w:rPr>
            </w:pPr>
            <w:r>
              <w:rPr>
                <w:rFonts w:hint="eastAsia"/>
                <w:lang w:val="en-US"/>
              </w:rPr>
              <w:t>省级</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30CB3">
            <w:pPr>
              <w:pStyle w:val="307"/>
              <w:rPr>
                <w:lang w:val="en-US"/>
              </w:rPr>
            </w:pPr>
            <w:r>
              <w:rPr>
                <w:lang w:val="en-US"/>
              </w:rPr>
              <w:t>LC</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B0B57">
            <w:pPr>
              <w:pStyle w:val="307"/>
              <w:rPr>
                <w:lang w:val="en-US"/>
              </w:rPr>
            </w:pPr>
            <w:r>
              <w:rPr>
                <w:rFonts w:hint="eastAsia"/>
                <w:lang w:val="en-US"/>
              </w:rPr>
              <w:t>否</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EDA0E">
            <w:pPr>
              <w:pStyle w:val="307"/>
              <w:rPr>
                <w:lang w:val="en-US"/>
              </w:rPr>
            </w:pPr>
            <w:r>
              <w:rPr>
                <w:rFonts w:hint="eastAsia"/>
                <w:lang w:val="en-US"/>
              </w:rPr>
              <w:t>林地、农田</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00F93">
            <w:pPr>
              <w:pStyle w:val="307"/>
              <w:rPr>
                <w:lang w:val="en-US"/>
              </w:rPr>
            </w:pPr>
            <w:r>
              <w:rPr>
                <w:rFonts w:hint="eastAsia"/>
                <w:lang w:val="en-US"/>
              </w:rPr>
              <w:t>资料访问</w:t>
            </w:r>
          </w:p>
        </w:tc>
      </w:tr>
      <w:tr w14:paraId="145C50DB">
        <w:tblPrEx>
          <w:tblCellMar>
            <w:top w:w="0" w:type="dxa"/>
            <w:left w:w="108" w:type="dxa"/>
            <w:bottom w:w="0" w:type="dxa"/>
            <w:right w:w="108" w:type="dxa"/>
          </w:tblCellMar>
        </w:tblPrEx>
        <w:trPr>
          <w:trHeight w:val="288" w:hRule="atLeast"/>
        </w:trPr>
        <w:tc>
          <w:tcPr>
            <w:tcW w:w="3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A3A11F">
            <w:pPr>
              <w:pStyle w:val="307"/>
              <w:rPr>
                <w:lang w:val="en-US"/>
              </w:rPr>
            </w:pPr>
            <w:r>
              <w:rPr>
                <w:lang w:val="en-US"/>
              </w:rPr>
              <w:t>8</w:t>
            </w:r>
          </w:p>
        </w:tc>
        <w:tc>
          <w:tcPr>
            <w:tcW w:w="1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8D270">
            <w:pPr>
              <w:pStyle w:val="307"/>
              <w:rPr>
                <w:lang w:val="en-US"/>
              </w:rPr>
            </w:pPr>
            <w:r>
              <w:rPr>
                <w:rFonts w:hint="eastAsia"/>
                <w:lang w:val="en-US"/>
              </w:rPr>
              <w:t xml:space="preserve">大杜鹃 </w:t>
            </w:r>
            <w:r>
              <w:rPr>
                <w:rFonts w:hint="eastAsia"/>
                <w:i/>
                <w:iCs/>
                <w:lang w:val="en-US"/>
              </w:rPr>
              <w:t>Cuculus</w:t>
            </w:r>
            <w:r>
              <w:rPr>
                <w:rFonts w:hint="eastAsia"/>
                <w:lang w:val="en-US"/>
              </w:rPr>
              <w:t xml:space="preserve"> </w:t>
            </w:r>
            <w:r>
              <w:rPr>
                <w:rFonts w:hint="eastAsia"/>
                <w:i/>
                <w:iCs/>
                <w:lang w:val="en-US"/>
              </w:rPr>
              <w:t>canorus</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E0B06">
            <w:pPr>
              <w:pStyle w:val="307"/>
              <w:rPr>
                <w:lang w:val="en-US"/>
              </w:rPr>
            </w:pPr>
            <w:r>
              <w:rPr>
                <w:rFonts w:hint="eastAsia"/>
                <w:lang w:val="en-US"/>
              </w:rPr>
              <w:t>省级</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9B415">
            <w:pPr>
              <w:pStyle w:val="307"/>
              <w:rPr>
                <w:lang w:val="en-US"/>
              </w:rPr>
            </w:pPr>
            <w:r>
              <w:rPr>
                <w:lang w:val="en-US"/>
              </w:rPr>
              <w:t>LC</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E475E">
            <w:pPr>
              <w:pStyle w:val="307"/>
              <w:rPr>
                <w:lang w:val="en-US"/>
              </w:rPr>
            </w:pPr>
            <w:r>
              <w:rPr>
                <w:rFonts w:hint="eastAsia"/>
                <w:lang w:val="en-US"/>
              </w:rPr>
              <w:t>否</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4D4C2">
            <w:pPr>
              <w:pStyle w:val="307"/>
              <w:rPr>
                <w:lang w:val="en-US"/>
              </w:rPr>
            </w:pPr>
            <w:r>
              <w:rPr>
                <w:rFonts w:hint="eastAsia"/>
                <w:lang w:val="en-US"/>
              </w:rPr>
              <w:t>林地</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3212B">
            <w:pPr>
              <w:pStyle w:val="307"/>
              <w:rPr>
                <w:lang w:val="en-US"/>
              </w:rPr>
            </w:pPr>
            <w:r>
              <w:rPr>
                <w:rFonts w:hint="eastAsia"/>
                <w:lang w:val="en-US"/>
              </w:rPr>
              <w:t>资料访问</w:t>
            </w:r>
          </w:p>
        </w:tc>
      </w:tr>
      <w:tr w14:paraId="07F21CFE">
        <w:tblPrEx>
          <w:tblCellMar>
            <w:top w:w="0" w:type="dxa"/>
            <w:left w:w="108" w:type="dxa"/>
            <w:bottom w:w="0" w:type="dxa"/>
            <w:right w:w="108" w:type="dxa"/>
          </w:tblCellMar>
        </w:tblPrEx>
        <w:trPr>
          <w:trHeight w:val="288" w:hRule="atLeast"/>
        </w:trPr>
        <w:tc>
          <w:tcPr>
            <w:tcW w:w="3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969A21">
            <w:pPr>
              <w:pStyle w:val="307"/>
              <w:rPr>
                <w:lang w:val="en-US"/>
              </w:rPr>
            </w:pPr>
            <w:r>
              <w:rPr>
                <w:lang w:val="en-US"/>
              </w:rPr>
              <w:t>9</w:t>
            </w:r>
          </w:p>
        </w:tc>
        <w:tc>
          <w:tcPr>
            <w:tcW w:w="1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3C327">
            <w:pPr>
              <w:pStyle w:val="307"/>
              <w:rPr>
                <w:lang w:val="en-US"/>
              </w:rPr>
            </w:pPr>
            <w:r>
              <w:rPr>
                <w:rFonts w:hint="eastAsia"/>
                <w:lang w:val="en-US"/>
              </w:rPr>
              <w:t>豆雁</w:t>
            </w:r>
            <w:r>
              <w:rPr>
                <w:rFonts w:hint="eastAsia"/>
                <w:i/>
                <w:iCs/>
                <w:lang w:val="en-US"/>
              </w:rPr>
              <w:t>Anser</w:t>
            </w:r>
            <w:r>
              <w:rPr>
                <w:rFonts w:hint="eastAsia"/>
                <w:lang w:val="en-US"/>
              </w:rPr>
              <w:t xml:space="preserve"> </w:t>
            </w:r>
            <w:r>
              <w:rPr>
                <w:rFonts w:hint="eastAsia"/>
                <w:i/>
                <w:iCs/>
                <w:lang w:val="en-US"/>
              </w:rPr>
              <w:t>fabalis</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25681">
            <w:pPr>
              <w:pStyle w:val="307"/>
              <w:rPr>
                <w:lang w:val="en-US"/>
              </w:rPr>
            </w:pPr>
            <w:r>
              <w:rPr>
                <w:rFonts w:hint="eastAsia"/>
                <w:lang w:val="en-US"/>
              </w:rPr>
              <w:t>省级</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D7A91">
            <w:pPr>
              <w:pStyle w:val="307"/>
              <w:rPr>
                <w:lang w:val="en-US"/>
              </w:rPr>
            </w:pPr>
            <w:r>
              <w:rPr>
                <w:lang w:val="en-US"/>
              </w:rPr>
              <w:t>LC</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3CF23">
            <w:pPr>
              <w:pStyle w:val="307"/>
              <w:rPr>
                <w:lang w:val="en-US"/>
              </w:rPr>
            </w:pPr>
            <w:r>
              <w:rPr>
                <w:rFonts w:hint="eastAsia"/>
                <w:lang w:val="en-US"/>
              </w:rPr>
              <w:t>否</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E4FF9">
            <w:pPr>
              <w:pStyle w:val="307"/>
              <w:rPr>
                <w:lang w:val="en-US"/>
              </w:rPr>
            </w:pPr>
            <w:r>
              <w:rPr>
                <w:rFonts w:hint="eastAsia"/>
                <w:lang w:val="en-US"/>
              </w:rPr>
              <w:t>林地、农田、湿地</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EF0A0">
            <w:pPr>
              <w:pStyle w:val="307"/>
              <w:rPr>
                <w:lang w:val="en-US"/>
              </w:rPr>
            </w:pPr>
            <w:r>
              <w:rPr>
                <w:rFonts w:hint="eastAsia"/>
                <w:lang w:val="en-US"/>
              </w:rPr>
              <w:t>资料访问</w:t>
            </w:r>
          </w:p>
        </w:tc>
      </w:tr>
      <w:tr w14:paraId="7EBA2829">
        <w:tblPrEx>
          <w:tblCellMar>
            <w:top w:w="0" w:type="dxa"/>
            <w:left w:w="108" w:type="dxa"/>
            <w:bottom w:w="0" w:type="dxa"/>
            <w:right w:w="108" w:type="dxa"/>
          </w:tblCellMar>
        </w:tblPrEx>
        <w:trPr>
          <w:trHeight w:val="288" w:hRule="atLeast"/>
        </w:trPr>
        <w:tc>
          <w:tcPr>
            <w:tcW w:w="3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4F0148">
            <w:pPr>
              <w:pStyle w:val="307"/>
              <w:rPr>
                <w:lang w:val="en-US"/>
              </w:rPr>
            </w:pPr>
            <w:r>
              <w:rPr>
                <w:lang w:val="en-US"/>
              </w:rPr>
              <w:t>10</w:t>
            </w:r>
          </w:p>
        </w:tc>
        <w:tc>
          <w:tcPr>
            <w:tcW w:w="1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10C28">
            <w:pPr>
              <w:pStyle w:val="307"/>
              <w:rPr>
                <w:lang w:val="en-US"/>
              </w:rPr>
            </w:pPr>
            <w:r>
              <w:rPr>
                <w:rFonts w:hint="eastAsia"/>
                <w:lang w:val="en-US"/>
              </w:rPr>
              <w:t>黑翅长脚鹬</w:t>
            </w:r>
            <w:r>
              <w:rPr>
                <w:rFonts w:hint="eastAsia"/>
                <w:i/>
                <w:iCs/>
                <w:lang w:val="en-US"/>
              </w:rPr>
              <w:t>Himantopus</w:t>
            </w:r>
            <w:r>
              <w:rPr>
                <w:rFonts w:hint="eastAsia"/>
                <w:lang w:val="en-US"/>
              </w:rPr>
              <w:t xml:space="preserve"> </w:t>
            </w:r>
            <w:r>
              <w:rPr>
                <w:rFonts w:hint="eastAsia"/>
                <w:i/>
                <w:iCs/>
                <w:lang w:val="en-US"/>
              </w:rPr>
              <w:t>himantopus</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C550A">
            <w:pPr>
              <w:pStyle w:val="307"/>
              <w:rPr>
                <w:lang w:val="en-US"/>
              </w:rPr>
            </w:pPr>
            <w:r>
              <w:rPr>
                <w:rFonts w:hint="eastAsia"/>
                <w:lang w:val="en-US"/>
              </w:rPr>
              <w:t>省级</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739CC">
            <w:pPr>
              <w:pStyle w:val="307"/>
              <w:rPr>
                <w:lang w:val="en-US"/>
              </w:rPr>
            </w:pPr>
            <w:r>
              <w:rPr>
                <w:lang w:val="en-US"/>
              </w:rPr>
              <w:t>LC</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126CB">
            <w:pPr>
              <w:pStyle w:val="307"/>
              <w:rPr>
                <w:lang w:val="en-US"/>
              </w:rPr>
            </w:pPr>
            <w:r>
              <w:rPr>
                <w:rFonts w:hint="eastAsia"/>
                <w:lang w:val="en-US"/>
              </w:rPr>
              <w:t>否</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A11DC">
            <w:pPr>
              <w:pStyle w:val="307"/>
              <w:rPr>
                <w:lang w:val="en-US"/>
              </w:rPr>
            </w:pPr>
            <w:r>
              <w:rPr>
                <w:rFonts w:hint="eastAsia"/>
                <w:lang w:val="en-US"/>
              </w:rPr>
              <w:t>湿地</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C1624">
            <w:pPr>
              <w:pStyle w:val="307"/>
              <w:rPr>
                <w:lang w:val="en-US"/>
              </w:rPr>
            </w:pPr>
            <w:r>
              <w:rPr>
                <w:rFonts w:hint="eastAsia"/>
                <w:lang w:val="en-US"/>
              </w:rPr>
              <w:t>资料访问</w:t>
            </w:r>
          </w:p>
        </w:tc>
      </w:tr>
      <w:tr w14:paraId="0920C694">
        <w:tblPrEx>
          <w:tblCellMar>
            <w:top w:w="0" w:type="dxa"/>
            <w:left w:w="108" w:type="dxa"/>
            <w:bottom w:w="0" w:type="dxa"/>
            <w:right w:w="108" w:type="dxa"/>
          </w:tblCellMar>
        </w:tblPrEx>
        <w:trPr>
          <w:trHeight w:val="288" w:hRule="atLeast"/>
        </w:trPr>
        <w:tc>
          <w:tcPr>
            <w:tcW w:w="3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A398DE">
            <w:pPr>
              <w:pStyle w:val="307"/>
              <w:rPr>
                <w:lang w:val="en-US"/>
              </w:rPr>
            </w:pPr>
            <w:r>
              <w:rPr>
                <w:lang w:val="en-US"/>
              </w:rPr>
              <w:t>11</w:t>
            </w:r>
          </w:p>
        </w:tc>
        <w:tc>
          <w:tcPr>
            <w:tcW w:w="1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C4CC0">
            <w:pPr>
              <w:pStyle w:val="307"/>
              <w:rPr>
                <w:lang w:val="en-US"/>
              </w:rPr>
            </w:pPr>
            <w:r>
              <w:rPr>
                <w:rFonts w:hint="eastAsia"/>
                <w:lang w:val="en-US"/>
              </w:rPr>
              <w:t>黑鹳</w:t>
            </w:r>
            <w:r>
              <w:rPr>
                <w:rFonts w:hint="eastAsia"/>
                <w:i/>
                <w:iCs/>
                <w:lang w:val="en-US"/>
              </w:rPr>
              <w:t>Ciconia</w:t>
            </w:r>
            <w:r>
              <w:rPr>
                <w:rFonts w:hint="eastAsia"/>
                <w:lang w:val="en-US"/>
              </w:rPr>
              <w:t xml:space="preserve"> </w:t>
            </w:r>
            <w:r>
              <w:rPr>
                <w:rFonts w:hint="eastAsia"/>
                <w:i/>
                <w:iCs/>
                <w:lang w:val="en-US"/>
              </w:rPr>
              <w:t>nigra</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91BE4">
            <w:pPr>
              <w:pStyle w:val="307"/>
              <w:rPr>
                <w:lang w:val="en-US"/>
              </w:rPr>
            </w:pPr>
            <w:r>
              <w:rPr>
                <w:rFonts w:hint="eastAsia"/>
                <w:lang w:val="en-US"/>
              </w:rPr>
              <w:t>一级</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FF83B">
            <w:pPr>
              <w:pStyle w:val="307"/>
              <w:rPr>
                <w:lang w:val="en-US"/>
              </w:rPr>
            </w:pPr>
            <w:r>
              <w:rPr>
                <w:lang w:val="en-US"/>
              </w:rPr>
              <w:t>VU</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2D9C2">
            <w:pPr>
              <w:pStyle w:val="307"/>
              <w:rPr>
                <w:lang w:val="en-US"/>
              </w:rPr>
            </w:pPr>
            <w:r>
              <w:rPr>
                <w:rFonts w:hint="eastAsia"/>
                <w:lang w:val="en-US"/>
              </w:rPr>
              <w:t>否</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8B7A7">
            <w:pPr>
              <w:pStyle w:val="307"/>
              <w:rPr>
                <w:lang w:val="en-US"/>
              </w:rPr>
            </w:pPr>
            <w:r>
              <w:rPr>
                <w:rFonts w:hint="eastAsia"/>
                <w:lang w:val="en-US"/>
              </w:rPr>
              <w:t>湿地、草地、农田</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A42C8">
            <w:pPr>
              <w:pStyle w:val="307"/>
              <w:rPr>
                <w:lang w:val="en-US"/>
              </w:rPr>
            </w:pPr>
            <w:r>
              <w:rPr>
                <w:rFonts w:hint="eastAsia"/>
                <w:lang w:val="en-US"/>
              </w:rPr>
              <w:t>资料访问</w:t>
            </w:r>
          </w:p>
        </w:tc>
      </w:tr>
      <w:tr w14:paraId="3AF90829">
        <w:tblPrEx>
          <w:tblCellMar>
            <w:top w:w="0" w:type="dxa"/>
            <w:left w:w="108" w:type="dxa"/>
            <w:bottom w:w="0" w:type="dxa"/>
            <w:right w:w="108" w:type="dxa"/>
          </w:tblCellMar>
        </w:tblPrEx>
        <w:trPr>
          <w:trHeight w:val="288" w:hRule="atLeast"/>
        </w:trPr>
        <w:tc>
          <w:tcPr>
            <w:tcW w:w="3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6EE006">
            <w:pPr>
              <w:pStyle w:val="307"/>
              <w:rPr>
                <w:lang w:val="en-US"/>
              </w:rPr>
            </w:pPr>
            <w:r>
              <w:rPr>
                <w:lang w:val="en-US"/>
              </w:rPr>
              <w:t>12</w:t>
            </w:r>
          </w:p>
        </w:tc>
        <w:tc>
          <w:tcPr>
            <w:tcW w:w="1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5323A">
            <w:pPr>
              <w:pStyle w:val="307"/>
              <w:rPr>
                <w:lang w:val="en-US"/>
              </w:rPr>
            </w:pPr>
            <w:r>
              <w:rPr>
                <w:rFonts w:hint="eastAsia"/>
                <w:lang w:val="en-US"/>
              </w:rPr>
              <w:t>红脚隼</w:t>
            </w:r>
            <w:r>
              <w:rPr>
                <w:rFonts w:hint="eastAsia"/>
                <w:i/>
                <w:iCs/>
                <w:lang w:val="en-US"/>
              </w:rPr>
              <w:t>Falco</w:t>
            </w:r>
            <w:r>
              <w:rPr>
                <w:rFonts w:hint="eastAsia"/>
                <w:lang w:val="en-US"/>
              </w:rPr>
              <w:t xml:space="preserve"> </w:t>
            </w:r>
            <w:r>
              <w:rPr>
                <w:rFonts w:hint="eastAsia"/>
                <w:i/>
                <w:iCs/>
                <w:lang w:val="en-US"/>
              </w:rPr>
              <w:t>amurensis</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4B210">
            <w:pPr>
              <w:pStyle w:val="307"/>
              <w:rPr>
                <w:lang w:val="en-US"/>
              </w:rPr>
            </w:pPr>
            <w:r>
              <w:rPr>
                <w:rFonts w:hint="eastAsia"/>
                <w:lang w:val="en-US"/>
              </w:rPr>
              <w:t>二级</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FE53A">
            <w:pPr>
              <w:pStyle w:val="307"/>
              <w:rPr>
                <w:lang w:val="en-US"/>
              </w:rPr>
            </w:pPr>
            <w:r>
              <w:rPr>
                <w:lang w:val="en-US"/>
              </w:rPr>
              <w:t>NT</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9E4F8">
            <w:pPr>
              <w:pStyle w:val="307"/>
              <w:rPr>
                <w:lang w:val="en-US"/>
              </w:rPr>
            </w:pPr>
            <w:r>
              <w:rPr>
                <w:rFonts w:hint="eastAsia"/>
                <w:lang w:val="en-US"/>
              </w:rPr>
              <w:t>否</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1E486">
            <w:pPr>
              <w:pStyle w:val="307"/>
              <w:rPr>
                <w:lang w:val="en-US"/>
              </w:rPr>
            </w:pPr>
            <w:r>
              <w:rPr>
                <w:rFonts w:hint="eastAsia"/>
                <w:lang w:val="en-US"/>
              </w:rPr>
              <w:t>林地、灌丛、草地</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8A7C5">
            <w:pPr>
              <w:pStyle w:val="307"/>
              <w:rPr>
                <w:lang w:val="en-US"/>
              </w:rPr>
            </w:pPr>
            <w:r>
              <w:rPr>
                <w:rFonts w:hint="eastAsia"/>
                <w:lang w:val="en-US"/>
              </w:rPr>
              <w:t>资料访问</w:t>
            </w:r>
          </w:p>
        </w:tc>
      </w:tr>
      <w:tr w14:paraId="3763CEB2">
        <w:tblPrEx>
          <w:tblCellMar>
            <w:top w:w="0" w:type="dxa"/>
            <w:left w:w="108" w:type="dxa"/>
            <w:bottom w:w="0" w:type="dxa"/>
            <w:right w:w="108" w:type="dxa"/>
          </w:tblCellMar>
        </w:tblPrEx>
        <w:trPr>
          <w:trHeight w:val="288" w:hRule="atLeast"/>
        </w:trPr>
        <w:tc>
          <w:tcPr>
            <w:tcW w:w="3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BACD54">
            <w:pPr>
              <w:pStyle w:val="307"/>
              <w:rPr>
                <w:lang w:val="en-US"/>
              </w:rPr>
            </w:pPr>
            <w:r>
              <w:rPr>
                <w:lang w:val="en-US"/>
              </w:rPr>
              <w:t>13</w:t>
            </w:r>
          </w:p>
        </w:tc>
        <w:tc>
          <w:tcPr>
            <w:tcW w:w="1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417CF">
            <w:pPr>
              <w:pStyle w:val="307"/>
              <w:rPr>
                <w:lang w:val="en-US"/>
              </w:rPr>
            </w:pPr>
            <w:r>
              <w:rPr>
                <w:rFonts w:hint="eastAsia"/>
                <w:lang w:val="en-US"/>
              </w:rPr>
              <w:t xml:space="preserve">黄鼬 </w:t>
            </w:r>
            <w:r>
              <w:rPr>
                <w:rFonts w:hint="eastAsia"/>
                <w:i/>
                <w:iCs/>
                <w:lang w:val="en-US"/>
              </w:rPr>
              <w:t>Mustela</w:t>
            </w:r>
            <w:r>
              <w:rPr>
                <w:rFonts w:hint="eastAsia"/>
                <w:lang w:val="en-US"/>
              </w:rPr>
              <w:t xml:space="preserve"> </w:t>
            </w:r>
            <w:r>
              <w:rPr>
                <w:rFonts w:hint="eastAsia"/>
                <w:i/>
                <w:iCs/>
                <w:lang w:val="en-US"/>
              </w:rPr>
              <w:t>sibirica</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249A0">
            <w:pPr>
              <w:pStyle w:val="307"/>
              <w:rPr>
                <w:lang w:val="en-US"/>
              </w:rPr>
            </w:pPr>
            <w:r>
              <w:rPr>
                <w:rFonts w:hint="eastAsia"/>
                <w:lang w:val="en-US"/>
              </w:rPr>
              <w:t>省级</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F4867">
            <w:pPr>
              <w:pStyle w:val="307"/>
              <w:rPr>
                <w:lang w:val="en-US"/>
              </w:rPr>
            </w:pPr>
            <w:r>
              <w:rPr>
                <w:lang w:val="en-US"/>
              </w:rPr>
              <w:t>LC</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989FC">
            <w:pPr>
              <w:pStyle w:val="307"/>
              <w:rPr>
                <w:lang w:val="en-US"/>
              </w:rPr>
            </w:pPr>
            <w:r>
              <w:rPr>
                <w:rFonts w:hint="eastAsia"/>
                <w:lang w:val="en-US"/>
              </w:rPr>
              <w:t>否</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F580C">
            <w:pPr>
              <w:pStyle w:val="307"/>
              <w:rPr>
                <w:lang w:val="en-US"/>
              </w:rPr>
            </w:pPr>
            <w:r>
              <w:rPr>
                <w:rFonts w:hint="eastAsia"/>
                <w:lang w:val="en-US"/>
              </w:rPr>
              <w:t>林地、草地</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1937C">
            <w:pPr>
              <w:pStyle w:val="307"/>
              <w:rPr>
                <w:lang w:val="en-US"/>
              </w:rPr>
            </w:pPr>
            <w:r>
              <w:rPr>
                <w:rFonts w:hint="eastAsia"/>
                <w:lang w:val="en-US"/>
              </w:rPr>
              <w:t>资料访问</w:t>
            </w:r>
          </w:p>
        </w:tc>
      </w:tr>
      <w:tr w14:paraId="12ED7761">
        <w:tblPrEx>
          <w:tblCellMar>
            <w:top w:w="0" w:type="dxa"/>
            <w:left w:w="108" w:type="dxa"/>
            <w:bottom w:w="0" w:type="dxa"/>
            <w:right w:w="108" w:type="dxa"/>
          </w:tblCellMar>
        </w:tblPrEx>
        <w:trPr>
          <w:trHeight w:val="288" w:hRule="atLeast"/>
        </w:trPr>
        <w:tc>
          <w:tcPr>
            <w:tcW w:w="3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FD438E">
            <w:pPr>
              <w:pStyle w:val="307"/>
              <w:rPr>
                <w:lang w:val="en-US"/>
              </w:rPr>
            </w:pPr>
            <w:r>
              <w:rPr>
                <w:lang w:val="en-US"/>
              </w:rPr>
              <w:t>14</w:t>
            </w:r>
          </w:p>
        </w:tc>
        <w:tc>
          <w:tcPr>
            <w:tcW w:w="1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55D9A">
            <w:pPr>
              <w:pStyle w:val="307"/>
              <w:rPr>
                <w:lang w:val="en-US"/>
              </w:rPr>
            </w:pPr>
            <w:r>
              <w:rPr>
                <w:rFonts w:hint="eastAsia"/>
                <w:lang w:val="en-US"/>
              </w:rPr>
              <w:t>灰背隼</w:t>
            </w:r>
            <w:r>
              <w:rPr>
                <w:rFonts w:hint="eastAsia"/>
                <w:i/>
                <w:iCs/>
                <w:lang w:val="en-US"/>
              </w:rPr>
              <w:t>Falco</w:t>
            </w:r>
            <w:r>
              <w:rPr>
                <w:rFonts w:hint="eastAsia"/>
                <w:lang w:val="en-US"/>
              </w:rPr>
              <w:t xml:space="preserve"> </w:t>
            </w:r>
            <w:r>
              <w:rPr>
                <w:rFonts w:hint="eastAsia"/>
                <w:i/>
                <w:iCs/>
                <w:lang w:val="en-US"/>
              </w:rPr>
              <w:t>columbarius</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4AD92">
            <w:pPr>
              <w:pStyle w:val="307"/>
              <w:rPr>
                <w:lang w:val="en-US"/>
              </w:rPr>
            </w:pPr>
            <w:r>
              <w:rPr>
                <w:rFonts w:hint="eastAsia"/>
                <w:lang w:val="en-US"/>
              </w:rPr>
              <w:t>二级</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37E98">
            <w:pPr>
              <w:pStyle w:val="307"/>
              <w:rPr>
                <w:lang w:val="en-US"/>
              </w:rPr>
            </w:pPr>
            <w:r>
              <w:rPr>
                <w:lang w:val="en-US"/>
              </w:rPr>
              <w:t>NT</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C9523">
            <w:pPr>
              <w:pStyle w:val="307"/>
              <w:rPr>
                <w:lang w:val="en-US"/>
              </w:rPr>
            </w:pPr>
            <w:r>
              <w:rPr>
                <w:rFonts w:hint="eastAsia"/>
                <w:lang w:val="en-US"/>
              </w:rPr>
              <w:t>否</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24CBD">
            <w:pPr>
              <w:pStyle w:val="307"/>
              <w:rPr>
                <w:lang w:val="en-US"/>
              </w:rPr>
            </w:pPr>
            <w:r>
              <w:rPr>
                <w:rFonts w:hint="eastAsia"/>
                <w:lang w:val="en-US"/>
              </w:rPr>
              <w:t>林地、草原</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6AD26">
            <w:pPr>
              <w:pStyle w:val="307"/>
              <w:rPr>
                <w:lang w:val="en-US"/>
              </w:rPr>
            </w:pPr>
            <w:r>
              <w:rPr>
                <w:rFonts w:hint="eastAsia"/>
                <w:lang w:val="en-US"/>
              </w:rPr>
              <w:t>资料访问</w:t>
            </w:r>
          </w:p>
        </w:tc>
      </w:tr>
      <w:tr w14:paraId="4F26342B">
        <w:tblPrEx>
          <w:tblCellMar>
            <w:top w:w="0" w:type="dxa"/>
            <w:left w:w="108" w:type="dxa"/>
            <w:bottom w:w="0" w:type="dxa"/>
            <w:right w:w="108" w:type="dxa"/>
          </w:tblCellMar>
        </w:tblPrEx>
        <w:trPr>
          <w:trHeight w:val="288" w:hRule="atLeast"/>
        </w:trPr>
        <w:tc>
          <w:tcPr>
            <w:tcW w:w="3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097F48">
            <w:pPr>
              <w:pStyle w:val="307"/>
              <w:rPr>
                <w:lang w:val="en-US"/>
              </w:rPr>
            </w:pPr>
            <w:r>
              <w:rPr>
                <w:lang w:val="en-US"/>
              </w:rPr>
              <w:t>15</w:t>
            </w:r>
          </w:p>
        </w:tc>
        <w:tc>
          <w:tcPr>
            <w:tcW w:w="1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4CC16">
            <w:pPr>
              <w:pStyle w:val="307"/>
              <w:rPr>
                <w:lang w:val="en-US"/>
              </w:rPr>
            </w:pPr>
            <w:r>
              <w:rPr>
                <w:rFonts w:hint="eastAsia"/>
                <w:lang w:val="en-US"/>
              </w:rPr>
              <w:t>灰头绿啄木鸟</w:t>
            </w:r>
            <w:r>
              <w:rPr>
                <w:rFonts w:hint="eastAsia"/>
                <w:i/>
                <w:iCs/>
                <w:lang w:val="en-US"/>
              </w:rPr>
              <w:t>Picus</w:t>
            </w:r>
            <w:r>
              <w:rPr>
                <w:rFonts w:hint="eastAsia"/>
                <w:lang w:val="en-US"/>
              </w:rPr>
              <w:t xml:space="preserve"> </w:t>
            </w:r>
            <w:r>
              <w:rPr>
                <w:rFonts w:hint="eastAsia"/>
                <w:i/>
                <w:iCs/>
                <w:lang w:val="en-US"/>
              </w:rPr>
              <w:t>canus</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66D84">
            <w:pPr>
              <w:pStyle w:val="307"/>
              <w:rPr>
                <w:lang w:val="en-US"/>
              </w:rPr>
            </w:pPr>
            <w:r>
              <w:rPr>
                <w:rFonts w:hint="eastAsia"/>
                <w:lang w:val="en-US"/>
              </w:rPr>
              <w:t>省级</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42ECD">
            <w:pPr>
              <w:pStyle w:val="307"/>
              <w:rPr>
                <w:lang w:val="en-US"/>
              </w:rPr>
            </w:pPr>
            <w:r>
              <w:rPr>
                <w:lang w:val="en-US"/>
              </w:rPr>
              <w:t>LC</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4641C">
            <w:pPr>
              <w:pStyle w:val="307"/>
              <w:rPr>
                <w:lang w:val="en-US"/>
              </w:rPr>
            </w:pPr>
            <w:r>
              <w:rPr>
                <w:rFonts w:hint="eastAsia"/>
                <w:lang w:val="en-US"/>
              </w:rPr>
              <w:t>否</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166E8">
            <w:pPr>
              <w:pStyle w:val="307"/>
              <w:rPr>
                <w:lang w:val="en-US"/>
              </w:rPr>
            </w:pPr>
            <w:r>
              <w:rPr>
                <w:rFonts w:hint="eastAsia"/>
                <w:lang w:val="en-US"/>
              </w:rPr>
              <w:t>乔木林</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598DD">
            <w:pPr>
              <w:pStyle w:val="307"/>
              <w:rPr>
                <w:lang w:val="en-US"/>
              </w:rPr>
            </w:pPr>
            <w:r>
              <w:rPr>
                <w:rFonts w:hint="eastAsia"/>
                <w:lang w:val="en-US"/>
              </w:rPr>
              <w:t>资料访问</w:t>
            </w:r>
          </w:p>
        </w:tc>
      </w:tr>
      <w:tr w14:paraId="39A4305F">
        <w:tblPrEx>
          <w:tblCellMar>
            <w:top w:w="0" w:type="dxa"/>
            <w:left w:w="108" w:type="dxa"/>
            <w:bottom w:w="0" w:type="dxa"/>
            <w:right w:w="108" w:type="dxa"/>
          </w:tblCellMar>
        </w:tblPrEx>
        <w:trPr>
          <w:trHeight w:val="288" w:hRule="atLeast"/>
        </w:trPr>
        <w:tc>
          <w:tcPr>
            <w:tcW w:w="3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AC4651">
            <w:pPr>
              <w:pStyle w:val="307"/>
              <w:rPr>
                <w:lang w:val="en-US"/>
              </w:rPr>
            </w:pPr>
            <w:r>
              <w:rPr>
                <w:lang w:val="en-US"/>
              </w:rPr>
              <w:t>16</w:t>
            </w:r>
          </w:p>
        </w:tc>
        <w:tc>
          <w:tcPr>
            <w:tcW w:w="1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24C17">
            <w:pPr>
              <w:pStyle w:val="307"/>
              <w:rPr>
                <w:lang w:val="en-US"/>
              </w:rPr>
            </w:pPr>
            <w:r>
              <w:rPr>
                <w:rFonts w:hint="eastAsia"/>
                <w:lang w:val="en-US"/>
              </w:rPr>
              <w:t>灰喜鹊</w:t>
            </w:r>
            <w:r>
              <w:rPr>
                <w:rFonts w:hint="eastAsia"/>
                <w:i/>
                <w:iCs/>
                <w:lang w:val="en-US"/>
              </w:rPr>
              <w:t>Cyanopica</w:t>
            </w:r>
            <w:r>
              <w:rPr>
                <w:rFonts w:hint="eastAsia"/>
                <w:lang w:val="en-US"/>
              </w:rPr>
              <w:t xml:space="preserve"> </w:t>
            </w:r>
            <w:r>
              <w:rPr>
                <w:rFonts w:hint="eastAsia"/>
                <w:i/>
                <w:iCs/>
                <w:lang w:val="en-US"/>
              </w:rPr>
              <w:t>cyanus</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E172D">
            <w:pPr>
              <w:pStyle w:val="307"/>
              <w:rPr>
                <w:lang w:val="en-US"/>
              </w:rPr>
            </w:pPr>
            <w:r>
              <w:rPr>
                <w:rFonts w:hint="eastAsia"/>
                <w:lang w:val="en-US"/>
              </w:rPr>
              <w:t>省级</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BE6E7">
            <w:pPr>
              <w:pStyle w:val="307"/>
              <w:rPr>
                <w:lang w:val="en-US"/>
              </w:rPr>
            </w:pPr>
            <w:r>
              <w:rPr>
                <w:lang w:val="en-US"/>
              </w:rPr>
              <w:t>LC</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5DF52">
            <w:pPr>
              <w:pStyle w:val="307"/>
              <w:rPr>
                <w:lang w:val="en-US"/>
              </w:rPr>
            </w:pPr>
            <w:r>
              <w:rPr>
                <w:rFonts w:hint="eastAsia"/>
                <w:lang w:val="en-US"/>
              </w:rPr>
              <w:t>否</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5177E">
            <w:pPr>
              <w:pStyle w:val="307"/>
              <w:rPr>
                <w:lang w:val="en-US"/>
              </w:rPr>
            </w:pPr>
            <w:r>
              <w:rPr>
                <w:rFonts w:hint="eastAsia"/>
                <w:lang w:val="en-US"/>
              </w:rPr>
              <w:t>乔木林</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31A49">
            <w:pPr>
              <w:pStyle w:val="307"/>
              <w:rPr>
                <w:lang w:val="en-US"/>
              </w:rPr>
            </w:pPr>
            <w:r>
              <w:rPr>
                <w:rFonts w:hint="eastAsia"/>
                <w:lang w:val="en-US"/>
              </w:rPr>
              <w:t>资料访问</w:t>
            </w:r>
          </w:p>
        </w:tc>
      </w:tr>
      <w:tr w14:paraId="5DDB676E">
        <w:tblPrEx>
          <w:tblCellMar>
            <w:top w:w="0" w:type="dxa"/>
            <w:left w:w="108" w:type="dxa"/>
            <w:bottom w:w="0" w:type="dxa"/>
            <w:right w:w="108" w:type="dxa"/>
          </w:tblCellMar>
        </w:tblPrEx>
        <w:trPr>
          <w:trHeight w:val="288" w:hRule="atLeast"/>
        </w:trPr>
        <w:tc>
          <w:tcPr>
            <w:tcW w:w="3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E07BC9">
            <w:pPr>
              <w:pStyle w:val="307"/>
              <w:rPr>
                <w:lang w:val="en-US"/>
              </w:rPr>
            </w:pPr>
            <w:r>
              <w:rPr>
                <w:lang w:val="en-US"/>
              </w:rPr>
              <w:t>17</w:t>
            </w:r>
          </w:p>
        </w:tc>
        <w:tc>
          <w:tcPr>
            <w:tcW w:w="1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9AE9A">
            <w:pPr>
              <w:pStyle w:val="307"/>
              <w:rPr>
                <w:lang w:val="en-US"/>
              </w:rPr>
            </w:pPr>
            <w:r>
              <w:rPr>
                <w:rFonts w:hint="eastAsia"/>
                <w:lang w:val="en-US"/>
              </w:rPr>
              <w:t>绿翅鸭</w:t>
            </w:r>
            <w:r>
              <w:rPr>
                <w:rFonts w:hint="eastAsia"/>
                <w:i/>
                <w:iCs/>
                <w:lang w:val="en-US"/>
              </w:rPr>
              <w:t>Anas</w:t>
            </w:r>
            <w:r>
              <w:rPr>
                <w:rFonts w:hint="eastAsia"/>
                <w:lang w:val="en-US"/>
              </w:rPr>
              <w:t xml:space="preserve"> </w:t>
            </w:r>
            <w:r>
              <w:rPr>
                <w:rFonts w:hint="eastAsia"/>
                <w:i/>
                <w:iCs/>
                <w:lang w:val="en-US"/>
              </w:rPr>
              <w:t>crecca</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C2907">
            <w:pPr>
              <w:pStyle w:val="307"/>
              <w:rPr>
                <w:lang w:val="en-US"/>
              </w:rPr>
            </w:pPr>
            <w:r>
              <w:rPr>
                <w:rFonts w:hint="eastAsia"/>
                <w:lang w:val="en-US"/>
              </w:rPr>
              <w:t>省级</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EDEA3">
            <w:pPr>
              <w:pStyle w:val="307"/>
              <w:rPr>
                <w:lang w:val="en-US"/>
              </w:rPr>
            </w:pPr>
            <w:r>
              <w:rPr>
                <w:lang w:val="en-US"/>
              </w:rPr>
              <w:t>LC</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FFF09">
            <w:pPr>
              <w:pStyle w:val="307"/>
              <w:rPr>
                <w:lang w:val="en-US"/>
              </w:rPr>
            </w:pPr>
            <w:r>
              <w:rPr>
                <w:rFonts w:hint="eastAsia"/>
                <w:lang w:val="en-US"/>
              </w:rPr>
              <w:t>否</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7E4CC">
            <w:pPr>
              <w:pStyle w:val="307"/>
              <w:rPr>
                <w:lang w:val="en-US"/>
              </w:rPr>
            </w:pPr>
            <w:r>
              <w:rPr>
                <w:rFonts w:hint="eastAsia"/>
                <w:lang w:val="en-US"/>
              </w:rPr>
              <w:t>湿地</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1287F">
            <w:pPr>
              <w:pStyle w:val="307"/>
              <w:rPr>
                <w:lang w:val="en-US"/>
              </w:rPr>
            </w:pPr>
            <w:r>
              <w:rPr>
                <w:rFonts w:hint="eastAsia"/>
                <w:lang w:val="en-US"/>
              </w:rPr>
              <w:t>资料访问</w:t>
            </w:r>
          </w:p>
        </w:tc>
      </w:tr>
      <w:tr w14:paraId="552EA567">
        <w:tblPrEx>
          <w:tblCellMar>
            <w:top w:w="0" w:type="dxa"/>
            <w:left w:w="108" w:type="dxa"/>
            <w:bottom w:w="0" w:type="dxa"/>
            <w:right w:w="108" w:type="dxa"/>
          </w:tblCellMar>
        </w:tblPrEx>
        <w:trPr>
          <w:trHeight w:val="288" w:hRule="atLeast"/>
        </w:trPr>
        <w:tc>
          <w:tcPr>
            <w:tcW w:w="3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1BBF87">
            <w:pPr>
              <w:pStyle w:val="307"/>
              <w:rPr>
                <w:lang w:val="en-US"/>
              </w:rPr>
            </w:pPr>
            <w:r>
              <w:rPr>
                <w:lang w:val="en-US"/>
              </w:rPr>
              <w:t>18</w:t>
            </w:r>
          </w:p>
        </w:tc>
        <w:tc>
          <w:tcPr>
            <w:tcW w:w="1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F6C58">
            <w:pPr>
              <w:pStyle w:val="307"/>
              <w:rPr>
                <w:lang w:val="en-US"/>
              </w:rPr>
            </w:pPr>
            <w:r>
              <w:rPr>
                <w:rFonts w:hint="eastAsia"/>
                <w:lang w:val="en-US"/>
              </w:rPr>
              <w:t xml:space="preserve">狍 </w:t>
            </w:r>
            <w:r>
              <w:rPr>
                <w:rFonts w:hint="eastAsia"/>
                <w:i/>
                <w:iCs/>
                <w:lang w:val="en-US"/>
              </w:rPr>
              <w:t>Capreolus</w:t>
            </w:r>
            <w:r>
              <w:rPr>
                <w:rFonts w:hint="eastAsia"/>
                <w:lang w:val="en-US"/>
              </w:rPr>
              <w:t xml:space="preserve"> </w:t>
            </w:r>
            <w:r>
              <w:rPr>
                <w:rFonts w:hint="eastAsia"/>
                <w:i/>
                <w:iCs/>
                <w:lang w:val="en-US"/>
              </w:rPr>
              <w:t>capreolus</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C3EB1">
            <w:pPr>
              <w:pStyle w:val="307"/>
              <w:rPr>
                <w:lang w:val="en-US"/>
              </w:rPr>
            </w:pPr>
            <w:r>
              <w:rPr>
                <w:rFonts w:hint="eastAsia"/>
                <w:lang w:val="en-US"/>
              </w:rPr>
              <w:t>省级</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DD429">
            <w:pPr>
              <w:pStyle w:val="307"/>
              <w:rPr>
                <w:lang w:val="en-US"/>
              </w:rPr>
            </w:pPr>
            <w:r>
              <w:rPr>
                <w:lang w:val="en-US"/>
              </w:rPr>
              <w:t>NT</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0E3C9">
            <w:pPr>
              <w:pStyle w:val="307"/>
              <w:rPr>
                <w:lang w:val="en-US"/>
              </w:rPr>
            </w:pPr>
            <w:r>
              <w:rPr>
                <w:rFonts w:hint="eastAsia"/>
                <w:lang w:val="en-US"/>
              </w:rPr>
              <w:t>否</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F8D62">
            <w:pPr>
              <w:pStyle w:val="307"/>
              <w:rPr>
                <w:lang w:val="en-US"/>
              </w:rPr>
            </w:pPr>
            <w:r>
              <w:rPr>
                <w:rFonts w:hint="eastAsia"/>
                <w:lang w:val="en-US"/>
              </w:rPr>
              <w:t>林地、草地</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FA9B7">
            <w:pPr>
              <w:pStyle w:val="307"/>
              <w:rPr>
                <w:lang w:val="en-US"/>
              </w:rPr>
            </w:pPr>
            <w:r>
              <w:rPr>
                <w:rFonts w:hint="eastAsia"/>
                <w:lang w:val="en-US"/>
              </w:rPr>
              <w:t>资料访问</w:t>
            </w:r>
          </w:p>
        </w:tc>
      </w:tr>
      <w:tr w14:paraId="25FB6B44">
        <w:tblPrEx>
          <w:tblCellMar>
            <w:top w:w="0" w:type="dxa"/>
            <w:left w:w="108" w:type="dxa"/>
            <w:bottom w:w="0" w:type="dxa"/>
            <w:right w:w="108" w:type="dxa"/>
          </w:tblCellMar>
        </w:tblPrEx>
        <w:trPr>
          <w:trHeight w:val="288" w:hRule="atLeast"/>
        </w:trPr>
        <w:tc>
          <w:tcPr>
            <w:tcW w:w="3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8C3BAD">
            <w:pPr>
              <w:pStyle w:val="307"/>
              <w:rPr>
                <w:lang w:val="en-US"/>
              </w:rPr>
            </w:pPr>
            <w:r>
              <w:rPr>
                <w:lang w:val="en-US"/>
              </w:rPr>
              <w:t>19</w:t>
            </w:r>
          </w:p>
        </w:tc>
        <w:tc>
          <w:tcPr>
            <w:tcW w:w="1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A6532">
            <w:pPr>
              <w:pStyle w:val="307"/>
              <w:rPr>
                <w:lang w:val="en-US"/>
              </w:rPr>
            </w:pPr>
            <w:r>
              <w:rPr>
                <w:rFonts w:hint="eastAsia"/>
                <w:lang w:val="en-US"/>
              </w:rPr>
              <w:t>普通秋沙鸭</w:t>
            </w:r>
            <w:r>
              <w:rPr>
                <w:rFonts w:hint="eastAsia"/>
                <w:i/>
                <w:iCs/>
                <w:lang w:val="en-US"/>
              </w:rPr>
              <w:t>Mergus</w:t>
            </w:r>
            <w:r>
              <w:rPr>
                <w:rFonts w:hint="eastAsia"/>
                <w:lang w:val="en-US"/>
              </w:rPr>
              <w:t xml:space="preserve"> </w:t>
            </w:r>
            <w:r>
              <w:rPr>
                <w:rFonts w:hint="eastAsia"/>
                <w:i/>
                <w:iCs/>
                <w:lang w:val="en-US"/>
              </w:rPr>
              <w:t>merganser</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8E0B1">
            <w:pPr>
              <w:pStyle w:val="307"/>
              <w:rPr>
                <w:lang w:val="en-US"/>
              </w:rPr>
            </w:pPr>
            <w:r>
              <w:rPr>
                <w:rFonts w:hint="eastAsia"/>
                <w:lang w:val="en-US"/>
              </w:rPr>
              <w:t>省级</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0C29D">
            <w:pPr>
              <w:pStyle w:val="307"/>
              <w:rPr>
                <w:lang w:val="en-US"/>
              </w:rPr>
            </w:pPr>
            <w:r>
              <w:rPr>
                <w:lang w:val="en-US"/>
              </w:rPr>
              <w:t>LC</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6D27B">
            <w:pPr>
              <w:pStyle w:val="307"/>
              <w:rPr>
                <w:lang w:val="en-US"/>
              </w:rPr>
            </w:pPr>
            <w:r>
              <w:rPr>
                <w:rFonts w:hint="eastAsia"/>
                <w:lang w:val="en-US"/>
              </w:rPr>
              <w:t>否</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5A389">
            <w:pPr>
              <w:pStyle w:val="307"/>
              <w:rPr>
                <w:lang w:val="en-US"/>
              </w:rPr>
            </w:pPr>
            <w:r>
              <w:rPr>
                <w:rFonts w:hint="eastAsia"/>
                <w:lang w:val="en-US"/>
              </w:rPr>
              <w:t>林地、湿地</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F72FE">
            <w:pPr>
              <w:pStyle w:val="307"/>
              <w:rPr>
                <w:lang w:val="en-US"/>
              </w:rPr>
            </w:pPr>
            <w:r>
              <w:rPr>
                <w:rFonts w:hint="eastAsia"/>
                <w:lang w:val="en-US"/>
              </w:rPr>
              <w:t>资料访问</w:t>
            </w:r>
          </w:p>
        </w:tc>
      </w:tr>
      <w:tr w14:paraId="09498245">
        <w:tblPrEx>
          <w:tblCellMar>
            <w:top w:w="0" w:type="dxa"/>
            <w:left w:w="108" w:type="dxa"/>
            <w:bottom w:w="0" w:type="dxa"/>
            <w:right w:w="108" w:type="dxa"/>
          </w:tblCellMar>
        </w:tblPrEx>
        <w:trPr>
          <w:trHeight w:val="288" w:hRule="atLeast"/>
        </w:trPr>
        <w:tc>
          <w:tcPr>
            <w:tcW w:w="3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4EE63F">
            <w:pPr>
              <w:pStyle w:val="307"/>
              <w:rPr>
                <w:lang w:val="en-US"/>
              </w:rPr>
            </w:pPr>
            <w:r>
              <w:rPr>
                <w:lang w:val="en-US"/>
              </w:rPr>
              <w:t>20</w:t>
            </w:r>
          </w:p>
        </w:tc>
        <w:tc>
          <w:tcPr>
            <w:tcW w:w="1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3D0DC">
            <w:pPr>
              <w:pStyle w:val="307"/>
              <w:rPr>
                <w:lang w:val="en-US"/>
              </w:rPr>
            </w:pPr>
            <w:r>
              <w:rPr>
                <w:rFonts w:hint="eastAsia"/>
                <w:lang w:val="en-US"/>
              </w:rPr>
              <w:t>翘鼻麻鸭</w:t>
            </w:r>
            <w:r>
              <w:rPr>
                <w:rFonts w:hint="eastAsia"/>
                <w:i/>
                <w:iCs/>
                <w:lang w:val="en-US"/>
              </w:rPr>
              <w:t>Tadorna</w:t>
            </w:r>
            <w:r>
              <w:rPr>
                <w:rFonts w:hint="eastAsia"/>
                <w:lang w:val="en-US"/>
              </w:rPr>
              <w:t xml:space="preserve"> </w:t>
            </w:r>
            <w:r>
              <w:rPr>
                <w:rFonts w:hint="eastAsia"/>
                <w:i/>
                <w:iCs/>
                <w:lang w:val="en-US"/>
              </w:rPr>
              <w:t>tadorna</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056D3">
            <w:pPr>
              <w:pStyle w:val="307"/>
              <w:rPr>
                <w:lang w:val="en-US"/>
              </w:rPr>
            </w:pPr>
            <w:r>
              <w:rPr>
                <w:rFonts w:hint="eastAsia"/>
                <w:lang w:val="en-US"/>
              </w:rPr>
              <w:t>省级</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F9A66">
            <w:pPr>
              <w:pStyle w:val="307"/>
              <w:rPr>
                <w:lang w:val="en-US"/>
              </w:rPr>
            </w:pPr>
            <w:r>
              <w:rPr>
                <w:lang w:val="en-US"/>
              </w:rPr>
              <w:t>LC</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2E1F2">
            <w:pPr>
              <w:pStyle w:val="307"/>
              <w:rPr>
                <w:lang w:val="en-US"/>
              </w:rPr>
            </w:pPr>
            <w:r>
              <w:rPr>
                <w:rFonts w:hint="eastAsia"/>
                <w:lang w:val="en-US"/>
              </w:rPr>
              <w:t>否</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2BECD">
            <w:pPr>
              <w:pStyle w:val="307"/>
              <w:rPr>
                <w:lang w:val="en-US"/>
              </w:rPr>
            </w:pPr>
            <w:r>
              <w:rPr>
                <w:rFonts w:hint="eastAsia"/>
                <w:lang w:val="en-US"/>
              </w:rPr>
              <w:t>湿地、灌丛</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EC006">
            <w:pPr>
              <w:pStyle w:val="307"/>
              <w:rPr>
                <w:lang w:val="en-US"/>
              </w:rPr>
            </w:pPr>
            <w:r>
              <w:rPr>
                <w:rFonts w:hint="eastAsia"/>
                <w:lang w:val="en-US"/>
              </w:rPr>
              <w:t>资料访问</w:t>
            </w:r>
          </w:p>
        </w:tc>
      </w:tr>
      <w:tr w14:paraId="4E2A1C3E">
        <w:tblPrEx>
          <w:tblCellMar>
            <w:top w:w="0" w:type="dxa"/>
            <w:left w:w="108" w:type="dxa"/>
            <w:bottom w:w="0" w:type="dxa"/>
            <w:right w:w="108" w:type="dxa"/>
          </w:tblCellMar>
        </w:tblPrEx>
        <w:trPr>
          <w:trHeight w:val="288" w:hRule="atLeast"/>
        </w:trPr>
        <w:tc>
          <w:tcPr>
            <w:tcW w:w="3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174D9B">
            <w:pPr>
              <w:pStyle w:val="307"/>
              <w:rPr>
                <w:lang w:val="en-US"/>
              </w:rPr>
            </w:pPr>
            <w:r>
              <w:rPr>
                <w:lang w:val="en-US"/>
              </w:rPr>
              <w:t>21</w:t>
            </w:r>
          </w:p>
        </w:tc>
        <w:tc>
          <w:tcPr>
            <w:tcW w:w="1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92A84">
            <w:pPr>
              <w:pStyle w:val="307"/>
              <w:rPr>
                <w:lang w:val="en-US"/>
              </w:rPr>
            </w:pPr>
            <w:r>
              <w:rPr>
                <w:rFonts w:hint="eastAsia"/>
                <w:lang w:val="en-US"/>
              </w:rPr>
              <w:t>雀鹰</w:t>
            </w:r>
            <w:r>
              <w:rPr>
                <w:rFonts w:hint="eastAsia"/>
                <w:i/>
                <w:iCs/>
                <w:lang w:val="en-US"/>
              </w:rPr>
              <w:t>Accipiter</w:t>
            </w:r>
            <w:r>
              <w:rPr>
                <w:rFonts w:hint="eastAsia"/>
                <w:lang w:val="en-US"/>
              </w:rPr>
              <w:t xml:space="preserve"> </w:t>
            </w:r>
            <w:r>
              <w:rPr>
                <w:rFonts w:hint="eastAsia"/>
                <w:i/>
                <w:iCs/>
                <w:lang w:val="en-US"/>
              </w:rPr>
              <w:t>nisus</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109C9">
            <w:pPr>
              <w:pStyle w:val="307"/>
              <w:rPr>
                <w:lang w:val="en-US"/>
              </w:rPr>
            </w:pPr>
            <w:r>
              <w:rPr>
                <w:rFonts w:hint="eastAsia"/>
                <w:lang w:val="en-US"/>
              </w:rPr>
              <w:t>二级</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11301">
            <w:pPr>
              <w:pStyle w:val="307"/>
              <w:rPr>
                <w:lang w:val="en-US"/>
              </w:rPr>
            </w:pPr>
            <w:r>
              <w:rPr>
                <w:lang w:val="en-US"/>
              </w:rPr>
              <w:t>LC</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2BC92">
            <w:pPr>
              <w:pStyle w:val="307"/>
              <w:rPr>
                <w:lang w:val="en-US"/>
              </w:rPr>
            </w:pPr>
            <w:r>
              <w:rPr>
                <w:rFonts w:hint="eastAsia"/>
                <w:lang w:val="en-US"/>
              </w:rPr>
              <w:t>否</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8F127">
            <w:pPr>
              <w:pStyle w:val="307"/>
              <w:rPr>
                <w:lang w:val="en-US"/>
              </w:rPr>
            </w:pPr>
            <w:r>
              <w:rPr>
                <w:rFonts w:hint="eastAsia"/>
                <w:lang w:val="en-US"/>
              </w:rPr>
              <w:t>乔木林</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81CEA">
            <w:pPr>
              <w:pStyle w:val="307"/>
              <w:rPr>
                <w:lang w:val="en-US"/>
              </w:rPr>
            </w:pPr>
            <w:r>
              <w:rPr>
                <w:rFonts w:hint="eastAsia"/>
                <w:lang w:val="en-US"/>
              </w:rPr>
              <w:t>资料访问</w:t>
            </w:r>
          </w:p>
        </w:tc>
      </w:tr>
      <w:tr w14:paraId="776B8943">
        <w:tblPrEx>
          <w:tblCellMar>
            <w:top w:w="0" w:type="dxa"/>
            <w:left w:w="108" w:type="dxa"/>
            <w:bottom w:w="0" w:type="dxa"/>
            <w:right w:w="108" w:type="dxa"/>
          </w:tblCellMar>
        </w:tblPrEx>
        <w:trPr>
          <w:trHeight w:val="288" w:hRule="atLeast"/>
        </w:trPr>
        <w:tc>
          <w:tcPr>
            <w:tcW w:w="3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8A4B45">
            <w:pPr>
              <w:pStyle w:val="307"/>
              <w:rPr>
                <w:lang w:val="en-US"/>
              </w:rPr>
            </w:pPr>
            <w:r>
              <w:rPr>
                <w:lang w:val="en-US"/>
              </w:rPr>
              <w:t>22</w:t>
            </w:r>
          </w:p>
        </w:tc>
        <w:tc>
          <w:tcPr>
            <w:tcW w:w="1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65A41">
            <w:pPr>
              <w:pStyle w:val="307"/>
              <w:rPr>
                <w:lang w:val="en-US"/>
              </w:rPr>
            </w:pPr>
            <w:r>
              <w:rPr>
                <w:rFonts w:hint="eastAsia"/>
                <w:lang w:val="en-US"/>
              </w:rPr>
              <w:t>石鸡</w:t>
            </w:r>
            <w:r>
              <w:rPr>
                <w:rFonts w:hint="eastAsia"/>
                <w:i/>
                <w:iCs/>
                <w:lang w:val="en-US"/>
              </w:rPr>
              <w:t>Alectoris</w:t>
            </w:r>
            <w:r>
              <w:rPr>
                <w:rFonts w:hint="eastAsia"/>
                <w:lang w:val="en-US"/>
              </w:rPr>
              <w:t xml:space="preserve"> </w:t>
            </w:r>
            <w:r>
              <w:rPr>
                <w:rFonts w:hint="eastAsia"/>
                <w:i/>
                <w:iCs/>
                <w:lang w:val="en-US"/>
              </w:rPr>
              <w:t>chukar</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12E55">
            <w:pPr>
              <w:pStyle w:val="307"/>
              <w:rPr>
                <w:lang w:val="en-US"/>
              </w:rPr>
            </w:pPr>
            <w:r>
              <w:rPr>
                <w:rFonts w:hint="eastAsia"/>
                <w:lang w:val="en-US"/>
              </w:rPr>
              <w:t>省级</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B27A0">
            <w:pPr>
              <w:pStyle w:val="307"/>
              <w:rPr>
                <w:lang w:val="en-US"/>
              </w:rPr>
            </w:pPr>
            <w:r>
              <w:rPr>
                <w:lang w:val="en-US"/>
              </w:rPr>
              <w:t>LC</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C2089">
            <w:pPr>
              <w:pStyle w:val="307"/>
              <w:rPr>
                <w:lang w:val="en-US"/>
              </w:rPr>
            </w:pPr>
            <w:r>
              <w:rPr>
                <w:rFonts w:hint="eastAsia"/>
                <w:lang w:val="en-US"/>
              </w:rPr>
              <w:t>否</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8E177">
            <w:pPr>
              <w:pStyle w:val="307"/>
              <w:rPr>
                <w:lang w:val="en-US"/>
              </w:rPr>
            </w:pPr>
            <w:r>
              <w:rPr>
                <w:rFonts w:hint="eastAsia"/>
                <w:lang w:val="en-US"/>
              </w:rPr>
              <w:t>林地、灌丛</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E66D4">
            <w:pPr>
              <w:pStyle w:val="307"/>
              <w:rPr>
                <w:lang w:val="en-US"/>
              </w:rPr>
            </w:pPr>
            <w:r>
              <w:rPr>
                <w:rFonts w:hint="eastAsia"/>
                <w:lang w:val="en-US"/>
              </w:rPr>
              <w:t>资料访问</w:t>
            </w:r>
          </w:p>
        </w:tc>
      </w:tr>
      <w:tr w14:paraId="0EDAE340">
        <w:tblPrEx>
          <w:tblCellMar>
            <w:top w:w="0" w:type="dxa"/>
            <w:left w:w="108" w:type="dxa"/>
            <w:bottom w:w="0" w:type="dxa"/>
            <w:right w:w="108" w:type="dxa"/>
          </w:tblCellMar>
        </w:tblPrEx>
        <w:trPr>
          <w:trHeight w:val="288" w:hRule="atLeast"/>
        </w:trPr>
        <w:tc>
          <w:tcPr>
            <w:tcW w:w="3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7DBCA8">
            <w:pPr>
              <w:pStyle w:val="307"/>
              <w:rPr>
                <w:lang w:val="en-US"/>
              </w:rPr>
            </w:pPr>
            <w:r>
              <w:rPr>
                <w:lang w:val="en-US"/>
              </w:rPr>
              <w:t>23</w:t>
            </w:r>
          </w:p>
        </w:tc>
        <w:tc>
          <w:tcPr>
            <w:tcW w:w="1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B79D5">
            <w:pPr>
              <w:pStyle w:val="307"/>
              <w:rPr>
                <w:lang w:val="en-US"/>
              </w:rPr>
            </w:pPr>
            <w:r>
              <w:rPr>
                <w:rFonts w:hint="eastAsia"/>
                <w:lang w:val="en-US"/>
              </w:rPr>
              <w:t xml:space="preserve">喜鹊 </w:t>
            </w:r>
            <w:r>
              <w:rPr>
                <w:rFonts w:hint="eastAsia"/>
                <w:i/>
                <w:iCs/>
                <w:lang w:val="en-US"/>
              </w:rPr>
              <w:t>Pica</w:t>
            </w:r>
            <w:r>
              <w:rPr>
                <w:rFonts w:hint="eastAsia"/>
                <w:lang w:val="en-US"/>
              </w:rPr>
              <w:t xml:space="preserve"> </w:t>
            </w:r>
            <w:r>
              <w:rPr>
                <w:rFonts w:hint="eastAsia"/>
                <w:i/>
                <w:iCs/>
                <w:lang w:val="en-US"/>
              </w:rPr>
              <w:t>pica</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DC382">
            <w:pPr>
              <w:pStyle w:val="307"/>
              <w:rPr>
                <w:lang w:val="en-US"/>
              </w:rPr>
            </w:pPr>
            <w:r>
              <w:rPr>
                <w:rFonts w:hint="eastAsia"/>
                <w:lang w:val="en-US"/>
              </w:rPr>
              <w:t>省级</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237FB">
            <w:pPr>
              <w:pStyle w:val="307"/>
              <w:rPr>
                <w:lang w:val="en-US"/>
              </w:rPr>
            </w:pPr>
            <w:r>
              <w:rPr>
                <w:lang w:val="en-US"/>
              </w:rPr>
              <w:t>LC</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A6549">
            <w:pPr>
              <w:pStyle w:val="307"/>
              <w:rPr>
                <w:lang w:val="en-US"/>
              </w:rPr>
            </w:pPr>
            <w:r>
              <w:rPr>
                <w:rFonts w:hint="eastAsia"/>
                <w:lang w:val="en-US"/>
              </w:rPr>
              <w:t>否</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77D6">
            <w:pPr>
              <w:pStyle w:val="307"/>
              <w:rPr>
                <w:lang w:val="en-US"/>
              </w:rPr>
            </w:pPr>
            <w:r>
              <w:rPr>
                <w:rFonts w:hint="eastAsia"/>
                <w:lang w:val="en-US"/>
              </w:rPr>
              <w:t>林地、草地</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E302B">
            <w:pPr>
              <w:pStyle w:val="307"/>
              <w:rPr>
                <w:lang w:val="en-US"/>
              </w:rPr>
            </w:pPr>
            <w:r>
              <w:rPr>
                <w:rFonts w:hint="eastAsia"/>
                <w:lang w:val="en-US"/>
              </w:rPr>
              <w:t>目击</w:t>
            </w:r>
          </w:p>
        </w:tc>
      </w:tr>
      <w:tr w14:paraId="527CE048">
        <w:tblPrEx>
          <w:tblCellMar>
            <w:top w:w="0" w:type="dxa"/>
            <w:left w:w="108" w:type="dxa"/>
            <w:bottom w:w="0" w:type="dxa"/>
            <w:right w:w="108" w:type="dxa"/>
          </w:tblCellMar>
        </w:tblPrEx>
        <w:trPr>
          <w:trHeight w:val="288" w:hRule="atLeast"/>
        </w:trPr>
        <w:tc>
          <w:tcPr>
            <w:tcW w:w="3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4CCADD">
            <w:pPr>
              <w:pStyle w:val="307"/>
              <w:rPr>
                <w:lang w:val="en-US"/>
              </w:rPr>
            </w:pPr>
            <w:r>
              <w:rPr>
                <w:lang w:val="en-US"/>
              </w:rPr>
              <w:t>24</w:t>
            </w:r>
          </w:p>
        </w:tc>
        <w:tc>
          <w:tcPr>
            <w:tcW w:w="1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F7E76">
            <w:pPr>
              <w:pStyle w:val="307"/>
              <w:rPr>
                <w:lang w:val="en-US"/>
              </w:rPr>
            </w:pPr>
            <w:r>
              <w:rPr>
                <w:rFonts w:hint="eastAsia"/>
                <w:lang w:val="en-US"/>
              </w:rPr>
              <w:t>楔尾伯劳</w:t>
            </w:r>
            <w:r>
              <w:rPr>
                <w:rFonts w:hint="eastAsia"/>
                <w:i/>
                <w:iCs/>
                <w:lang w:val="en-US"/>
              </w:rPr>
              <w:t>Lanius</w:t>
            </w:r>
            <w:r>
              <w:rPr>
                <w:rFonts w:hint="eastAsia"/>
                <w:lang w:val="en-US"/>
              </w:rPr>
              <w:t xml:space="preserve"> </w:t>
            </w:r>
            <w:r>
              <w:rPr>
                <w:rFonts w:hint="eastAsia"/>
                <w:i/>
                <w:iCs/>
                <w:lang w:val="en-US"/>
              </w:rPr>
              <w:t>sphenocercus</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37092">
            <w:pPr>
              <w:pStyle w:val="307"/>
              <w:rPr>
                <w:lang w:val="en-US"/>
              </w:rPr>
            </w:pPr>
            <w:r>
              <w:rPr>
                <w:rFonts w:hint="eastAsia"/>
                <w:lang w:val="en-US"/>
              </w:rPr>
              <w:t>省级</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28CF9">
            <w:pPr>
              <w:pStyle w:val="307"/>
              <w:rPr>
                <w:lang w:val="en-US"/>
              </w:rPr>
            </w:pPr>
            <w:r>
              <w:rPr>
                <w:lang w:val="en-US"/>
              </w:rPr>
              <w:t>LC</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6F091">
            <w:pPr>
              <w:pStyle w:val="307"/>
              <w:rPr>
                <w:lang w:val="en-US"/>
              </w:rPr>
            </w:pPr>
            <w:r>
              <w:rPr>
                <w:rFonts w:hint="eastAsia"/>
                <w:lang w:val="en-US"/>
              </w:rPr>
              <w:t>否</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7C8CA">
            <w:pPr>
              <w:pStyle w:val="307"/>
              <w:rPr>
                <w:lang w:val="en-US"/>
              </w:rPr>
            </w:pPr>
            <w:r>
              <w:rPr>
                <w:rFonts w:hint="eastAsia"/>
                <w:lang w:val="en-US"/>
              </w:rPr>
              <w:t>草原、湿地</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EA640">
            <w:pPr>
              <w:pStyle w:val="307"/>
              <w:rPr>
                <w:lang w:val="en-US"/>
              </w:rPr>
            </w:pPr>
            <w:r>
              <w:rPr>
                <w:rFonts w:hint="eastAsia"/>
                <w:lang w:val="en-US"/>
              </w:rPr>
              <w:t>资料访问</w:t>
            </w:r>
          </w:p>
        </w:tc>
      </w:tr>
      <w:tr w14:paraId="707B0253">
        <w:tblPrEx>
          <w:tblCellMar>
            <w:top w:w="0" w:type="dxa"/>
            <w:left w:w="108" w:type="dxa"/>
            <w:bottom w:w="0" w:type="dxa"/>
            <w:right w:w="108" w:type="dxa"/>
          </w:tblCellMar>
        </w:tblPrEx>
        <w:trPr>
          <w:trHeight w:val="288" w:hRule="atLeast"/>
        </w:trPr>
        <w:tc>
          <w:tcPr>
            <w:tcW w:w="3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B50DBD">
            <w:pPr>
              <w:pStyle w:val="307"/>
              <w:rPr>
                <w:lang w:val="en-US"/>
              </w:rPr>
            </w:pPr>
            <w:r>
              <w:rPr>
                <w:lang w:val="en-US"/>
              </w:rPr>
              <w:t>25</w:t>
            </w:r>
          </w:p>
        </w:tc>
        <w:tc>
          <w:tcPr>
            <w:tcW w:w="1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CCE80">
            <w:pPr>
              <w:pStyle w:val="307"/>
              <w:rPr>
                <w:lang w:val="en-US"/>
              </w:rPr>
            </w:pPr>
            <w:r>
              <w:rPr>
                <w:rFonts w:hint="eastAsia"/>
                <w:lang w:val="en-US"/>
              </w:rPr>
              <w:t>中华鳖</w:t>
            </w:r>
            <w:r>
              <w:rPr>
                <w:rFonts w:hint="eastAsia"/>
                <w:i/>
                <w:iCs/>
                <w:lang w:val="en-US"/>
              </w:rPr>
              <w:t>Pelodiscus</w:t>
            </w:r>
            <w:r>
              <w:rPr>
                <w:rFonts w:hint="eastAsia"/>
                <w:lang w:val="en-US"/>
              </w:rPr>
              <w:t xml:space="preserve"> </w:t>
            </w:r>
            <w:r>
              <w:rPr>
                <w:rFonts w:hint="eastAsia"/>
                <w:i/>
                <w:iCs/>
                <w:lang w:val="en-US"/>
              </w:rPr>
              <w:t>sinensis</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AB8E0">
            <w:pPr>
              <w:pStyle w:val="307"/>
              <w:rPr>
                <w:lang w:val="en-US"/>
              </w:rPr>
            </w:pPr>
            <w:r>
              <w:rPr>
                <w:rFonts w:hint="eastAsia"/>
                <w:lang w:val="en-US"/>
              </w:rPr>
              <w:t>省级</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341F1">
            <w:pPr>
              <w:pStyle w:val="307"/>
              <w:rPr>
                <w:lang w:val="en-US"/>
              </w:rPr>
            </w:pPr>
            <w:r>
              <w:rPr>
                <w:lang w:val="en-US"/>
              </w:rPr>
              <w:t>EN</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588DA">
            <w:pPr>
              <w:pStyle w:val="307"/>
              <w:rPr>
                <w:lang w:val="en-US"/>
              </w:rPr>
            </w:pPr>
            <w:r>
              <w:rPr>
                <w:rFonts w:hint="eastAsia"/>
                <w:lang w:val="en-US"/>
              </w:rPr>
              <w:t>否</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FE5EB">
            <w:pPr>
              <w:pStyle w:val="307"/>
              <w:rPr>
                <w:lang w:val="en-US"/>
              </w:rPr>
            </w:pPr>
            <w:r>
              <w:rPr>
                <w:rFonts w:hint="eastAsia"/>
                <w:lang w:val="en-US"/>
              </w:rPr>
              <w:t>湿地</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4303A">
            <w:pPr>
              <w:pStyle w:val="307"/>
              <w:rPr>
                <w:lang w:val="en-US"/>
              </w:rPr>
            </w:pPr>
            <w:r>
              <w:rPr>
                <w:rFonts w:hint="eastAsia"/>
                <w:lang w:val="en-US"/>
              </w:rPr>
              <w:t>目击</w:t>
            </w:r>
          </w:p>
        </w:tc>
      </w:tr>
      <w:tr w14:paraId="4819C719">
        <w:tblPrEx>
          <w:tblCellMar>
            <w:top w:w="0" w:type="dxa"/>
            <w:left w:w="108" w:type="dxa"/>
            <w:bottom w:w="0" w:type="dxa"/>
            <w:right w:w="108" w:type="dxa"/>
          </w:tblCellMar>
        </w:tblPrEx>
        <w:trPr>
          <w:trHeight w:val="288" w:hRule="atLeast"/>
        </w:trPr>
        <w:tc>
          <w:tcPr>
            <w:tcW w:w="3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152184">
            <w:pPr>
              <w:pStyle w:val="307"/>
              <w:rPr>
                <w:lang w:val="en-US"/>
              </w:rPr>
            </w:pPr>
            <w:r>
              <w:rPr>
                <w:lang w:val="en-US"/>
              </w:rPr>
              <w:t>26</w:t>
            </w:r>
          </w:p>
        </w:tc>
        <w:tc>
          <w:tcPr>
            <w:tcW w:w="1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38611">
            <w:pPr>
              <w:pStyle w:val="307"/>
              <w:rPr>
                <w:lang w:val="en-US"/>
              </w:rPr>
            </w:pPr>
            <w:r>
              <w:rPr>
                <w:rFonts w:hint="eastAsia"/>
                <w:lang w:val="en-US"/>
              </w:rPr>
              <w:t>北方狭口蛙</w:t>
            </w:r>
            <w:r>
              <w:rPr>
                <w:rFonts w:hint="eastAsia"/>
                <w:i/>
                <w:iCs/>
                <w:lang w:val="en-US"/>
              </w:rPr>
              <w:t>Kaloula borealis</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B0E19">
            <w:pPr>
              <w:pStyle w:val="307"/>
              <w:rPr>
                <w:lang w:val="en-US"/>
              </w:rPr>
            </w:pPr>
            <w:r>
              <w:rPr>
                <w:rFonts w:hint="eastAsia"/>
                <w:lang w:val="en-US"/>
              </w:rPr>
              <w:t>省级</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89958">
            <w:pPr>
              <w:pStyle w:val="307"/>
              <w:rPr>
                <w:lang w:val="en-US"/>
              </w:rPr>
            </w:pPr>
            <w:r>
              <w:rPr>
                <w:lang w:val="en-US"/>
              </w:rPr>
              <w:t>LC</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F8AA8">
            <w:pPr>
              <w:pStyle w:val="307"/>
              <w:rPr>
                <w:lang w:val="en-US"/>
              </w:rPr>
            </w:pPr>
            <w:r>
              <w:rPr>
                <w:rFonts w:hint="eastAsia"/>
                <w:lang w:val="en-US"/>
              </w:rPr>
              <w:t>否</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6FFA9">
            <w:pPr>
              <w:pStyle w:val="307"/>
              <w:rPr>
                <w:lang w:val="en-US"/>
              </w:rPr>
            </w:pPr>
            <w:r>
              <w:rPr>
                <w:rFonts w:hint="eastAsia"/>
                <w:lang w:val="en-US"/>
              </w:rPr>
              <w:t>草原、湿地</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ACBD1">
            <w:pPr>
              <w:pStyle w:val="307"/>
              <w:rPr>
                <w:lang w:val="en-US"/>
              </w:rPr>
            </w:pPr>
            <w:r>
              <w:rPr>
                <w:rFonts w:hint="eastAsia"/>
                <w:lang w:val="en-US"/>
              </w:rPr>
              <w:t>资料访问</w:t>
            </w:r>
          </w:p>
        </w:tc>
      </w:tr>
      <w:tr w14:paraId="31D581ED">
        <w:tblPrEx>
          <w:tblCellMar>
            <w:top w:w="0" w:type="dxa"/>
            <w:left w:w="108" w:type="dxa"/>
            <w:bottom w:w="0" w:type="dxa"/>
            <w:right w:w="108" w:type="dxa"/>
          </w:tblCellMar>
        </w:tblPrEx>
        <w:trPr>
          <w:trHeight w:val="288" w:hRule="atLeast"/>
        </w:trPr>
        <w:tc>
          <w:tcPr>
            <w:tcW w:w="3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F7F070">
            <w:pPr>
              <w:pStyle w:val="307"/>
              <w:rPr>
                <w:lang w:val="en-US"/>
              </w:rPr>
            </w:pPr>
            <w:r>
              <w:rPr>
                <w:lang w:val="en-US"/>
              </w:rPr>
              <w:t>27</w:t>
            </w:r>
          </w:p>
        </w:tc>
        <w:tc>
          <w:tcPr>
            <w:tcW w:w="1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FB0D0">
            <w:pPr>
              <w:pStyle w:val="307"/>
              <w:rPr>
                <w:lang w:val="en-US"/>
              </w:rPr>
            </w:pPr>
            <w:r>
              <w:rPr>
                <w:rFonts w:hint="eastAsia"/>
                <w:lang w:val="en-US"/>
              </w:rPr>
              <w:t>山地麻蜥</w:t>
            </w:r>
            <w:r>
              <w:rPr>
                <w:rFonts w:hint="eastAsia"/>
                <w:i/>
                <w:iCs/>
                <w:lang w:val="en-US"/>
              </w:rPr>
              <w:t>Eremias</w:t>
            </w:r>
            <w:r>
              <w:rPr>
                <w:rFonts w:hint="eastAsia"/>
                <w:lang w:val="en-US"/>
              </w:rPr>
              <w:t xml:space="preserve"> </w:t>
            </w:r>
            <w:r>
              <w:rPr>
                <w:rFonts w:hint="eastAsia"/>
                <w:i/>
                <w:iCs/>
                <w:lang w:val="en-US"/>
              </w:rPr>
              <w:t>brenchleyi</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ED0EA">
            <w:pPr>
              <w:pStyle w:val="307"/>
              <w:rPr>
                <w:lang w:val="en-US"/>
              </w:rPr>
            </w:pPr>
            <w:r>
              <w:rPr>
                <w:lang w:val="en-US"/>
              </w:rPr>
              <w:t>/</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16113">
            <w:pPr>
              <w:pStyle w:val="307"/>
              <w:rPr>
                <w:lang w:val="en-US"/>
              </w:rPr>
            </w:pPr>
            <w:r>
              <w:rPr>
                <w:lang w:val="en-US"/>
              </w:rPr>
              <w:t>LC</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5D4FE">
            <w:pPr>
              <w:pStyle w:val="307"/>
              <w:rPr>
                <w:lang w:val="en-US"/>
              </w:rPr>
            </w:pPr>
            <w:r>
              <w:rPr>
                <w:rFonts w:hint="eastAsia"/>
                <w:lang w:val="en-US"/>
              </w:rPr>
              <w:t>是</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8EBDE">
            <w:pPr>
              <w:pStyle w:val="307"/>
              <w:rPr>
                <w:lang w:val="en-US"/>
              </w:rPr>
            </w:pPr>
            <w:r>
              <w:rPr>
                <w:rFonts w:hint="eastAsia"/>
                <w:lang w:val="en-US"/>
              </w:rPr>
              <w:t>林地、草地</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D6415">
            <w:pPr>
              <w:pStyle w:val="307"/>
              <w:rPr>
                <w:lang w:val="en-US"/>
              </w:rPr>
            </w:pPr>
            <w:r>
              <w:rPr>
                <w:rFonts w:hint="eastAsia"/>
                <w:lang w:val="en-US"/>
              </w:rPr>
              <w:t>资料访问</w:t>
            </w:r>
          </w:p>
        </w:tc>
      </w:tr>
      <w:tr w14:paraId="1C65BA79">
        <w:tblPrEx>
          <w:tblCellMar>
            <w:top w:w="0" w:type="dxa"/>
            <w:left w:w="108" w:type="dxa"/>
            <w:bottom w:w="0" w:type="dxa"/>
            <w:right w:w="108" w:type="dxa"/>
          </w:tblCellMar>
        </w:tblPrEx>
        <w:trPr>
          <w:trHeight w:val="288" w:hRule="atLeast"/>
        </w:trPr>
        <w:tc>
          <w:tcPr>
            <w:tcW w:w="3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E62428">
            <w:pPr>
              <w:pStyle w:val="307"/>
              <w:rPr>
                <w:lang w:val="en-US"/>
              </w:rPr>
            </w:pPr>
            <w:r>
              <w:rPr>
                <w:lang w:val="en-US"/>
              </w:rPr>
              <w:t>28</w:t>
            </w:r>
          </w:p>
        </w:tc>
        <w:tc>
          <w:tcPr>
            <w:tcW w:w="1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6022D">
            <w:pPr>
              <w:pStyle w:val="307"/>
              <w:rPr>
                <w:lang w:val="en-US"/>
              </w:rPr>
            </w:pPr>
            <w:r>
              <w:rPr>
                <w:rFonts w:hint="eastAsia"/>
                <w:lang w:val="en-US"/>
              </w:rPr>
              <w:t>双斑锦蛇</w:t>
            </w:r>
            <w:r>
              <w:rPr>
                <w:rFonts w:hint="eastAsia"/>
                <w:i/>
                <w:iCs/>
                <w:lang w:val="en-US"/>
              </w:rPr>
              <w:t>Elaphe</w:t>
            </w:r>
            <w:r>
              <w:rPr>
                <w:rFonts w:hint="eastAsia"/>
                <w:lang w:val="en-US"/>
              </w:rPr>
              <w:t xml:space="preserve"> </w:t>
            </w:r>
            <w:r>
              <w:rPr>
                <w:rFonts w:hint="eastAsia"/>
                <w:i/>
                <w:iCs/>
                <w:lang w:val="en-US"/>
              </w:rPr>
              <w:t>bimaculata</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E448D">
            <w:pPr>
              <w:pStyle w:val="307"/>
              <w:rPr>
                <w:lang w:val="en-US"/>
              </w:rPr>
            </w:pPr>
            <w:r>
              <w:rPr>
                <w:lang w:val="en-US"/>
              </w:rPr>
              <w:t>/</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8A4A6">
            <w:pPr>
              <w:pStyle w:val="307"/>
              <w:rPr>
                <w:lang w:val="en-US"/>
              </w:rPr>
            </w:pPr>
            <w:r>
              <w:rPr>
                <w:lang w:val="en-US"/>
              </w:rPr>
              <w:t>NT</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13C76">
            <w:pPr>
              <w:pStyle w:val="307"/>
              <w:rPr>
                <w:lang w:val="en-US"/>
              </w:rPr>
            </w:pPr>
            <w:r>
              <w:rPr>
                <w:rFonts w:hint="eastAsia"/>
                <w:lang w:val="en-US"/>
              </w:rPr>
              <w:t>是</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951A3">
            <w:pPr>
              <w:pStyle w:val="307"/>
              <w:rPr>
                <w:lang w:val="en-US"/>
              </w:rPr>
            </w:pPr>
            <w:r>
              <w:rPr>
                <w:rFonts w:hint="eastAsia"/>
                <w:lang w:val="en-US"/>
              </w:rPr>
              <w:t>草地</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D9ABA">
            <w:pPr>
              <w:pStyle w:val="307"/>
              <w:rPr>
                <w:lang w:val="en-US"/>
              </w:rPr>
            </w:pPr>
            <w:r>
              <w:rPr>
                <w:rFonts w:hint="eastAsia"/>
                <w:lang w:val="en-US"/>
              </w:rPr>
              <w:t>资料访问</w:t>
            </w:r>
          </w:p>
        </w:tc>
      </w:tr>
      <w:tr w14:paraId="020D96D4">
        <w:tblPrEx>
          <w:tblCellMar>
            <w:top w:w="0" w:type="dxa"/>
            <w:left w:w="108" w:type="dxa"/>
            <w:bottom w:w="0" w:type="dxa"/>
            <w:right w:w="108" w:type="dxa"/>
          </w:tblCellMar>
        </w:tblPrEx>
        <w:trPr>
          <w:trHeight w:val="288" w:hRule="atLeast"/>
        </w:trPr>
        <w:tc>
          <w:tcPr>
            <w:tcW w:w="3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AF72D3">
            <w:pPr>
              <w:pStyle w:val="307"/>
              <w:rPr>
                <w:lang w:val="en-US"/>
              </w:rPr>
            </w:pPr>
            <w:r>
              <w:rPr>
                <w:lang w:val="en-US"/>
              </w:rPr>
              <w:t>29</w:t>
            </w:r>
          </w:p>
        </w:tc>
        <w:tc>
          <w:tcPr>
            <w:tcW w:w="1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4CB57">
            <w:pPr>
              <w:pStyle w:val="307"/>
              <w:rPr>
                <w:lang w:val="en-US"/>
              </w:rPr>
            </w:pPr>
            <w:r>
              <w:rPr>
                <w:rFonts w:hint="eastAsia"/>
                <w:lang w:val="en-US"/>
              </w:rPr>
              <w:t>无蹼壁虎</w:t>
            </w:r>
            <w:r>
              <w:rPr>
                <w:rFonts w:hint="eastAsia"/>
                <w:i/>
                <w:iCs/>
                <w:lang w:val="en-US"/>
              </w:rPr>
              <w:t>Gekko</w:t>
            </w:r>
            <w:r>
              <w:rPr>
                <w:rFonts w:hint="eastAsia"/>
                <w:lang w:val="en-US"/>
              </w:rPr>
              <w:t xml:space="preserve"> </w:t>
            </w:r>
            <w:r>
              <w:rPr>
                <w:rFonts w:hint="eastAsia"/>
                <w:i/>
                <w:iCs/>
                <w:lang w:val="en-US"/>
              </w:rPr>
              <w:t>swinhonis</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99569">
            <w:pPr>
              <w:pStyle w:val="307"/>
              <w:rPr>
                <w:lang w:val="en-US"/>
              </w:rPr>
            </w:pPr>
            <w:r>
              <w:rPr>
                <w:lang w:val="en-US"/>
              </w:rPr>
              <w:t>/</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59796">
            <w:pPr>
              <w:pStyle w:val="307"/>
              <w:rPr>
                <w:lang w:val="en-US"/>
              </w:rPr>
            </w:pPr>
            <w:r>
              <w:rPr>
                <w:lang w:val="en-US"/>
              </w:rPr>
              <w:t>LC</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54968">
            <w:pPr>
              <w:pStyle w:val="307"/>
              <w:rPr>
                <w:lang w:val="en-US"/>
              </w:rPr>
            </w:pPr>
            <w:r>
              <w:rPr>
                <w:rFonts w:hint="eastAsia"/>
                <w:lang w:val="en-US"/>
              </w:rPr>
              <w:t>是</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DF48B">
            <w:pPr>
              <w:pStyle w:val="307"/>
              <w:rPr>
                <w:lang w:val="en-US"/>
              </w:rPr>
            </w:pPr>
            <w:r>
              <w:rPr>
                <w:rFonts w:hint="eastAsia"/>
                <w:lang w:val="en-US"/>
              </w:rPr>
              <w:t>林地、农田</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B6991">
            <w:pPr>
              <w:pStyle w:val="307"/>
              <w:rPr>
                <w:lang w:val="en-US"/>
              </w:rPr>
            </w:pPr>
            <w:r>
              <w:rPr>
                <w:rFonts w:hint="eastAsia"/>
                <w:lang w:val="en-US"/>
              </w:rPr>
              <w:t>资料访问</w:t>
            </w:r>
          </w:p>
        </w:tc>
      </w:tr>
      <w:tr w14:paraId="2CB50AC8">
        <w:tblPrEx>
          <w:tblCellMar>
            <w:top w:w="0" w:type="dxa"/>
            <w:left w:w="108" w:type="dxa"/>
            <w:bottom w:w="0" w:type="dxa"/>
            <w:right w:w="108" w:type="dxa"/>
          </w:tblCellMar>
        </w:tblPrEx>
        <w:trPr>
          <w:trHeight w:val="288" w:hRule="atLeast"/>
        </w:trPr>
        <w:tc>
          <w:tcPr>
            <w:tcW w:w="3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5FEA81">
            <w:pPr>
              <w:pStyle w:val="307"/>
              <w:rPr>
                <w:lang w:val="en-US"/>
              </w:rPr>
            </w:pPr>
            <w:r>
              <w:rPr>
                <w:rFonts w:hint="eastAsia"/>
                <w:lang w:val="en-US"/>
              </w:rPr>
              <w:t>3</w:t>
            </w:r>
            <w:r>
              <w:rPr>
                <w:lang w:val="en-US"/>
              </w:rPr>
              <w:t>0</w:t>
            </w:r>
          </w:p>
        </w:tc>
        <w:tc>
          <w:tcPr>
            <w:tcW w:w="1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43D23">
            <w:pPr>
              <w:pStyle w:val="307"/>
              <w:rPr>
                <w:lang w:val="en-US"/>
              </w:rPr>
            </w:pPr>
            <w:r>
              <w:rPr>
                <w:rFonts w:hint="eastAsia"/>
                <w:lang w:val="en-US"/>
              </w:rPr>
              <w:t>岩松鼠</w:t>
            </w:r>
            <w:r>
              <w:rPr>
                <w:rFonts w:hint="eastAsia"/>
                <w:i/>
                <w:iCs/>
                <w:lang w:val="en-US"/>
              </w:rPr>
              <w:t>Sciurotamias</w:t>
            </w:r>
            <w:r>
              <w:rPr>
                <w:rFonts w:hint="eastAsia"/>
                <w:lang w:val="en-US"/>
              </w:rPr>
              <w:t xml:space="preserve"> </w:t>
            </w:r>
            <w:r>
              <w:rPr>
                <w:rFonts w:hint="eastAsia"/>
                <w:i/>
                <w:iCs/>
                <w:lang w:val="en-US"/>
              </w:rPr>
              <w:t>davidianus</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A3797">
            <w:pPr>
              <w:pStyle w:val="307"/>
              <w:rPr>
                <w:lang w:val="en-US"/>
              </w:rPr>
            </w:pPr>
            <w:r>
              <w:rPr>
                <w:lang w:val="en-US"/>
              </w:rPr>
              <w:t>/</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36775">
            <w:pPr>
              <w:pStyle w:val="307"/>
              <w:rPr>
                <w:lang w:val="en-US"/>
              </w:rPr>
            </w:pPr>
            <w:r>
              <w:rPr>
                <w:lang w:val="en-US"/>
              </w:rPr>
              <w:t>LC</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4D7E8">
            <w:pPr>
              <w:pStyle w:val="307"/>
              <w:rPr>
                <w:lang w:val="en-US"/>
              </w:rPr>
            </w:pPr>
            <w:r>
              <w:rPr>
                <w:rFonts w:hint="eastAsia"/>
                <w:lang w:val="en-US"/>
              </w:rPr>
              <w:t>是</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BC869">
            <w:pPr>
              <w:pStyle w:val="307"/>
              <w:rPr>
                <w:lang w:val="en-US"/>
              </w:rPr>
            </w:pPr>
            <w:r>
              <w:rPr>
                <w:rFonts w:hint="eastAsia"/>
                <w:lang w:val="en-US"/>
              </w:rPr>
              <w:t>林地</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411A0">
            <w:pPr>
              <w:pStyle w:val="307"/>
              <w:rPr>
                <w:lang w:val="en-US"/>
              </w:rPr>
            </w:pPr>
            <w:r>
              <w:rPr>
                <w:rFonts w:hint="eastAsia"/>
                <w:lang w:val="en-US"/>
              </w:rPr>
              <w:t>资料访问</w:t>
            </w:r>
          </w:p>
        </w:tc>
      </w:tr>
    </w:tbl>
    <w:p w14:paraId="4850B12F">
      <w:pPr>
        <w:pStyle w:val="85"/>
        <w:ind w:firstLine="480"/>
        <w:rPr>
          <w:kern w:val="0"/>
        </w:rPr>
      </w:pPr>
      <w:r>
        <w:rPr>
          <w:rFonts w:hint="eastAsia"/>
          <w:kern w:val="0"/>
        </w:rPr>
        <w:t>其中国家重点保护野生动物生态特性如下：</w:t>
      </w:r>
    </w:p>
    <w:p w14:paraId="5AAA3EBA">
      <w:pPr>
        <w:pStyle w:val="85"/>
        <w:ind w:firstLine="480"/>
        <w:rPr>
          <w:kern w:val="0"/>
        </w:rPr>
      </w:pPr>
      <w:r>
        <w:rPr>
          <w:kern w:val="0"/>
        </w:rPr>
        <w:fldChar w:fldCharType="begin"/>
      </w:r>
      <w:r>
        <w:rPr>
          <w:kern w:val="0"/>
        </w:rPr>
        <w:instrText xml:space="preserve"> </w:instrText>
      </w:r>
      <w:r>
        <w:rPr>
          <w:rFonts w:hint="eastAsia"/>
          <w:kern w:val="0"/>
        </w:rPr>
        <w:instrText xml:space="preserve">= 1 \* GB3</w:instrText>
      </w:r>
      <w:r>
        <w:rPr>
          <w:kern w:val="0"/>
        </w:rPr>
        <w:instrText xml:space="preserve"> </w:instrText>
      </w:r>
      <w:r>
        <w:rPr>
          <w:kern w:val="0"/>
        </w:rPr>
        <w:fldChar w:fldCharType="separate"/>
      </w:r>
      <w:r>
        <w:rPr>
          <w:rFonts w:hint="eastAsia"/>
          <w:kern w:val="0"/>
        </w:rPr>
        <w:t>①</w:t>
      </w:r>
      <w:r>
        <w:rPr>
          <w:kern w:val="0"/>
        </w:rPr>
        <w:fldChar w:fldCharType="end"/>
      </w:r>
      <w:r>
        <w:rPr>
          <w:rFonts w:hint="eastAsia"/>
          <w:kern w:val="0"/>
        </w:rPr>
        <w:t>黑鹳（</w:t>
      </w:r>
      <w:r>
        <w:rPr>
          <w:rFonts w:hint="eastAsia"/>
          <w:i/>
          <w:iCs/>
          <w:kern w:val="0"/>
        </w:rPr>
        <w:t>Ciconia nigra</w:t>
      </w:r>
      <w:r>
        <w:rPr>
          <w:rFonts w:hint="eastAsia"/>
          <w:kern w:val="0"/>
        </w:rPr>
        <w:t>）</w:t>
      </w:r>
    </w:p>
    <w:p w14:paraId="50353990">
      <w:pPr>
        <w:pStyle w:val="85"/>
        <w:ind w:firstLine="480"/>
        <w:rPr>
          <w:kern w:val="0"/>
        </w:rPr>
      </w:pPr>
      <w:r>
        <w:rPr>
          <w:rFonts w:hint="eastAsia"/>
          <w:kern w:val="0"/>
        </w:rPr>
        <w:t>黑鹳是一种体态优美，体色鲜明，活动敏捷，性情机警的大型涉禽。成鸟的体长为1~1.2m，嘴长而粗壮，头、颈、脚均甚长，嘴和脚为红色。身上的羽毛除胸腹部为纯白色外，其余都是黑色，在不同角度的光线下，可以映出变幻多种颜色。在高树或岩石上筑大型的巢，飞时头颈伸直。以鱼为主食，也捕食其它小动物。主要栖息于河流沿岸、沼泽山区溪流附近，冬季主要栖息于开阔的湖泊、河岸和沼泽地带，有时也出现在农田和草地。有沿用旧巢的习性，繁殖期为4～7月，营巢于偏僻和人类干扰小的地方。现场调查期间未直接目击，根据调查资料显示，黑鹳在潮河沿线两侧有过发现记录。</w:t>
      </w:r>
    </w:p>
    <w:p w14:paraId="24EE3AE8">
      <w:pPr>
        <w:pStyle w:val="85"/>
        <w:ind w:firstLine="480"/>
        <w:rPr>
          <w:kern w:val="0"/>
        </w:rPr>
      </w:pPr>
      <w:r>
        <w:rPr>
          <w:kern w:val="0"/>
        </w:rPr>
        <w:fldChar w:fldCharType="begin"/>
      </w:r>
      <w:r>
        <w:rPr>
          <w:kern w:val="0"/>
        </w:rPr>
        <w:instrText xml:space="preserve"> </w:instrText>
      </w:r>
      <w:r>
        <w:rPr>
          <w:rFonts w:hint="eastAsia"/>
          <w:kern w:val="0"/>
        </w:rPr>
        <w:instrText xml:space="preserve">= 2 \* GB3</w:instrText>
      </w:r>
      <w:r>
        <w:rPr>
          <w:kern w:val="0"/>
        </w:rPr>
        <w:instrText xml:space="preserve"> </w:instrText>
      </w:r>
      <w:r>
        <w:rPr>
          <w:kern w:val="0"/>
        </w:rPr>
        <w:fldChar w:fldCharType="separate"/>
      </w:r>
      <w:r>
        <w:rPr>
          <w:rFonts w:hint="eastAsia"/>
          <w:kern w:val="0"/>
        </w:rPr>
        <w:t>②</w:t>
      </w:r>
      <w:r>
        <w:rPr>
          <w:kern w:val="0"/>
        </w:rPr>
        <w:fldChar w:fldCharType="end"/>
      </w:r>
      <w:r>
        <w:rPr>
          <w:rFonts w:hint="eastAsia"/>
          <w:kern w:val="0"/>
        </w:rPr>
        <w:t>红脚隼（</w:t>
      </w:r>
      <w:r>
        <w:rPr>
          <w:rFonts w:hint="eastAsia"/>
          <w:i/>
          <w:iCs/>
          <w:kern w:val="0"/>
        </w:rPr>
        <w:t>Falco amurensis</w:t>
      </w:r>
      <w:r>
        <w:rPr>
          <w:rFonts w:hint="eastAsia"/>
          <w:kern w:val="0"/>
        </w:rPr>
        <w:t>）</w:t>
      </w:r>
    </w:p>
    <w:p w14:paraId="625697D7">
      <w:pPr>
        <w:pStyle w:val="85"/>
        <w:ind w:firstLine="480"/>
        <w:rPr>
          <w:kern w:val="0"/>
        </w:rPr>
      </w:pPr>
      <w:r>
        <w:rPr>
          <w:rFonts w:hint="eastAsia"/>
          <w:kern w:val="0"/>
        </w:rPr>
        <w:t>红脚隼是小型猛禽，体长26cm~30cm，体重124g~190g。雄鸟、雌鸟及幼鸟体色有差异，雄鸟上体大都为石板黑色；颏、喉、颈、侧、胸、腹部淡石板灰色，胸具橇细的黑褐色羽干纹；肛周、尾下覆羽、覆腿羽棕红色。雌鸟上体大致为石板灰色，具黑褐色羽干纹，下背、肩具黑褐色横斑；颏、喉、颈侧乳白色，其余下体淡黄白色或棕白色，胸部具黑褐色纵纹，腹中部具点状或矢状斑，腹两侧和两胁具黑色横斑。幼鸟和雌鸟相似，但上体较褐，具宽的淡棕褐色端缘和显著的黑褐色横斑；初级和闪级飞羽黑褐色，具沾棕的白色缘，下体棕白色，胸和腹纵纹较为明显；肛周、尾下覆羽、覆腿羽淡皮黄色。虹膜暗褐，嘴黄，先端石板灰，跗和趾橙黄色，爪淡白黄色。它是迁徙旅程最远的猛禽，单程为13000km~16000km。主要栖息于低山疏林、林缘、山脚平原、丘陵地区的沼泽、草地、河流、山谷和农田耕地等开阔地区，尤其喜欢具有稀疏树木的平原、低山和丘陵地区。现场调查期间未直接目击，根据调查资料显示，红脚隼在潮河两侧沿岸附近均有分布。</w:t>
      </w:r>
    </w:p>
    <w:p w14:paraId="2F0C10D6">
      <w:pPr>
        <w:pStyle w:val="85"/>
        <w:ind w:firstLine="480"/>
        <w:rPr>
          <w:kern w:val="0"/>
        </w:rPr>
      </w:pPr>
      <w:r>
        <w:rPr>
          <w:kern w:val="0"/>
        </w:rPr>
        <w:fldChar w:fldCharType="begin"/>
      </w:r>
      <w:r>
        <w:rPr>
          <w:kern w:val="0"/>
        </w:rPr>
        <w:instrText xml:space="preserve"> </w:instrText>
      </w:r>
      <w:r>
        <w:rPr>
          <w:rFonts w:hint="eastAsia"/>
          <w:kern w:val="0"/>
        </w:rPr>
        <w:instrText xml:space="preserve">= 3 \* GB3</w:instrText>
      </w:r>
      <w:r>
        <w:rPr>
          <w:kern w:val="0"/>
        </w:rPr>
        <w:instrText xml:space="preserve"> </w:instrText>
      </w:r>
      <w:r>
        <w:rPr>
          <w:kern w:val="0"/>
        </w:rPr>
        <w:fldChar w:fldCharType="separate"/>
      </w:r>
      <w:r>
        <w:rPr>
          <w:rFonts w:hint="eastAsia"/>
          <w:kern w:val="0"/>
        </w:rPr>
        <w:t>③</w:t>
      </w:r>
      <w:r>
        <w:rPr>
          <w:kern w:val="0"/>
        </w:rPr>
        <w:fldChar w:fldCharType="end"/>
      </w:r>
      <w:r>
        <w:rPr>
          <w:rFonts w:hint="eastAsia"/>
          <w:kern w:val="0"/>
        </w:rPr>
        <w:t>灰背隼（</w:t>
      </w:r>
      <w:r>
        <w:rPr>
          <w:rFonts w:hint="eastAsia"/>
          <w:i/>
          <w:iCs/>
          <w:kern w:val="0"/>
        </w:rPr>
        <w:t>Falco columbarius</w:t>
      </w:r>
      <w:r>
        <w:rPr>
          <w:rFonts w:hint="eastAsia"/>
          <w:kern w:val="0"/>
        </w:rPr>
        <w:t>）</w:t>
      </w:r>
    </w:p>
    <w:p w14:paraId="7CEEB3A3">
      <w:pPr>
        <w:pStyle w:val="85"/>
        <w:ind w:firstLine="480"/>
        <w:rPr>
          <w:kern w:val="0"/>
        </w:rPr>
      </w:pPr>
      <w:r>
        <w:rPr>
          <w:rFonts w:hint="eastAsia"/>
          <w:kern w:val="0"/>
        </w:rPr>
        <w:t>灰背隼又叫灰鹞子、朵子，是小型猛禽。体长25~33cm，体重122~205g，尾羽上具有宽阔的黑色亚端斑和较窄的白色端斑，后颈为蓝灰色，有一个棕褐色的领圈，成年雄性背部呈现蓝色，并杂有黑斑，是其独有的特点。栖息于开阔的低山丘陵、山脚平原、森林平原、海岸和森林苔原地带，特别是林缘、林中空地、山岩和有稀疏树木的开阔地方。主要以昆虫和鼠类等小型动物为食，通常营巢于树上或悬崖岩石上，偶尔也在地上。现场调查期间未直接目击，根据调查资料显示，灰背隼在潮河西北向西南走向沿岸附近有分布。</w:t>
      </w:r>
    </w:p>
    <w:p w14:paraId="6C6E6282">
      <w:pPr>
        <w:pStyle w:val="85"/>
        <w:ind w:firstLine="480"/>
        <w:rPr>
          <w:kern w:val="0"/>
        </w:rPr>
      </w:pPr>
      <w:r>
        <w:rPr>
          <w:kern w:val="0"/>
        </w:rPr>
        <w:fldChar w:fldCharType="begin"/>
      </w:r>
      <w:r>
        <w:rPr>
          <w:kern w:val="0"/>
        </w:rPr>
        <w:instrText xml:space="preserve"> </w:instrText>
      </w:r>
      <w:r>
        <w:rPr>
          <w:rFonts w:hint="eastAsia"/>
          <w:kern w:val="0"/>
        </w:rPr>
        <w:instrText xml:space="preserve">= 4 \* GB3</w:instrText>
      </w:r>
      <w:r>
        <w:rPr>
          <w:kern w:val="0"/>
        </w:rPr>
        <w:instrText xml:space="preserve"> </w:instrText>
      </w:r>
      <w:r>
        <w:rPr>
          <w:kern w:val="0"/>
        </w:rPr>
        <w:fldChar w:fldCharType="separate"/>
      </w:r>
      <w:r>
        <w:rPr>
          <w:rFonts w:hint="eastAsia"/>
          <w:kern w:val="0"/>
        </w:rPr>
        <w:t>④</w:t>
      </w:r>
      <w:r>
        <w:rPr>
          <w:kern w:val="0"/>
        </w:rPr>
        <w:fldChar w:fldCharType="end"/>
      </w:r>
      <w:r>
        <w:rPr>
          <w:rFonts w:hint="eastAsia"/>
          <w:kern w:val="0"/>
        </w:rPr>
        <w:t>雀鹰（</w:t>
      </w:r>
      <w:r>
        <w:rPr>
          <w:rFonts w:hint="eastAsia"/>
          <w:i/>
          <w:iCs/>
          <w:kern w:val="0"/>
        </w:rPr>
        <w:t>Accipiter nisus</w:t>
      </w:r>
      <w:r>
        <w:rPr>
          <w:rFonts w:hint="eastAsia"/>
          <w:kern w:val="0"/>
        </w:rPr>
        <w:t>）</w:t>
      </w:r>
    </w:p>
    <w:p w14:paraId="61C5FD73">
      <w:pPr>
        <w:pStyle w:val="85"/>
        <w:ind w:firstLine="480"/>
        <w:rPr>
          <w:kern w:val="0"/>
        </w:rPr>
      </w:pPr>
      <w:r>
        <w:rPr>
          <w:rFonts w:hint="eastAsia"/>
          <w:kern w:val="0"/>
        </w:rPr>
        <w:t>雀鹰属小型猛禽，体长30~41cm。雌较雄略大，翅阔而圆，尾较长，雄鸟上体暗灰色，雌鸟灰褐色，头后杂有少许白色，下体白色或淡灰白色，雄鸟具细密的红褐色横斑，雌鸟具褐色横斑。尾有4~5道黑褐色横斑，飞翔时翼后缘略为突出，翼下飞羽具数道黑褐色横带，通常快速鼓动两翅飞一阵后接着又滑翔一会。常单独生活，栖息于针叶林、混交林、阔叶林等山地森林和林缘地带，或飞翔于空中，或栖于树上和电柱上。以雀形目小鸟、昆虫和鼠类为食，也捕食鸽形目鸟类和榛鸡等小的鸡形目鸟类，有时亦捕食野兔、蛇、昆虫幼虫。现场调查期间未直接目击，根据调查资料显示，雀鹰在潮河湿地公园两侧山区林地有分布。</w:t>
      </w:r>
    </w:p>
    <w:p w14:paraId="03991819">
      <w:pPr>
        <w:pStyle w:val="4"/>
      </w:pPr>
      <w:r>
        <w:rPr>
          <w:rFonts w:hint="eastAsia"/>
        </w:rPr>
        <w:t>土地</w:t>
      </w:r>
      <w:r>
        <w:t>利用现状</w:t>
      </w:r>
    </w:p>
    <w:p w14:paraId="233E191A">
      <w:pPr>
        <w:pStyle w:val="85"/>
        <w:ind w:firstLine="480"/>
        <w:rPr>
          <w:kern w:val="0"/>
        </w:rPr>
      </w:pPr>
      <w:r>
        <w:rPr>
          <w:rFonts w:hint="eastAsia"/>
          <w:kern w:val="0"/>
        </w:rPr>
        <w:t>评价范围土地利用现状分类系统按照全国土地利用分类系统标准，采用卫星影像数据，通过GPS定位，建立地面解译标志和线路调查等方法，解译遥感影像，编绘土地利用现状图，在ArcGIS软件支持下，进行数据采集、编辑、分析、编绘成图。在此基础上，分析评价范围土地利用现状。</w:t>
      </w:r>
    </w:p>
    <w:p w14:paraId="2055BFC2">
      <w:pPr>
        <w:pStyle w:val="85"/>
        <w:ind w:firstLine="480"/>
        <w:rPr>
          <w:kern w:val="0"/>
        </w:rPr>
      </w:pPr>
      <w:r>
        <w:rPr>
          <w:rFonts w:hint="eastAsia"/>
          <w:kern w:val="0"/>
        </w:rPr>
        <w:t>本项目生态影响评价范围总面积</w:t>
      </w:r>
      <w:r>
        <w:rPr>
          <w:kern w:val="0"/>
        </w:rPr>
        <w:t>2532.12</w:t>
      </w:r>
      <w:r>
        <w:rPr>
          <w:rFonts w:hint="eastAsia"/>
          <w:kern w:val="0"/>
        </w:rPr>
        <w:t>hm</w:t>
      </w:r>
      <w:r>
        <w:rPr>
          <w:rFonts w:hint="eastAsia"/>
          <w:kern w:val="0"/>
          <w:vertAlign w:val="superscript"/>
        </w:rPr>
        <w:t>2</w:t>
      </w:r>
      <w:r>
        <w:rPr>
          <w:rFonts w:hint="eastAsia"/>
          <w:kern w:val="0"/>
        </w:rPr>
        <w:t>，区域土地利用类型统计情况详见下表。</w:t>
      </w:r>
    </w:p>
    <w:p w14:paraId="14AA29A1">
      <w:pPr>
        <w:jc w:val="center"/>
        <w:rPr>
          <w:rFonts w:eastAsia="黑体"/>
          <w:kern w:val="0"/>
          <w:sz w:val="24"/>
          <w:szCs w:val="21"/>
        </w:rPr>
      </w:pPr>
      <w:r>
        <w:rPr>
          <w:rFonts w:eastAsia="黑体"/>
          <w:kern w:val="0"/>
          <w:sz w:val="24"/>
        </w:rPr>
        <w:t>表</w:t>
      </w:r>
      <w:r>
        <w:rPr>
          <w:rFonts w:eastAsia="黑体"/>
          <w:kern w:val="0"/>
          <w:sz w:val="24"/>
        </w:rPr>
        <w:fldChar w:fldCharType="begin"/>
      </w:r>
      <w:r>
        <w:rPr>
          <w:rFonts w:eastAsia="黑体"/>
          <w:kern w:val="0"/>
          <w:sz w:val="24"/>
        </w:rPr>
        <w:instrText xml:space="preserve"> STYLEREF 1 \s </w:instrText>
      </w:r>
      <w:r>
        <w:rPr>
          <w:rFonts w:eastAsia="黑体"/>
          <w:kern w:val="0"/>
          <w:sz w:val="24"/>
        </w:rPr>
        <w:fldChar w:fldCharType="separate"/>
      </w:r>
      <w:r>
        <w:rPr>
          <w:rFonts w:eastAsia="黑体"/>
          <w:kern w:val="0"/>
          <w:sz w:val="24"/>
        </w:rPr>
        <w:t>3</w:t>
      </w:r>
      <w:r>
        <w:rPr>
          <w:rFonts w:eastAsia="黑体"/>
          <w:kern w:val="0"/>
          <w:sz w:val="24"/>
        </w:rPr>
        <w:fldChar w:fldCharType="end"/>
      </w:r>
      <w:r>
        <w:rPr>
          <w:rFonts w:eastAsia="黑体"/>
          <w:kern w:val="0"/>
          <w:sz w:val="24"/>
        </w:rPr>
        <w:noBreakHyphen/>
      </w:r>
      <w:r>
        <w:rPr>
          <w:rFonts w:eastAsia="黑体"/>
          <w:kern w:val="0"/>
          <w:sz w:val="24"/>
        </w:rPr>
        <w:fldChar w:fldCharType="begin"/>
      </w:r>
      <w:r>
        <w:rPr>
          <w:rFonts w:eastAsia="黑体"/>
          <w:kern w:val="0"/>
          <w:sz w:val="24"/>
        </w:rPr>
        <w:instrText xml:space="preserve"> SEQ 表 \* ARABIC \s 1 </w:instrText>
      </w:r>
      <w:r>
        <w:rPr>
          <w:rFonts w:eastAsia="黑体"/>
          <w:kern w:val="0"/>
          <w:sz w:val="24"/>
        </w:rPr>
        <w:fldChar w:fldCharType="separate"/>
      </w:r>
      <w:r>
        <w:rPr>
          <w:rFonts w:eastAsia="黑体"/>
          <w:kern w:val="0"/>
          <w:sz w:val="24"/>
        </w:rPr>
        <w:t>26</w:t>
      </w:r>
      <w:r>
        <w:rPr>
          <w:rFonts w:eastAsia="黑体"/>
          <w:kern w:val="0"/>
          <w:sz w:val="24"/>
        </w:rPr>
        <w:fldChar w:fldCharType="end"/>
      </w:r>
      <w:r>
        <w:rPr>
          <w:rFonts w:eastAsia="黑体"/>
          <w:kern w:val="0"/>
          <w:sz w:val="24"/>
        </w:rPr>
        <w:t xml:space="preserve">  </w:t>
      </w:r>
      <w:r>
        <w:rPr>
          <w:rFonts w:hint="eastAsia" w:eastAsia="黑体"/>
          <w:kern w:val="0"/>
          <w:sz w:val="24"/>
          <w:szCs w:val="21"/>
        </w:rPr>
        <w:t>评价区土地利用现状表</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2879"/>
        <w:gridCol w:w="2076"/>
        <w:gridCol w:w="2076"/>
      </w:tblGrid>
      <w:tr w14:paraId="4A676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F0BC926">
            <w:pPr>
              <w:pStyle w:val="307"/>
            </w:pPr>
            <w:r>
              <w:t>序号</w:t>
            </w:r>
          </w:p>
        </w:tc>
        <w:tc>
          <w:tcPr>
            <w:tcW w:w="2879" w:type="dxa"/>
          </w:tcPr>
          <w:p w14:paraId="62309177">
            <w:pPr>
              <w:pStyle w:val="307"/>
            </w:pPr>
            <w:r>
              <w:t>地类名称（</w:t>
            </w:r>
            <w:r>
              <w:rPr>
                <w:rFonts w:hint="eastAsia"/>
              </w:rPr>
              <w:t>二级类</w:t>
            </w:r>
            <w:r>
              <w:t>）</w:t>
            </w:r>
          </w:p>
        </w:tc>
        <w:tc>
          <w:tcPr>
            <w:tcW w:w="2076" w:type="dxa"/>
          </w:tcPr>
          <w:p w14:paraId="7C497A30">
            <w:pPr>
              <w:pStyle w:val="307"/>
            </w:pPr>
            <w:r>
              <w:t>面积（</w:t>
            </w:r>
            <w:r>
              <w:rPr>
                <w:rFonts w:hint="eastAsia"/>
              </w:rPr>
              <w:t>hm</w:t>
            </w:r>
            <w:r>
              <w:rPr>
                <w:vertAlign w:val="superscript"/>
              </w:rPr>
              <w:t>2</w:t>
            </w:r>
            <w:r>
              <w:t>）</w:t>
            </w:r>
          </w:p>
        </w:tc>
        <w:tc>
          <w:tcPr>
            <w:tcW w:w="2076" w:type="dxa"/>
          </w:tcPr>
          <w:p w14:paraId="29E17C39">
            <w:pPr>
              <w:pStyle w:val="307"/>
            </w:pPr>
            <w:r>
              <w:rPr>
                <w:rFonts w:hint="eastAsia"/>
              </w:rPr>
              <w:t>比例</w:t>
            </w:r>
            <w:r>
              <w:t>（</w:t>
            </w:r>
            <w:r>
              <w:rPr>
                <w:rFonts w:hint="eastAsia"/>
              </w:rPr>
              <w:t>%</w:t>
            </w:r>
            <w:r>
              <w:t>）</w:t>
            </w:r>
          </w:p>
        </w:tc>
      </w:tr>
      <w:tr w14:paraId="67423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7C360976">
            <w:pPr>
              <w:pStyle w:val="307"/>
            </w:pPr>
            <w:r>
              <w:rPr>
                <w:rFonts w:hint="eastAsia"/>
              </w:rPr>
              <w:t>1</w:t>
            </w:r>
          </w:p>
        </w:tc>
        <w:tc>
          <w:tcPr>
            <w:tcW w:w="2879" w:type="dxa"/>
            <w:vAlign w:val="bottom"/>
          </w:tcPr>
          <w:p w14:paraId="4015E9BB">
            <w:pPr>
              <w:pStyle w:val="307"/>
            </w:pPr>
            <w:r>
              <w:rPr>
                <w:rFonts w:hint="eastAsia"/>
              </w:rPr>
              <w:t>采矿用地</w:t>
            </w:r>
          </w:p>
        </w:tc>
        <w:tc>
          <w:tcPr>
            <w:tcW w:w="2076" w:type="dxa"/>
            <w:vAlign w:val="bottom"/>
          </w:tcPr>
          <w:p w14:paraId="23B47A23">
            <w:pPr>
              <w:pStyle w:val="307"/>
            </w:pPr>
            <w:r>
              <w:rPr>
                <w:rFonts w:hint="eastAsia"/>
              </w:rPr>
              <w:t>3.4</w:t>
            </w:r>
          </w:p>
        </w:tc>
        <w:tc>
          <w:tcPr>
            <w:tcW w:w="2076" w:type="dxa"/>
            <w:vAlign w:val="bottom"/>
          </w:tcPr>
          <w:p w14:paraId="5DBE43F7">
            <w:pPr>
              <w:pStyle w:val="307"/>
            </w:pPr>
            <w:r>
              <w:rPr>
                <w:rFonts w:hint="eastAsia"/>
              </w:rPr>
              <w:t>0.13</w:t>
            </w:r>
          </w:p>
        </w:tc>
      </w:tr>
      <w:tr w14:paraId="614CA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734C06AC">
            <w:pPr>
              <w:pStyle w:val="307"/>
            </w:pPr>
            <w:r>
              <w:rPr>
                <w:rFonts w:hint="eastAsia"/>
              </w:rPr>
              <w:t>2</w:t>
            </w:r>
          </w:p>
        </w:tc>
        <w:tc>
          <w:tcPr>
            <w:tcW w:w="2879" w:type="dxa"/>
            <w:vAlign w:val="bottom"/>
          </w:tcPr>
          <w:p w14:paraId="46A8E7F3">
            <w:pPr>
              <w:pStyle w:val="307"/>
            </w:pPr>
            <w:r>
              <w:rPr>
                <w:rFonts w:hint="eastAsia"/>
              </w:rPr>
              <w:t>城镇村道路用地</w:t>
            </w:r>
          </w:p>
        </w:tc>
        <w:tc>
          <w:tcPr>
            <w:tcW w:w="2076" w:type="dxa"/>
            <w:vAlign w:val="bottom"/>
          </w:tcPr>
          <w:p w14:paraId="58D72BAB">
            <w:pPr>
              <w:pStyle w:val="307"/>
            </w:pPr>
            <w:r>
              <w:rPr>
                <w:rFonts w:hint="eastAsia"/>
              </w:rPr>
              <w:t>3.05</w:t>
            </w:r>
          </w:p>
        </w:tc>
        <w:tc>
          <w:tcPr>
            <w:tcW w:w="2076" w:type="dxa"/>
            <w:vAlign w:val="bottom"/>
          </w:tcPr>
          <w:p w14:paraId="51B32985">
            <w:pPr>
              <w:pStyle w:val="307"/>
            </w:pPr>
            <w:r>
              <w:rPr>
                <w:rFonts w:hint="eastAsia"/>
              </w:rPr>
              <w:t>0.12</w:t>
            </w:r>
          </w:p>
        </w:tc>
      </w:tr>
      <w:tr w14:paraId="6B503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55342DDC">
            <w:pPr>
              <w:pStyle w:val="307"/>
            </w:pPr>
            <w:r>
              <w:rPr>
                <w:rFonts w:hint="eastAsia"/>
              </w:rPr>
              <w:t>3</w:t>
            </w:r>
          </w:p>
        </w:tc>
        <w:tc>
          <w:tcPr>
            <w:tcW w:w="2879" w:type="dxa"/>
            <w:vAlign w:val="bottom"/>
          </w:tcPr>
          <w:p w14:paraId="4DD02537">
            <w:pPr>
              <w:pStyle w:val="307"/>
            </w:pPr>
            <w:r>
              <w:rPr>
                <w:rFonts w:hint="eastAsia"/>
              </w:rPr>
              <w:t>城镇住宅用地</w:t>
            </w:r>
          </w:p>
        </w:tc>
        <w:tc>
          <w:tcPr>
            <w:tcW w:w="2076" w:type="dxa"/>
            <w:vAlign w:val="bottom"/>
          </w:tcPr>
          <w:p w14:paraId="45309615">
            <w:pPr>
              <w:pStyle w:val="307"/>
            </w:pPr>
            <w:r>
              <w:rPr>
                <w:rFonts w:hint="eastAsia"/>
              </w:rPr>
              <w:t>0.22</w:t>
            </w:r>
          </w:p>
        </w:tc>
        <w:tc>
          <w:tcPr>
            <w:tcW w:w="2076" w:type="dxa"/>
            <w:vAlign w:val="bottom"/>
          </w:tcPr>
          <w:p w14:paraId="73FA7B11">
            <w:pPr>
              <w:pStyle w:val="307"/>
            </w:pPr>
            <w:r>
              <w:rPr>
                <w:rFonts w:hint="eastAsia"/>
              </w:rPr>
              <w:t>0.01</w:t>
            </w:r>
          </w:p>
        </w:tc>
      </w:tr>
      <w:tr w14:paraId="70D20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7FDD6BBD">
            <w:pPr>
              <w:pStyle w:val="307"/>
            </w:pPr>
            <w:r>
              <w:rPr>
                <w:rFonts w:hint="eastAsia"/>
              </w:rPr>
              <w:t>4</w:t>
            </w:r>
          </w:p>
        </w:tc>
        <w:tc>
          <w:tcPr>
            <w:tcW w:w="2879" w:type="dxa"/>
            <w:vAlign w:val="bottom"/>
          </w:tcPr>
          <w:p w14:paraId="6C7B2845">
            <w:pPr>
              <w:pStyle w:val="307"/>
            </w:pPr>
            <w:r>
              <w:rPr>
                <w:rFonts w:hint="eastAsia"/>
              </w:rPr>
              <w:t>工业用地</w:t>
            </w:r>
          </w:p>
        </w:tc>
        <w:tc>
          <w:tcPr>
            <w:tcW w:w="2076" w:type="dxa"/>
            <w:vAlign w:val="bottom"/>
          </w:tcPr>
          <w:p w14:paraId="4BC4CD96">
            <w:pPr>
              <w:pStyle w:val="307"/>
            </w:pPr>
            <w:r>
              <w:rPr>
                <w:rFonts w:hint="eastAsia"/>
              </w:rPr>
              <w:t>2.3</w:t>
            </w:r>
          </w:p>
        </w:tc>
        <w:tc>
          <w:tcPr>
            <w:tcW w:w="2076" w:type="dxa"/>
            <w:vAlign w:val="bottom"/>
          </w:tcPr>
          <w:p w14:paraId="580FCA55">
            <w:pPr>
              <w:pStyle w:val="307"/>
            </w:pPr>
            <w:r>
              <w:rPr>
                <w:rFonts w:hint="eastAsia"/>
              </w:rPr>
              <w:t>0.09</w:t>
            </w:r>
          </w:p>
        </w:tc>
      </w:tr>
      <w:tr w14:paraId="4D6A6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453EF9FC">
            <w:pPr>
              <w:pStyle w:val="307"/>
            </w:pPr>
            <w:r>
              <w:rPr>
                <w:rFonts w:hint="eastAsia"/>
              </w:rPr>
              <w:t>5</w:t>
            </w:r>
          </w:p>
        </w:tc>
        <w:tc>
          <w:tcPr>
            <w:tcW w:w="2879" w:type="dxa"/>
            <w:vAlign w:val="bottom"/>
          </w:tcPr>
          <w:p w14:paraId="1C091E3A">
            <w:pPr>
              <w:pStyle w:val="307"/>
            </w:pPr>
            <w:r>
              <w:rPr>
                <w:rFonts w:hint="eastAsia"/>
              </w:rPr>
              <w:t>公路用地</w:t>
            </w:r>
          </w:p>
        </w:tc>
        <w:tc>
          <w:tcPr>
            <w:tcW w:w="2076" w:type="dxa"/>
            <w:vAlign w:val="bottom"/>
          </w:tcPr>
          <w:p w14:paraId="24D95D35">
            <w:pPr>
              <w:pStyle w:val="307"/>
            </w:pPr>
            <w:r>
              <w:rPr>
                <w:rFonts w:hint="eastAsia"/>
              </w:rPr>
              <w:t>14.99</w:t>
            </w:r>
          </w:p>
        </w:tc>
        <w:tc>
          <w:tcPr>
            <w:tcW w:w="2076" w:type="dxa"/>
            <w:vAlign w:val="bottom"/>
          </w:tcPr>
          <w:p w14:paraId="41D96E54">
            <w:pPr>
              <w:pStyle w:val="307"/>
            </w:pPr>
            <w:r>
              <w:rPr>
                <w:rFonts w:hint="eastAsia"/>
              </w:rPr>
              <w:t>0.59</w:t>
            </w:r>
          </w:p>
        </w:tc>
      </w:tr>
      <w:tr w14:paraId="2203B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074712D4">
            <w:pPr>
              <w:pStyle w:val="307"/>
            </w:pPr>
            <w:r>
              <w:rPr>
                <w:rFonts w:hint="eastAsia"/>
              </w:rPr>
              <w:t>6</w:t>
            </w:r>
          </w:p>
        </w:tc>
        <w:tc>
          <w:tcPr>
            <w:tcW w:w="2879" w:type="dxa"/>
            <w:vAlign w:val="bottom"/>
          </w:tcPr>
          <w:p w14:paraId="4CA9F9E0">
            <w:pPr>
              <w:pStyle w:val="307"/>
            </w:pPr>
            <w:r>
              <w:rPr>
                <w:rFonts w:hint="eastAsia"/>
              </w:rPr>
              <w:t>公用设施用地</w:t>
            </w:r>
          </w:p>
        </w:tc>
        <w:tc>
          <w:tcPr>
            <w:tcW w:w="2076" w:type="dxa"/>
            <w:vAlign w:val="bottom"/>
          </w:tcPr>
          <w:p w14:paraId="2FE3DC52">
            <w:pPr>
              <w:pStyle w:val="307"/>
            </w:pPr>
            <w:r>
              <w:rPr>
                <w:rFonts w:hint="eastAsia"/>
              </w:rPr>
              <w:t>0.11</w:t>
            </w:r>
          </w:p>
        </w:tc>
        <w:tc>
          <w:tcPr>
            <w:tcW w:w="2076" w:type="dxa"/>
            <w:vAlign w:val="bottom"/>
          </w:tcPr>
          <w:p w14:paraId="5387F660">
            <w:pPr>
              <w:pStyle w:val="307"/>
            </w:pPr>
            <w:r>
              <w:rPr>
                <w:rFonts w:hint="eastAsia"/>
              </w:rPr>
              <w:t>0.00</w:t>
            </w:r>
          </w:p>
        </w:tc>
      </w:tr>
      <w:tr w14:paraId="4895E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02A04A22">
            <w:pPr>
              <w:pStyle w:val="307"/>
            </w:pPr>
            <w:r>
              <w:rPr>
                <w:rFonts w:hint="eastAsia"/>
              </w:rPr>
              <w:t>7</w:t>
            </w:r>
          </w:p>
        </w:tc>
        <w:tc>
          <w:tcPr>
            <w:tcW w:w="2879" w:type="dxa"/>
            <w:vAlign w:val="bottom"/>
          </w:tcPr>
          <w:p w14:paraId="5A48BD69">
            <w:pPr>
              <w:pStyle w:val="307"/>
            </w:pPr>
            <w:r>
              <w:rPr>
                <w:rFonts w:hint="eastAsia"/>
              </w:rPr>
              <w:t>沟渠</w:t>
            </w:r>
          </w:p>
        </w:tc>
        <w:tc>
          <w:tcPr>
            <w:tcW w:w="2076" w:type="dxa"/>
            <w:vAlign w:val="bottom"/>
          </w:tcPr>
          <w:p w14:paraId="339754CB">
            <w:pPr>
              <w:pStyle w:val="307"/>
            </w:pPr>
            <w:r>
              <w:rPr>
                <w:rFonts w:hint="eastAsia"/>
              </w:rPr>
              <w:t>4.3</w:t>
            </w:r>
          </w:p>
        </w:tc>
        <w:tc>
          <w:tcPr>
            <w:tcW w:w="2076" w:type="dxa"/>
            <w:vAlign w:val="bottom"/>
          </w:tcPr>
          <w:p w14:paraId="4F9CAC96">
            <w:pPr>
              <w:pStyle w:val="307"/>
            </w:pPr>
            <w:r>
              <w:rPr>
                <w:rFonts w:hint="eastAsia"/>
              </w:rPr>
              <w:t>0.17</w:t>
            </w:r>
          </w:p>
        </w:tc>
      </w:tr>
      <w:tr w14:paraId="087C1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393A7DF6">
            <w:pPr>
              <w:pStyle w:val="307"/>
            </w:pPr>
            <w:r>
              <w:rPr>
                <w:rFonts w:hint="eastAsia"/>
              </w:rPr>
              <w:t>8</w:t>
            </w:r>
          </w:p>
        </w:tc>
        <w:tc>
          <w:tcPr>
            <w:tcW w:w="2879" w:type="dxa"/>
            <w:vAlign w:val="bottom"/>
          </w:tcPr>
          <w:p w14:paraId="13FF1D10">
            <w:pPr>
              <w:pStyle w:val="307"/>
            </w:pPr>
            <w:r>
              <w:rPr>
                <w:rFonts w:hint="eastAsia"/>
              </w:rPr>
              <w:t>灌木林地</w:t>
            </w:r>
          </w:p>
        </w:tc>
        <w:tc>
          <w:tcPr>
            <w:tcW w:w="2076" w:type="dxa"/>
            <w:vAlign w:val="bottom"/>
          </w:tcPr>
          <w:p w14:paraId="3D0AA85C">
            <w:pPr>
              <w:pStyle w:val="307"/>
            </w:pPr>
            <w:r>
              <w:rPr>
                <w:rFonts w:hint="eastAsia"/>
              </w:rPr>
              <w:t>702.54</w:t>
            </w:r>
          </w:p>
        </w:tc>
        <w:tc>
          <w:tcPr>
            <w:tcW w:w="2076" w:type="dxa"/>
            <w:vAlign w:val="bottom"/>
          </w:tcPr>
          <w:p w14:paraId="5CE99814">
            <w:pPr>
              <w:pStyle w:val="307"/>
            </w:pPr>
            <w:r>
              <w:rPr>
                <w:rFonts w:hint="eastAsia"/>
              </w:rPr>
              <w:t>27.75</w:t>
            </w:r>
          </w:p>
        </w:tc>
      </w:tr>
      <w:tr w14:paraId="62DA0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1C4F9779">
            <w:pPr>
              <w:pStyle w:val="307"/>
            </w:pPr>
            <w:r>
              <w:rPr>
                <w:rFonts w:hint="eastAsia"/>
              </w:rPr>
              <w:t>9</w:t>
            </w:r>
          </w:p>
        </w:tc>
        <w:tc>
          <w:tcPr>
            <w:tcW w:w="2879" w:type="dxa"/>
            <w:vAlign w:val="bottom"/>
          </w:tcPr>
          <w:p w14:paraId="3472B800">
            <w:pPr>
              <w:pStyle w:val="307"/>
            </w:pPr>
            <w:r>
              <w:rPr>
                <w:rFonts w:hint="eastAsia"/>
              </w:rPr>
              <w:t>广场用地</w:t>
            </w:r>
          </w:p>
        </w:tc>
        <w:tc>
          <w:tcPr>
            <w:tcW w:w="2076" w:type="dxa"/>
            <w:vAlign w:val="bottom"/>
          </w:tcPr>
          <w:p w14:paraId="3009B6EF">
            <w:pPr>
              <w:pStyle w:val="307"/>
            </w:pPr>
            <w:r>
              <w:rPr>
                <w:rFonts w:hint="eastAsia"/>
              </w:rPr>
              <w:t>0.08</w:t>
            </w:r>
          </w:p>
        </w:tc>
        <w:tc>
          <w:tcPr>
            <w:tcW w:w="2076" w:type="dxa"/>
            <w:vAlign w:val="bottom"/>
          </w:tcPr>
          <w:p w14:paraId="7FBBCDFB">
            <w:pPr>
              <w:pStyle w:val="307"/>
            </w:pPr>
            <w:r>
              <w:rPr>
                <w:rFonts w:hint="eastAsia"/>
              </w:rPr>
              <w:t>0.00</w:t>
            </w:r>
          </w:p>
        </w:tc>
      </w:tr>
      <w:tr w14:paraId="19E7E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61C7FAA9">
            <w:pPr>
              <w:pStyle w:val="307"/>
            </w:pPr>
            <w:r>
              <w:rPr>
                <w:rFonts w:hint="eastAsia"/>
              </w:rPr>
              <w:t>10</w:t>
            </w:r>
          </w:p>
        </w:tc>
        <w:tc>
          <w:tcPr>
            <w:tcW w:w="2879" w:type="dxa"/>
            <w:vAlign w:val="bottom"/>
          </w:tcPr>
          <w:p w14:paraId="4FE81530">
            <w:pPr>
              <w:pStyle w:val="307"/>
            </w:pPr>
            <w:r>
              <w:rPr>
                <w:rFonts w:hint="eastAsia"/>
              </w:rPr>
              <w:t>果园</w:t>
            </w:r>
          </w:p>
        </w:tc>
        <w:tc>
          <w:tcPr>
            <w:tcW w:w="2076" w:type="dxa"/>
            <w:vAlign w:val="bottom"/>
          </w:tcPr>
          <w:p w14:paraId="1581AC94">
            <w:pPr>
              <w:pStyle w:val="307"/>
            </w:pPr>
            <w:r>
              <w:rPr>
                <w:rFonts w:hint="eastAsia"/>
              </w:rPr>
              <w:t>10.19</w:t>
            </w:r>
          </w:p>
        </w:tc>
        <w:tc>
          <w:tcPr>
            <w:tcW w:w="2076" w:type="dxa"/>
            <w:vAlign w:val="bottom"/>
          </w:tcPr>
          <w:p w14:paraId="2AC670F3">
            <w:pPr>
              <w:pStyle w:val="307"/>
            </w:pPr>
            <w:r>
              <w:rPr>
                <w:rFonts w:hint="eastAsia"/>
              </w:rPr>
              <w:t>0.40</w:t>
            </w:r>
          </w:p>
        </w:tc>
      </w:tr>
      <w:tr w14:paraId="3EC25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700351CC">
            <w:pPr>
              <w:pStyle w:val="307"/>
            </w:pPr>
            <w:r>
              <w:rPr>
                <w:rFonts w:hint="eastAsia"/>
              </w:rPr>
              <w:t>11</w:t>
            </w:r>
          </w:p>
        </w:tc>
        <w:tc>
          <w:tcPr>
            <w:tcW w:w="2879" w:type="dxa"/>
            <w:vAlign w:val="bottom"/>
          </w:tcPr>
          <w:p w14:paraId="4A65E323">
            <w:pPr>
              <w:pStyle w:val="307"/>
            </w:pPr>
            <w:r>
              <w:rPr>
                <w:rFonts w:hint="eastAsia"/>
              </w:rPr>
              <w:t>旱地</w:t>
            </w:r>
          </w:p>
        </w:tc>
        <w:tc>
          <w:tcPr>
            <w:tcW w:w="2076" w:type="dxa"/>
            <w:vAlign w:val="bottom"/>
          </w:tcPr>
          <w:p w14:paraId="41C7A270">
            <w:pPr>
              <w:pStyle w:val="307"/>
            </w:pPr>
            <w:r>
              <w:rPr>
                <w:rFonts w:hint="eastAsia"/>
              </w:rPr>
              <w:t>468.76</w:t>
            </w:r>
          </w:p>
        </w:tc>
        <w:tc>
          <w:tcPr>
            <w:tcW w:w="2076" w:type="dxa"/>
            <w:vAlign w:val="bottom"/>
          </w:tcPr>
          <w:p w14:paraId="22AF6BAB">
            <w:pPr>
              <w:pStyle w:val="307"/>
            </w:pPr>
            <w:r>
              <w:rPr>
                <w:rFonts w:hint="eastAsia"/>
              </w:rPr>
              <w:t>18.51</w:t>
            </w:r>
          </w:p>
        </w:tc>
      </w:tr>
      <w:tr w14:paraId="3D09F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4062EC79">
            <w:pPr>
              <w:pStyle w:val="307"/>
            </w:pPr>
            <w:r>
              <w:rPr>
                <w:rFonts w:hint="eastAsia"/>
              </w:rPr>
              <w:t>12</w:t>
            </w:r>
          </w:p>
        </w:tc>
        <w:tc>
          <w:tcPr>
            <w:tcW w:w="2879" w:type="dxa"/>
            <w:vAlign w:val="bottom"/>
          </w:tcPr>
          <w:p w14:paraId="2E16A49E">
            <w:pPr>
              <w:pStyle w:val="307"/>
            </w:pPr>
            <w:r>
              <w:rPr>
                <w:rFonts w:hint="eastAsia"/>
              </w:rPr>
              <w:t>河流水面</w:t>
            </w:r>
          </w:p>
        </w:tc>
        <w:tc>
          <w:tcPr>
            <w:tcW w:w="2076" w:type="dxa"/>
            <w:vAlign w:val="bottom"/>
          </w:tcPr>
          <w:p w14:paraId="35B5FFE4">
            <w:pPr>
              <w:pStyle w:val="307"/>
            </w:pPr>
            <w:r>
              <w:rPr>
                <w:rFonts w:hint="eastAsia"/>
              </w:rPr>
              <w:t>166.96</w:t>
            </w:r>
          </w:p>
        </w:tc>
        <w:tc>
          <w:tcPr>
            <w:tcW w:w="2076" w:type="dxa"/>
            <w:vAlign w:val="bottom"/>
          </w:tcPr>
          <w:p w14:paraId="2226940A">
            <w:pPr>
              <w:pStyle w:val="307"/>
            </w:pPr>
            <w:r>
              <w:rPr>
                <w:rFonts w:hint="eastAsia"/>
              </w:rPr>
              <w:t>6.59</w:t>
            </w:r>
          </w:p>
        </w:tc>
      </w:tr>
      <w:tr w14:paraId="526EA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437C11C8">
            <w:pPr>
              <w:pStyle w:val="307"/>
            </w:pPr>
            <w:r>
              <w:rPr>
                <w:rFonts w:hint="eastAsia"/>
              </w:rPr>
              <w:t>13</w:t>
            </w:r>
          </w:p>
        </w:tc>
        <w:tc>
          <w:tcPr>
            <w:tcW w:w="2879" w:type="dxa"/>
            <w:vAlign w:val="bottom"/>
          </w:tcPr>
          <w:p w14:paraId="09C304D2">
            <w:pPr>
              <w:pStyle w:val="307"/>
            </w:pPr>
            <w:r>
              <w:rPr>
                <w:rFonts w:hint="eastAsia"/>
              </w:rPr>
              <w:t>机关团体新闻出版用地</w:t>
            </w:r>
          </w:p>
        </w:tc>
        <w:tc>
          <w:tcPr>
            <w:tcW w:w="2076" w:type="dxa"/>
            <w:vAlign w:val="bottom"/>
          </w:tcPr>
          <w:p w14:paraId="199C93A1">
            <w:pPr>
              <w:pStyle w:val="307"/>
            </w:pPr>
            <w:r>
              <w:rPr>
                <w:rFonts w:hint="eastAsia"/>
              </w:rPr>
              <w:t>1.36</w:t>
            </w:r>
          </w:p>
        </w:tc>
        <w:tc>
          <w:tcPr>
            <w:tcW w:w="2076" w:type="dxa"/>
            <w:vAlign w:val="bottom"/>
          </w:tcPr>
          <w:p w14:paraId="26D848D4">
            <w:pPr>
              <w:pStyle w:val="307"/>
            </w:pPr>
            <w:r>
              <w:rPr>
                <w:rFonts w:hint="eastAsia"/>
              </w:rPr>
              <w:t>0.05</w:t>
            </w:r>
          </w:p>
        </w:tc>
      </w:tr>
      <w:tr w14:paraId="7D71C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7B4EB994">
            <w:pPr>
              <w:pStyle w:val="307"/>
            </w:pPr>
            <w:r>
              <w:rPr>
                <w:rFonts w:hint="eastAsia"/>
              </w:rPr>
              <w:t>14</w:t>
            </w:r>
          </w:p>
        </w:tc>
        <w:tc>
          <w:tcPr>
            <w:tcW w:w="2879" w:type="dxa"/>
            <w:vAlign w:val="bottom"/>
          </w:tcPr>
          <w:p w14:paraId="16324FF0">
            <w:pPr>
              <w:pStyle w:val="307"/>
            </w:pPr>
            <w:r>
              <w:rPr>
                <w:rFonts w:hint="eastAsia"/>
              </w:rPr>
              <w:t>交通服务场站用地</w:t>
            </w:r>
          </w:p>
        </w:tc>
        <w:tc>
          <w:tcPr>
            <w:tcW w:w="2076" w:type="dxa"/>
            <w:vAlign w:val="bottom"/>
          </w:tcPr>
          <w:p w14:paraId="233176B1">
            <w:pPr>
              <w:pStyle w:val="307"/>
            </w:pPr>
            <w:r>
              <w:rPr>
                <w:rFonts w:hint="eastAsia"/>
              </w:rPr>
              <w:t>0.95</w:t>
            </w:r>
          </w:p>
        </w:tc>
        <w:tc>
          <w:tcPr>
            <w:tcW w:w="2076" w:type="dxa"/>
            <w:vAlign w:val="bottom"/>
          </w:tcPr>
          <w:p w14:paraId="3BA3293C">
            <w:pPr>
              <w:pStyle w:val="307"/>
            </w:pPr>
            <w:r>
              <w:rPr>
                <w:rFonts w:hint="eastAsia"/>
              </w:rPr>
              <w:t>0.04</w:t>
            </w:r>
          </w:p>
        </w:tc>
      </w:tr>
      <w:tr w14:paraId="7CF08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0FFF83A6">
            <w:pPr>
              <w:pStyle w:val="307"/>
            </w:pPr>
            <w:r>
              <w:rPr>
                <w:rFonts w:hint="eastAsia"/>
              </w:rPr>
              <w:t>15</w:t>
            </w:r>
          </w:p>
        </w:tc>
        <w:tc>
          <w:tcPr>
            <w:tcW w:w="2879" w:type="dxa"/>
            <w:vAlign w:val="bottom"/>
          </w:tcPr>
          <w:p w14:paraId="586A29E1">
            <w:pPr>
              <w:pStyle w:val="307"/>
            </w:pPr>
            <w:r>
              <w:rPr>
                <w:rFonts w:hint="eastAsia"/>
              </w:rPr>
              <w:t>科教文卫用地</w:t>
            </w:r>
          </w:p>
        </w:tc>
        <w:tc>
          <w:tcPr>
            <w:tcW w:w="2076" w:type="dxa"/>
            <w:vAlign w:val="bottom"/>
          </w:tcPr>
          <w:p w14:paraId="7BD58DE0">
            <w:pPr>
              <w:pStyle w:val="307"/>
            </w:pPr>
            <w:r>
              <w:rPr>
                <w:rFonts w:hint="eastAsia"/>
              </w:rPr>
              <w:t>0.69</w:t>
            </w:r>
          </w:p>
        </w:tc>
        <w:tc>
          <w:tcPr>
            <w:tcW w:w="2076" w:type="dxa"/>
            <w:vAlign w:val="bottom"/>
          </w:tcPr>
          <w:p w14:paraId="4AB0D538">
            <w:pPr>
              <w:pStyle w:val="307"/>
            </w:pPr>
            <w:r>
              <w:rPr>
                <w:rFonts w:hint="eastAsia"/>
              </w:rPr>
              <w:t>0.03</w:t>
            </w:r>
          </w:p>
        </w:tc>
      </w:tr>
      <w:tr w14:paraId="587BE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33B07B6C">
            <w:pPr>
              <w:pStyle w:val="307"/>
            </w:pPr>
            <w:r>
              <w:rPr>
                <w:rFonts w:hint="eastAsia"/>
              </w:rPr>
              <w:t>16</w:t>
            </w:r>
          </w:p>
        </w:tc>
        <w:tc>
          <w:tcPr>
            <w:tcW w:w="2879" w:type="dxa"/>
            <w:vAlign w:val="bottom"/>
          </w:tcPr>
          <w:p w14:paraId="147BB72D">
            <w:pPr>
              <w:pStyle w:val="307"/>
            </w:pPr>
            <w:r>
              <w:rPr>
                <w:rFonts w:hint="eastAsia"/>
              </w:rPr>
              <w:t>坑塘水面</w:t>
            </w:r>
          </w:p>
        </w:tc>
        <w:tc>
          <w:tcPr>
            <w:tcW w:w="2076" w:type="dxa"/>
            <w:vAlign w:val="bottom"/>
          </w:tcPr>
          <w:p w14:paraId="692F0420">
            <w:pPr>
              <w:pStyle w:val="307"/>
            </w:pPr>
            <w:r>
              <w:rPr>
                <w:rFonts w:hint="eastAsia"/>
              </w:rPr>
              <w:t>0.41</w:t>
            </w:r>
          </w:p>
        </w:tc>
        <w:tc>
          <w:tcPr>
            <w:tcW w:w="2076" w:type="dxa"/>
            <w:vAlign w:val="bottom"/>
          </w:tcPr>
          <w:p w14:paraId="4BBE241A">
            <w:pPr>
              <w:pStyle w:val="307"/>
            </w:pPr>
            <w:r>
              <w:rPr>
                <w:rFonts w:hint="eastAsia"/>
              </w:rPr>
              <w:t>0.02</w:t>
            </w:r>
          </w:p>
        </w:tc>
      </w:tr>
      <w:tr w14:paraId="5A69C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24BB22C9">
            <w:pPr>
              <w:pStyle w:val="307"/>
            </w:pPr>
            <w:r>
              <w:rPr>
                <w:rFonts w:hint="eastAsia"/>
              </w:rPr>
              <w:t>17</w:t>
            </w:r>
          </w:p>
        </w:tc>
        <w:tc>
          <w:tcPr>
            <w:tcW w:w="2879" w:type="dxa"/>
            <w:vAlign w:val="bottom"/>
          </w:tcPr>
          <w:p w14:paraId="3A322FB8">
            <w:pPr>
              <w:pStyle w:val="307"/>
            </w:pPr>
            <w:r>
              <w:rPr>
                <w:rFonts w:hint="eastAsia"/>
              </w:rPr>
              <w:t>裸土地</w:t>
            </w:r>
          </w:p>
        </w:tc>
        <w:tc>
          <w:tcPr>
            <w:tcW w:w="2076" w:type="dxa"/>
            <w:vAlign w:val="bottom"/>
          </w:tcPr>
          <w:p w14:paraId="325D7040">
            <w:pPr>
              <w:pStyle w:val="307"/>
            </w:pPr>
            <w:r>
              <w:rPr>
                <w:rFonts w:hint="eastAsia"/>
              </w:rPr>
              <w:t>1.99</w:t>
            </w:r>
          </w:p>
        </w:tc>
        <w:tc>
          <w:tcPr>
            <w:tcW w:w="2076" w:type="dxa"/>
            <w:vAlign w:val="bottom"/>
          </w:tcPr>
          <w:p w14:paraId="45A808E3">
            <w:pPr>
              <w:pStyle w:val="307"/>
            </w:pPr>
            <w:r>
              <w:rPr>
                <w:rFonts w:hint="eastAsia"/>
              </w:rPr>
              <w:t>0.08</w:t>
            </w:r>
          </w:p>
        </w:tc>
      </w:tr>
      <w:tr w14:paraId="4DE58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2795E840">
            <w:pPr>
              <w:pStyle w:val="307"/>
            </w:pPr>
            <w:r>
              <w:rPr>
                <w:rFonts w:hint="eastAsia"/>
              </w:rPr>
              <w:t>18</w:t>
            </w:r>
          </w:p>
        </w:tc>
        <w:tc>
          <w:tcPr>
            <w:tcW w:w="2879" w:type="dxa"/>
            <w:vAlign w:val="bottom"/>
          </w:tcPr>
          <w:p w14:paraId="3CFBA78E">
            <w:pPr>
              <w:pStyle w:val="307"/>
            </w:pPr>
            <w:r>
              <w:rPr>
                <w:rFonts w:hint="eastAsia"/>
              </w:rPr>
              <w:t>裸岩石砾地</w:t>
            </w:r>
          </w:p>
        </w:tc>
        <w:tc>
          <w:tcPr>
            <w:tcW w:w="2076" w:type="dxa"/>
            <w:vAlign w:val="bottom"/>
          </w:tcPr>
          <w:p w14:paraId="1D57D74B">
            <w:pPr>
              <w:pStyle w:val="307"/>
            </w:pPr>
            <w:r>
              <w:rPr>
                <w:rFonts w:hint="eastAsia"/>
              </w:rPr>
              <w:t>0.41</w:t>
            </w:r>
          </w:p>
        </w:tc>
        <w:tc>
          <w:tcPr>
            <w:tcW w:w="2076" w:type="dxa"/>
            <w:vAlign w:val="bottom"/>
          </w:tcPr>
          <w:p w14:paraId="4DEB1084">
            <w:pPr>
              <w:pStyle w:val="307"/>
            </w:pPr>
            <w:r>
              <w:rPr>
                <w:rFonts w:hint="eastAsia"/>
              </w:rPr>
              <w:t>0.02</w:t>
            </w:r>
          </w:p>
        </w:tc>
      </w:tr>
      <w:tr w14:paraId="099A8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78A9CF21">
            <w:pPr>
              <w:pStyle w:val="307"/>
            </w:pPr>
            <w:r>
              <w:rPr>
                <w:rFonts w:hint="eastAsia"/>
              </w:rPr>
              <w:t>19</w:t>
            </w:r>
          </w:p>
        </w:tc>
        <w:tc>
          <w:tcPr>
            <w:tcW w:w="2879" w:type="dxa"/>
            <w:vAlign w:val="bottom"/>
          </w:tcPr>
          <w:p w14:paraId="257C0B31">
            <w:pPr>
              <w:pStyle w:val="307"/>
            </w:pPr>
            <w:r>
              <w:rPr>
                <w:rFonts w:hint="eastAsia"/>
              </w:rPr>
              <w:t>内陆滩涂</w:t>
            </w:r>
          </w:p>
        </w:tc>
        <w:tc>
          <w:tcPr>
            <w:tcW w:w="2076" w:type="dxa"/>
            <w:vAlign w:val="bottom"/>
          </w:tcPr>
          <w:p w14:paraId="22C6275A">
            <w:pPr>
              <w:pStyle w:val="307"/>
            </w:pPr>
            <w:r>
              <w:rPr>
                <w:rFonts w:hint="eastAsia"/>
              </w:rPr>
              <w:t>11.12</w:t>
            </w:r>
          </w:p>
        </w:tc>
        <w:tc>
          <w:tcPr>
            <w:tcW w:w="2076" w:type="dxa"/>
            <w:vAlign w:val="bottom"/>
          </w:tcPr>
          <w:p w14:paraId="26E0654A">
            <w:pPr>
              <w:pStyle w:val="307"/>
            </w:pPr>
            <w:r>
              <w:rPr>
                <w:rFonts w:hint="eastAsia"/>
              </w:rPr>
              <w:t>0.44</w:t>
            </w:r>
          </w:p>
        </w:tc>
      </w:tr>
      <w:tr w14:paraId="179D0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084175AA">
            <w:pPr>
              <w:pStyle w:val="307"/>
            </w:pPr>
            <w:r>
              <w:rPr>
                <w:rFonts w:hint="eastAsia"/>
              </w:rPr>
              <w:t>20</w:t>
            </w:r>
          </w:p>
        </w:tc>
        <w:tc>
          <w:tcPr>
            <w:tcW w:w="2879" w:type="dxa"/>
            <w:vAlign w:val="bottom"/>
          </w:tcPr>
          <w:p w14:paraId="524BAED5">
            <w:pPr>
              <w:pStyle w:val="307"/>
            </w:pPr>
            <w:r>
              <w:rPr>
                <w:rFonts w:hint="eastAsia"/>
              </w:rPr>
              <w:t>农村道路</w:t>
            </w:r>
          </w:p>
        </w:tc>
        <w:tc>
          <w:tcPr>
            <w:tcW w:w="2076" w:type="dxa"/>
            <w:vAlign w:val="bottom"/>
          </w:tcPr>
          <w:p w14:paraId="3C7F046F">
            <w:pPr>
              <w:pStyle w:val="307"/>
            </w:pPr>
            <w:r>
              <w:rPr>
                <w:rFonts w:hint="eastAsia"/>
              </w:rPr>
              <w:t>19.15</w:t>
            </w:r>
          </w:p>
        </w:tc>
        <w:tc>
          <w:tcPr>
            <w:tcW w:w="2076" w:type="dxa"/>
            <w:vAlign w:val="bottom"/>
          </w:tcPr>
          <w:p w14:paraId="6FD9F51B">
            <w:pPr>
              <w:pStyle w:val="307"/>
            </w:pPr>
            <w:r>
              <w:rPr>
                <w:rFonts w:hint="eastAsia"/>
              </w:rPr>
              <w:t>0.76</w:t>
            </w:r>
          </w:p>
        </w:tc>
      </w:tr>
      <w:tr w14:paraId="00F5F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7DBE6CA1">
            <w:pPr>
              <w:pStyle w:val="307"/>
            </w:pPr>
            <w:r>
              <w:rPr>
                <w:rFonts w:hint="eastAsia"/>
              </w:rPr>
              <w:t>21</w:t>
            </w:r>
          </w:p>
        </w:tc>
        <w:tc>
          <w:tcPr>
            <w:tcW w:w="2879" w:type="dxa"/>
            <w:vAlign w:val="bottom"/>
          </w:tcPr>
          <w:p w14:paraId="0D5A69CE">
            <w:pPr>
              <w:pStyle w:val="307"/>
            </w:pPr>
            <w:r>
              <w:rPr>
                <w:rFonts w:hint="eastAsia"/>
              </w:rPr>
              <w:t>农村宅基地</w:t>
            </w:r>
          </w:p>
        </w:tc>
        <w:tc>
          <w:tcPr>
            <w:tcW w:w="2076" w:type="dxa"/>
            <w:vAlign w:val="bottom"/>
          </w:tcPr>
          <w:p w14:paraId="6099CD7D">
            <w:pPr>
              <w:pStyle w:val="307"/>
            </w:pPr>
            <w:r>
              <w:rPr>
                <w:rFonts w:hint="eastAsia"/>
              </w:rPr>
              <w:t>48.11</w:t>
            </w:r>
          </w:p>
        </w:tc>
        <w:tc>
          <w:tcPr>
            <w:tcW w:w="2076" w:type="dxa"/>
            <w:vAlign w:val="bottom"/>
          </w:tcPr>
          <w:p w14:paraId="076D2375">
            <w:pPr>
              <w:pStyle w:val="307"/>
            </w:pPr>
            <w:r>
              <w:rPr>
                <w:rFonts w:hint="eastAsia"/>
              </w:rPr>
              <w:t>1.90</w:t>
            </w:r>
          </w:p>
        </w:tc>
      </w:tr>
      <w:tr w14:paraId="3CDFF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77910C2E">
            <w:pPr>
              <w:pStyle w:val="307"/>
            </w:pPr>
            <w:r>
              <w:rPr>
                <w:rFonts w:hint="eastAsia"/>
              </w:rPr>
              <w:t>22</w:t>
            </w:r>
          </w:p>
        </w:tc>
        <w:tc>
          <w:tcPr>
            <w:tcW w:w="2879" w:type="dxa"/>
            <w:vAlign w:val="bottom"/>
          </w:tcPr>
          <w:p w14:paraId="128D2C3D">
            <w:pPr>
              <w:pStyle w:val="307"/>
            </w:pPr>
            <w:r>
              <w:rPr>
                <w:rFonts w:hint="eastAsia"/>
              </w:rPr>
              <w:t>其他草地</w:t>
            </w:r>
          </w:p>
        </w:tc>
        <w:tc>
          <w:tcPr>
            <w:tcW w:w="2076" w:type="dxa"/>
            <w:vAlign w:val="bottom"/>
          </w:tcPr>
          <w:p w14:paraId="4CE6D1FD">
            <w:pPr>
              <w:pStyle w:val="307"/>
            </w:pPr>
            <w:r>
              <w:rPr>
                <w:rFonts w:hint="eastAsia"/>
              </w:rPr>
              <w:t>46.57</w:t>
            </w:r>
          </w:p>
        </w:tc>
        <w:tc>
          <w:tcPr>
            <w:tcW w:w="2076" w:type="dxa"/>
            <w:vAlign w:val="bottom"/>
          </w:tcPr>
          <w:p w14:paraId="4E12A8BB">
            <w:pPr>
              <w:pStyle w:val="307"/>
            </w:pPr>
            <w:r>
              <w:rPr>
                <w:rFonts w:hint="eastAsia"/>
              </w:rPr>
              <w:t>1.84</w:t>
            </w:r>
          </w:p>
        </w:tc>
      </w:tr>
      <w:tr w14:paraId="4B9C6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76D0D152">
            <w:pPr>
              <w:pStyle w:val="307"/>
            </w:pPr>
            <w:r>
              <w:rPr>
                <w:rFonts w:hint="eastAsia"/>
              </w:rPr>
              <w:t>23</w:t>
            </w:r>
          </w:p>
        </w:tc>
        <w:tc>
          <w:tcPr>
            <w:tcW w:w="2879" w:type="dxa"/>
            <w:vAlign w:val="bottom"/>
          </w:tcPr>
          <w:p w14:paraId="43FB29A7">
            <w:pPr>
              <w:pStyle w:val="307"/>
            </w:pPr>
            <w:r>
              <w:rPr>
                <w:rFonts w:hint="eastAsia"/>
              </w:rPr>
              <w:t>其他林地</w:t>
            </w:r>
          </w:p>
        </w:tc>
        <w:tc>
          <w:tcPr>
            <w:tcW w:w="2076" w:type="dxa"/>
            <w:vAlign w:val="bottom"/>
          </w:tcPr>
          <w:p w14:paraId="1579D70B">
            <w:pPr>
              <w:pStyle w:val="307"/>
            </w:pPr>
            <w:r>
              <w:rPr>
                <w:rFonts w:hint="eastAsia"/>
              </w:rPr>
              <w:t>189.25</w:t>
            </w:r>
          </w:p>
        </w:tc>
        <w:tc>
          <w:tcPr>
            <w:tcW w:w="2076" w:type="dxa"/>
            <w:vAlign w:val="bottom"/>
          </w:tcPr>
          <w:p w14:paraId="7E3B7FA2">
            <w:pPr>
              <w:pStyle w:val="307"/>
            </w:pPr>
            <w:r>
              <w:rPr>
                <w:rFonts w:hint="eastAsia"/>
              </w:rPr>
              <w:t>7.47</w:t>
            </w:r>
          </w:p>
        </w:tc>
      </w:tr>
      <w:tr w14:paraId="66D56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49C2F6A9">
            <w:pPr>
              <w:pStyle w:val="307"/>
            </w:pPr>
            <w:r>
              <w:rPr>
                <w:rFonts w:hint="eastAsia"/>
              </w:rPr>
              <w:t>24</w:t>
            </w:r>
          </w:p>
        </w:tc>
        <w:tc>
          <w:tcPr>
            <w:tcW w:w="2879" w:type="dxa"/>
            <w:vAlign w:val="bottom"/>
          </w:tcPr>
          <w:p w14:paraId="577D980C">
            <w:pPr>
              <w:pStyle w:val="307"/>
            </w:pPr>
            <w:r>
              <w:rPr>
                <w:rFonts w:hint="eastAsia"/>
              </w:rPr>
              <w:t>其他园地</w:t>
            </w:r>
          </w:p>
        </w:tc>
        <w:tc>
          <w:tcPr>
            <w:tcW w:w="2076" w:type="dxa"/>
            <w:vAlign w:val="bottom"/>
          </w:tcPr>
          <w:p w14:paraId="083ED85C">
            <w:pPr>
              <w:pStyle w:val="307"/>
            </w:pPr>
            <w:r>
              <w:rPr>
                <w:rFonts w:hint="eastAsia"/>
              </w:rPr>
              <w:t>3.63</w:t>
            </w:r>
          </w:p>
        </w:tc>
        <w:tc>
          <w:tcPr>
            <w:tcW w:w="2076" w:type="dxa"/>
            <w:vAlign w:val="bottom"/>
          </w:tcPr>
          <w:p w14:paraId="6DFEE649">
            <w:pPr>
              <w:pStyle w:val="307"/>
            </w:pPr>
            <w:r>
              <w:rPr>
                <w:rFonts w:hint="eastAsia"/>
              </w:rPr>
              <w:t>0.14</w:t>
            </w:r>
          </w:p>
        </w:tc>
      </w:tr>
      <w:tr w14:paraId="5A044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23C7FADC">
            <w:pPr>
              <w:pStyle w:val="307"/>
            </w:pPr>
            <w:r>
              <w:rPr>
                <w:rFonts w:hint="eastAsia"/>
              </w:rPr>
              <w:t>25</w:t>
            </w:r>
          </w:p>
        </w:tc>
        <w:tc>
          <w:tcPr>
            <w:tcW w:w="2879" w:type="dxa"/>
            <w:vAlign w:val="bottom"/>
          </w:tcPr>
          <w:p w14:paraId="49EF7C6C">
            <w:pPr>
              <w:pStyle w:val="307"/>
            </w:pPr>
            <w:r>
              <w:rPr>
                <w:rFonts w:hint="eastAsia"/>
              </w:rPr>
              <w:t>乔木林地</w:t>
            </w:r>
          </w:p>
        </w:tc>
        <w:tc>
          <w:tcPr>
            <w:tcW w:w="2076" w:type="dxa"/>
            <w:vAlign w:val="bottom"/>
          </w:tcPr>
          <w:p w14:paraId="03852569">
            <w:pPr>
              <w:pStyle w:val="307"/>
            </w:pPr>
            <w:r>
              <w:rPr>
                <w:rFonts w:hint="eastAsia"/>
              </w:rPr>
              <w:t>521.81</w:t>
            </w:r>
          </w:p>
        </w:tc>
        <w:tc>
          <w:tcPr>
            <w:tcW w:w="2076" w:type="dxa"/>
            <w:vAlign w:val="bottom"/>
          </w:tcPr>
          <w:p w14:paraId="25F8EF62">
            <w:pPr>
              <w:pStyle w:val="307"/>
            </w:pPr>
            <w:r>
              <w:rPr>
                <w:rFonts w:hint="eastAsia"/>
              </w:rPr>
              <w:t>20.61</w:t>
            </w:r>
          </w:p>
        </w:tc>
      </w:tr>
      <w:tr w14:paraId="237B7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71E2C92C">
            <w:pPr>
              <w:pStyle w:val="307"/>
            </w:pPr>
            <w:r>
              <w:rPr>
                <w:rFonts w:hint="eastAsia"/>
              </w:rPr>
              <w:t>26</w:t>
            </w:r>
          </w:p>
        </w:tc>
        <w:tc>
          <w:tcPr>
            <w:tcW w:w="2879" w:type="dxa"/>
            <w:vAlign w:val="bottom"/>
          </w:tcPr>
          <w:p w14:paraId="244C8EA7">
            <w:pPr>
              <w:pStyle w:val="307"/>
            </w:pPr>
            <w:r>
              <w:rPr>
                <w:rFonts w:hint="eastAsia"/>
              </w:rPr>
              <w:t>商业服务业设施用地</w:t>
            </w:r>
          </w:p>
        </w:tc>
        <w:tc>
          <w:tcPr>
            <w:tcW w:w="2076" w:type="dxa"/>
            <w:vAlign w:val="bottom"/>
          </w:tcPr>
          <w:p w14:paraId="28096546">
            <w:pPr>
              <w:pStyle w:val="307"/>
            </w:pPr>
            <w:r>
              <w:rPr>
                <w:rFonts w:hint="eastAsia"/>
              </w:rPr>
              <w:t>1.84</w:t>
            </w:r>
          </w:p>
        </w:tc>
        <w:tc>
          <w:tcPr>
            <w:tcW w:w="2076" w:type="dxa"/>
            <w:vAlign w:val="bottom"/>
          </w:tcPr>
          <w:p w14:paraId="0B7F08A6">
            <w:pPr>
              <w:pStyle w:val="307"/>
            </w:pPr>
            <w:r>
              <w:rPr>
                <w:rFonts w:hint="eastAsia"/>
              </w:rPr>
              <w:t>0.07</w:t>
            </w:r>
          </w:p>
        </w:tc>
      </w:tr>
      <w:tr w14:paraId="3133A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51880D81">
            <w:pPr>
              <w:pStyle w:val="307"/>
            </w:pPr>
            <w:r>
              <w:rPr>
                <w:rFonts w:hint="eastAsia"/>
              </w:rPr>
              <w:t>27</w:t>
            </w:r>
          </w:p>
        </w:tc>
        <w:tc>
          <w:tcPr>
            <w:tcW w:w="2879" w:type="dxa"/>
            <w:vAlign w:val="bottom"/>
          </w:tcPr>
          <w:p w14:paraId="6B7ADDF6">
            <w:pPr>
              <w:pStyle w:val="307"/>
            </w:pPr>
            <w:r>
              <w:rPr>
                <w:rFonts w:hint="eastAsia"/>
              </w:rPr>
              <w:t>设施农用地</w:t>
            </w:r>
          </w:p>
        </w:tc>
        <w:tc>
          <w:tcPr>
            <w:tcW w:w="2076" w:type="dxa"/>
            <w:vAlign w:val="bottom"/>
          </w:tcPr>
          <w:p w14:paraId="63A206DF">
            <w:pPr>
              <w:pStyle w:val="307"/>
            </w:pPr>
            <w:r>
              <w:rPr>
                <w:rFonts w:hint="eastAsia"/>
              </w:rPr>
              <w:t>12.82</w:t>
            </w:r>
          </w:p>
        </w:tc>
        <w:tc>
          <w:tcPr>
            <w:tcW w:w="2076" w:type="dxa"/>
            <w:vAlign w:val="bottom"/>
          </w:tcPr>
          <w:p w14:paraId="59EE976A">
            <w:pPr>
              <w:pStyle w:val="307"/>
            </w:pPr>
            <w:r>
              <w:rPr>
                <w:rFonts w:hint="eastAsia"/>
              </w:rPr>
              <w:t>0.51</w:t>
            </w:r>
          </w:p>
        </w:tc>
      </w:tr>
      <w:tr w14:paraId="343DA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25B786AF">
            <w:pPr>
              <w:pStyle w:val="307"/>
            </w:pPr>
            <w:r>
              <w:rPr>
                <w:rFonts w:hint="eastAsia"/>
              </w:rPr>
              <w:t>28</w:t>
            </w:r>
          </w:p>
        </w:tc>
        <w:tc>
          <w:tcPr>
            <w:tcW w:w="2879" w:type="dxa"/>
            <w:vAlign w:val="bottom"/>
          </w:tcPr>
          <w:p w14:paraId="0CB6ACD0">
            <w:pPr>
              <w:pStyle w:val="307"/>
            </w:pPr>
            <w:r>
              <w:rPr>
                <w:rFonts w:hint="eastAsia"/>
              </w:rPr>
              <w:t>水浇地</w:t>
            </w:r>
          </w:p>
        </w:tc>
        <w:tc>
          <w:tcPr>
            <w:tcW w:w="2076" w:type="dxa"/>
            <w:vAlign w:val="bottom"/>
          </w:tcPr>
          <w:p w14:paraId="571054BE">
            <w:pPr>
              <w:pStyle w:val="307"/>
            </w:pPr>
            <w:r>
              <w:rPr>
                <w:rFonts w:hint="eastAsia"/>
              </w:rPr>
              <w:t>284.63</w:t>
            </w:r>
          </w:p>
        </w:tc>
        <w:tc>
          <w:tcPr>
            <w:tcW w:w="2076" w:type="dxa"/>
            <w:vAlign w:val="bottom"/>
          </w:tcPr>
          <w:p w14:paraId="288FEB2B">
            <w:pPr>
              <w:pStyle w:val="307"/>
            </w:pPr>
            <w:r>
              <w:rPr>
                <w:rFonts w:hint="eastAsia"/>
              </w:rPr>
              <w:t>11.24</w:t>
            </w:r>
          </w:p>
        </w:tc>
      </w:tr>
      <w:tr w14:paraId="0840B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3CD281C3">
            <w:pPr>
              <w:pStyle w:val="307"/>
            </w:pPr>
            <w:r>
              <w:rPr>
                <w:rFonts w:hint="eastAsia"/>
              </w:rPr>
              <w:t>29</w:t>
            </w:r>
          </w:p>
        </w:tc>
        <w:tc>
          <w:tcPr>
            <w:tcW w:w="2879" w:type="dxa"/>
            <w:vAlign w:val="bottom"/>
          </w:tcPr>
          <w:p w14:paraId="72C8FCDD">
            <w:pPr>
              <w:pStyle w:val="307"/>
            </w:pPr>
            <w:r>
              <w:rPr>
                <w:rFonts w:hint="eastAsia"/>
              </w:rPr>
              <w:t>特殊用地</w:t>
            </w:r>
          </w:p>
        </w:tc>
        <w:tc>
          <w:tcPr>
            <w:tcW w:w="2076" w:type="dxa"/>
            <w:vAlign w:val="bottom"/>
          </w:tcPr>
          <w:p w14:paraId="2399A120">
            <w:pPr>
              <w:pStyle w:val="307"/>
            </w:pPr>
            <w:r>
              <w:rPr>
                <w:rFonts w:hint="eastAsia"/>
              </w:rPr>
              <w:t>1.29</w:t>
            </w:r>
          </w:p>
        </w:tc>
        <w:tc>
          <w:tcPr>
            <w:tcW w:w="2076" w:type="dxa"/>
            <w:vAlign w:val="bottom"/>
          </w:tcPr>
          <w:p w14:paraId="57C6FF65">
            <w:pPr>
              <w:pStyle w:val="307"/>
            </w:pPr>
            <w:r>
              <w:rPr>
                <w:rFonts w:hint="eastAsia"/>
              </w:rPr>
              <w:t>0.05</w:t>
            </w:r>
          </w:p>
        </w:tc>
      </w:tr>
      <w:tr w14:paraId="4429C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36AFE27A">
            <w:pPr>
              <w:pStyle w:val="307"/>
            </w:pPr>
            <w:r>
              <w:rPr>
                <w:rFonts w:hint="eastAsia"/>
              </w:rPr>
              <w:t>3</w:t>
            </w:r>
            <w:r>
              <w:t>0</w:t>
            </w:r>
          </w:p>
        </w:tc>
        <w:tc>
          <w:tcPr>
            <w:tcW w:w="2879" w:type="dxa"/>
            <w:vAlign w:val="bottom"/>
          </w:tcPr>
          <w:p w14:paraId="14904108">
            <w:pPr>
              <w:pStyle w:val="307"/>
            </w:pPr>
            <w:r>
              <w:rPr>
                <w:rFonts w:hint="eastAsia"/>
              </w:rPr>
              <w:t>铁路用地</w:t>
            </w:r>
          </w:p>
        </w:tc>
        <w:tc>
          <w:tcPr>
            <w:tcW w:w="2076" w:type="dxa"/>
            <w:vAlign w:val="bottom"/>
          </w:tcPr>
          <w:p w14:paraId="7D1B9A28">
            <w:pPr>
              <w:pStyle w:val="307"/>
            </w:pPr>
            <w:r>
              <w:rPr>
                <w:rFonts w:hint="eastAsia"/>
              </w:rPr>
              <w:t>7.41</w:t>
            </w:r>
          </w:p>
        </w:tc>
        <w:tc>
          <w:tcPr>
            <w:tcW w:w="2076" w:type="dxa"/>
            <w:vAlign w:val="bottom"/>
          </w:tcPr>
          <w:p w14:paraId="26F5F0F6">
            <w:pPr>
              <w:pStyle w:val="307"/>
            </w:pPr>
            <w:r>
              <w:rPr>
                <w:rFonts w:hint="eastAsia"/>
              </w:rPr>
              <w:t>0.29</w:t>
            </w:r>
          </w:p>
        </w:tc>
      </w:tr>
      <w:tr w14:paraId="31271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12C659E6">
            <w:pPr>
              <w:pStyle w:val="307"/>
            </w:pPr>
            <w:r>
              <w:rPr>
                <w:rFonts w:hint="eastAsia"/>
              </w:rPr>
              <w:t>3</w:t>
            </w:r>
            <w:r>
              <w:t>1</w:t>
            </w:r>
          </w:p>
        </w:tc>
        <w:tc>
          <w:tcPr>
            <w:tcW w:w="2879" w:type="dxa"/>
            <w:vAlign w:val="bottom"/>
          </w:tcPr>
          <w:p w14:paraId="5E7393A9">
            <w:pPr>
              <w:pStyle w:val="307"/>
            </w:pPr>
            <w:r>
              <w:rPr>
                <w:rFonts w:hint="eastAsia"/>
              </w:rPr>
              <w:t>物流仓储用地</w:t>
            </w:r>
          </w:p>
        </w:tc>
        <w:tc>
          <w:tcPr>
            <w:tcW w:w="2076" w:type="dxa"/>
            <w:vAlign w:val="bottom"/>
          </w:tcPr>
          <w:p w14:paraId="12F4A2B3">
            <w:pPr>
              <w:pStyle w:val="307"/>
            </w:pPr>
            <w:r>
              <w:rPr>
                <w:rFonts w:hint="eastAsia"/>
              </w:rPr>
              <w:t>1.78</w:t>
            </w:r>
          </w:p>
        </w:tc>
        <w:tc>
          <w:tcPr>
            <w:tcW w:w="2076" w:type="dxa"/>
            <w:vAlign w:val="bottom"/>
          </w:tcPr>
          <w:p w14:paraId="4E125A82">
            <w:pPr>
              <w:pStyle w:val="307"/>
            </w:pPr>
            <w:r>
              <w:rPr>
                <w:rFonts w:hint="eastAsia"/>
              </w:rPr>
              <w:t>0.07</w:t>
            </w:r>
          </w:p>
        </w:tc>
      </w:tr>
      <w:tr w14:paraId="5BF71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0" w:type="dxa"/>
            <w:gridSpan w:val="2"/>
          </w:tcPr>
          <w:p w14:paraId="42BF77E8">
            <w:pPr>
              <w:pStyle w:val="307"/>
            </w:pPr>
            <w:r>
              <w:rPr>
                <w:rFonts w:hint="eastAsia"/>
              </w:rPr>
              <w:t>合计</w:t>
            </w:r>
          </w:p>
        </w:tc>
        <w:tc>
          <w:tcPr>
            <w:tcW w:w="2076" w:type="dxa"/>
          </w:tcPr>
          <w:p w14:paraId="4667D5E6">
            <w:pPr>
              <w:pStyle w:val="307"/>
            </w:pPr>
            <w:r>
              <w:rPr>
                <w:rFonts w:hint="eastAsia"/>
              </w:rPr>
              <w:t>2</w:t>
            </w:r>
            <w:r>
              <w:t>532.12</w:t>
            </w:r>
          </w:p>
        </w:tc>
        <w:tc>
          <w:tcPr>
            <w:tcW w:w="2076" w:type="dxa"/>
          </w:tcPr>
          <w:p w14:paraId="1885B17F">
            <w:pPr>
              <w:pStyle w:val="307"/>
            </w:pPr>
            <w:r>
              <w:rPr>
                <w:rFonts w:hint="eastAsia"/>
              </w:rPr>
              <w:t>1</w:t>
            </w:r>
            <w:r>
              <w:t>00</w:t>
            </w:r>
          </w:p>
        </w:tc>
      </w:tr>
    </w:tbl>
    <w:p w14:paraId="3290387D">
      <w:pPr>
        <w:pStyle w:val="85"/>
        <w:ind w:firstLine="480"/>
        <w:rPr>
          <w:kern w:val="0"/>
        </w:rPr>
      </w:pPr>
      <w:bookmarkStart w:id="120" w:name="_Hlk109766811"/>
      <w:r>
        <w:rPr>
          <w:rFonts w:hint="eastAsia"/>
          <w:kern w:val="0"/>
        </w:rPr>
        <w:t>由</w:t>
      </w:r>
      <w:bookmarkStart w:id="121" w:name="_Hlk109764997"/>
      <w:r>
        <w:rPr>
          <w:rFonts w:hint="eastAsia"/>
          <w:kern w:val="0"/>
        </w:rPr>
        <w:t>上表和图可知，评价区总面积</w:t>
      </w:r>
      <w:r>
        <w:rPr>
          <w:rFonts w:hint="eastAsia"/>
        </w:rPr>
        <w:t>2</w:t>
      </w:r>
      <w:r>
        <w:t>532.12</w:t>
      </w:r>
      <w:r>
        <w:rPr>
          <w:kern w:val="0"/>
        </w:rPr>
        <w:t>hm</w:t>
      </w:r>
      <w:r>
        <w:rPr>
          <w:kern w:val="0"/>
          <w:vertAlign w:val="superscript"/>
        </w:rPr>
        <w:t>2</w:t>
      </w:r>
      <w:r>
        <w:rPr>
          <w:rFonts w:hint="eastAsia"/>
          <w:kern w:val="0"/>
        </w:rPr>
        <w:t>，其中以灌木林地、乔木林地和水浇地为主。</w:t>
      </w:r>
      <w:bookmarkEnd w:id="120"/>
      <w:bookmarkEnd w:id="121"/>
      <w:r>
        <w:rPr>
          <w:rFonts w:hint="eastAsia"/>
          <w:kern w:val="0"/>
        </w:rPr>
        <w:t>评价区土地利用现状图见附图。</w:t>
      </w:r>
    </w:p>
    <w:p w14:paraId="61D3DD23">
      <w:pPr>
        <w:pStyle w:val="4"/>
      </w:pPr>
      <w:r>
        <w:rPr>
          <w:rFonts w:hint="eastAsia"/>
        </w:rPr>
        <w:t>工程区</w:t>
      </w:r>
      <w:r>
        <w:t>生态现状</w:t>
      </w:r>
    </w:p>
    <w:p w14:paraId="17D77DBB">
      <w:pPr>
        <w:pStyle w:val="85"/>
        <w:ind w:firstLine="480"/>
        <w:rPr>
          <w:kern w:val="0"/>
        </w:rPr>
      </w:pPr>
      <w:r>
        <w:rPr>
          <w:rFonts w:hint="eastAsia"/>
          <w:kern w:val="0"/>
        </w:rPr>
        <w:t>项目区位于滦平县虎什哈镇，项目区有前沟门、后沟门、大河北村、岗子村、西红旗村、虎什哈镇。</w:t>
      </w:r>
    </w:p>
    <w:p w14:paraId="40FF25A2">
      <w:pPr>
        <w:pStyle w:val="85"/>
        <w:ind w:firstLine="482"/>
        <w:rPr>
          <w:b/>
          <w:bCs/>
          <w:kern w:val="0"/>
        </w:rPr>
      </w:pPr>
      <w:r>
        <w:rPr>
          <w:rFonts w:hint="eastAsia"/>
          <w:b/>
          <w:bCs/>
          <w:kern w:val="0"/>
        </w:rPr>
        <w:t>1、小辽东桥至大河北村潮河大桥段河道现状</w:t>
      </w:r>
    </w:p>
    <w:p w14:paraId="17538242">
      <w:pPr>
        <w:pStyle w:val="85"/>
        <w:ind w:firstLine="480"/>
        <w:rPr>
          <w:kern w:val="0"/>
        </w:rPr>
      </w:pPr>
      <w:r>
        <w:rPr>
          <w:rFonts w:hint="eastAsia"/>
          <w:kern w:val="0"/>
        </w:rPr>
        <w:t>该段河道长5.8km，宽度50m~110m不等，由于人为活动和洪水冲刷造成现状河滨岸带缺失严重，同时不能有效阻隔河道两侧污染源随径流入河，河道水体水质得不到有效保障。河道两侧约有4500亩农田，种植农作物过程中使用的化肥和农药等随径流进入水体，造成水体污染。还存在有围垦河道等现象。</w:t>
      </w:r>
    </w:p>
    <w:p w14:paraId="79B8DF9C">
      <w:pPr>
        <w:pStyle w:val="85"/>
        <w:ind w:firstLine="480"/>
        <w:rPr>
          <w:kern w:val="0"/>
        </w:rPr>
      </w:pPr>
      <w:r>
        <w:rPr>
          <w:rFonts w:hint="eastAsia"/>
          <w:kern w:val="0"/>
        </w:rPr>
        <w:t>（1）小辽东到后沟门段</w:t>
      </w:r>
    </w:p>
    <w:p w14:paraId="4467685F">
      <w:pPr>
        <w:pStyle w:val="85"/>
        <w:ind w:firstLine="480"/>
        <w:rPr>
          <w:kern w:val="0"/>
        </w:rPr>
      </w:pPr>
      <w:r>
        <w:rPr>
          <w:rFonts w:hint="eastAsia"/>
          <w:kern w:val="0"/>
        </w:rPr>
        <w:t>该段河道长度2.47km，两岸为农田，左岸堤防缺失较为严重，农业面源随河道径流入河。左岸为丰宁县管辖。</w:t>
      </w:r>
    </w:p>
    <w:p w14:paraId="4E1BD25D">
      <w:pPr>
        <w:pStyle w:val="20"/>
        <w:jc w:val="center"/>
        <w:rPr>
          <w:kern w:val="0"/>
        </w:rPr>
      </w:pPr>
      <w:r>
        <w:drawing>
          <wp:inline distT="0" distB="0" distL="0" distR="0">
            <wp:extent cx="2668270" cy="194754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a:srcRect l="49446"/>
                    <a:stretch>
                      <a:fillRect/>
                    </a:stretch>
                  </pic:blipFill>
                  <pic:spPr>
                    <a:xfrm>
                      <a:off x="0" y="0"/>
                      <a:ext cx="2668270" cy="1947545"/>
                    </a:xfrm>
                    <a:prstGeom prst="rect">
                      <a:avLst/>
                    </a:prstGeom>
                    <a:ln>
                      <a:noFill/>
                    </a:ln>
                  </pic:spPr>
                </pic:pic>
              </a:graphicData>
            </a:graphic>
          </wp:inline>
        </w:drawing>
      </w:r>
    </w:p>
    <w:p w14:paraId="1C620910">
      <w:pPr>
        <w:pStyle w:val="85"/>
        <w:ind w:firstLine="480"/>
        <w:rPr>
          <w:kern w:val="0"/>
        </w:rPr>
      </w:pPr>
      <w:r>
        <w:rPr>
          <w:rFonts w:hint="eastAsia"/>
          <w:kern w:val="0"/>
        </w:rPr>
        <w:t>（2）后沟门段</w:t>
      </w:r>
    </w:p>
    <w:p w14:paraId="78026507">
      <w:pPr>
        <w:pStyle w:val="85"/>
        <w:ind w:firstLine="480"/>
        <w:rPr>
          <w:kern w:val="0"/>
        </w:rPr>
      </w:pPr>
      <w:r>
        <w:rPr>
          <w:rFonts w:hint="eastAsia"/>
          <w:kern w:val="0"/>
        </w:rPr>
        <w:t>该段河道长度1.36km，左岸0.51km为山体，0.87km为农田，堤防大部分被开垦，河道淤积严重。右岸为丰宁县管辖。</w:t>
      </w:r>
    </w:p>
    <w:p w14:paraId="0EEAC2EB">
      <w:pPr>
        <w:pStyle w:val="20"/>
        <w:jc w:val="center"/>
        <w:rPr>
          <w:kern w:val="0"/>
        </w:rPr>
      </w:pPr>
      <w:r>
        <w:rPr>
          <w:rStyle w:val="69"/>
        </w:rPr>
        <w:drawing>
          <wp:inline distT="0" distB="0" distL="0" distR="0">
            <wp:extent cx="2663825" cy="1934210"/>
            <wp:effectExtent l="0" t="0" r="3175"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a:srcRect l="34086" b="32501"/>
                    <a:stretch>
                      <a:fillRect/>
                    </a:stretch>
                  </pic:blipFill>
                  <pic:spPr>
                    <a:xfrm>
                      <a:off x="0" y="0"/>
                      <a:ext cx="2664000" cy="1934690"/>
                    </a:xfrm>
                    <a:prstGeom prst="rect">
                      <a:avLst/>
                    </a:prstGeom>
                    <a:ln>
                      <a:noFill/>
                    </a:ln>
                  </pic:spPr>
                </pic:pic>
              </a:graphicData>
            </a:graphic>
          </wp:inline>
        </w:drawing>
      </w:r>
    </w:p>
    <w:p w14:paraId="5F447122">
      <w:pPr>
        <w:pStyle w:val="85"/>
        <w:ind w:firstLine="480"/>
        <w:rPr>
          <w:kern w:val="0"/>
        </w:rPr>
      </w:pPr>
      <w:r>
        <w:rPr>
          <w:rFonts w:hint="eastAsia"/>
          <w:kern w:val="0"/>
        </w:rPr>
        <w:t>（3）后沟门下游段</w:t>
      </w:r>
    </w:p>
    <w:p w14:paraId="5FB5154B">
      <w:pPr>
        <w:pStyle w:val="85"/>
        <w:ind w:firstLine="480"/>
        <w:rPr>
          <w:kern w:val="0"/>
        </w:rPr>
      </w:pPr>
      <w:r>
        <w:rPr>
          <w:rFonts w:hint="eastAsia"/>
          <w:kern w:val="0"/>
        </w:rPr>
        <w:t>该段河道长度0.3km，现状左岸堤防缺失，河床基本处于不设防状态，农田退水等外源污染极易侵入河道，造成水体污染，影响水质。右岸基本为山体。</w:t>
      </w:r>
    </w:p>
    <w:p w14:paraId="40FEC652">
      <w:pPr>
        <w:pStyle w:val="20"/>
        <w:jc w:val="center"/>
        <w:rPr>
          <w:kern w:val="0"/>
        </w:rPr>
      </w:pPr>
      <w:r>
        <w:drawing>
          <wp:inline distT="0" distB="0" distL="0" distR="0">
            <wp:extent cx="2663825" cy="166116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8"/>
                    <a:stretch>
                      <a:fillRect/>
                    </a:stretch>
                  </pic:blipFill>
                  <pic:spPr>
                    <a:xfrm>
                      <a:off x="0" y="0"/>
                      <a:ext cx="2664000" cy="1661701"/>
                    </a:xfrm>
                    <a:prstGeom prst="rect">
                      <a:avLst/>
                    </a:prstGeom>
                  </pic:spPr>
                </pic:pic>
              </a:graphicData>
            </a:graphic>
          </wp:inline>
        </w:drawing>
      </w:r>
    </w:p>
    <w:p w14:paraId="090B1D19">
      <w:pPr>
        <w:pStyle w:val="85"/>
        <w:ind w:firstLine="480"/>
        <w:rPr>
          <w:kern w:val="0"/>
        </w:rPr>
      </w:pPr>
      <w:r>
        <w:rPr>
          <w:rFonts w:hint="eastAsia"/>
          <w:kern w:val="0"/>
        </w:rPr>
        <w:t>（4）大河北村段</w:t>
      </w:r>
    </w:p>
    <w:p w14:paraId="0A67EB60">
      <w:pPr>
        <w:pStyle w:val="85"/>
        <w:ind w:firstLine="480"/>
        <w:rPr>
          <w:kern w:val="0"/>
        </w:rPr>
      </w:pPr>
      <w:r>
        <w:rPr>
          <w:rFonts w:hint="eastAsia"/>
          <w:kern w:val="0"/>
        </w:rPr>
        <w:t>该段河道长度1.65km，左岸有堤防，但是河道冲刷严重，造成地表植被缺失、水土流失。部分河段被开垦侵占，种植农作物。</w:t>
      </w:r>
    </w:p>
    <w:p w14:paraId="4FBD8A8E">
      <w:pPr>
        <w:pStyle w:val="20"/>
        <w:jc w:val="center"/>
        <w:rPr>
          <w:kern w:val="0"/>
        </w:rPr>
      </w:pPr>
      <w:r>
        <w:drawing>
          <wp:inline distT="0" distB="0" distL="0" distR="0">
            <wp:extent cx="4401820" cy="160718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9"/>
                    <a:stretch>
                      <a:fillRect/>
                    </a:stretch>
                  </pic:blipFill>
                  <pic:spPr>
                    <a:xfrm>
                      <a:off x="0" y="0"/>
                      <a:ext cx="4410823" cy="1611075"/>
                    </a:xfrm>
                    <a:prstGeom prst="rect">
                      <a:avLst/>
                    </a:prstGeom>
                  </pic:spPr>
                </pic:pic>
              </a:graphicData>
            </a:graphic>
          </wp:inline>
        </w:drawing>
      </w:r>
    </w:p>
    <w:p w14:paraId="35794AC5">
      <w:pPr>
        <w:pStyle w:val="85"/>
        <w:ind w:firstLine="480"/>
        <w:rPr>
          <w:kern w:val="0"/>
        </w:rPr>
      </w:pPr>
      <w:r>
        <w:rPr>
          <w:rFonts w:hint="eastAsia"/>
          <w:kern w:val="0"/>
        </w:rPr>
        <w:t>（5）大河北村下游段</w:t>
      </w:r>
    </w:p>
    <w:p w14:paraId="09363199">
      <w:pPr>
        <w:pStyle w:val="85"/>
        <w:ind w:firstLine="480"/>
        <w:rPr>
          <w:kern w:val="0"/>
        </w:rPr>
      </w:pPr>
      <w:r>
        <w:rPr>
          <w:rFonts w:hint="eastAsia"/>
          <w:kern w:val="0"/>
        </w:rPr>
        <w:t>该段河道长度 1km，两岸建有堤防，由于人为活动，拦截河道，同时因水力作用，河床侵蚀、植被破坏严重。</w:t>
      </w:r>
    </w:p>
    <w:p w14:paraId="7F197FBD">
      <w:pPr>
        <w:pStyle w:val="20"/>
        <w:jc w:val="center"/>
        <w:rPr>
          <w:kern w:val="0"/>
        </w:rPr>
      </w:pPr>
      <w:r>
        <w:drawing>
          <wp:inline distT="0" distB="0" distL="0" distR="0">
            <wp:extent cx="2663825" cy="2086610"/>
            <wp:effectExtent l="0" t="0" r="3175" b="889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0"/>
                    <a:srcRect l="28424" b="24126"/>
                    <a:stretch>
                      <a:fillRect/>
                    </a:stretch>
                  </pic:blipFill>
                  <pic:spPr>
                    <a:xfrm>
                      <a:off x="0" y="0"/>
                      <a:ext cx="2664000" cy="2086960"/>
                    </a:xfrm>
                    <a:prstGeom prst="rect">
                      <a:avLst/>
                    </a:prstGeom>
                    <a:ln>
                      <a:noFill/>
                    </a:ln>
                  </pic:spPr>
                </pic:pic>
              </a:graphicData>
            </a:graphic>
          </wp:inline>
        </w:drawing>
      </w:r>
    </w:p>
    <w:p w14:paraId="1046689A">
      <w:pPr>
        <w:pStyle w:val="85"/>
        <w:ind w:firstLine="482"/>
        <w:rPr>
          <w:b/>
          <w:bCs/>
          <w:kern w:val="0"/>
        </w:rPr>
      </w:pPr>
      <w:r>
        <w:rPr>
          <w:rFonts w:hint="eastAsia"/>
          <w:b/>
          <w:bCs/>
          <w:kern w:val="0"/>
        </w:rPr>
        <w:t>2、岗子川入河口至金台子川入河口段</w:t>
      </w:r>
    </w:p>
    <w:p w14:paraId="7827A7FF">
      <w:pPr>
        <w:pStyle w:val="85"/>
        <w:ind w:firstLine="480"/>
        <w:rPr>
          <w:kern w:val="0"/>
        </w:rPr>
      </w:pPr>
      <w:r>
        <w:rPr>
          <w:rFonts w:hint="eastAsia"/>
          <w:kern w:val="0"/>
        </w:rPr>
        <w:t>该段河道长4.8km，宽度40m~180m不等，整体河道较为宽阔。由于防洪标准提升至20年一遇，需对堤防按规划标准进行加高。</w:t>
      </w:r>
    </w:p>
    <w:p w14:paraId="2464C97D">
      <w:pPr>
        <w:pStyle w:val="85"/>
        <w:ind w:firstLine="480"/>
        <w:rPr>
          <w:kern w:val="0"/>
        </w:rPr>
      </w:pPr>
      <w:r>
        <w:rPr>
          <w:rFonts w:hint="eastAsia"/>
          <w:kern w:val="0"/>
        </w:rPr>
        <w:t>（1）岗子川入河口段</w:t>
      </w:r>
    </w:p>
    <w:p w14:paraId="499290F5">
      <w:pPr>
        <w:pStyle w:val="85"/>
        <w:ind w:firstLine="480"/>
        <w:rPr>
          <w:kern w:val="0"/>
        </w:rPr>
      </w:pPr>
      <w:r>
        <w:rPr>
          <w:rFonts w:hint="eastAsia"/>
          <w:kern w:val="0"/>
        </w:rPr>
        <w:t>该段河道长0.87km，河道右岸冲刷、堤防岸线受侵蚀严重，河道右岸为农田，缺少防护。</w:t>
      </w:r>
    </w:p>
    <w:p w14:paraId="16CFEAF6">
      <w:pPr>
        <w:pStyle w:val="20"/>
        <w:jc w:val="center"/>
        <w:rPr>
          <w:kern w:val="0"/>
        </w:rPr>
      </w:pPr>
      <w:r>
        <w:drawing>
          <wp:inline distT="0" distB="0" distL="0" distR="0">
            <wp:extent cx="4697730" cy="1685925"/>
            <wp:effectExtent l="0" t="0" r="762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1"/>
                    <a:stretch>
                      <a:fillRect/>
                    </a:stretch>
                  </pic:blipFill>
                  <pic:spPr>
                    <a:xfrm>
                      <a:off x="0" y="0"/>
                      <a:ext cx="4700302" cy="1686838"/>
                    </a:xfrm>
                    <a:prstGeom prst="rect">
                      <a:avLst/>
                    </a:prstGeom>
                  </pic:spPr>
                </pic:pic>
              </a:graphicData>
            </a:graphic>
          </wp:inline>
        </w:drawing>
      </w:r>
    </w:p>
    <w:p w14:paraId="41759EAF">
      <w:pPr>
        <w:pStyle w:val="85"/>
        <w:ind w:firstLine="480"/>
        <w:rPr>
          <w:kern w:val="0"/>
        </w:rPr>
      </w:pPr>
      <w:r>
        <w:rPr>
          <w:rFonts w:hint="eastAsia"/>
          <w:kern w:val="0"/>
        </w:rPr>
        <w:t>（2）西红旗至金台子入河段</w:t>
      </w:r>
    </w:p>
    <w:p w14:paraId="585565B5">
      <w:pPr>
        <w:pStyle w:val="85"/>
        <w:ind w:firstLine="480"/>
        <w:rPr>
          <w:kern w:val="0"/>
        </w:rPr>
      </w:pPr>
      <w:r>
        <w:rPr>
          <w:rFonts w:hint="eastAsia"/>
          <w:kern w:val="0"/>
        </w:rPr>
        <w:t>该段河道长度3.15km，河道生态环境相对较好，左岸基本为山体，右岸堤防相对完整，河道内动植物丰富。有部分河段植物缺失。</w:t>
      </w:r>
    </w:p>
    <w:p w14:paraId="5F2BAB31">
      <w:pPr>
        <w:pStyle w:val="20"/>
        <w:jc w:val="center"/>
        <w:rPr>
          <w:kern w:val="0"/>
        </w:rPr>
      </w:pPr>
      <w:r>
        <w:drawing>
          <wp:inline distT="0" distB="0" distL="0" distR="0">
            <wp:extent cx="4457700" cy="28098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2"/>
                    <a:stretch>
                      <a:fillRect/>
                    </a:stretch>
                  </pic:blipFill>
                  <pic:spPr>
                    <a:xfrm>
                      <a:off x="0" y="0"/>
                      <a:ext cx="4457700" cy="2809875"/>
                    </a:xfrm>
                    <a:prstGeom prst="rect">
                      <a:avLst/>
                    </a:prstGeom>
                  </pic:spPr>
                </pic:pic>
              </a:graphicData>
            </a:graphic>
          </wp:inline>
        </w:drawing>
      </w:r>
    </w:p>
    <w:p w14:paraId="295359DC">
      <w:pPr>
        <w:pStyle w:val="85"/>
        <w:ind w:firstLine="480"/>
        <w:rPr>
          <w:kern w:val="0"/>
        </w:rPr>
      </w:pPr>
    </w:p>
    <w:p w14:paraId="60297A69">
      <w:pPr>
        <w:pStyle w:val="85"/>
        <w:ind w:firstLine="480"/>
        <w:rPr>
          <w:kern w:val="0"/>
        </w:rPr>
        <w:sectPr>
          <w:pgSz w:w="11906" w:h="16838"/>
          <w:pgMar w:top="1724" w:right="1797" w:bottom="2007" w:left="1797" w:header="1417" w:footer="1162" w:gutter="0"/>
          <w:pgNumType w:fmt="numberInDash"/>
          <w:cols w:space="425" w:num="1"/>
          <w:docGrid w:type="lines" w:linePitch="312" w:charSpace="0"/>
        </w:sectPr>
      </w:pPr>
    </w:p>
    <w:p w14:paraId="24F8D231">
      <w:pPr>
        <w:pStyle w:val="4"/>
        <w:rPr>
          <w:kern w:val="0"/>
        </w:rPr>
      </w:pPr>
      <w:r>
        <w:rPr>
          <w:rFonts w:hint="eastAsia"/>
          <w:kern w:val="0"/>
        </w:rPr>
        <w:t>水生</w:t>
      </w:r>
      <w:r>
        <w:rPr>
          <w:kern w:val="0"/>
        </w:rPr>
        <w:t>生态现状调查</w:t>
      </w:r>
    </w:p>
    <w:p w14:paraId="78A477BE">
      <w:pPr>
        <w:spacing w:line="360" w:lineRule="auto"/>
        <w:ind w:firstLine="480" w:firstLineChars="200"/>
        <w:rPr>
          <w:kern w:val="0"/>
          <w:sz w:val="24"/>
          <w:szCs w:val="21"/>
        </w:rPr>
      </w:pPr>
      <w:r>
        <w:rPr>
          <w:rFonts w:hint="eastAsia"/>
          <w:kern w:val="0"/>
          <w:sz w:val="24"/>
          <w:szCs w:val="21"/>
        </w:rPr>
        <w:t>评价单位于202</w:t>
      </w:r>
      <w:r>
        <w:rPr>
          <w:kern w:val="0"/>
          <w:sz w:val="24"/>
          <w:szCs w:val="21"/>
        </w:rPr>
        <w:t>5</w:t>
      </w:r>
      <w:r>
        <w:rPr>
          <w:rFonts w:hint="eastAsia"/>
          <w:kern w:val="0"/>
          <w:sz w:val="24"/>
          <w:szCs w:val="21"/>
        </w:rPr>
        <w:t>年</w:t>
      </w:r>
      <w:r>
        <w:rPr>
          <w:kern w:val="0"/>
          <w:sz w:val="24"/>
          <w:szCs w:val="21"/>
        </w:rPr>
        <w:t>5</w:t>
      </w:r>
      <w:r>
        <w:rPr>
          <w:rFonts w:hint="eastAsia"/>
          <w:kern w:val="0"/>
          <w:sz w:val="24"/>
          <w:szCs w:val="21"/>
        </w:rPr>
        <w:t>月对评价区开展了调查。调查内容依据《环境影响评价技术导则  生态影响》（HJ 19-2022）及水生生态调查相关技术要求确定。其中水生生物野外调查方法主要参考《生物多样性观测技术导则  内陆水域鱼类》（HJ710.7-2014）、《渔业生态环境监测规范第3部分：淡水》（SCT9102.3</w:t>
      </w:r>
      <w:r>
        <w:rPr>
          <w:kern w:val="0"/>
          <w:sz w:val="24"/>
          <w:szCs w:val="21"/>
        </w:rPr>
        <w:t>-2007</w:t>
      </w:r>
      <w:r>
        <w:rPr>
          <w:rFonts w:hint="eastAsia"/>
          <w:kern w:val="0"/>
          <w:sz w:val="24"/>
          <w:szCs w:val="21"/>
        </w:rPr>
        <w:t>）、《淡水渔业资源调查规划河流》（SC/T9429-2019）进行。</w:t>
      </w:r>
    </w:p>
    <w:p w14:paraId="58929AF9">
      <w:pPr>
        <w:spacing w:line="360" w:lineRule="auto"/>
        <w:ind w:firstLine="480" w:firstLineChars="200"/>
        <w:rPr>
          <w:kern w:val="0"/>
          <w:sz w:val="24"/>
          <w:szCs w:val="21"/>
        </w:rPr>
      </w:pPr>
      <w:r>
        <w:rPr>
          <w:rFonts w:hint="eastAsia"/>
          <w:kern w:val="0"/>
          <w:sz w:val="24"/>
          <w:szCs w:val="21"/>
        </w:rPr>
        <w:t>根据调查，并查阅潮河流域相关水生生态资料，确定流域主要水生生物类型。</w:t>
      </w:r>
    </w:p>
    <w:p w14:paraId="0B50327A">
      <w:pPr>
        <w:pStyle w:val="5"/>
        <w:rPr>
          <w:kern w:val="0"/>
        </w:rPr>
      </w:pPr>
      <w:r>
        <w:rPr>
          <w:rFonts w:hint="eastAsia"/>
          <w:kern w:val="0"/>
        </w:rPr>
        <w:t>浮游生物</w:t>
      </w:r>
    </w:p>
    <w:p w14:paraId="1EAD3B01">
      <w:pPr>
        <w:pStyle w:val="85"/>
        <w:ind w:firstLine="480"/>
      </w:pPr>
      <w:r>
        <w:t>1、浮游生物</w:t>
      </w:r>
    </w:p>
    <w:p w14:paraId="76BD502E">
      <w:pPr>
        <w:pStyle w:val="85"/>
        <w:ind w:firstLine="480"/>
      </w:pPr>
      <w:r>
        <w:t>根据现有资料收集，</w:t>
      </w:r>
      <w:r>
        <w:rPr>
          <w:rFonts w:hint="eastAsia"/>
          <w:kern w:val="0"/>
          <w:szCs w:val="21"/>
        </w:rPr>
        <w:t>潮</w:t>
      </w:r>
      <w:r>
        <w:t>河流域中涉及浮游植物4门类，31种属，其中硅藻门（Bacillariophyta）16种属，占51.61%；绿藻门（Chlorophyta）11种属，占35.48%；蓝藻门（Cyanophyta）3种属，占9.68%；隐藻门（Cryptophyta）1种属，占3.23%；主要浮游植物包括菱形藻（</w:t>
      </w:r>
      <w:r>
        <w:rPr>
          <w:i/>
          <w:iCs/>
        </w:rPr>
        <w:t>Nitzschia</w:t>
      </w:r>
      <w:r>
        <w:t>）、羽纹藻（</w:t>
      </w:r>
      <w:r>
        <w:rPr>
          <w:i/>
          <w:iCs/>
        </w:rPr>
        <w:t>Pinnularia</w:t>
      </w:r>
      <w:r>
        <w:t>）、辐节藻（</w:t>
      </w:r>
      <w:r>
        <w:rPr>
          <w:i/>
          <w:iCs/>
        </w:rPr>
        <w:t>Stauroneis</w:t>
      </w:r>
      <w:r>
        <w:t>）、小球藻（</w:t>
      </w:r>
      <w:r>
        <w:rPr>
          <w:i/>
          <w:iCs/>
        </w:rPr>
        <w:t>Chlorella</w:t>
      </w:r>
      <w:r>
        <w:t>）等。</w:t>
      </w:r>
      <w:r>
        <w:rPr>
          <w:rFonts w:hint="eastAsia"/>
          <w:kern w:val="0"/>
          <w:szCs w:val="21"/>
        </w:rPr>
        <w:t>潮</w:t>
      </w:r>
      <w:r>
        <w:t>河流域中涉及浮游动物4类27个种属，其中原生动物最多，为12种属，占44.4%；轮虫和枝角类次之，各有6种属，各占22.2%；桡足类3种属，占11.1%。原生动物生物种类丰富，轮虫类、桡足类和枝角类则较少；主要浮游动物包括筒壳虫（</w:t>
      </w:r>
      <w:r>
        <w:rPr>
          <w:i/>
          <w:iCs/>
        </w:rPr>
        <w:t>Tintinnidium</w:t>
      </w:r>
      <w:r>
        <w:t>）、沙壳虫（</w:t>
      </w:r>
      <w:r>
        <w:rPr>
          <w:i/>
          <w:iCs/>
        </w:rPr>
        <w:t>Tintinnid</w:t>
      </w:r>
      <w:r>
        <w:t>）、象鼻溞（</w:t>
      </w:r>
      <w:r>
        <w:rPr>
          <w:i/>
          <w:iCs/>
        </w:rPr>
        <w:t>Bosmina</w:t>
      </w:r>
      <w:r>
        <w:t>）等。</w:t>
      </w:r>
    </w:p>
    <w:p w14:paraId="57B9E51A">
      <w:pPr>
        <w:pStyle w:val="229"/>
      </w:pPr>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t>27</w:t>
      </w:r>
      <w:r>
        <w:fldChar w:fldCharType="end"/>
      </w:r>
      <w:r>
        <w:t xml:space="preserve">  </w:t>
      </w:r>
      <w:r>
        <w:rPr>
          <w:rFonts w:hint="eastAsia"/>
        </w:rPr>
        <w:t>评价区主要浮游生物名录</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701"/>
        <w:gridCol w:w="1701"/>
        <w:gridCol w:w="1701"/>
        <w:gridCol w:w="1928"/>
      </w:tblGrid>
      <w:tr w14:paraId="1771B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19701F8">
            <w:pPr>
              <w:pStyle w:val="307"/>
            </w:pPr>
            <w:r>
              <w:rPr>
                <w:rFonts w:hint="eastAsia"/>
              </w:rPr>
              <w:t>序号</w:t>
            </w:r>
          </w:p>
        </w:tc>
        <w:tc>
          <w:tcPr>
            <w:tcW w:w="1701" w:type="dxa"/>
          </w:tcPr>
          <w:p w14:paraId="693353AB">
            <w:pPr>
              <w:pStyle w:val="307"/>
            </w:pPr>
            <w:r>
              <w:rPr>
                <w:rFonts w:hint="eastAsia"/>
              </w:rPr>
              <w:t>科</w:t>
            </w:r>
          </w:p>
        </w:tc>
        <w:tc>
          <w:tcPr>
            <w:tcW w:w="1701" w:type="dxa"/>
          </w:tcPr>
          <w:p w14:paraId="711DB962">
            <w:pPr>
              <w:pStyle w:val="307"/>
            </w:pPr>
            <w:r>
              <w:rPr>
                <w:rFonts w:hint="eastAsia"/>
              </w:rPr>
              <w:t>属</w:t>
            </w:r>
          </w:p>
        </w:tc>
        <w:tc>
          <w:tcPr>
            <w:tcW w:w="1701" w:type="dxa"/>
          </w:tcPr>
          <w:p w14:paraId="1C5DE4E2">
            <w:pPr>
              <w:pStyle w:val="307"/>
            </w:pPr>
            <w:r>
              <w:rPr>
                <w:rFonts w:hint="eastAsia"/>
              </w:rPr>
              <w:t>种</w:t>
            </w:r>
          </w:p>
        </w:tc>
        <w:tc>
          <w:tcPr>
            <w:tcW w:w="1928" w:type="dxa"/>
          </w:tcPr>
          <w:p w14:paraId="59226461">
            <w:pPr>
              <w:pStyle w:val="307"/>
            </w:pPr>
            <w:r>
              <w:rPr>
                <w:rFonts w:hint="eastAsia"/>
              </w:rPr>
              <w:t>拉丁学名</w:t>
            </w:r>
          </w:p>
        </w:tc>
      </w:tr>
      <w:tr w14:paraId="676BD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gridSpan w:val="5"/>
          </w:tcPr>
          <w:p w14:paraId="7FD9F3D3">
            <w:pPr>
              <w:pStyle w:val="307"/>
            </w:pPr>
            <w:r>
              <w:rPr>
                <w:rFonts w:hint="eastAsia"/>
              </w:rPr>
              <w:t>浮游植物</w:t>
            </w:r>
          </w:p>
        </w:tc>
      </w:tr>
      <w:tr w14:paraId="62D90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EBA52A0">
            <w:pPr>
              <w:pStyle w:val="307"/>
            </w:pPr>
            <w:r>
              <w:rPr>
                <w:rFonts w:hint="eastAsia"/>
              </w:rPr>
              <w:t>1</w:t>
            </w:r>
          </w:p>
        </w:tc>
        <w:tc>
          <w:tcPr>
            <w:tcW w:w="1701" w:type="dxa"/>
          </w:tcPr>
          <w:p w14:paraId="3D008085">
            <w:pPr>
              <w:pStyle w:val="307"/>
            </w:pPr>
            <w:r>
              <w:rPr>
                <w:rFonts w:hint="eastAsia"/>
              </w:rPr>
              <w:t>金藻科</w:t>
            </w:r>
          </w:p>
        </w:tc>
        <w:tc>
          <w:tcPr>
            <w:tcW w:w="1701" w:type="dxa"/>
          </w:tcPr>
          <w:p w14:paraId="574F313A">
            <w:pPr>
              <w:pStyle w:val="307"/>
            </w:pPr>
            <w:r>
              <w:rPr>
                <w:rFonts w:hint="eastAsia"/>
              </w:rPr>
              <w:t>金藻属</w:t>
            </w:r>
          </w:p>
        </w:tc>
        <w:tc>
          <w:tcPr>
            <w:tcW w:w="1701" w:type="dxa"/>
          </w:tcPr>
          <w:p w14:paraId="14205FC8">
            <w:pPr>
              <w:pStyle w:val="307"/>
            </w:pPr>
            <w:r>
              <w:rPr>
                <w:rFonts w:hint="eastAsia"/>
              </w:rPr>
              <w:t>单鞭金藻</w:t>
            </w:r>
          </w:p>
        </w:tc>
        <w:tc>
          <w:tcPr>
            <w:tcW w:w="1928" w:type="dxa"/>
          </w:tcPr>
          <w:p w14:paraId="390729BD">
            <w:pPr>
              <w:pStyle w:val="307"/>
              <w:rPr>
                <w:i/>
                <w:iCs/>
              </w:rPr>
            </w:pPr>
            <w:r>
              <w:rPr>
                <w:i/>
                <w:iCs/>
              </w:rPr>
              <w:t>Chrysophyta</w:t>
            </w:r>
          </w:p>
        </w:tc>
      </w:tr>
      <w:tr w14:paraId="25A9E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AD4E071">
            <w:pPr>
              <w:pStyle w:val="307"/>
            </w:pPr>
            <w:r>
              <w:rPr>
                <w:rFonts w:hint="eastAsia"/>
              </w:rPr>
              <w:t>2</w:t>
            </w:r>
          </w:p>
        </w:tc>
        <w:tc>
          <w:tcPr>
            <w:tcW w:w="1701" w:type="dxa"/>
          </w:tcPr>
          <w:p w14:paraId="13B328AB">
            <w:pPr>
              <w:pStyle w:val="307"/>
            </w:pPr>
            <w:r>
              <w:rPr>
                <w:rFonts w:hint="eastAsia"/>
              </w:rPr>
              <w:t>菱形藻科</w:t>
            </w:r>
          </w:p>
        </w:tc>
        <w:tc>
          <w:tcPr>
            <w:tcW w:w="1701" w:type="dxa"/>
          </w:tcPr>
          <w:p w14:paraId="5B2BE4E3">
            <w:pPr>
              <w:pStyle w:val="307"/>
            </w:pPr>
            <w:r>
              <w:rPr>
                <w:rFonts w:hint="eastAsia"/>
              </w:rPr>
              <w:t>菱形藻属</w:t>
            </w:r>
          </w:p>
        </w:tc>
        <w:tc>
          <w:tcPr>
            <w:tcW w:w="1701" w:type="dxa"/>
          </w:tcPr>
          <w:p w14:paraId="3DF8BE38">
            <w:pPr>
              <w:pStyle w:val="307"/>
            </w:pPr>
            <w:r>
              <w:rPr>
                <w:rFonts w:hint="eastAsia"/>
              </w:rPr>
              <w:t>菱形藻</w:t>
            </w:r>
          </w:p>
        </w:tc>
        <w:tc>
          <w:tcPr>
            <w:tcW w:w="1928" w:type="dxa"/>
          </w:tcPr>
          <w:p w14:paraId="0AA63773">
            <w:pPr>
              <w:pStyle w:val="307"/>
              <w:rPr>
                <w:i/>
                <w:iCs/>
              </w:rPr>
            </w:pPr>
            <w:r>
              <w:rPr>
                <w:i/>
                <w:iCs/>
              </w:rPr>
              <w:t>Nitzschia</w:t>
            </w:r>
          </w:p>
        </w:tc>
      </w:tr>
      <w:tr w14:paraId="0D266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205775E">
            <w:pPr>
              <w:pStyle w:val="307"/>
            </w:pPr>
            <w:r>
              <w:rPr>
                <w:rFonts w:hint="eastAsia"/>
              </w:rPr>
              <w:t>3</w:t>
            </w:r>
          </w:p>
        </w:tc>
        <w:tc>
          <w:tcPr>
            <w:tcW w:w="1701" w:type="dxa"/>
          </w:tcPr>
          <w:p w14:paraId="26C1060D">
            <w:pPr>
              <w:pStyle w:val="307"/>
            </w:pPr>
            <w:r>
              <w:rPr>
                <w:rFonts w:hint="eastAsia"/>
              </w:rPr>
              <w:t>舟形藻科</w:t>
            </w:r>
          </w:p>
        </w:tc>
        <w:tc>
          <w:tcPr>
            <w:tcW w:w="1701" w:type="dxa"/>
          </w:tcPr>
          <w:p w14:paraId="5611DD57">
            <w:pPr>
              <w:pStyle w:val="307"/>
            </w:pPr>
            <w:r>
              <w:rPr>
                <w:rFonts w:hint="eastAsia"/>
              </w:rPr>
              <w:t>羽纹藻属</w:t>
            </w:r>
          </w:p>
        </w:tc>
        <w:tc>
          <w:tcPr>
            <w:tcW w:w="1701" w:type="dxa"/>
          </w:tcPr>
          <w:p w14:paraId="0665416E">
            <w:pPr>
              <w:pStyle w:val="307"/>
            </w:pPr>
            <w:r>
              <w:rPr>
                <w:rFonts w:hint="eastAsia"/>
              </w:rPr>
              <w:t>羽纹藻</w:t>
            </w:r>
          </w:p>
        </w:tc>
        <w:tc>
          <w:tcPr>
            <w:tcW w:w="1928" w:type="dxa"/>
          </w:tcPr>
          <w:p w14:paraId="758BBEDF">
            <w:pPr>
              <w:pStyle w:val="307"/>
              <w:rPr>
                <w:i/>
                <w:iCs/>
              </w:rPr>
            </w:pPr>
            <w:r>
              <w:rPr>
                <w:i/>
                <w:iCs/>
              </w:rPr>
              <w:t>Pinnularia</w:t>
            </w:r>
          </w:p>
        </w:tc>
      </w:tr>
      <w:tr w14:paraId="00CF8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64DE2AE">
            <w:pPr>
              <w:pStyle w:val="307"/>
            </w:pPr>
            <w:r>
              <w:rPr>
                <w:rFonts w:hint="eastAsia"/>
              </w:rPr>
              <w:t>4</w:t>
            </w:r>
          </w:p>
        </w:tc>
        <w:tc>
          <w:tcPr>
            <w:tcW w:w="1701" w:type="dxa"/>
          </w:tcPr>
          <w:p w14:paraId="44FDE4F5">
            <w:pPr>
              <w:pStyle w:val="307"/>
            </w:pPr>
            <w:r>
              <w:rPr>
                <w:rFonts w:hint="eastAsia"/>
              </w:rPr>
              <w:t>舟形藻科</w:t>
            </w:r>
          </w:p>
        </w:tc>
        <w:tc>
          <w:tcPr>
            <w:tcW w:w="1701" w:type="dxa"/>
          </w:tcPr>
          <w:p w14:paraId="5B456A3D">
            <w:pPr>
              <w:pStyle w:val="307"/>
            </w:pPr>
            <w:r>
              <w:rPr>
                <w:rFonts w:hint="eastAsia"/>
              </w:rPr>
              <w:t>辐节藻属</w:t>
            </w:r>
          </w:p>
        </w:tc>
        <w:tc>
          <w:tcPr>
            <w:tcW w:w="1701" w:type="dxa"/>
          </w:tcPr>
          <w:p w14:paraId="11097AD5">
            <w:pPr>
              <w:pStyle w:val="307"/>
            </w:pPr>
            <w:r>
              <w:rPr>
                <w:rFonts w:hint="eastAsia"/>
              </w:rPr>
              <w:t>辐节藻</w:t>
            </w:r>
          </w:p>
        </w:tc>
        <w:tc>
          <w:tcPr>
            <w:tcW w:w="1928" w:type="dxa"/>
          </w:tcPr>
          <w:p w14:paraId="33B9FA99">
            <w:pPr>
              <w:pStyle w:val="307"/>
              <w:rPr>
                <w:i/>
                <w:iCs/>
              </w:rPr>
            </w:pPr>
            <w:r>
              <w:rPr>
                <w:i/>
                <w:iCs/>
              </w:rPr>
              <w:t>Stauroneis</w:t>
            </w:r>
          </w:p>
        </w:tc>
      </w:tr>
      <w:tr w14:paraId="123BC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gridSpan w:val="5"/>
          </w:tcPr>
          <w:p w14:paraId="33CB1D9C">
            <w:pPr>
              <w:pStyle w:val="307"/>
            </w:pPr>
            <w:r>
              <w:t>浮游动物</w:t>
            </w:r>
          </w:p>
        </w:tc>
      </w:tr>
      <w:tr w14:paraId="6DA62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99777F7">
            <w:pPr>
              <w:pStyle w:val="307"/>
            </w:pPr>
            <w:r>
              <w:rPr>
                <w:rFonts w:hint="eastAsia"/>
              </w:rPr>
              <w:t>1</w:t>
            </w:r>
          </w:p>
        </w:tc>
        <w:tc>
          <w:tcPr>
            <w:tcW w:w="1701" w:type="dxa"/>
          </w:tcPr>
          <w:p w14:paraId="62E1F9BC">
            <w:pPr>
              <w:pStyle w:val="307"/>
            </w:pPr>
            <w:r>
              <w:rPr>
                <w:rFonts w:hint="eastAsia"/>
              </w:rPr>
              <w:t>钟虫科</w:t>
            </w:r>
          </w:p>
        </w:tc>
        <w:tc>
          <w:tcPr>
            <w:tcW w:w="1701" w:type="dxa"/>
          </w:tcPr>
          <w:p w14:paraId="12368FEE">
            <w:pPr>
              <w:pStyle w:val="307"/>
            </w:pPr>
            <w:r>
              <w:rPr>
                <w:rFonts w:hint="eastAsia"/>
              </w:rPr>
              <w:t>钟虫属</w:t>
            </w:r>
          </w:p>
        </w:tc>
        <w:tc>
          <w:tcPr>
            <w:tcW w:w="1701" w:type="dxa"/>
          </w:tcPr>
          <w:p w14:paraId="523C6B89">
            <w:pPr>
              <w:pStyle w:val="307"/>
            </w:pPr>
            <w:r>
              <w:rPr>
                <w:rFonts w:hint="eastAsia"/>
              </w:rPr>
              <w:t>八钟虫</w:t>
            </w:r>
          </w:p>
        </w:tc>
        <w:tc>
          <w:tcPr>
            <w:tcW w:w="1928" w:type="dxa"/>
          </w:tcPr>
          <w:p w14:paraId="72F64AF2">
            <w:pPr>
              <w:pStyle w:val="307"/>
              <w:rPr>
                <w:i/>
                <w:iCs/>
              </w:rPr>
            </w:pPr>
            <w:r>
              <w:rPr>
                <w:i/>
                <w:iCs/>
              </w:rPr>
              <w:t>Vorticella octava</w:t>
            </w:r>
          </w:p>
        </w:tc>
      </w:tr>
      <w:tr w14:paraId="0D27A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9398846">
            <w:pPr>
              <w:pStyle w:val="307"/>
            </w:pPr>
            <w:r>
              <w:rPr>
                <w:rFonts w:hint="eastAsia"/>
              </w:rPr>
              <w:t>2</w:t>
            </w:r>
          </w:p>
        </w:tc>
        <w:tc>
          <w:tcPr>
            <w:tcW w:w="1701" w:type="dxa"/>
          </w:tcPr>
          <w:p w14:paraId="4F2D9AB4">
            <w:pPr>
              <w:pStyle w:val="307"/>
            </w:pPr>
            <w:r>
              <w:rPr>
                <w:rFonts w:hint="eastAsia"/>
              </w:rPr>
              <w:t>沙壳虫科</w:t>
            </w:r>
          </w:p>
        </w:tc>
        <w:tc>
          <w:tcPr>
            <w:tcW w:w="1701" w:type="dxa"/>
          </w:tcPr>
          <w:p w14:paraId="2394CADA">
            <w:pPr>
              <w:pStyle w:val="307"/>
            </w:pPr>
            <w:r>
              <w:rPr>
                <w:rFonts w:hint="eastAsia"/>
              </w:rPr>
              <w:t>沙壳虫属</w:t>
            </w:r>
          </w:p>
        </w:tc>
        <w:tc>
          <w:tcPr>
            <w:tcW w:w="1701" w:type="dxa"/>
          </w:tcPr>
          <w:p w14:paraId="1E36D069">
            <w:pPr>
              <w:pStyle w:val="307"/>
            </w:pPr>
            <w:r>
              <w:rPr>
                <w:rFonts w:hint="eastAsia"/>
              </w:rPr>
              <w:t>沙壳虫</w:t>
            </w:r>
          </w:p>
        </w:tc>
        <w:tc>
          <w:tcPr>
            <w:tcW w:w="1928" w:type="dxa"/>
          </w:tcPr>
          <w:p w14:paraId="37E5FD00">
            <w:pPr>
              <w:pStyle w:val="307"/>
              <w:rPr>
                <w:i/>
                <w:iCs/>
              </w:rPr>
            </w:pPr>
            <w:r>
              <w:rPr>
                <w:i/>
                <w:iCs/>
              </w:rPr>
              <w:t>Tintinnid</w:t>
            </w:r>
          </w:p>
        </w:tc>
      </w:tr>
      <w:tr w14:paraId="6D0B9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623298A">
            <w:pPr>
              <w:pStyle w:val="307"/>
            </w:pPr>
            <w:r>
              <w:rPr>
                <w:rFonts w:hint="eastAsia"/>
              </w:rPr>
              <w:t>3</w:t>
            </w:r>
          </w:p>
        </w:tc>
        <w:tc>
          <w:tcPr>
            <w:tcW w:w="1701" w:type="dxa"/>
          </w:tcPr>
          <w:p w14:paraId="4DFD7A9C">
            <w:pPr>
              <w:pStyle w:val="307"/>
            </w:pPr>
            <w:r>
              <w:rPr>
                <w:rFonts w:hint="eastAsia"/>
              </w:rPr>
              <w:t>凹口科</w:t>
            </w:r>
          </w:p>
        </w:tc>
        <w:tc>
          <w:tcPr>
            <w:tcW w:w="1701" w:type="dxa"/>
          </w:tcPr>
          <w:p w14:paraId="10558698">
            <w:pPr>
              <w:pStyle w:val="307"/>
            </w:pPr>
            <w:r>
              <w:rPr>
                <w:rFonts w:hint="eastAsia"/>
              </w:rPr>
              <w:t>小瓜虫属</w:t>
            </w:r>
          </w:p>
        </w:tc>
        <w:tc>
          <w:tcPr>
            <w:tcW w:w="1701" w:type="dxa"/>
          </w:tcPr>
          <w:p w14:paraId="3C19397B">
            <w:pPr>
              <w:pStyle w:val="307"/>
            </w:pPr>
            <w:r>
              <w:rPr>
                <w:rFonts w:hint="eastAsia"/>
              </w:rPr>
              <w:t>瓜形虫</w:t>
            </w:r>
          </w:p>
        </w:tc>
        <w:tc>
          <w:tcPr>
            <w:tcW w:w="1928" w:type="dxa"/>
          </w:tcPr>
          <w:p w14:paraId="2EBEE95E">
            <w:pPr>
              <w:pStyle w:val="307"/>
              <w:rPr>
                <w:i/>
                <w:iCs/>
              </w:rPr>
            </w:pPr>
            <w:r>
              <w:rPr>
                <w:i/>
                <w:iCs/>
              </w:rPr>
              <w:t>Cyclidium citrullus</w:t>
            </w:r>
          </w:p>
        </w:tc>
      </w:tr>
      <w:tr w14:paraId="7CAAE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FF2447E">
            <w:pPr>
              <w:pStyle w:val="307"/>
            </w:pPr>
            <w:r>
              <w:rPr>
                <w:rFonts w:hint="eastAsia"/>
              </w:rPr>
              <w:t>4</w:t>
            </w:r>
          </w:p>
        </w:tc>
        <w:tc>
          <w:tcPr>
            <w:tcW w:w="1701" w:type="dxa"/>
          </w:tcPr>
          <w:p w14:paraId="3C3A98AC">
            <w:pPr>
              <w:pStyle w:val="307"/>
            </w:pPr>
            <w:r>
              <w:rPr>
                <w:rFonts w:hint="eastAsia"/>
              </w:rPr>
              <w:t>蚧科</w:t>
            </w:r>
          </w:p>
        </w:tc>
        <w:tc>
          <w:tcPr>
            <w:tcW w:w="1701" w:type="dxa"/>
          </w:tcPr>
          <w:p w14:paraId="2EFFE4EA">
            <w:pPr>
              <w:pStyle w:val="307"/>
            </w:pPr>
            <w:r>
              <w:rPr>
                <w:rFonts w:hint="eastAsia"/>
              </w:rPr>
              <w:t>筒壳属</w:t>
            </w:r>
          </w:p>
        </w:tc>
        <w:tc>
          <w:tcPr>
            <w:tcW w:w="1701" w:type="dxa"/>
          </w:tcPr>
          <w:p w14:paraId="29FDA419">
            <w:pPr>
              <w:pStyle w:val="307"/>
            </w:pPr>
            <w:r>
              <w:rPr>
                <w:rFonts w:hint="eastAsia"/>
              </w:rPr>
              <w:t>筒壳虫</w:t>
            </w:r>
          </w:p>
        </w:tc>
        <w:tc>
          <w:tcPr>
            <w:tcW w:w="1928" w:type="dxa"/>
          </w:tcPr>
          <w:p w14:paraId="028D2AAD">
            <w:pPr>
              <w:pStyle w:val="307"/>
              <w:rPr>
                <w:i/>
                <w:iCs/>
              </w:rPr>
            </w:pPr>
            <w:r>
              <w:rPr>
                <w:i/>
                <w:iCs/>
              </w:rPr>
              <w:t>Tintinnidium</w:t>
            </w:r>
          </w:p>
        </w:tc>
      </w:tr>
      <w:tr w14:paraId="09709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4AAA574">
            <w:pPr>
              <w:pStyle w:val="307"/>
            </w:pPr>
            <w:r>
              <w:rPr>
                <w:rFonts w:hint="eastAsia"/>
              </w:rPr>
              <w:t>5</w:t>
            </w:r>
          </w:p>
        </w:tc>
        <w:tc>
          <w:tcPr>
            <w:tcW w:w="1701" w:type="dxa"/>
          </w:tcPr>
          <w:p w14:paraId="619A2D21">
            <w:pPr>
              <w:pStyle w:val="307"/>
            </w:pPr>
            <w:r>
              <w:rPr>
                <w:rFonts w:hint="eastAsia"/>
              </w:rPr>
              <w:t>象鼻溞科</w:t>
            </w:r>
          </w:p>
        </w:tc>
        <w:tc>
          <w:tcPr>
            <w:tcW w:w="1701" w:type="dxa"/>
          </w:tcPr>
          <w:p w14:paraId="72C22A98">
            <w:pPr>
              <w:pStyle w:val="307"/>
            </w:pPr>
            <w:r>
              <w:rPr>
                <w:rFonts w:hint="eastAsia"/>
              </w:rPr>
              <w:t>象鼻溞属</w:t>
            </w:r>
          </w:p>
        </w:tc>
        <w:tc>
          <w:tcPr>
            <w:tcW w:w="1701" w:type="dxa"/>
          </w:tcPr>
          <w:p w14:paraId="1DE900BB">
            <w:pPr>
              <w:pStyle w:val="307"/>
            </w:pPr>
            <w:r>
              <w:rPr>
                <w:rFonts w:hint="eastAsia"/>
              </w:rPr>
              <w:t>象鼻溞</w:t>
            </w:r>
          </w:p>
        </w:tc>
        <w:tc>
          <w:tcPr>
            <w:tcW w:w="1928" w:type="dxa"/>
          </w:tcPr>
          <w:p w14:paraId="0ECDD4FC">
            <w:pPr>
              <w:pStyle w:val="307"/>
              <w:rPr>
                <w:i/>
                <w:iCs/>
              </w:rPr>
            </w:pPr>
            <w:r>
              <w:rPr>
                <w:i/>
                <w:iCs/>
              </w:rPr>
              <w:t>Bosmina</w:t>
            </w:r>
          </w:p>
        </w:tc>
      </w:tr>
      <w:tr w14:paraId="79105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ECCDD14">
            <w:pPr>
              <w:pStyle w:val="307"/>
            </w:pPr>
            <w:r>
              <w:rPr>
                <w:rFonts w:hint="eastAsia"/>
              </w:rPr>
              <w:t>6</w:t>
            </w:r>
          </w:p>
        </w:tc>
        <w:tc>
          <w:tcPr>
            <w:tcW w:w="1701" w:type="dxa"/>
          </w:tcPr>
          <w:p w14:paraId="544A2D45">
            <w:pPr>
              <w:pStyle w:val="307"/>
            </w:pPr>
            <w:r>
              <w:rPr>
                <w:rFonts w:hint="eastAsia"/>
              </w:rPr>
              <w:t>圆筛藻科</w:t>
            </w:r>
          </w:p>
        </w:tc>
        <w:tc>
          <w:tcPr>
            <w:tcW w:w="1701" w:type="dxa"/>
          </w:tcPr>
          <w:p w14:paraId="3CB78436">
            <w:pPr>
              <w:pStyle w:val="307"/>
            </w:pPr>
            <w:r>
              <w:rPr>
                <w:rFonts w:hint="eastAsia"/>
              </w:rPr>
              <w:t>小环藻属</w:t>
            </w:r>
          </w:p>
        </w:tc>
        <w:tc>
          <w:tcPr>
            <w:tcW w:w="1701" w:type="dxa"/>
          </w:tcPr>
          <w:p w14:paraId="6757E4C8">
            <w:pPr>
              <w:pStyle w:val="307"/>
            </w:pPr>
            <w:r>
              <w:rPr>
                <w:rFonts w:hint="eastAsia"/>
              </w:rPr>
              <w:t>小环藻</w:t>
            </w:r>
          </w:p>
        </w:tc>
        <w:tc>
          <w:tcPr>
            <w:tcW w:w="1928" w:type="dxa"/>
          </w:tcPr>
          <w:p w14:paraId="31F0AC57">
            <w:pPr>
              <w:pStyle w:val="307"/>
              <w:rPr>
                <w:i/>
                <w:iCs/>
              </w:rPr>
            </w:pPr>
            <w:r>
              <w:rPr>
                <w:i/>
                <w:iCs/>
              </w:rPr>
              <w:t>cyclotella</w:t>
            </w:r>
          </w:p>
        </w:tc>
      </w:tr>
    </w:tbl>
    <w:p w14:paraId="03E84D10">
      <w:pPr>
        <w:pStyle w:val="5"/>
        <w:rPr>
          <w:kern w:val="0"/>
        </w:rPr>
      </w:pPr>
      <w:r>
        <w:rPr>
          <w:rFonts w:hint="eastAsia"/>
          <w:kern w:val="0"/>
        </w:rPr>
        <w:t>底栖动物</w:t>
      </w:r>
    </w:p>
    <w:p w14:paraId="01E123FA">
      <w:pPr>
        <w:pStyle w:val="85"/>
        <w:ind w:firstLine="480"/>
        <w:rPr>
          <w:kern w:val="0"/>
        </w:rPr>
      </w:pPr>
      <w:r>
        <w:rPr>
          <w:rFonts w:hint="eastAsia"/>
          <w:kern w:val="0"/>
        </w:rPr>
        <w:t>根据现有资料收集，潮河流域中涉及底栖动物共4门8纲24种，其中以节肢动物门为主，有12种，分别为昆虫纲10种，甲壳纲有2种。软体动物门的腹足纲有4种，双壳纲、瓣鳃纲各1种，环节动物门的寡毛纲3种，蛭纲2种。腔肠动物门水螅纲1种；主要底栖动物主要包括</w:t>
      </w:r>
      <w:bookmarkStart w:id="122" w:name="_Hlk198192134"/>
      <w:r>
        <w:rPr>
          <w:rFonts w:hint="eastAsia"/>
          <w:kern w:val="0"/>
        </w:rPr>
        <w:t>水蚯蚓（</w:t>
      </w:r>
      <w:r>
        <w:rPr>
          <w:rFonts w:hint="eastAsia"/>
          <w:i/>
          <w:iCs/>
          <w:kern w:val="0"/>
        </w:rPr>
        <w:t>Limnodrilus</w:t>
      </w:r>
      <w:r>
        <w:rPr>
          <w:rFonts w:hint="eastAsia"/>
          <w:kern w:val="0"/>
        </w:rPr>
        <w:t>）、螺（</w:t>
      </w:r>
      <w:r>
        <w:rPr>
          <w:rFonts w:hint="eastAsia"/>
          <w:i/>
          <w:iCs/>
          <w:kern w:val="0"/>
        </w:rPr>
        <w:t>gastropod</w:t>
      </w:r>
      <w:r>
        <w:rPr>
          <w:rFonts w:hint="eastAsia"/>
          <w:kern w:val="0"/>
        </w:rPr>
        <w:t>）、河虾（</w:t>
      </w:r>
      <w:r>
        <w:rPr>
          <w:rFonts w:hint="eastAsia"/>
          <w:i/>
          <w:iCs/>
          <w:kern w:val="0"/>
        </w:rPr>
        <w:t>Macrobranchium nipponense</w:t>
      </w:r>
      <w:r>
        <w:rPr>
          <w:rFonts w:hint="eastAsia"/>
          <w:kern w:val="0"/>
        </w:rPr>
        <w:t>）、河蚬（</w:t>
      </w:r>
      <w:r>
        <w:rPr>
          <w:rFonts w:hint="eastAsia"/>
          <w:i/>
          <w:iCs/>
          <w:kern w:val="0"/>
        </w:rPr>
        <w:t>Asian Clam</w:t>
      </w:r>
      <w:r>
        <w:rPr>
          <w:rFonts w:hint="eastAsia"/>
          <w:kern w:val="0"/>
        </w:rPr>
        <w:t>）</w:t>
      </w:r>
      <w:bookmarkEnd w:id="122"/>
      <w:r>
        <w:rPr>
          <w:rFonts w:hint="eastAsia"/>
          <w:kern w:val="0"/>
        </w:rPr>
        <w:t>等。</w:t>
      </w:r>
    </w:p>
    <w:p w14:paraId="352DD409">
      <w:pPr>
        <w:pStyle w:val="229"/>
      </w:pPr>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t>28</w:t>
      </w:r>
      <w:r>
        <w:fldChar w:fldCharType="end"/>
      </w:r>
      <w:r>
        <w:t xml:space="preserve">  </w:t>
      </w:r>
      <w:r>
        <w:rPr>
          <w:rFonts w:hint="eastAsia"/>
        </w:rPr>
        <w:t>评价区主要底栖动物名录</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418"/>
        <w:gridCol w:w="1559"/>
        <w:gridCol w:w="1418"/>
        <w:gridCol w:w="2778"/>
      </w:tblGrid>
      <w:tr w14:paraId="1A613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2C292D">
            <w:pPr>
              <w:pStyle w:val="307"/>
              <w:spacing w:line="240" w:lineRule="auto"/>
            </w:pPr>
            <w:r>
              <w:rPr>
                <w:rFonts w:hint="eastAsia"/>
              </w:rPr>
              <w:t>序号</w:t>
            </w:r>
          </w:p>
        </w:tc>
        <w:tc>
          <w:tcPr>
            <w:tcW w:w="1418" w:type="dxa"/>
          </w:tcPr>
          <w:p w14:paraId="4B346DE7">
            <w:pPr>
              <w:pStyle w:val="307"/>
              <w:spacing w:line="240" w:lineRule="auto"/>
            </w:pPr>
            <w:r>
              <w:rPr>
                <w:rFonts w:hint="eastAsia"/>
              </w:rPr>
              <w:t>科</w:t>
            </w:r>
          </w:p>
        </w:tc>
        <w:tc>
          <w:tcPr>
            <w:tcW w:w="1559" w:type="dxa"/>
          </w:tcPr>
          <w:p w14:paraId="3569067E">
            <w:pPr>
              <w:pStyle w:val="307"/>
              <w:spacing w:line="240" w:lineRule="auto"/>
            </w:pPr>
            <w:r>
              <w:rPr>
                <w:rFonts w:hint="eastAsia"/>
              </w:rPr>
              <w:t>属</w:t>
            </w:r>
          </w:p>
        </w:tc>
        <w:tc>
          <w:tcPr>
            <w:tcW w:w="1418" w:type="dxa"/>
          </w:tcPr>
          <w:p w14:paraId="192AE5DE">
            <w:pPr>
              <w:pStyle w:val="307"/>
              <w:spacing w:line="240" w:lineRule="auto"/>
            </w:pPr>
            <w:r>
              <w:rPr>
                <w:rFonts w:hint="eastAsia"/>
              </w:rPr>
              <w:t>种</w:t>
            </w:r>
          </w:p>
        </w:tc>
        <w:tc>
          <w:tcPr>
            <w:tcW w:w="2778" w:type="dxa"/>
          </w:tcPr>
          <w:p w14:paraId="1DC1442D">
            <w:pPr>
              <w:pStyle w:val="307"/>
              <w:spacing w:line="240" w:lineRule="auto"/>
            </w:pPr>
            <w:r>
              <w:rPr>
                <w:rFonts w:hint="eastAsia"/>
              </w:rPr>
              <w:t>拉丁学名</w:t>
            </w:r>
          </w:p>
        </w:tc>
      </w:tr>
      <w:tr w14:paraId="6F944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E05C988">
            <w:pPr>
              <w:pStyle w:val="307"/>
              <w:spacing w:line="240" w:lineRule="auto"/>
            </w:pPr>
            <w:r>
              <w:rPr>
                <w:rFonts w:hint="eastAsia"/>
              </w:rPr>
              <w:t>1</w:t>
            </w:r>
          </w:p>
        </w:tc>
        <w:tc>
          <w:tcPr>
            <w:tcW w:w="1418" w:type="dxa"/>
          </w:tcPr>
          <w:p w14:paraId="5F11226C">
            <w:pPr>
              <w:pStyle w:val="307"/>
              <w:spacing w:line="240" w:lineRule="auto"/>
            </w:pPr>
            <w:r>
              <w:rPr>
                <w:rFonts w:hint="eastAsia"/>
              </w:rPr>
              <w:t>颤蚓科</w:t>
            </w:r>
          </w:p>
        </w:tc>
        <w:tc>
          <w:tcPr>
            <w:tcW w:w="1559" w:type="dxa"/>
          </w:tcPr>
          <w:p w14:paraId="2F627608">
            <w:pPr>
              <w:pStyle w:val="307"/>
              <w:spacing w:line="240" w:lineRule="auto"/>
            </w:pPr>
            <w:r>
              <w:rPr>
                <w:rFonts w:hint="eastAsia"/>
              </w:rPr>
              <w:t>水蚯蚓属</w:t>
            </w:r>
          </w:p>
        </w:tc>
        <w:tc>
          <w:tcPr>
            <w:tcW w:w="1418" w:type="dxa"/>
          </w:tcPr>
          <w:p w14:paraId="6F56E0DA">
            <w:pPr>
              <w:pStyle w:val="307"/>
              <w:spacing w:line="240" w:lineRule="auto"/>
            </w:pPr>
            <w:r>
              <w:rPr>
                <w:rFonts w:hint="eastAsia"/>
              </w:rPr>
              <w:t>水蚯蚓</w:t>
            </w:r>
          </w:p>
        </w:tc>
        <w:tc>
          <w:tcPr>
            <w:tcW w:w="2778" w:type="dxa"/>
          </w:tcPr>
          <w:p w14:paraId="72FD0420">
            <w:pPr>
              <w:pStyle w:val="307"/>
              <w:rPr>
                <w:i/>
                <w:iCs/>
              </w:rPr>
            </w:pPr>
            <w:r>
              <w:rPr>
                <w:rFonts w:hint="eastAsia"/>
                <w:i/>
                <w:iCs/>
                <w:kern w:val="0"/>
              </w:rPr>
              <w:t>Limnodrilus</w:t>
            </w:r>
          </w:p>
        </w:tc>
      </w:tr>
      <w:tr w14:paraId="3C798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65E6E62">
            <w:pPr>
              <w:pStyle w:val="307"/>
              <w:spacing w:line="240" w:lineRule="auto"/>
            </w:pPr>
            <w:r>
              <w:rPr>
                <w:rFonts w:hint="eastAsia"/>
              </w:rPr>
              <w:t>2</w:t>
            </w:r>
          </w:p>
        </w:tc>
        <w:tc>
          <w:tcPr>
            <w:tcW w:w="1418" w:type="dxa"/>
          </w:tcPr>
          <w:p w14:paraId="0FBD74A7">
            <w:pPr>
              <w:pStyle w:val="307"/>
              <w:spacing w:line="240" w:lineRule="auto"/>
            </w:pPr>
            <w:r>
              <w:rPr>
                <w:rFonts w:hint="eastAsia"/>
              </w:rPr>
              <w:t>田螺科</w:t>
            </w:r>
          </w:p>
        </w:tc>
        <w:tc>
          <w:tcPr>
            <w:tcW w:w="1559" w:type="dxa"/>
          </w:tcPr>
          <w:p w14:paraId="7230F658">
            <w:pPr>
              <w:pStyle w:val="307"/>
              <w:spacing w:line="240" w:lineRule="auto"/>
            </w:pPr>
            <w:r>
              <w:rPr>
                <w:rFonts w:hint="eastAsia"/>
              </w:rPr>
              <w:t>螺属</w:t>
            </w:r>
          </w:p>
        </w:tc>
        <w:tc>
          <w:tcPr>
            <w:tcW w:w="1418" w:type="dxa"/>
          </w:tcPr>
          <w:p w14:paraId="5B677957">
            <w:pPr>
              <w:pStyle w:val="307"/>
              <w:spacing w:line="240" w:lineRule="auto"/>
            </w:pPr>
            <w:r>
              <w:rPr>
                <w:rFonts w:hint="eastAsia"/>
              </w:rPr>
              <w:t>螺</w:t>
            </w:r>
          </w:p>
        </w:tc>
        <w:tc>
          <w:tcPr>
            <w:tcW w:w="2778" w:type="dxa"/>
          </w:tcPr>
          <w:p w14:paraId="2BA6E3AF">
            <w:pPr>
              <w:pStyle w:val="307"/>
              <w:rPr>
                <w:i/>
                <w:iCs/>
              </w:rPr>
            </w:pPr>
            <w:r>
              <w:rPr>
                <w:rFonts w:hint="eastAsia"/>
                <w:i/>
                <w:iCs/>
                <w:kern w:val="0"/>
              </w:rPr>
              <w:t>gastropod</w:t>
            </w:r>
          </w:p>
        </w:tc>
      </w:tr>
      <w:tr w14:paraId="619A6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DF0B3FC">
            <w:pPr>
              <w:pStyle w:val="307"/>
              <w:spacing w:line="240" w:lineRule="auto"/>
            </w:pPr>
            <w:r>
              <w:rPr>
                <w:rFonts w:hint="eastAsia"/>
              </w:rPr>
              <w:t>3</w:t>
            </w:r>
          </w:p>
        </w:tc>
        <w:tc>
          <w:tcPr>
            <w:tcW w:w="1418" w:type="dxa"/>
          </w:tcPr>
          <w:p w14:paraId="3635843E">
            <w:pPr>
              <w:pStyle w:val="307"/>
              <w:spacing w:line="240" w:lineRule="auto"/>
            </w:pPr>
            <w:r>
              <w:rPr>
                <w:rFonts w:hint="eastAsia"/>
              </w:rPr>
              <w:t>长臂虾科</w:t>
            </w:r>
          </w:p>
        </w:tc>
        <w:tc>
          <w:tcPr>
            <w:tcW w:w="1559" w:type="dxa"/>
          </w:tcPr>
          <w:p w14:paraId="3E1F131E">
            <w:pPr>
              <w:pStyle w:val="307"/>
              <w:spacing w:line="240" w:lineRule="auto"/>
            </w:pPr>
            <w:r>
              <w:rPr>
                <w:rFonts w:hint="eastAsia"/>
              </w:rPr>
              <w:t>沼虾属</w:t>
            </w:r>
          </w:p>
        </w:tc>
        <w:tc>
          <w:tcPr>
            <w:tcW w:w="1418" w:type="dxa"/>
          </w:tcPr>
          <w:p w14:paraId="492D4282">
            <w:pPr>
              <w:pStyle w:val="307"/>
              <w:spacing w:line="240" w:lineRule="auto"/>
            </w:pPr>
            <w:r>
              <w:rPr>
                <w:rFonts w:hint="eastAsia"/>
              </w:rPr>
              <w:t>河虾</w:t>
            </w:r>
          </w:p>
        </w:tc>
        <w:tc>
          <w:tcPr>
            <w:tcW w:w="2778" w:type="dxa"/>
          </w:tcPr>
          <w:p w14:paraId="685D628B">
            <w:pPr>
              <w:pStyle w:val="307"/>
              <w:rPr>
                <w:i/>
                <w:iCs/>
              </w:rPr>
            </w:pPr>
            <w:r>
              <w:rPr>
                <w:rFonts w:hint="eastAsia"/>
                <w:i/>
                <w:iCs/>
                <w:kern w:val="0"/>
              </w:rPr>
              <w:t>Macrobranchium nipponense</w:t>
            </w:r>
          </w:p>
        </w:tc>
      </w:tr>
      <w:tr w14:paraId="32698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CA9B9CA">
            <w:pPr>
              <w:pStyle w:val="307"/>
              <w:spacing w:line="240" w:lineRule="auto"/>
            </w:pPr>
            <w:r>
              <w:rPr>
                <w:rFonts w:hint="eastAsia"/>
              </w:rPr>
              <w:t>4</w:t>
            </w:r>
          </w:p>
        </w:tc>
        <w:tc>
          <w:tcPr>
            <w:tcW w:w="1418" w:type="dxa"/>
          </w:tcPr>
          <w:p w14:paraId="164983A8">
            <w:pPr>
              <w:pStyle w:val="307"/>
              <w:spacing w:line="240" w:lineRule="auto"/>
            </w:pPr>
            <w:r>
              <w:rPr>
                <w:rFonts w:hint="eastAsia"/>
              </w:rPr>
              <w:t>蚬科</w:t>
            </w:r>
          </w:p>
        </w:tc>
        <w:tc>
          <w:tcPr>
            <w:tcW w:w="1559" w:type="dxa"/>
          </w:tcPr>
          <w:p w14:paraId="1D4C6E85">
            <w:pPr>
              <w:pStyle w:val="307"/>
              <w:spacing w:line="240" w:lineRule="auto"/>
            </w:pPr>
            <w:r>
              <w:rPr>
                <w:rFonts w:hint="eastAsia"/>
              </w:rPr>
              <w:t>蚬属</w:t>
            </w:r>
          </w:p>
        </w:tc>
        <w:tc>
          <w:tcPr>
            <w:tcW w:w="1418" w:type="dxa"/>
          </w:tcPr>
          <w:p w14:paraId="1838976C">
            <w:pPr>
              <w:pStyle w:val="307"/>
              <w:spacing w:line="240" w:lineRule="auto"/>
            </w:pPr>
            <w:r>
              <w:rPr>
                <w:rFonts w:hint="eastAsia"/>
                <w:kern w:val="0"/>
              </w:rPr>
              <w:t>河蚬</w:t>
            </w:r>
          </w:p>
        </w:tc>
        <w:tc>
          <w:tcPr>
            <w:tcW w:w="2778" w:type="dxa"/>
          </w:tcPr>
          <w:p w14:paraId="4E15B910">
            <w:pPr>
              <w:pStyle w:val="307"/>
              <w:rPr>
                <w:i/>
                <w:iCs/>
              </w:rPr>
            </w:pPr>
            <w:r>
              <w:rPr>
                <w:rFonts w:hint="eastAsia"/>
                <w:i/>
                <w:iCs/>
                <w:kern w:val="0"/>
              </w:rPr>
              <w:t>Asian Clam</w:t>
            </w:r>
          </w:p>
        </w:tc>
      </w:tr>
    </w:tbl>
    <w:p w14:paraId="15B2398E">
      <w:pPr>
        <w:pStyle w:val="5"/>
        <w:rPr>
          <w:kern w:val="0"/>
        </w:rPr>
      </w:pPr>
      <w:r>
        <w:rPr>
          <w:rFonts w:hint="eastAsia"/>
          <w:kern w:val="0"/>
        </w:rPr>
        <w:t>鱼类</w:t>
      </w:r>
    </w:p>
    <w:p w14:paraId="7156B395">
      <w:pPr>
        <w:pStyle w:val="85"/>
        <w:ind w:firstLine="480"/>
      </w:pPr>
      <w:r>
        <w:rPr>
          <w:rFonts w:hint="eastAsia"/>
        </w:rPr>
        <w:t>（1）鱼类资源</w:t>
      </w:r>
    </w:p>
    <w:p w14:paraId="26344168">
      <w:pPr>
        <w:pStyle w:val="85"/>
        <w:ind w:firstLine="480"/>
      </w:pPr>
      <w:r>
        <w:rPr>
          <w:rFonts w:hint="eastAsia"/>
        </w:rPr>
        <w:t>鱼类不仅影响着淡水生态系统中的营养物质循环、食物网结构以及能量动态等生态功能，并且可以反映水生态系统内部以及水陆之间的影响关系。潮河流域的鱼类主要包括草鱼（</w:t>
      </w:r>
      <w:r>
        <w:rPr>
          <w:rFonts w:hint="eastAsia"/>
          <w:i/>
          <w:iCs/>
        </w:rPr>
        <w:t>Ctenopharyngodonidellus</w:t>
      </w:r>
      <w:r>
        <w:rPr>
          <w:rFonts w:hint="eastAsia"/>
        </w:rPr>
        <w:t>）、柳根鱼（</w:t>
      </w:r>
      <w:r>
        <w:rPr>
          <w:rFonts w:hint="eastAsia"/>
          <w:i/>
          <w:iCs/>
        </w:rPr>
        <w:t>Rhynchocypris lagowskii</w:t>
      </w:r>
      <w:r>
        <w:rPr>
          <w:rFonts w:hint="eastAsia"/>
        </w:rPr>
        <w:t>）、泥鳅</w:t>
      </w:r>
      <w:r>
        <w:rPr>
          <w:rFonts w:hint="eastAsia"/>
          <w:i/>
          <w:iCs/>
        </w:rPr>
        <w:t>（Misgurnus anguillicaudatus</w:t>
      </w:r>
      <w:r>
        <w:rPr>
          <w:rFonts w:hint="eastAsia"/>
        </w:rPr>
        <w:t>）等，均为北方河流中常见鱼类，不涉及珍稀、濒危鱼类及其繁育场。</w:t>
      </w:r>
    </w:p>
    <w:p w14:paraId="3DBE0A5F">
      <w:pPr>
        <w:pStyle w:val="85"/>
        <w:ind w:firstLine="480"/>
      </w:pPr>
      <w:r>
        <w:rPr>
          <w:rFonts w:hint="eastAsia"/>
        </w:rPr>
        <w:t>（</w:t>
      </w:r>
      <w:r>
        <w:t>2</w:t>
      </w:r>
      <w:r>
        <w:rPr>
          <w:rFonts w:hint="eastAsia"/>
        </w:rPr>
        <w:t>）渔业现状</w:t>
      </w:r>
    </w:p>
    <w:p w14:paraId="3EA0C550">
      <w:pPr>
        <w:pStyle w:val="85"/>
        <w:ind w:firstLine="480"/>
      </w:pPr>
      <w:r>
        <w:rPr>
          <w:rFonts w:hint="eastAsia"/>
        </w:rPr>
        <w:t>评价区潮河段未开展渔业生产活动。为持续做好潮河流域水污染防治及生态保护工作，评价区潮河段列入重点保护河段，禁止开展捕鱼、网鱼、钓鱼等活动。</w:t>
      </w:r>
    </w:p>
    <w:p w14:paraId="38BE6FFF">
      <w:pPr>
        <w:pStyle w:val="5"/>
      </w:pPr>
      <w:r>
        <w:rPr>
          <w:rFonts w:hint="eastAsia"/>
        </w:rPr>
        <w:t>水生</w:t>
      </w:r>
      <w:r>
        <w:t>维管束植物</w:t>
      </w:r>
    </w:p>
    <w:p w14:paraId="7CDB4C9F">
      <w:pPr>
        <w:pStyle w:val="85"/>
        <w:ind w:firstLine="480"/>
      </w:pPr>
      <w:r>
        <w:rPr>
          <w:rFonts w:hint="eastAsia"/>
        </w:rPr>
        <w:t>根据现有资料收集，潮河流域水生植物涉及2门22科46种，主要包括芦苇（</w:t>
      </w:r>
      <w:r>
        <w:rPr>
          <w:rFonts w:hint="eastAsia"/>
          <w:i/>
          <w:iCs/>
        </w:rPr>
        <w:t>Phragmites australis</w:t>
      </w:r>
      <w:r>
        <w:rPr>
          <w:rFonts w:hint="eastAsia"/>
        </w:rPr>
        <w:t>）、菹草（</w:t>
      </w:r>
      <w:r>
        <w:rPr>
          <w:rFonts w:hint="eastAsia"/>
          <w:i/>
          <w:iCs/>
        </w:rPr>
        <w:t>Potamogeton crispus</w:t>
      </w:r>
      <w:r>
        <w:rPr>
          <w:rFonts w:hint="eastAsia"/>
        </w:rPr>
        <w:t>）、香蒲（</w:t>
      </w:r>
      <w:r>
        <w:rPr>
          <w:rFonts w:hint="eastAsia"/>
          <w:i/>
          <w:iCs/>
        </w:rPr>
        <w:t>Typha orientalis</w:t>
      </w:r>
      <w:r>
        <w:rPr>
          <w:rFonts w:hint="eastAsia"/>
        </w:rPr>
        <w:t>）、慈姑（</w:t>
      </w:r>
      <w:r>
        <w:rPr>
          <w:rFonts w:hint="eastAsia"/>
          <w:i/>
          <w:iCs/>
        </w:rPr>
        <w:t>Sagittaria trifolia</w:t>
      </w:r>
      <w:r>
        <w:rPr>
          <w:rFonts w:hint="eastAsia"/>
        </w:rPr>
        <w:t>）等。</w:t>
      </w:r>
    </w:p>
    <w:p w14:paraId="539EC734">
      <w:pPr>
        <w:pStyle w:val="85"/>
        <w:ind w:firstLine="480"/>
      </w:pPr>
    </w:p>
    <w:p w14:paraId="04175871">
      <w:pPr>
        <w:pStyle w:val="229"/>
      </w:pPr>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t>29</w:t>
      </w:r>
      <w:r>
        <w:fldChar w:fldCharType="end"/>
      </w:r>
      <w:r>
        <w:t xml:space="preserve">  </w:t>
      </w:r>
      <w:r>
        <w:rPr>
          <w:rFonts w:hint="eastAsia"/>
        </w:rPr>
        <w:t>评价区主要水生维管束植物名录</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418"/>
        <w:gridCol w:w="1559"/>
        <w:gridCol w:w="1418"/>
        <w:gridCol w:w="2778"/>
      </w:tblGrid>
      <w:tr w14:paraId="5BA48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EA89117">
            <w:pPr>
              <w:pStyle w:val="307"/>
              <w:spacing w:line="240" w:lineRule="auto"/>
            </w:pPr>
            <w:r>
              <w:rPr>
                <w:rFonts w:hint="eastAsia"/>
              </w:rPr>
              <w:t>序号</w:t>
            </w:r>
          </w:p>
        </w:tc>
        <w:tc>
          <w:tcPr>
            <w:tcW w:w="1418" w:type="dxa"/>
          </w:tcPr>
          <w:p w14:paraId="73D2CF02">
            <w:pPr>
              <w:pStyle w:val="307"/>
              <w:spacing w:line="240" w:lineRule="auto"/>
            </w:pPr>
            <w:r>
              <w:rPr>
                <w:rFonts w:hint="eastAsia"/>
              </w:rPr>
              <w:t>科</w:t>
            </w:r>
          </w:p>
        </w:tc>
        <w:tc>
          <w:tcPr>
            <w:tcW w:w="1559" w:type="dxa"/>
          </w:tcPr>
          <w:p w14:paraId="795C6DA5">
            <w:pPr>
              <w:pStyle w:val="307"/>
              <w:spacing w:line="240" w:lineRule="auto"/>
            </w:pPr>
            <w:r>
              <w:rPr>
                <w:rFonts w:hint="eastAsia"/>
              </w:rPr>
              <w:t>属</w:t>
            </w:r>
          </w:p>
        </w:tc>
        <w:tc>
          <w:tcPr>
            <w:tcW w:w="1418" w:type="dxa"/>
          </w:tcPr>
          <w:p w14:paraId="69E73EC3">
            <w:pPr>
              <w:pStyle w:val="307"/>
              <w:spacing w:line="240" w:lineRule="auto"/>
            </w:pPr>
            <w:r>
              <w:rPr>
                <w:rFonts w:hint="eastAsia"/>
              </w:rPr>
              <w:t>种</w:t>
            </w:r>
          </w:p>
        </w:tc>
        <w:tc>
          <w:tcPr>
            <w:tcW w:w="2778" w:type="dxa"/>
          </w:tcPr>
          <w:p w14:paraId="675FA75D">
            <w:pPr>
              <w:pStyle w:val="307"/>
              <w:spacing w:line="240" w:lineRule="auto"/>
            </w:pPr>
            <w:r>
              <w:rPr>
                <w:rFonts w:hint="eastAsia"/>
              </w:rPr>
              <w:t>拉丁学名</w:t>
            </w:r>
          </w:p>
        </w:tc>
      </w:tr>
      <w:tr w14:paraId="01E5C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156F60F">
            <w:pPr>
              <w:pStyle w:val="307"/>
              <w:spacing w:line="240" w:lineRule="auto"/>
            </w:pPr>
            <w:r>
              <w:rPr>
                <w:rFonts w:hint="eastAsia"/>
              </w:rPr>
              <w:t>1</w:t>
            </w:r>
          </w:p>
        </w:tc>
        <w:tc>
          <w:tcPr>
            <w:tcW w:w="1418" w:type="dxa"/>
          </w:tcPr>
          <w:p w14:paraId="102A8EBE">
            <w:pPr>
              <w:pStyle w:val="307"/>
            </w:pPr>
            <w:r>
              <w:rPr>
                <w:rStyle w:val="268"/>
                <w:color w:val="auto"/>
              </w:rPr>
              <w:t>莎草科</w:t>
            </w:r>
          </w:p>
        </w:tc>
        <w:tc>
          <w:tcPr>
            <w:tcW w:w="1559" w:type="dxa"/>
          </w:tcPr>
          <w:p w14:paraId="4BB2DB13">
            <w:pPr>
              <w:pStyle w:val="307"/>
            </w:pPr>
            <w:r>
              <w:rPr>
                <w:rFonts w:hint="eastAsia"/>
              </w:rPr>
              <w:t>荸荠属</w:t>
            </w:r>
          </w:p>
        </w:tc>
        <w:tc>
          <w:tcPr>
            <w:tcW w:w="1418" w:type="dxa"/>
          </w:tcPr>
          <w:p w14:paraId="278B4FC1">
            <w:pPr>
              <w:pStyle w:val="307"/>
            </w:pPr>
            <w:r>
              <w:rPr>
                <w:rFonts w:hint="eastAsia"/>
              </w:rPr>
              <w:t>荸荠</w:t>
            </w:r>
          </w:p>
        </w:tc>
        <w:tc>
          <w:tcPr>
            <w:tcW w:w="2778" w:type="dxa"/>
          </w:tcPr>
          <w:p w14:paraId="267F6F83">
            <w:pPr>
              <w:pStyle w:val="307"/>
              <w:rPr>
                <w:i/>
                <w:iCs/>
              </w:rPr>
            </w:pPr>
            <w:r>
              <w:rPr>
                <w:i/>
                <w:iCs/>
              </w:rPr>
              <w:t>Eleocharis dulcis</w:t>
            </w:r>
          </w:p>
        </w:tc>
      </w:tr>
      <w:tr w14:paraId="69857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79A8A3A">
            <w:pPr>
              <w:pStyle w:val="307"/>
              <w:spacing w:line="240" w:lineRule="auto"/>
            </w:pPr>
            <w:r>
              <w:rPr>
                <w:rFonts w:hint="eastAsia"/>
              </w:rPr>
              <w:t>2</w:t>
            </w:r>
          </w:p>
        </w:tc>
        <w:tc>
          <w:tcPr>
            <w:tcW w:w="1418" w:type="dxa"/>
          </w:tcPr>
          <w:p w14:paraId="2EB5BED2">
            <w:pPr>
              <w:pStyle w:val="307"/>
            </w:pPr>
            <w:r>
              <w:rPr>
                <w:rStyle w:val="268"/>
                <w:color w:val="auto"/>
              </w:rPr>
              <w:t>莎草科</w:t>
            </w:r>
          </w:p>
        </w:tc>
        <w:tc>
          <w:tcPr>
            <w:tcW w:w="1559" w:type="dxa"/>
          </w:tcPr>
          <w:p w14:paraId="0D66506A">
            <w:pPr>
              <w:pStyle w:val="307"/>
            </w:pPr>
            <w:r>
              <w:rPr>
                <w:rFonts w:hint="eastAsia"/>
              </w:rPr>
              <w:t>莎草属</w:t>
            </w:r>
          </w:p>
        </w:tc>
        <w:tc>
          <w:tcPr>
            <w:tcW w:w="1418" w:type="dxa"/>
          </w:tcPr>
          <w:p w14:paraId="2927A8FB">
            <w:pPr>
              <w:pStyle w:val="307"/>
            </w:pPr>
            <w:r>
              <w:rPr>
                <w:rFonts w:hint="eastAsia"/>
              </w:rPr>
              <w:t>油莎草</w:t>
            </w:r>
          </w:p>
        </w:tc>
        <w:tc>
          <w:tcPr>
            <w:tcW w:w="2778" w:type="dxa"/>
          </w:tcPr>
          <w:p w14:paraId="718A810B">
            <w:pPr>
              <w:pStyle w:val="307"/>
              <w:rPr>
                <w:i/>
                <w:iCs/>
              </w:rPr>
            </w:pPr>
            <w:r>
              <w:rPr>
                <w:i/>
                <w:iCs/>
              </w:rPr>
              <w:t>Phragmites australis</w:t>
            </w:r>
          </w:p>
        </w:tc>
      </w:tr>
      <w:tr w14:paraId="138CF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40E1B5">
            <w:pPr>
              <w:pStyle w:val="307"/>
              <w:spacing w:line="240" w:lineRule="auto"/>
            </w:pPr>
            <w:r>
              <w:rPr>
                <w:rFonts w:hint="eastAsia"/>
              </w:rPr>
              <w:t>3</w:t>
            </w:r>
          </w:p>
        </w:tc>
        <w:tc>
          <w:tcPr>
            <w:tcW w:w="1418" w:type="dxa"/>
          </w:tcPr>
          <w:p w14:paraId="141FBC11">
            <w:pPr>
              <w:pStyle w:val="307"/>
            </w:pPr>
            <w:r>
              <w:rPr>
                <w:rFonts w:hint="eastAsia"/>
              </w:rPr>
              <w:t>禾本科</w:t>
            </w:r>
          </w:p>
        </w:tc>
        <w:tc>
          <w:tcPr>
            <w:tcW w:w="1559" w:type="dxa"/>
          </w:tcPr>
          <w:p w14:paraId="207E8D74">
            <w:pPr>
              <w:pStyle w:val="307"/>
            </w:pPr>
            <w:r>
              <w:rPr>
                <w:rFonts w:hint="eastAsia"/>
              </w:rPr>
              <w:t>芦苇属</w:t>
            </w:r>
          </w:p>
        </w:tc>
        <w:tc>
          <w:tcPr>
            <w:tcW w:w="1418" w:type="dxa"/>
          </w:tcPr>
          <w:p w14:paraId="3205543D">
            <w:pPr>
              <w:pStyle w:val="307"/>
            </w:pPr>
            <w:r>
              <w:rPr>
                <w:rFonts w:hint="eastAsia"/>
              </w:rPr>
              <w:t>芦苇</w:t>
            </w:r>
          </w:p>
        </w:tc>
        <w:tc>
          <w:tcPr>
            <w:tcW w:w="2778" w:type="dxa"/>
          </w:tcPr>
          <w:p w14:paraId="117D6B60">
            <w:pPr>
              <w:pStyle w:val="307"/>
              <w:rPr>
                <w:i/>
                <w:iCs/>
              </w:rPr>
            </w:pPr>
            <w:r>
              <w:rPr>
                <w:i/>
                <w:iCs/>
              </w:rPr>
              <w:t>Phragmites australis</w:t>
            </w:r>
          </w:p>
        </w:tc>
      </w:tr>
      <w:tr w14:paraId="66224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148B3E5">
            <w:pPr>
              <w:pStyle w:val="307"/>
              <w:spacing w:line="240" w:lineRule="auto"/>
            </w:pPr>
            <w:r>
              <w:t>4</w:t>
            </w:r>
          </w:p>
        </w:tc>
        <w:tc>
          <w:tcPr>
            <w:tcW w:w="1418" w:type="dxa"/>
          </w:tcPr>
          <w:p w14:paraId="7D2A285C">
            <w:pPr>
              <w:pStyle w:val="307"/>
            </w:pPr>
            <w:r>
              <w:rPr>
                <w:rFonts w:hint="eastAsia"/>
              </w:rPr>
              <w:t>眼子菜科</w:t>
            </w:r>
          </w:p>
        </w:tc>
        <w:tc>
          <w:tcPr>
            <w:tcW w:w="1559" w:type="dxa"/>
          </w:tcPr>
          <w:p w14:paraId="555B5F43">
            <w:pPr>
              <w:pStyle w:val="307"/>
            </w:pPr>
            <w:r>
              <w:rPr>
                <w:rFonts w:hint="eastAsia"/>
              </w:rPr>
              <w:t>眼子菜属</w:t>
            </w:r>
          </w:p>
        </w:tc>
        <w:tc>
          <w:tcPr>
            <w:tcW w:w="1418" w:type="dxa"/>
          </w:tcPr>
          <w:p w14:paraId="2D626156">
            <w:pPr>
              <w:pStyle w:val="307"/>
            </w:pPr>
            <w:r>
              <w:rPr>
                <w:rStyle w:val="268"/>
                <w:color w:val="auto"/>
              </w:rPr>
              <w:t>菹草</w:t>
            </w:r>
          </w:p>
        </w:tc>
        <w:tc>
          <w:tcPr>
            <w:tcW w:w="2778" w:type="dxa"/>
          </w:tcPr>
          <w:p w14:paraId="323CEB79">
            <w:pPr>
              <w:pStyle w:val="307"/>
              <w:rPr>
                <w:i/>
                <w:iCs/>
              </w:rPr>
            </w:pPr>
            <w:r>
              <w:rPr>
                <w:i/>
                <w:iCs/>
              </w:rPr>
              <w:t>Potamogeton crispus</w:t>
            </w:r>
          </w:p>
        </w:tc>
      </w:tr>
      <w:tr w14:paraId="04AC7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B5EBFAF">
            <w:pPr>
              <w:pStyle w:val="307"/>
              <w:spacing w:line="240" w:lineRule="auto"/>
            </w:pPr>
            <w:r>
              <w:rPr>
                <w:rFonts w:hint="eastAsia"/>
              </w:rPr>
              <w:t>5</w:t>
            </w:r>
          </w:p>
        </w:tc>
        <w:tc>
          <w:tcPr>
            <w:tcW w:w="1418" w:type="dxa"/>
          </w:tcPr>
          <w:p w14:paraId="0CEC6E79">
            <w:pPr>
              <w:pStyle w:val="307"/>
            </w:pPr>
            <w:r>
              <w:rPr>
                <w:rFonts w:hint="eastAsia"/>
              </w:rPr>
              <w:t>香蒲科</w:t>
            </w:r>
          </w:p>
        </w:tc>
        <w:tc>
          <w:tcPr>
            <w:tcW w:w="1559" w:type="dxa"/>
          </w:tcPr>
          <w:p w14:paraId="6556DFE3">
            <w:pPr>
              <w:pStyle w:val="307"/>
            </w:pPr>
            <w:r>
              <w:rPr>
                <w:rFonts w:hint="eastAsia"/>
              </w:rPr>
              <w:t>香蒲属</w:t>
            </w:r>
          </w:p>
        </w:tc>
        <w:tc>
          <w:tcPr>
            <w:tcW w:w="1418" w:type="dxa"/>
          </w:tcPr>
          <w:p w14:paraId="50D7EFB0">
            <w:pPr>
              <w:pStyle w:val="307"/>
            </w:pPr>
            <w:r>
              <w:rPr>
                <w:rFonts w:hint="eastAsia"/>
              </w:rPr>
              <w:t>香蒲</w:t>
            </w:r>
          </w:p>
        </w:tc>
        <w:tc>
          <w:tcPr>
            <w:tcW w:w="2778" w:type="dxa"/>
          </w:tcPr>
          <w:p w14:paraId="0713262E">
            <w:pPr>
              <w:pStyle w:val="307"/>
              <w:rPr>
                <w:i/>
                <w:iCs/>
              </w:rPr>
            </w:pPr>
            <w:r>
              <w:rPr>
                <w:i/>
                <w:iCs/>
              </w:rPr>
              <w:t>Typha orientalis</w:t>
            </w:r>
          </w:p>
        </w:tc>
      </w:tr>
      <w:tr w14:paraId="77B67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6EFB90D">
            <w:pPr>
              <w:pStyle w:val="307"/>
              <w:spacing w:line="240" w:lineRule="auto"/>
            </w:pPr>
            <w:r>
              <w:rPr>
                <w:rFonts w:hint="eastAsia"/>
              </w:rPr>
              <w:t>6</w:t>
            </w:r>
          </w:p>
        </w:tc>
        <w:tc>
          <w:tcPr>
            <w:tcW w:w="1418" w:type="dxa"/>
          </w:tcPr>
          <w:p w14:paraId="159B283A">
            <w:pPr>
              <w:pStyle w:val="307"/>
            </w:pPr>
            <w:r>
              <w:rPr>
                <w:rFonts w:hint="eastAsia"/>
              </w:rPr>
              <w:t>泽泻科</w:t>
            </w:r>
          </w:p>
        </w:tc>
        <w:tc>
          <w:tcPr>
            <w:tcW w:w="1559" w:type="dxa"/>
          </w:tcPr>
          <w:p w14:paraId="7C630040">
            <w:pPr>
              <w:pStyle w:val="307"/>
            </w:pPr>
            <w:r>
              <w:rPr>
                <w:rFonts w:hint="eastAsia"/>
              </w:rPr>
              <w:t>慈姑属</w:t>
            </w:r>
          </w:p>
        </w:tc>
        <w:tc>
          <w:tcPr>
            <w:tcW w:w="1418" w:type="dxa"/>
          </w:tcPr>
          <w:p w14:paraId="7D0D8684">
            <w:pPr>
              <w:pStyle w:val="307"/>
            </w:pPr>
            <w:r>
              <w:rPr>
                <w:rFonts w:hint="eastAsia"/>
              </w:rPr>
              <w:t>慈姑</w:t>
            </w:r>
          </w:p>
        </w:tc>
        <w:tc>
          <w:tcPr>
            <w:tcW w:w="2778" w:type="dxa"/>
          </w:tcPr>
          <w:p w14:paraId="0AEE6C1E">
            <w:pPr>
              <w:pStyle w:val="307"/>
              <w:rPr>
                <w:i/>
                <w:iCs/>
              </w:rPr>
            </w:pPr>
            <w:r>
              <w:rPr>
                <w:i/>
                <w:iCs/>
              </w:rPr>
              <w:t>Sagittaria trifolia</w:t>
            </w:r>
          </w:p>
        </w:tc>
      </w:tr>
    </w:tbl>
    <w:p w14:paraId="2F4A4CCE">
      <w:pPr>
        <w:pStyle w:val="4"/>
        <w:rPr>
          <w:kern w:val="0"/>
        </w:rPr>
      </w:pPr>
      <w:r>
        <w:rPr>
          <w:rFonts w:hint="eastAsia"/>
          <w:kern w:val="0"/>
        </w:rPr>
        <w:t>生态</w:t>
      </w:r>
      <w:r>
        <w:rPr>
          <w:kern w:val="0"/>
        </w:rPr>
        <w:t>敏感区调查</w:t>
      </w:r>
    </w:p>
    <w:p w14:paraId="5071391A">
      <w:pPr>
        <w:pStyle w:val="85"/>
        <w:ind w:firstLine="482"/>
        <w:rPr>
          <w:b/>
          <w:kern w:val="0"/>
        </w:rPr>
      </w:pPr>
      <w:r>
        <w:rPr>
          <w:rFonts w:hint="eastAsia"/>
          <w:b/>
          <w:kern w:val="0"/>
        </w:rPr>
        <w:t>（1）河北滦平潮河国家</w:t>
      </w:r>
      <w:bookmarkStart w:id="123" w:name="_Hlk198019212"/>
      <w:r>
        <w:rPr>
          <w:rFonts w:hint="eastAsia"/>
          <w:b/>
          <w:kern w:val="0"/>
        </w:rPr>
        <w:t>湿地公园</w:t>
      </w:r>
      <w:bookmarkEnd w:id="123"/>
    </w:p>
    <w:p w14:paraId="22A8721D">
      <w:pPr>
        <w:pStyle w:val="85"/>
        <w:ind w:firstLine="482"/>
        <w:rPr>
          <w:b/>
          <w:bCs/>
          <w:kern w:val="0"/>
        </w:rPr>
      </w:pPr>
      <w:r>
        <w:rPr>
          <w:rFonts w:hint="eastAsia"/>
          <w:b/>
          <w:bCs/>
          <w:kern w:val="0"/>
        </w:rPr>
        <w:t>1）基本情况</w:t>
      </w:r>
    </w:p>
    <w:p w14:paraId="332E89F1">
      <w:pPr>
        <w:pStyle w:val="85"/>
        <w:ind w:firstLine="480"/>
        <w:rPr>
          <w:kern w:val="0"/>
        </w:rPr>
      </w:pPr>
      <w:r>
        <w:rPr>
          <w:rFonts w:hint="eastAsia"/>
          <w:kern w:val="0"/>
        </w:rPr>
        <w:t>河北滦平潮河国家湿地公园位于河北省滦平县西部。项目区地理坐标为：</w:t>
      </w:r>
      <w:r>
        <w:rPr>
          <w:kern w:val="0"/>
        </w:rPr>
        <w:t>N40</w:t>
      </w:r>
      <w:r>
        <w:rPr>
          <w:rFonts w:hint="eastAsia"/>
          <w:kern w:val="0"/>
        </w:rPr>
        <w:t>°</w:t>
      </w:r>
      <w:r>
        <w:rPr>
          <w:kern w:val="0"/>
        </w:rPr>
        <w:t>41'53.08"~40</w:t>
      </w:r>
      <w:r>
        <w:rPr>
          <w:rFonts w:hint="eastAsia"/>
          <w:kern w:val="0"/>
        </w:rPr>
        <w:t>°</w:t>
      </w:r>
      <w:r>
        <w:rPr>
          <w:kern w:val="0"/>
        </w:rPr>
        <w:t>55'11.23"</w:t>
      </w:r>
      <w:r>
        <w:rPr>
          <w:rFonts w:hint="eastAsia"/>
          <w:kern w:val="0"/>
        </w:rPr>
        <w:t>，</w:t>
      </w:r>
      <w:r>
        <w:rPr>
          <w:kern w:val="0"/>
        </w:rPr>
        <w:t>E116</w:t>
      </w:r>
      <w:r>
        <w:rPr>
          <w:rFonts w:hint="eastAsia"/>
          <w:kern w:val="0"/>
        </w:rPr>
        <w:t>°</w:t>
      </w:r>
      <w:r>
        <w:rPr>
          <w:kern w:val="0"/>
        </w:rPr>
        <w:t>59'37.12"~117</w:t>
      </w:r>
      <w:r>
        <w:rPr>
          <w:rFonts w:hint="eastAsia"/>
          <w:kern w:val="0"/>
        </w:rPr>
        <w:t>°</w:t>
      </w:r>
      <w:r>
        <w:rPr>
          <w:kern w:val="0"/>
        </w:rPr>
        <w:t>9'48.38"</w:t>
      </w:r>
      <w:r>
        <w:rPr>
          <w:rFonts w:hint="eastAsia"/>
          <w:kern w:val="0"/>
        </w:rPr>
        <w:t>。项目区范围包括潮河河流两侧堤坝以内的部分，上游地段还包括河流东岸第一道山脊线以内的山体，南北均至县界。项目区规划总面积</w:t>
      </w:r>
      <w:r>
        <w:rPr>
          <w:kern w:val="0"/>
        </w:rPr>
        <w:t>544.53hm</w:t>
      </w:r>
      <w:r>
        <w:rPr>
          <w:kern w:val="0"/>
          <w:vertAlign w:val="superscript"/>
        </w:rPr>
        <w:t>2</w:t>
      </w:r>
      <w:r>
        <w:rPr>
          <w:rFonts w:hint="eastAsia"/>
          <w:kern w:val="0"/>
        </w:rPr>
        <w:t>，其中湿地面积</w:t>
      </w:r>
      <w:r>
        <w:rPr>
          <w:kern w:val="0"/>
        </w:rPr>
        <w:t>437.34hm</w:t>
      </w:r>
      <w:r>
        <w:rPr>
          <w:kern w:val="0"/>
          <w:vertAlign w:val="superscript"/>
        </w:rPr>
        <w:t>2</w:t>
      </w:r>
      <w:r>
        <w:rPr>
          <w:rFonts w:hint="eastAsia"/>
          <w:kern w:val="0"/>
        </w:rPr>
        <w:t>，湿地率为</w:t>
      </w:r>
      <w:r>
        <w:rPr>
          <w:kern w:val="0"/>
        </w:rPr>
        <w:t>80.32%</w:t>
      </w:r>
      <w:r>
        <w:rPr>
          <w:rFonts w:hint="eastAsia"/>
          <w:kern w:val="0"/>
        </w:rPr>
        <w:t>。</w:t>
      </w:r>
    </w:p>
    <w:p w14:paraId="1B6EC05D">
      <w:pPr>
        <w:pStyle w:val="85"/>
        <w:ind w:firstLine="482"/>
        <w:rPr>
          <w:b/>
          <w:bCs/>
          <w:kern w:val="0"/>
        </w:rPr>
      </w:pPr>
      <w:r>
        <w:rPr>
          <w:b/>
          <w:bCs/>
          <w:kern w:val="0"/>
        </w:rPr>
        <w:t>2</w:t>
      </w:r>
      <w:r>
        <w:rPr>
          <w:rFonts w:hint="eastAsia"/>
          <w:b/>
          <w:bCs/>
          <w:kern w:val="0"/>
        </w:rPr>
        <w:t>）性质和定位</w:t>
      </w:r>
    </w:p>
    <w:p w14:paraId="02D67326">
      <w:pPr>
        <w:pStyle w:val="85"/>
        <w:ind w:firstLine="482"/>
        <w:rPr>
          <w:kern w:val="0"/>
        </w:rPr>
      </w:pPr>
      <w:r>
        <w:rPr>
          <w:rFonts w:hint="eastAsia"/>
          <w:b/>
          <w:bCs/>
          <w:kern w:val="0"/>
        </w:rPr>
        <w:t>公园性质：</w:t>
      </w:r>
      <w:r>
        <w:rPr>
          <w:rFonts w:hint="eastAsia"/>
          <w:kern w:val="0"/>
        </w:rPr>
        <w:t>以冀北山区河流湿地为基本资源特征，以全面优化水资源保护、确保北京用水安全为目标，以保护湿地生态系统及其栖息的野生动植物为宗旨，以燕山山地的地貌和可借景观长城以及满族文化风情为特色，兼顾科普宣教的特色，集湿地保护与恢复、湿地宣传教育、湿地合理利用于一体的布局结构合理、发展有序、机构健全、管理完善，具有生态公益性的国家湿地公园。</w:t>
      </w:r>
    </w:p>
    <w:p w14:paraId="780C3797">
      <w:pPr>
        <w:pStyle w:val="85"/>
        <w:ind w:firstLine="482"/>
        <w:rPr>
          <w:kern w:val="0"/>
        </w:rPr>
      </w:pPr>
      <w:r>
        <w:rPr>
          <w:rFonts w:hint="eastAsia"/>
          <w:b/>
          <w:bCs/>
          <w:kern w:val="0"/>
        </w:rPr>
        <w:t>公园定位：</w:t>
      </w:r>
      <w:r>
        <w:rPr>
          <w:rFonts w:hint="eastAsia"/>
          <w:kern w:val="0"/>
        </w:rPr>
        <w:t>冀北山区水源保护型湿地公园，具体分项功能定位如下：</w:t>
      </w:r>
    </w:p>
    <w:p w14:paraId="07BDA44E">
      <w:pPr>
        <w:pStyle w:val="85"/>
        <w:ind w:firstLine="480"/>
        <w:rPr>
          <w:kern w:val="0"/>
        </w:rPr>
      </w:pPr>
      <w:r>
        <w:rPr>
          <w:kern w:val="0"/>
        </w:rPr>
        <w:fldChar w:fldCharType="begin"/>
      </w:r>
      <w:r>
        <w:rPr>
          <w:kern w:val="0"/>
        </w:rPr>
        <w:instrText xml:space="preserve"> </w:instrText>
      </w:r>
      <w:r>
        <w:rPr>
          <w:rFonts w:hint="eastAsia"/>
          <w:kern w:val="0"/>
        </w:rPr>
        <w:instrText xml:space="preserve">= 1 \* GB3</w:instrText>
      </w:r>
      <w:r>
        <w:rPr>
          <w:kern w:val="0"/>
        </w:rPr>
        <w:instrText xml:space="preserve"> </w:instrText>
      </w:r>
      <w:r>
        <w:rPr>
          <w:kern w:val="0"/>
        </w:rPr>
        <w:fldChar w:fldCharType="separate"/>
      </w:r>
      <w:r>
        <w:rPr>
          <w:rFonts w:hint="eastAsia"/>
          <w:kern w:val="0"/>
        </w:rPr>
        <w:t>①</w:t>
      </w:r>
      <w:r>
        <w:rPr>
          <w:kern w:val="0"/>
        </w:rPr>
        <w:fldChar w:fldCharType="end"/>
      </w:r>
      <w:r>
        <w:rPr>
          <w:rFonts w:hint="eastAsia"/>
          <w:kern w:val="0"/>
        </w:rPr>
        <w:t>保护功能</w:t>
      </w:r>
    </w:p>
    <w:p w14:paraId="115505E7">
      <w:pPr>
        <w:pStyle w:val="85"/>
        <w:ind w:firstLine="480"/>
        <w:rPr>
          <w:kern w:val="0"/>
        </w:rPr>
      </w:pPr>
      <w:r>
        <w:rPr>
          <w:rFonts w:hint="eastAsia"/>
          <w:kern w:val="0"/>
        </w:rPr>
        <w:t>潮河流域湿地保护的重要站点；京津冀地区生态安全维护的重要屏障和“水塔”；鸟类栖息地。</w:t>
      </w:r>
    </w:p>
    <w:p w14:paraId="05D01FED">
      <w:pPr>
        <w:pStyle w:val="85"/>
        <w:ind w:firstLine="480"/>
        <w:rPr>
          <w:kern w:val="0"/>
        </w:rPr>
      </w:pPr>
      <w:r>
        <w:rPr>
          <w:kern w:val="0"/>
        </w:rPr>
        <w:fldChar w:fldCharType="begin"/>
      </w:r>
      <w:r>
        <w:rPr>
          <w:kern w:val="0"/>
        </w:rPr>
        <w:instrText xml:space="preserve"> </w:instrText>
      </w:r>
      <w:r>
        <w:rPr>
          <w:rFonts w:hint="eastAsia"/>
          <w:kern w:val="0"/>
        </w:rPr>
        <w:instrText xml:space="preserve">= 2 \* GB3</w:instrText>
      </w:r>
      <w:r>
        <w:rPr>
          <w:kern w:val="0"/>
        </w:rPr>
        <w:instrText xml:space="preserve"> </w:instrText>
      </w:r>
      <w:r>
        <w:rPr>
          <w:kern w:val="0"/>
        </w:rPr>
        <w:fldChar w:fldCharType="separate"/>
      </w:r>
      <w:r>
        <w:rPr>
          <w:rFonts w:hint="eastAsia"/>
          <w:kern w:val="0"/>
        </w:rPr>
        <w:t>②</w:t>
      </w:r>
      <w:r>
        <w:rPr>
          <w:kern w:val="0"/>
        </w:rPr>
        <w:fldChar w:fldCharType="end"/>
      </w:r>
      <w:r>
        <w:rPr>
          <w:rFonts w:hint="eastAsia"/>
          <w:kern w:val="0"/>
        </w:rPr>
        <w:t>宣教功能</w:t>
      </w:r>
    </w:p>
    <w:p w14:paraId="1C6572A2">
      <w:pPr>
        <w:pStyle w:val="85"/>
        <w:ind w:firstLine="480"/>
        <w:rPr>
          <w:kern w:val="0"/>
        </w:rPr>
      </w:pPr>
      <w:r>
        <w:rPr>
          <w:rFonts w:hint="eastAsia"/>
          <w:kern w:val="0"/>
        </w:rPr>
        <w:t>滦平县湿地科普宣教基地，建设生态宜居滦平的标志性工程，弘扬湿地文化的重要平台；潮河流域治理的示范性工程。</w:t>
      </w:r>
    </w:p>
    <w:p w14:paraId="7AEB78C8">
      <w:pPr>
        <w:pStyle w:val="85"/>
        <w:ind w:firstLine="480"/>
        <w:rPr>
          <w:kern w:val="0"/>
        </w:rPr>
      </w:pPr>
      <w:r>
        <w:rPr>
          <w:kern w:val="0"/>
        </w:rPr>
        <w:fldChar w:fldCharType="begin"/>
      </w:r>
      <w:r>
        <w:rPr>
          <w:kern w:val="0"/>
        </w:rPr>
        <w:instrText xml:space="preserve"> </w:instrText>
      </w:r>
      <w:r>
        <w:rPr>
          <w:rFonts w:hint="eastAsia"/>
          <w:kern w:val="0"/>
        </w:rPr>
        <w:instrText xml:space="preserve">= 3 \* GB3</w:instrText>
      </w:r>
      <w:r>
        <w:rPr>
          <w:kern w:val="0"/>
        </w:rPr>
        <w:instrText xml:space="preserve"> </w:instrText>
      </w:r>
      <w:r>
        <w:rPr>
          <w:kern w:val="0"/>
        </w:rPr>
        <w:fldChar w:fldCharType="separate"/>
      </w:r>
      <w:r>
        <w:rPr>
          <w:rFonts w:hint="eastAsia"/>
          <w:kern w:val="0"/>
        </w:rPr>
        <w:t>③</w:t>
      </w:r>
      <w:r>
        <w:rPr>
          <w:kern w:val="0"/>
        </w:rPr>
        <w:fldChar w:fldCharType="end"/>
      </w:r>
      <w:r>
        <w:rPr>
          <w:rFonts w:hint="eastAsia"/>
          <w:kern w:val="0"/>
        </w:rPr>
        <w:t>科学研究功能</w:t>
      </w:r>
    </w:p>
    <w:p w14:paraId="368578E2">
      <w:pPr>
        <w:pStyle w:val="85"/>
        <w:ind w:firstLine="480"/>
        <w:rPr>
          <w:kern w:val="0"/>
        </w:rPr>
      </w:pPr>
      <w:r>
        <w:rPr>
          <w:rFonts w:hint="eastAsia"/>
          <w:kern w:val="0"/>
        </w:rPr>
        <w:t>潮河流域内开展湿地保护与恢复、湿地生物多样性监测、湿地动态变化等科学研究的重要基地。</w:t>
      </w:r>
    </w:p>
    <w:p w14:paraId="397B430E">
      <w:pPr>
        <w:pStyle w:val="85"/>
        <w:ind w:firstLine="480"/>
        <w:rPr>
          <w:kern w:val="0"/>
        </w:rPr>
      </w:pPr>
      <w:r>
        <w:rPr>
          <w:kern w:val="0"/>
        </w:rPr>
        <w:fldChar w:fldCharType="begin"/>
      </w:r>
      <w:r>
        <w:rPr>
          <w:kern w:val="0"/>
        </w:rPr>
        <w:instrText xml:space="preserve"> </w:instrText>
      </w:r>
      <w:r>
        <w:rPr>
          <w:rFonts w:hint="eastAsia"/>
          <w:kern w:val="0"/>
        </w:rPr>
        <w:instrText xml:space="preserve">= 4 \* GB3</w:instrText>
      </w:r>
      <w:r>
        <w:rPr>
          <w:kern w:val="0"/>
        </w:rPr>
        <w:instrText xml:space="preserve"> </w:instrText>
      </w:r>
      <w:r>
        <w:rPr>
          <w:kern w:val="0"/>
        </w:rPr>
        <w:fldChar w:fldCharType="separate"/>
      </w:r>
      <w:r>
        <w:rPr>
          <w:rFonts w:hint="eastAsia"/>
          <w:kern w:val="0"/>
        </w:rPr>
        <w:t>④</w:t>
      </w:r>
      <w:r>
        <w:rPr>
          <w:kern w:val="0"/>
        </w:rPr>
        <w:fldChar w:fldCharType="end"/>
      </w:r>
      <w:r>
        <w:rPr>
          <w:rFonts w:hint="eastAsia"/>
          <w:kern w:val="0"/>
        </w:rPr>
        <w:t>合理利用功能</w:t>
      </w:r>
    </w:p>
    <w:p w14:paraId="48C83877">
      <w:pPr>
        <w:pStyle w:val="85"/>
        <w:ind w:firstLine="480"/>
        <w:rPr>
          <w:kern w:val="0"/>
        </w:rPr>
      </w:pPr>
      <w:r>
        <w:rPr>
          <w:rFonts w:hint="eastAsia"/>
          <w:kern w:val="0"/>
        </w:rPr>
        <w:t>北京“北大门”，滦平县人民的首选休闲游憩场所，承德市民及北京市民周末湿地生态旅游的重要目的地。</w:t>
      </w:r>
    </w:p>
    <w:p w14:paraId="442B18E7">
      <w:pPr>
        <w:pStyle w:val="85"/>
        <w:ind w:firstLine="482"/>
        <w:rPr>
          <w:b/>
          <w:bCs/>
          <w:kern w:val="0"/>
        </w:rPr>
      </w:pPr>
      <w:r>
        <w:rPr>
          <w:b/>
          <w:bCs/>
          <w:kern w:val="0"/>
        </w:rPr>
        <w:t>3</w:t>
      </w:r>
      <w:r>
        <w:rPr>
          <w:rFonts w:hint="eastAsia"/>
          <w:b/>
          <w:bCs/>
          <w:kern w:val="0"/>
        </w:rPr>
        <w:t>）功能区划</w:t>
      </w:r>
    </w:p>
    <w:p w14:paraId="4467306E">
      <w:pPr>
        <w:pStyle w:val="85"/>
        <w:ind w:firstLine="480"/>
        <w:rPr>
          <w:kern w:val="0"/>
        </w:rPr>
      </w:pPr>
      <w:r>
        <w:rPr>
          <w:rFonts w:hint="eastAsia"/>
          <w:kern w:val="0"/>
        </w:rPr>
        <w:t>结合《国家湿地公园总体规划导则（试行）》（2010），将湿地公园划分为5个功能区：湿地保育区、恢复重建区、宣教展示区、合理利用区和管理服务区。</w:t>
      </w:r>
    </w:p>
    <w:p w14:paraId="45B9D5FC">
      <w:pPr>
        <w:pStyle w:val="85"/>
        <w:ind w:firstLine="480"/>
        <w:rPr>
          <w:kern w:val="0"/>
        </w:rPr>
      </w:pPr>
      <w:r>
        <w:rPr>
          <w:kern w:val="0"/>
        </w:rPr>
        <w:fldChar w:fldCharType="begin"/>
      </w:r>
      <w:r>
        <w:rPr>
          <w:kern w:val="0"/>
        </w:rPr>
        <w:instrText xml:space="preserve"> </w:instrText>
      </w:r>
      <w:r>
        <w:rPr>
          <w:rFonts w:hint="eastAsia"/>
          <w:kern w:val="0"/>
        </w:rPr>
        <w:instrText xml:space="preserve">= 1 \* GB3</w:instrText>
      </w:r>
      <w:r>
        <w:rPr>
          <w:kern w:val="0"/>
        </w:rPr>
        <w:instrText xml:space="preserve"> </w:instrText>
      </w:r>
      <w:r>
        <w:rPr>
          <w:kern w:val="0"/>
        </w:rPr>
        <w:fldChar w:fldCharType="separate"/>
      </w:r>
      <w:r>
        <w:rPr>
          <w:rFonts w:hint="eastAsia"/>
          <w:kern w:val="0"/>
        </w:rPr>
        <w:t>①</w:t>
      </w:r>
      <w:r>
        <w:rPr>
          <w:kern w:val="0"/>
        </w:rPr>
        <w:fldChar w:fldCharType="end"/>
      </w:r>
      <w:r>
        <w:rPr>
          <w:rFonts w:hint="eastAsia"/>
          <w:kern w:val="0"/>
        </w:rPr>
        <w:t>湿地保育区</w:t>
      </w:r>
    </w:p>
    <w:p w14:paraId="0552FF37">
      <w:pPr>
        <w:pStyle w:val="85"/>
        <w:ind w:firstLine="480"/>
        <w:rPr>
          <w:kern w:val="0"/>
        </w:rPr>
      </w:pPr>
      <w:r>
        <w:rPr>
          <w:rFonts w:hint="eastAsia"/>
          <w:kern w:val="0"/>
        </w:rPr>
        <w:t>保育区是湿地公园的主体和生态系统稳定的要素，其水环境安全和生物多样性安全是湿地公园建设的重要前提，因此，本区的发展目标为：促进湿地各项生态功能的正常持续发挥，为湿地公园的整体建设提供生态基础保障。</w:t>
      </w:r>
    </w:p>
    <w:p w14:paraId="02142BDB">
      <w:pPr>
        <w:pStyle w:val="85"/>
        <w:ind w:firstLine="480"/>
        <w:rPr>
          <w:kern w:val="0"/>
        </w:rPr>
      </w:pPr>
      <w:r>
        <w:rPr>
          <w:rFonts w:hint="eastAsia"/>
          <w:kern w:val="0"/>
        </w:rPr>
        <w:t>具体包括：严格保护天然次生林，划入生态公益林保护范围，维持并提高本区的植被覆盖率；保护湿地植被，提供适宜水禽栖息的生境；严控水体污染，保证生态用水量；控制人为干扰，以维持并不断改善其自然状态。</w:t>
      </w:r>
    </w:p>
    <w:p w14:paraId="5C158C36">
      <w:pPr>
        <w:pStyle w:val="85"/>
        <w:ind w:firstLine="480"/>
        <w:rPr>
          <w:kern w:val="0"/>
        </w:rPr>
      </w:pPr>
      <w:r>
        <w:rPr>
          <w:kern w:val="0"/>
        </w:rPr>
        <w:fldChar w:fldCharType="begin"/>
      </w:r>
      <w:r>
        <w:rPr>
          <w:kern w:val="0"/>
        </w:rPr>
        <w:instrText xml:space="preserve"> </w:instrText>
      </w:r>
      <w:r>
        <w:rPr>
          <w:rFonts w:hint="eastAsia"/>
          <w:kern w:val="0"/>
        </w:rPr>
        <w:instrText xml:space="preserve">= 2 \* GB3</w:instrText>
      </w:r>
      <w:r>
        <w:rPr>
          <w:kern w:val="0"/>
        </w:rPr>
        <w:instrText xml:space="preserve"> </w:instrText>
      </w:r>
      <w:r>
        <w:rPr>
          <w:kern w:val="0"/>
        </w:rPr>
        <w:fldChar w:fldCharType="separate"/>
      </w:r>
      <w:r>
        <w:rPr>
          <w:rFonts w:hint="eastAsia"/>
          <w:kern w:val="0"/>
        </w:rPr>
        <w:t>②</w:t>
      </w:r>
      <w:r>
        <w:rPr>
          <w:kern w:val="0"/>
        </w:rPr>
        <w:fldChar w:fldCharType="end"/>
      </w:r>
      <w:r>
        <w:rPr>
          <w:rFonts w:hint="eastAsia"/>
          <w:kern w:val="0"/>
        </w:rPr>
        <w:t>恢复重建区</w:t>
      </w:r>
    </w:p>
    <w:p w14:paraId="41B0EC67">
      <w:pPr>
        <w:pStyle w:val="85"/>
        <w:ind w:firstLine="480"/>
        <w:rPr>
          <w:kern w:val="0"/>
        </w:rPr>
      </w:pPr>
      <w:r>
        <w:rPr>
          <w:rFonts w:hint="eastAsia"/>
          <w:kern w:val="0"/>
        </w:rPr>
        <w:t>本区发展目标为：改善现状不良的资源条件，构建健康的湿地生态系统，改善湿地生态功能，为湿地公园的稳定提供保障。</w:t>
      </w:r>
    </w:p>
    <w:p w14:paraId="3B69FDC4">
      <w:pPr>
        <w:pStyle w:val="85"/>
        <w:ind w:firstLine="480"/>
        <w:rPr>
          <w:kern w:val="0"/>
        </w:rPr>
      </w:pPr>
      <w:r>
        <w:rPr>
          <w:rFonts w:hint="eastAsia"/>
          <w:kern w:val="0"/>
        </w:rPr>
        <w:t>具体包括：控制水体污染，保持并改善项目区的水质；关停采沙场；疏通水系，提高水体的连通状况；湿地植被恢复，提高植被覆盖率；改善生境，为鸟类提供栖息地。</w:t>
      </w:r>
    </w:p>
    <w:p w14:paraId="6C391394">
      <w:pPr>
        <w:pStyle w:val="85"/>
        <w:ind w:firstLine="480"/>
        <w:rPr>
          <w:kern w:val="0"/>
        </w:rPr>
      </w:pPr>
      <w:r>
        <w:rPr>
          <w:kern w:val="0"/>
        </w:rPr>
        <w:fldChar w:fldCharType="begin"/>
      </w:r>
      <w:r>
        <w:rPr>
          <w:kern w:val="0"/>
        </w:rPr>
        <w:instrText xml:space="preserve"> </w:instrText>
      </w:r>
      <w:r>
        <w:rPr>
          <w:rFonts w:hint="eastAsia"/>
          <w:kern w:val="0"/>
        </w:rPr>
        <w:instrText xml:space="preserve">= 3 \* GB3</w:instrText>
      </w:r>
      <w:r>
        <w:rPr>
          <w:kern w:val="0"/>
        </w:rPr>
        <w:instrText xml:space="preserve"> </w:instrText>
      </w:r>
      <w:r>
        <w:rPr>
          <w:kern w:val="0"/>
        </w:rPr>
        <w:fldChar w:fldCharType="separate"/>
      </w:r>
      <w:r>
        <w:rPr>
          <w:rFonts w:hint="eastAsia"/>
          <w:kern w:val="0"/>
        </w:rPr>
        <w:t>③</w:t>
      </w:r>
      <w:r>
        <w:rPr>
          <w:kern w:val="0"/>
        </w:rPr>
        <w:fldChar w:fldCharType="end"/>
      </w:r>
      <w:r>
        <w:rPr>
          <w:rFonts w:hint="eastAsia"/>
          <w:kern w:val="0"/>
        </w:rPr>
        <w:t>宣教展示区</w:t>
      </w:r>
    </w:p>
    <w:p w14:paraId="64B10AA0">
      <w:pPr>
        <w:pStyle w:val="85"/>
        <w:ind w:firstLine="480"/>
        <w:rPr>
          <w:kern w:val="0"/>
        </w:rPr>
      </w:pPr>
      <w:r>
        <w:rPr>
          <w:rFonts w:hint="eastAsia"/>
          <w:kern w:val="0"/>
        </w:rPr>
        <w:t>本区发展目标为充分利用不同现有湿地景观和资源，开展室内外湿地科普宣教活动，传播湿地知识，提高公众的湿地保护意识。</w:t>
      </w:r>
    </w:p>
    <w:p w14:paraId="76F191AF">
      <w:pPr>
        <w:pStyle w:val="85"/>
        <w:ind w:firstLine="480"/>
        <w:rPr>
          <w:kern w:val="0"/>
        </w:rPr>
      </w:pPr>
      <w:r>
        <w:rPr>
          <w:rFonts w:hint="eastAsia"/>
          <w:kern w:val="0"/>
        </w:rPr>
        <w:t>具体包括：充分利用区域内已有的设施和便利的区位条件，对滦平市民进行潜移默化的湿地生态教育。</w:t>
      </w:r>
    </w:p>
    <w:p w14:paraId="2C6EE68E">
      <w:pPr>
        <w:pStyle w:val="85"/>
        <w:ind w:firstLine="480"/>
        <w:rPr>
          <w:kern w:val="0"/>
        </w:rPr>
      </w:pPr>
      <w:r>
        <w:rPr>
          <w:kern w:val="0"/>
        </w:rPr>
        <w:fldChar w:fldCharType="begin"/>
      </w:r>
      <w:r>
        <w:rPr>
          <w:kern w:val="0"/>
        </w:rPr>
        <w:instrText xml:space="preserve"> </w:instrText>
      </w:r>
      <w:r>
        <w:rPr>
          <w:rFonts w:hint="eastAsia"/>
          <w:kern w:val="0"/>
        </w:rPr>
        <w:instrText xml:space="preserve">= 4 \* GB3</w:instrText>
      </w:r>
      <w:r>
        <w:rPr>
          <w:kern w:val="0"/>
        </w:rPr>
        <w:instrText xml:space="preserve"> </w:instrText>
      </w:r>
      <w:r>
        <w:rPr>
          <w:kern w:val="0"/>
        </w:rPr>
        <w:fldChar w:fldCharType="separate"/>
      </w:r>
      <w:r>
        <w:rPr>
          <w:rFonts w:hint="eastAsia"/>
          <w:kern w:val="0"/>
        </w:rPr>
        <w:t>④</w:t>
      </w:r>
      <w:r>
        <w:rPr>
          <w:kern w:val="0"/>
        </w:rPr>
        <w:fldChar w:fldCharType="end"/>
      </w:r>
      <w:r>
        <w:rPr>
          <w:rFonts w:hint="eastAsia"/>
          <w:kern w:val="0"/>
        </w:rPr>
        <w:t>合理利用区</w:t>
      </w:r>
    </w:p>
    <w:p w14:paraId="358F925B">
      <w:pPr>
        <w:pStyle w:val="85"/>
        <w:ind w:firstLine="480"/>
        <w:rPr>
          <w:kern w:val="0"/>
        </w:rPr>
      </w:pPr>
      <w:r>
        <w:rPr>
          <w:rFonts w:hint="eastAsia"/>
          <w:kern w:val="0"/>
        </w:rPr>
        <w:t>合理利用区是湿地公园开展湿地资源合理利用、湿地休闲和游憩体验的良好场所。本区要利用区位优势开展生态旅游活动，为居民和游客提供日常休闲和节假日生态旅游活动的目的地。</w:t>
      </w:r>
    </w:p>
    <w:p w14:paraId="5FEE6C72">
      <w:pPr>
        <w:pStyle w:val="85"/>
        <w:ind w:firstLine="480"/>
        <w:rPr>
          <w:kern w:val="0"/>
        </w:rPr>
      </w:pPr>
      <w:r>
        <w:rPr>
          <w:kern w:val="0"/>
        </w:rPr>
        <w:fldChar w:fldCharType="begin"/>
      </w:r>
      <w:r>
        <w:rPr>
          <w:kern w:val="0"/>
        </w:rPr>
        <w:instrText xml:space="preserve"> </w:instrText>
      </w:r>
      <w:r>
        <w:rPr>
          <w:rFonts w:hint="eastAsia"/>
          <w:kern w:val="0"/>
        </w:rPr>
        <w:instrText xml:space="preserve">= 5 \* GB3</w:instrText>
      </w:r>
      <w:r>
        <w:rPr>
          <w:kern w:val="0"/>
        </w:rPr>
        <w:instrText xml:space="preserve"> </w:instrText>
      </w:r>
      <w:r>
        <w:rPr>
          <w:kern w:val="0"/>
        </w:rPr>
        <w:fldChar w:fldCharType="separate"/>
      </w:r>
      <w:r>
        <w:rPr>
          <w:rFonts w:hint="eastAsia"/>
          <w:kern w:val="0"/>
        </w:rPr>
        <w:t>⑤</w:t>
      </w:r>
      <w:r>
        <w:rPr>
          <w:kern w:val="0"/>
        </w:rPr>
        <w:fldChar w:fldCharType="end"/>
      </w:r>
      <w:r>
        <w:rPr>
          <w:rFonts w:hint="eastAsia"/>
          <w:kern w:val="0"/>
        </w:rPr>
        <w:t>管理服务区</w:t>
      </w:r>
    </w:p>
    <w:p w14:paraId="58C344E1">
      <w:pPr>
        <w:pStyle w:val="85"/>
        <w:ind w:firstLine="480"/>
        <w:rPr>
          <w:kern w:val="0"/>
        </w:rPr>
      </w:pPr>
      <w:r>
        <w:rPr>
          <w:rFonts w:hint="eastAsia"/>
          <w:kern w:val="0"/>
        </w:rPr>
        <w:t>建设游客接待中心和湿地公园管理站，为湿地公园游客提供高效便利的接待服务，为湿地公园管理提供场所。</w:t>
      </w:r>
    </w:p>
    <w:p w14:paraId="5636420E">
      <w:pPr>
        <w:jc w:val="center"/>
        <w:rPr>
          <w:rFonts w:eastAsia="黑体"/>
          <w:kern w:val="0"/>
          <w:sz w:val="24"/>
          <w:szCs w:val="21"/>
        </w:rPr>
      </w:pPr>
      <w:r>
        <w:rPr>
          <w:rFonts w:eastAsia="黑体"/>
          <w:kern w:val="0"/>
          <w:sz w:val="24"/>
        </w:rPr>
        <w:t>表</w:t>
      </w:r>
      <w:r>
        <w:rPr>
          <w:rFonts w:eastAsia="黑体"/>
          <w:kern w:val="0"/>
          <w:sz w:val="24"/>
        </w:rPr>
        <w:fldChar w:fldCharType="begin"/>
      </w:r>
      <w:r>
        <w:rPr>
          <w:rFonts w:eastAsia="黑体"/>
          <w:kern w:val="0"/>
          <w:sz w:val="24"/>
        </w:rPr>
        <w:instrText xml:space="preserve"> STYLEREF 1 \s </w:instrText>
      </w:r>
      <w:r>
        <w:rPr>
          <w:rFonts w:eastAsia="黑体"/>
          <w:kern w:val="0"/>
          <w:sz w:val="24"/>
        </w:rPr>
        <w:fldChar w:fldCharType="separate"/>
      </w:r>
      <w:r>
        <w:rPr>
          <w:rFonts w:eastAsia="黑体"/>
          <w:kern w:val="0"/>
          <w:sz w:val="24"/>
        </w:rPr>
        <w:t>3</w:t>
      </w:r>
      <w:r>
        <w:rPr>
          <w:rFonts w:eastAsia="黑体"/>
          <w:kern w:val="0"/>
          <w:sz w:val="24"/>
        </w:rPr>
        <w:fldChar w:fldCharType="end"/>
      </w:r>
      <w:r>
        <w:rPr>
          <w:rFonts w:eastAsia="黑体"/>
          <w:kern w:val="0"/>
          <w:sz w:val="24"/>
        </w:rPr>
        <w:noBreakHyphen/>
      </w:r>
      <w:r>
        <w:rPr>
          <w:rFonts w:eastAsia="黑体"/>
          <w:kern w:val="0"/>
          <w:sz w:val="24"/>
        </w:rPr>
        <w:fldChar w:fldCharType="begin"/>
      </w:r>
      <w:r>
        <w:rPr>
          <w:rFonts w:eastAsia="黑体"/>
          <w:kern w:val="0"/>
          <w:sz w:val="24"/>
        </w:rPr>
        <w:instrText xml:space="preserve"> SEQ 表 \* ARABIC \s 1 </w:instrText>
      </w:r>
      <w:r>
        <w:rPr>
          <w:rFonts w:eastAsia="黑体"/>
          <w:kern w:val="0"/>
          <w:sz w:val="24"/>
        </w:rPr>
        <w:fldChar w:fldCharType="separate"/>
      </w:r>
      <w:r>
        <w:rPr>
          <w:rFonts w:eastAsia="黑体"/>
          <w:kern w:val="0"/>
          <w:sz w:val="24"/>
        </w:rPr>
        <w:t>30</w:t>
      </w:r>
      <w:r>
        <w:rPr>
          <w:rFonts w:eastAsia="黑体"/>
          <w:kern w:val="0"/>
          <w:sz w:val="24"/>
        </w:rPr>
        <w:fldChar w:fldCharType="end"/>
      </w:r>
      <w:r>
        <w:rPr>
          <w:rFonts w:eastAsia="黑体"/>
          <w:kern w:val="0"/>
          <w:sz w:val="24"/>
        </w:rPr>
        <w:t xml:space="preserve"> </w:t>
      </w:r>
      <w:r>
        <w:rPr>
          <w:rFonts w:eastAsia="黑体"/>
          <w:kern w:val="0"/>
          <w:sz w:val="24"/>
          <w:szCs w:val="21"/>
        </w:rPr>
        <w:t xml:space="preserve"> </w:t>
      </w:r>
      <w:r>
        <w:rPr>
          <w:rFonts w:hint="eastAsia" w:eastAsia="黑体"/>
          <w:kern w:val="0"/>
          <w:sz w:val="24"/>
          <w:szCs w:val="21"/>
        </w:rPr>
        <w:t>湿地公园各功能区面积表</w:t>
      </w:r>
    </w:p>
    <w:tbl>
      <w:tblPr>
        <w:tblStyle w:val="63"/>
        <w:tblW w:w="8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539"/>
        <w:gridCol w:w="1231"/>
        <w:gridCol w:w="1604"/>
        <w:gridCol w:w="1708"/>
        <w:gridCol w:w="1707"/>
      </w:tblGrid>
      <w:tr w14:paraId="6F405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46" w:type="dxa"/>
            <w:vAlign w:val="center"/>
          </w:tcPr>
          <w:p w14:paraId="7A90F683">
            <w:pPr>
              <w:pStyle w:val="307"/>
              <w:rPr>
                <w:b/>
                <w:lang w:val="en-US"/>
              </w:rPr>
            </w:pPr>
            <w:r>
              <w:rPr>
                <w:rFonts w:hint="eastAsia"/>
                <w:b/>
                <w:lang w:val="en-US"/>
              </w:rPr>
              <w:t>序号</w:t>
            </w:r>
          </w:p>
        </w:tc>
        <w:tc>
          <w:tcPr>
            <w:tcW w:w="1539" w:type="dxa"/>
            <w:vAlign w:val="center"/>
          </w:tcPr>
          <w:p w14:paraId="264E0138">
            <w:pPr>
              <w:pStyle w:val="307"/>
              <w:rPr>
                <w:b/>
                <w:lang w:val="en-US"/>
              </w:rPr>
            </w:pPr>
            <w:r>
              <w:rPr>
                <w:rFonts w:hint="eastAsia"/>
                <w:b/>
                <w:lang w:val="en-US"/>
              </w:rPr>
              <w:t>功能分区</w:t>
            </w:r>
          </w:p>
        </w:tc>
        <w:tc>
          <w:tcPr>
            <w:tcW w:w="1231" w:type="dxa"/>
            <w:vAlign w:val="center"/>
          </w:tcPr>
          <w:p w14:paraId="19917E1D">
            <w:pPr>
              <w:pStyle w:val="307"/>
              <w:rPr>
                <w:b/>
                <w:lang w:val="en-US"/>
              </w:rPr>
            </w:pPr>
            <w:r>
              <w:rPr>
                <w:rFonts w:hint="eastAsia"/>
                <w:b/>
                <w:lang w:val="en-US"/>
              </w:rPr>
              <w:t>面积（</w:t>
            </w:r>
            <w:r>
              <w:rPr>
                <w:b/>
                <w:lang w:val="en-US"/>
              </w:rPr>
              <w:t>hm</w:t>
            </w:r>
            <w:r>
              <w:rPr>
                <w:b/>
                <w:vertAlign w:val="superscript"/>
                <w:lang w:val="en-US"/>
              </w:rPr>
              <w:t>2</w:t>
            </w:r>
            <w:r>
              <w:rPr>
                <w:rFonts w:hint="eastAsia"/>
                <w:b/>
                <w:lang w:val="en-US"/>
              </w:rPr>
              <w:t>）</w:t>
            </w:r>
          </w:p>
        </w:tc>
        <w:tc>
          <w:tcPr>
            <w:tcW w:w="1604" w:type="dxa"/>
            <w:vAlign w:val="center"/>
          </w:tcPr>
          <w:p w14:paraId="7D9FDDEC">
            <w:pPr>
              <w:pStyle w:val="307"/>
              <w:rPr>
                <w:b/>
                <w:lang w:val="en-US"/>
              </w:rPr>
            </w:pPr>
            <w:r>
              <w:rPr>
                <w:rFonts w:hint="eastAsia"/>
                <w:b/>
                <w:lang w:val="en-US"/>
              </w:rPr>
              <w:t>占总面积比例（</w:t>
            </w:r>
            <w:r>
              <w:rPr>
                <w:b/>
                <w:lang w:val="en-US"/>
              </w:rPr>
              <w:t>%</w:t>
            </w:r>
            <w:r>
              <w:rPr>
                <w:rFonts w:hint="eastAsia"/>
                <w:b/>
                <w:lang w:val="en-US"/>
              </w:rPr>
              <w:t>）</w:t>
            </w:r>
          </w:p>
        </w:tc>
        <w:tc>
          <w:tcPr>
            <w:tcW w:w="1708" w:type="dxa"/>
            <w:vAlign w:val="center"/>
          </w:tcPr>
          <w:p w14:paraId="79119A32">
            <w:pPr>
              <w:pStyle w:val="307"/>
              <w:rPr>
                <w:b/>
                <w:lang w:val="en-US"/>
              </w:rPr>
            </w:pPr>
            <w:r>
              <w:rPr>
                <w:rFonts w:hint="eastAsia"/>
                <w:b/>
                <w:lang w:val="en-US"/>
              </w:rPr>
              <w:t>湿地面积（</w:t>
            </w:r>
            <w:r>
              <w:rPr>
                <w:b/>
                <w:lang w:val="en-US"/>
              </w:rPr>
              <w:t>hm</w:t>
            </w:r>
            <w:r>
              <w:rPr>
                <w:b/>
                <w:vertAlign w:val="superscript"/>
                <w:lang w:val="en-US"/>
              </w:rPr>
              <w:t>2</w:t>
            </w:r>
            <w:r>
              <w:rPr>
                <w:rFonts w:hint="eastAsia"/>
                <w:b/>
                <w:lang w:val="en-US"/>
              </w:rPr>
              <w:t>）</w:t>
            </w:r>
          </w:p>
        </w:tc>
        <w:tc>
          <w:tcPr>
            <w:tcW w:w="1707" w:type="dxa"/>
            <w:vAlign w:val="center"/>
          </w:tcPr>
          <w:p w14:paraId="33556CEC">
            <w:pPr>
              <w:pStyle w:val="307"/>
              <w:rPr>
                <w:b/>
                <w:lang w:val="en-US"/>
              </w:rPr>
            </w:pPr>
            <w:r>
              <w:rPr>
                <w:rFonts w:hint="eastAsia"/>
                <w:b/>
                <w:lang w:val="en-US"/>
              </w:rPr>
              <w:t>占湿地面积比例（</w:t>
            </w:r>
            <w:r>
              <w:rPr>
                <w:b/>
                <w:lang w:val="en-US"/>
              </w:rPr>
              <w:t>%</w:t>
            </w:r>
            <w:r>
              <w:rPr>
                <w:rFonts w:hint="eastAsia"/>
                <w:b/>
                <w:lang w:val="en-US"/>
              </w:rPr>
              <w:t>）</w:t>
            </w:r>
          </w:p>
        </w:tc>
      </w:tr>
      <w:tr w14:paraId="313AC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6" w:type="dxa"/>
            <w:vAlign w:val="center"/>
          </w:tcPr>
          <w:p w14:paraId="135D0595">
            <w:pPr>
              <w:pStyle w:val="307"/>
              <w:rPr>
                <w:lang w:val="en-US"/>
              </w:rPr>
            </w:pPr>
            <w:r>
              <w:rPr>
                <w:lang w:val="en-US"/>
              </w:rPr>
              <w:t>1</w:t>
            </w:r>
          </w:p>
        </w:tc>
        <w:tc>
          <w:tcPr>
            <w:tcW w:w="1539" w:type="dxa"/>
            <w:vAlign w:val="center"/>
          </w:tcPr>
          <w:p w14:paraId="72ABDDFF">
            <w:pPr>
              <w:pStyle w:val="307"/>
              <w:rPr>
                <w:lang w:val="en-US"/>
              </w:rPr>
            </w:pPr>
            <w:r>
              <w:rPr>
                <w:rFonts w:hint="eastAsia"/>
                <w:lang w:val="en-US"/>
              </w:rPr>
              <w:t>湿地保育区</w:t>
            </w:r>
          </w:p>
        </w:tc>
        <w:tc>
          <w:tcPr>
            <w:tcW w:w="1231" w:type="dxa"/>
            <w:vAlign w:val="center"/>
          </w:tcPr>
          <w:p w14:paraId="46707AAB">
            <w:pPr>
              <w:pStyle w:val="307"/>
              <w:rPr>
                <w:lang w:val="en-US"/>
              </w:rPr>
            </w:pPr>
            <w:r>
              <w:rPr>
                <w:lang w:val="en-US"/>
              </w:rPr>
              <w:t>434.88</w:t>
            </w:r>
          </w:p>
        </w:tc>
        <w:tc>
          <w:tcPr>
            <w:tcW w:w="1604" w:type="dxa"/>
            <w:vAlign w:val="center"/>
          </w:tcPr>
          <w:p w14:paraId="641ED5D9">
            <w:pPr>
              <w:pStyle w:val="307"/>
              <w:rPr>
                <w:lang w:val="en-US"/>
              </w:rPr>
            </w:pPr>
            <w:r>
              <w:rPr>
                <w:lang w:val="en-US"/>
              </w:rPr>
              <w:t>79.86%</w:t>
            </w:r>
          </w:p>
        </w:tc>
        <w:tc>
          <w:tcPr>
            <w:tcW w:w="1708" w:type="dxa"/>
            <w:vAlign w:val="center"/>
          </w:tcPr>
          <w:p w14:paraId="0DFEDCF9">
            <w:pPr>
              <w:pStyle w:val="307"/>
              <w:rPr>
                <w:lang w:val="en-US"/>
              </w:rPr>
            </w:pPr>
            <w:r>
              <w:rPr>
                <w:lang w:val="en-US"/>
              </w:rPr>
              <w:t>387.24</w:t>
            </w:r>
          </w:p>
        </w:tc>
        <w:tc>
          <w:tcPr>
            <w:tcW w:w="1707" w:type="dxa"/>
            <w:vAlign w:val="center"/>
          </w:tcPr>
          <w:p w14:paraId="056FE898">
            <w:pPr>
              <w:pStyle w:val="307"/>
              <w:rPr>
                <w:lang w:val="en-US"/>
              </w:rPr>
            </w:pPr>
            <w:r>
              <w:rPr>
                <w:lang w:val="en-US"/>
              </w:rPr>
              <w:t>88.54%</w:t>
            </w:r>
          </w:p>
        </w:tc>
      </w:tr>
      <w:tr w14:paraId="53695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6" w:type="dxa"/>
            <w:vAlign w:val="center"/>
          </w:tcPr>
          <w:p w14:paraId="3637D93E">
            <w:pPr>
              <w:pStyle w:val="307"/>
              <w:rPr>
                <w:lang w:val="en-US"/>
              </w:rPr>
            </w:pPr>
            <w:r>
              <w:rPr>
                <w:lang w:val="en-US"/>
              </w:rPr>
              <w:t>2</w:t>
            </w:r>
          </w:p>
        </w:tc>
        <w:tc>
          <w:tcPr>
            <w:tcW w:w="1539" w:type="dxa"/>
            <w:vAlign w:val="center"/>
          </w:tcPr>
          <w:p w14:paraId="1795EF66">
            <w:pPr>
              <w:pStyle w:val="307"/>
              <w:rPr>
                <w:lang w:val="en-US"/>
              </w:rPr>
            </w:pPr>
            <w:r>
              <w:rPr>
                <w:rFonts w:hint="eastAsia"/>
                <w:lang w:val="en-US"/>
              </w:rPr>
              <w:t>恢复重建区</w:t>
            </w:r>
          </w:p>
        </w:tc>
        <w:tc>
          <w:tcPr>
            <w:tcW w:w="1231" w:type="dxa"/>
            <w:vAlign w:val="center"/>
          </w:tcPr>
          <w:p w14:paraId="6E0DE7A8">
            <w:pPr>
              <w:pStyle w:val="307"/>
              <w:rPr>
                <w:lang w:val="en-US"/>
              </w:rPr>
            </w:pPr>
            <w:r>
              <w:rPr>
                <w:lang w:val="en-US"/>
              </w:rPr>
              <w:t>84.7</w:t>
            </w:r>
          </w:p>
        </w:tc>
        <w:tc>
          <w:tcPr>
            <w:tcW w:w="1604" w:type="dxa"/>
            <w:vAlign w:val="center"/>
          </w:tcPr>
          <w:p w14:paraId="267CFC70">
            <w:pPr>
              <w:pStyle w:val="307"/>
              <w:rPr>
                <w:lang w:val="en-US"/>
              </w:rPr>
            </w:pPr>
            <w:r>
              <w:rPr>
                <w:lang w:val="en-US"/>
              </w:rPr>
              <w:t>15.55%</w:t>
            </w:r>
          </w:p>
        </w:tc>
        <w:tc>
          <w:tcPr>
            <w:tcW w:w="1708" w:type="dxa"/>
            <w:vAlign w:val="center"/>
          </w:tcPr>
          <w:p w14:paraId="23ED1773">
            <w:pPr>
              <w:pStyle w:val="307"/>
              <w:rPr>
                <w:lang w:val="en-US"/>
              </w:rPr>
            </w:pPr>
            <w:r>
              <w:rPr>
                <w:lang w:val="en-US"/>
              </w:rPr>
              <w:t>36.72</w:t>
            </w:r>
          </w:p>
        </w:tc>
        <w:tc>
          <w:tcPr>
            <w:tcW w:w="1707" w:type="dxa"/>
            <w:vAlign w:val="center"/>
          </w:tcPr>
          <w:p w14:paraId="59A96A8C">
            <w:pPr>
              <w:pStyle w:val="307"/>
              <w:rPr>
                <w:lang w:val="en-US"/>
              </w:rPr>
            </w:pPr>
            <w:r>
              <w:rPr>
                <w:lang w:val="en-US"/>
              </w:rPr>
              <w:t>8.40%</w:t>
            </w:r>
          </w:p>
        </w:tc>
      </w:tr>
      <w:tr w14:paraId="5C293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6" w:type="dxa"/>
            <w:vAlign w:val="center"/>
          </w:tcPr>
          <w:p w14:paraId="0B9D1DCA">
            <w:pPr>
              <w:pStyle w:val="307"/>
              <w:rPr>
                <w:lang w:val="en-US"/>
              </w:rPr>
            </w:pPr>
            <w:r>
              <w:rPr>
                <w:lang w:val="en-US"/>
              </w:rPr>
              <w:t>3</w:t>
            </w:r>
          </w:p>
        </w:tc>
        <w:tc>
          <w:tcPr>
            <w:tcW w:w="1539" w:type="dxa"/>
            <w:vAlign w:val="center"/>
          </w:tcPr>
          <w:p w14:paraId="258C7E44">
            <w:pPr>
              <w:pStyle w:val="307"/>
              <w:rPr>
                <w:lang w:val="en-US"/>
              </w:rPr>
            </w:pPr>
            <w:r>
              <w:rPr>
                <w:rFonts w:hint="eastAsia"/>
                <w:lang w:val="en-US"/>
              </w:rPr>
              <w:t>宣教展示区</w:t>
            </w:r>
          </w:p>
        </w:tc>
        <w:tc>
          <w:tcPr>
            <w:tcW w:w="1231" w:type="dxa"/>
            <w:vAlign w:val="center"/>
          </w:tcPr>
          <w:p w14:paraId="19D4ACCE">
            <w:pPr>
              <w:pStyle w:val="307"/>
              <w:rPr>
                <w:lang w:val="en-US"/>
              </w:rPr>
            </w:pPr>
            <w:r>
              <w:rPr>
                <w:lang w:val="en-US"/>
              </w:rPr>
              <w:t>11.17</w:t>
            </w:r>
          </w:p>
        </w:tc>
        <w:tc>
          <w:tcPr>
            <w:tcW w:w="1604" w:type="dxa"/>
            <w:vAlign w:val="center"/>
          </w:tcPr>
          <w:p w14:paraId="0EF613DC">
            <w:pPr>
              <w:pStyle w:val="307"/>
              <w:rPr>
                <w:lang w:val="en-US"/>
              </w:rPr>
            </w:pPr>
            <w:r>
              <w:rPr>
                <w:lang w:val="en-US"/>
              </w:rPr>
              <w:t>2.05%</w:t>
            </w:r>
          </w:p>
        </w:tc>
        <w:tc>
          <w:tcPr>
            <w:tcW w:w="1708" w:type="dxa"/>
            <w:vAlign w:val="center"/>
          </w:tcPr>
          <w:p w14:paraId="11649B2B">
            <w:pPr>
              <w:pStyle w:val="307"/>
              <w:rPr>
                <w:lang w:val="en-US"/>
              </w:rPr>
            </w:pPr>
            <w:r>
              <w:rPr>
                <w:lang w:val="en-US"/>
              </w:rPr>
              <w:t>10</w:t>
            </w:r>
          </w:p>
        </w:tc>
        <w:tc>
          <w:tcPr>
            <w:tcW w:w="1707" w:type="dxa"/>
            <w:vAlign w:val="center"/>
          </w:tcPr>
          <w:p w14:paraId="5BA17598">
            <w:pPr>
              <w:pStyle w:val="307"/>
              <w:rPr>
                <w:lang w:val="en-US"/>
              </w:rPr>
            </w:pPr>
            <w:r>
              <w:rPr>
                <w:lang w:val="en-US"/>
              </w:rPr>
              <w:t>2.29%</w:t>
            </w:r>
          </w:p>
        </w:tc>
      </w:tr>
      <w:tr w14:paraId="137CD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6" w:type="dxa"/>
            <w:vAlign w:val="center"/>
          </w:tcPr>
          <w:p w14:paraId="33766F51">
            <w:pPr>
              <w:pStyle w:val="307"/>
              <w:rPr>
                <w:lang w:val="en-US"/>
              </w:rPr>
            </w:pPr>
            <w:r>
              <w:rPr>
                <w:lang w:val="en-US"/>
              </w:rPr>
              <w:t>4</w:t>
            </w:r>
          </w:p>
        </w:tc>
        <w:tc>
          <w:tcPr>
            <w:tcW w:w="1539" w:type="dxa"/>
            <w:vAlign w:val="center"/>
          </w:tcPr>
          <w:p w14:paraId="61994C24">
            <w:pPr>
              <w:pStyle w:val="307"/>
              <w:rPr>
                <w:lang w:val="en-US"/>
              </w:rPr>
            </w:pPr>
            <w:r>
              <w:rPr>
                <w:rFonts w:hint="eastAsia"/>
                <w:lang w:val="en-US"/>
              </w:rPr>
              <w:t>合理利用区</w:t>
            </w:r>
          </w:p>
        </w:tc>
        <w:tc>
          <w:tcPr>
            <w:tcW w:w="1231" w:type="dxa"/>
            <w:vAlign w:val="center"/>
          </w:tcPr>
          <w:p w14:paraId="510AF97D">
            <w:pPr>
              <w:pStyle w:val="307"/>
              <w:rPr>
                <w:lang w:val="en-US"/>
              </w:rPr>
            </w:pPr>
            <w:r>
              <w:rPr>
                <w:lang w:val="en-US"/>
              </w:rPr>
              <w:t>10</w:t>
            </w:r>
          </w:p>
        </w:tc>
        <w:tc>
          <w:tcPr>
            <w:tcW w:w="1604" w:type="dxa"/>
            <w:vAlign w:val="center"/>
          </w:tcPr>
          <w:p w14:paraId="2D120648">
            <w:pPr>
              <w:pStyle w:val="307"/>
              <w:rPr>
                <w:lang w:val="en-US"/>
              </w:rPr>
            </w:pPr>
            <w:r>
              <w:rPr>
                <w:lang w:val="en-US"/>
              </w:rPr>
              <w:t>1.84%</w:t>
            </w:r>
          </w:p>
        </w:tc>
        <w:tc>
          <w:tcPr>
            <w:tcW w:w="1708" w:type="dxa"/>
            <w:vAlign w:val="center"/>
          </w:tcPr>
          <w:p w14:paraId="2787B1C7">
            <w:pPr>
              <w:pStyle w:val="307"/>
              <w:rPr>
                <w:lang w:val="en-US"/>
              </w:rPr>
            </w:pPr>
            <w:r>
              <w:rPr>
                <w:lang w:val="en-US"/>
              </w:rPr>
              <w:t>3.38</w:t>
            </w:r>
          </w:p>
        </w:tc>
        <w:tc>
          <w:tcPr>
            <w:tcW w:w="1707" w:type="dxa"/>
            <w:vAlign w:val="center"/>
          </w:tcPr>
          <w:p w14:paraId="1BBBECEC">
            <w:pPr>
              <w:pStyle w:val="307"/>
              <w:rPr>
                <w:lang w:val="en-US"/>
              </w:rPr>
            </w:pPr>
            <w:r>
              <w:rPr>
                <w:lang w:val="en-US"/>
              </w:rPr>
              <w:t>0.77%</w:t>
            </w:r>
          </w:p>
        </w:tc>
      </w:tr>
      <w:tr w14:paraId="31289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6" w:type="dxa"/>
            <w:vAlign w:val="center"/>
          </w:tcPr>
          <w:p w14:paraId="36E1D664">
            <w:pPr>
              <w:pStyle w:val="307"/>
              <w:rPr>
                <w:lang w:val="en-US"/>
              </w:rPr>
            </w:pPr>
            <w:r>
              <w:rPr>
                <w:lang w:val="en-US"/>
              </w:rPr>
              <w:t>5</w:t>
            </w:r>
          </w:p>
        </w:tc>
        <w:tc>
          <w:tcPr>
            <w:tcW w:w="1539" w:type="dxa"/>
            <w:vAlign w:val="center"/>
          </w:tcPr>
          <w:p w14:paraId="10EA9837">
            <w:pPr>
              <w:pStyle w:val="307"/>
              <w:rPr>
                <w:lang w:val="en-US"/>
              </w:rPr>
            </w:pPr>
            <w:r>
              <w:rPr>
                <w:rFonts w:hint="eastAsia"/>
                <w:lang w:val="en-US"/>
              </w:rPr>
              <w:t>管理服务区</w:t>
            </w:r>
          </w:p>
        </w:tc>
        <w:tc>
          <w:tcPr>
            <w:tcW w:w="1231" w:type="dxa"/>
            <w:vAlign w:val="center"/>
          </w:tcPr>
          <w:p w14:paraId="12DE4050">
            <w:pPr>
              <w:pStyle w:val="307"/>
              <w:rPr>
                <w:lang w:val="en-US"/>
              </w:rPr>
            </w:pPr>
            <w:r>
              <w:rPr>
                <w:lang w:val="en-US"/>
              </w:rPr>
              <w:t>3.78</w:t>
            </w:r>
          </w:p>
        </w:tc>
        <w:tc>
          <w:tcPr>
            <w:tcW w:w="1604" w:type="dxa"/>
            <w:vAlign w:val="center"/>
          </w:tcPr>
          <w:p w14:paraId="7355F7BB">
            <w:pPr>
              <w:pStyle w:val="307"/>
              <w:rPr>
                <w:lang w:val="en-US"/>
              </w:rPr>
            </w:pPr>
            <w:r>
              <w:rPr>
                <w:lang w:val="en-US"/>
              </w:rPr>
              <w:t>0.69%</w:t>
            </w:r>
          </w:p>
        </w:tc>
        <w:tc>
          <w:tcPr>
            <w:tcW w:w="1708" w:type="dxa"/>
            <w:vAlign w:val="center"/>
          </w:tcPr>
          <w:p w14:paraId="440DA364">
            <w:pPr>
              <w:pStyle w:val="307"/>
              <w:rPr>
                <w:lang w:val="en-US"/>
              </w:rPr>
            </w:pPr>
            <w:r>
              <w:rPr>
                <w:lang w:val="en-US"/>
              </w:rPr>
              <w:t>0</w:t>
            </w:r>
          </w:p>
        </w:tc>
        <w:tc>
          <w:tcPr>
            <w:tcW w:w="1707" w:type="dxa"/>
            <w:vAlign w:val="center"/>
          </w:tcPr>
          <w:p w14:paraId="5A4200E1">
            <w:pPr>
              <w:pStyle w:val="307"/>
              <w:rPr>
                <w:lang w:val="en-US"/>
              </w:rPr>
            </w:pPr>
          </w:p>
        </w:tc>
      </w:tr>
      <w:tr w14:paraId="1D732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6" w:type="dxa"/>
            <w:vAlign w:val="center"/>
          </w:tcPr>
          <w:p w14:paraId="7C62CC90">
            <w:pPr>
              <w:pStyle w:val="307"/>
              <w:rPr>
                <w:lang w:val="en-US"/>
              </w:rPr>
            </w:pPr>
          </w:p>
        </w:tc>
        <w:tc>
          <w:tcPr>
            <w:tcW w:w="1539" w:type="dxa"/>
            <w:vAlign w:val="center"/>
          </w:tcPr>
          <w:p w14:paraId="754EB42F">
            <w:pPr>
              <w:pStyle w:val="307"/>
              <w:rPr>
                <w:lang w:val="en-US"/>
              </w:rPr>
            </w:pPr>
            <w:r>
              <w:rPr>
                <w:rFonts w:hint="eastAsia"/>
                <w:lang w:val="en-US"/>
              </w:rPr>
              <w:t>合计</w:t>
            </w:r>
          </w:p>
        </w:tc>
        <w:tc>
          <w:tcPr>
            <w:tcW w:w="1231" w:type="dxa"/>
            <w:vAlign w:val="center"/>
          </w:tcPr>
          <w:p w14:paraId="67636349">
            <w:pPr>
              <w:pStyle w:val="307"/>
              <w:rPr>
                <w:lang w:val="en-US"/>
              </w:rPr>
            </w:pPr>
            <w:r>
              <w:rPr>
                <w:lang w:val="en-US"/>
              </w:rPr>
              <w:t>544.53</w:t>
            </w:r>
          </w:p>
        </w:tc>
        <w:tc>
          <w:tcPr>
            <w:tcW w:w="1604" w:type="dxa"/>
            <w:vAlign w:val="center"/>
          </w:tcPr>
          <w:p w14:paraId="6AE4DD3B">
            <w:pPr>
              <w:pStyle w:val="307"/>
              <w:rPr>
                <w:lang w:val="en-US"/>
              </w:rPr>
            </w:pPr>
            <w:r>
              <w:rPr>
                <w:lang w:val="en-US"/>
              </w:rPr>
              <w:t>100.00%</w:t>
            </w:r>
          </w:p>
        </w:tc>
        <w:tc>
          <w:tcPr>
            <w:tcW w:w="1708" w:type="dxa"/>
            <w:vAlign w:val="center"/>
          </w:tcPr>
          <w:p w14:paraId="690807FB">
            <w:pPr>
              <w:pStyle w:val="307"/>
              <w:rPr>
                <w:lang w:val="en-US"/>
              </w:rPr>
            </w:pPr>
            <w:r>
              <w:rPr>
                <w:lang w:val="en-US"/>
              </w:rPr>
              <w:t>437.34</w:t>
            </w:r>
          </w:p>
        </w:tc>
        <w:tc>
          <w:tcPr>
            <w:tcW w:w="1707" w:type="dxa"/>
            <w:vAlign w:val="center"/>
          </w:tcPr>
          <w:p w14:paraId="74272995">
            <w:pPr>
              <w:pStyle w:val="307"/>
              <w:rPr>
                <w:lang w:val="en-US"/>
              </w:rPr>
            </w:pPr>
            <w:r>
              <w:rPr>
                <w:lang w:val="en-US"/>
              </w:rPr>
              <w:t>100.00%</w:t>
            </w:r>
          </w:p>
        </w:tc>
      </w:tr>
    </w:tbl>
    <w:p w14:paraId="66A7F801">
      <w:pPr>
        <w:pStyle w:val="85"/>
        <w:ind w:firstLine="482"/>
        <w:rPr>
          <w:b/>
          <w:bCs/>
          <w:kern w:val="0"/>
        </w:rPr>
      </w:pPr>
      <w:r>
        <w:rPr>
          <w:b/>
          <w:bCs/>
          <w:kern w:val="0"/>
        </w:rPr>
        <w:t>4</w:t>
      </w:r>
      <w:r>
        <w:rPr>
          <w:rFonts w:hint="eastAsia"/>
          <w:b/>
          <w:bCs/>
          <w:kern w:val="0"/>
        </w:rPr>
        <w:t>）生物多样性现状</w:t>
      </w:r>
    </w:p>
    <w:p w14:paraId="54E22085">
      <w:pPr>
        <w:pStyle w:val="85"/>
        <w:ind w:firstLine="480"/>
        <w:rPr>
          <w:kern w:val="0"/>
        </w:rPr>
      </w:pPr>
      <w:r>
        <w:rPr>
          <w:rFonts w:hint="eastAsia"/>
          <w:kern w:val="0"/>
        </w:rPr>
        <w:t>湿地公园规划范围内共有维管束植物74科251属404种。其中：蕨类植物4科4属9种，裸子植物2科3属3种；被子植物68科244属392种。湿地公园规划区内共有脊椎动物26目55科122种。</w:t>
      </w:r>
    </w:p>
    <w:p w14:paraId="02066636">
      <w:pPr>
        <w:pStyle w:val="85"/>
        <w:ind w:firstLine="482"/>
        <w:rPr>
          <w:b/>
          <w:bCs/>
          <w:kern w:val="0"/>
        </w:rPr>
      </w:pPr>
      <w:r>
        <w:rPr>
          <w:b/>
          <w:bCs/>
          <w:kern w:val="0"/>
        </w:rPr>
        <w:t>5</w:t>
      </w:r>
      <w:r>
        <w:rPr>
          <w:rFonts w:hint="eastAsia"/>
          <w:b/>
          <w:bCs/>
          <w:kern w:val="0"/>
        </w:rPr>
        <w:t>）位置关系</w:t>
      </w:r>
    </w:p>
    <w:p w14:paraId="4A8BDB91">
      <w:pPr>
        <w:pStyle w:val="85"/>
        <w:ind w:firstLine="480"/>
        <w:rPr>
          <w:kern w:val="0"/>
        </w:rPr>
      </w:pPr>
      <w:r>
        <w:rPr>
          <w:rFonts w:hint="eastAsia"/>
          <w:kern w:val="0"/>
        </w:rPr>
        <w:t>项目涉及河北滦平潮河国家湿地公园。项目治理河段K</w:t>
      </w:r>
      <w:r>
        <w:rPr>
          <w:kern w:val="0"/>
        </w:rPr>
        <w:t>3-850~K13+050</w:t>
      </w:r>
      <w:r>
        <w:rPr>
          <w:rFonts w:hint="eastAsia"/>
          <w:kern w:val="0"/>
        </w:rPr>
        <w:t>位于湿地公园内，重叠面积2</w:t>
      </w:r>
      <w:r>
        <w:rPr>
          <w:kern w:val="0"/>
        </w:rPr>
        <w:t>4.36</w:t>
      </w:r>
      <w:r>
        <w:rPr>
          <w:rFonts w:hint="eastAsia"/>
          <w:kern w:val="0"/>
        </w:rPr>
        <w:t>hm</w:t>
      </w:r>
      <w:r>
        <w:rPr>
          <w:kern w:val="0"/>
          <w:vertAlign w:val="superscript"/>
        </w:rPr>
        <w:t>2</w:t>
      </w:r>
      <w:r>
        <w:rPr>
          <w:rFonts w:hint="eastAsia"/>
          <w:kern w:val="0"/>
        </w:rPr>
        <w:t>。具体位置关系见下图。</w:t>
      </w:r>
    </w:p>
    <w:p w14:paraId="72731B1F">
      <w:pPr>
        <w:pStyle w:val="20"/>
        <w:keepNext/>
      </w:pPr>
      <w:r>
        <w:drawing>
          <wp:inline distT="0" distB="0" distL="0" distR="0">
            <wp:extent cx="5278120" cy="70389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3" cstate="print">
                      <a:extLst>
                        <a:ext uri="{28A0092B-C50C-407E-A947-70E740481C1C}">
                          <a14:useLocalDpi xmlns:a14="http://schemas.microsoft.com/office/drawing/2010/main" val="0"/>
                        </a:ext>
                      </a:extLst>
                    </a:blip>
                    <a:srcRect t="3320" b="2307"/>
                    <a:stretch>
                      <a:fillRect/>
                    </a:stretch>
                  </pic:blipFill>
                  <pic:spPr>
                    <a:xfrm>
                      <a:off x="0" y="0"/>
                      <a:ext cx="5278120" cy="7038975"/>
                    </a:xfrm>
                    <a:prstGeom prst="rect">
                      <a:avLst/>
                    </a:prstGeom>
                    <a:noFill/>
                    <a:ln>
                      <a:noFill/>
                    </a:ln>
                  </pic:spPr>
                </pic:pic>
              </a:graphicData>
            </a:graphic>
          </wp:inline>
        </w:drawing>
      </w:r>
    </w:p>
    <w:p w14:paraId="44E4761D">
      <w:pPr>
        <w:pStyle w:val="351"/>
        <w:rPr>
          <w:color w:val="0000FF"/>
          <w:kern w:val="0"/>
        </w:rP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3</w:t>
      </w:r>
      <w:r>
        <w:fldChar w:fldCharType="end"/>
      </w:r>
      <w:r>
        <w:t xml:space="preserve">  </w:t>
      </w:r>
      <w:r>
        <w:rPr>
          <w:rFonts w:hint="eastAsia"/>
        </w:rPr>
        <w:t>项目与河北滦平潮河国家湿地公园位置关系图（1）</w:t>
      </w:r>
    </w:p>
    <w:p w14:paraId="0B940823">
      <w:pPr>
        <w:pStyle w:val="20"/>
        <w:keepNext/>
      </w:pPr>
      <w:r>
        <w:drawing>
          <wp:inline distT="0" distB="0" distL="0" distR="0">
            <wp:extent cx="5278120" cy="703897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4" cstate="print">
                      <a:extLst>
                        <a:ext uri="{28A0092B-C50C-407E-A947-70E740481C1C}">
                          <a14:useLocalDpi xmlns:a14="http://schemas.microsoft.com/office/drawing/2010/main" val="0"/>
                        </a:ext>
                      </a:extLst>
                    </a:blip>
                    <a:srcRect t="3193" b="2434"/>
                    <a:stretch>
                      <a:fillRect/>
                    </a:stretch>
                  </pic:blipFill>
                  <pic:spPr>
                    <a:xfrm>
                      <a:off x="0" y="0"/>
                      <a:ext cx="5278120" cy="7038975"/>
                    </a:xfrm>
                    <a:prstGeom prst="rect">
                      <a:avLst/>
                    </a:prstGeom>
                    <a:noFill/>
                    <a:ln>
                      <a:noFill/>
                    </a:ln>
                  </pic:spPr>
                </pic:pic>
              </a:graphicData>
            </a:graphic>
          </wp:inline>
        </w:drawing>
      </w:r>
    </w:p>
    <w:p w14:paraId="4908D2C6">
      <w:pPr>
        <w:pStyle w:val="351"/>
        <w:rPr>
          <w:color w:val="0000FF"/>
          <w:kern w:val="0"/>
        </w:rP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4</w:t>
      </w:r>
      <w:r>
        <w:fldChar w:fldCharType="end"/>
      </w:r>
      <w:r>
        <w:t xml:space="preserve">  </w:t>
      </w:r>
      <w:r>
        <w:rPr>
          <w:rFonts w:hint="eastAsia"/>
        </w:rPr>
        <w:t>项目与河北滦平潮河国家湿地公园位置关系图（2）</w:t>
      </w:r>
    </w:p>
    <w:p w14:paraId="728AC846">
      <w:pPr>
        <w:pStyle w:val="85"/>
        <w:ind w:firstLine="480"/>
        <w:rPr>
          <w:color w:val="0000FF"/>
          <w:kern w:val="0"/>
        </w:rPr>
      </w:pPr>
    </w:p>
    <w:p w14:paraId="5132172C">
      <w:pPr>
        <w:pStyle w:val="85"/>
        <w:ind w:firstLine="480"/>
        <w:rPr>
          <w:color w:val="0000FF"/>
          <w:kern w:val="0"/>
        </w:rPr>
      </w:pPr>
    </w:p>
    <w:p w14:paraId="09AFC2A3">
      <w:pPr>
        <w:pStyle w:val="85"/>
        <w:ind w:firstLine="482"/>
        <w:rPr>
          <w:b/>
          <w:kern w:val="0"/>
        </w:rPr>
      </w:pPr>
      <w:r>
        <w:rPr>
          <w:rFonts w:hint="eastAsia"/>
          <w:b/>
          <w:kern w:val="0"/>
        </w:rPr>
        <w:t>（</w:t>
      </w:r>
      <w:r>
        <w:rPr>
          <w:b/>
          <w:kern w:val="0"/>
        </w:rPr>
        <w:t>2</w:t>
      </w:r>
      <w:r>
        <w:rPr>
          <w:rFonts w:hint="eastAsia"/>
          <w:b/>
          <w:kern w:val="0"/>
        </w:rPr>
        <w:t>）生态</w:t>
      </w:r>
      <w:r>
        <w:rPr>
          <w:b/>
          <w:kern w:val="0"/>
        </w:rPr>
        <w:t>保护红线</w:t>
      </w:r>
    </w:p>
    <w:p w14:paraId="36CA9DEA">
      <w:pPr>
        <w:pStyle w:val="85"/>
        <w:ind w:firstLine="480"/>
        <w:rPr>
          <w:kern w:val="0"/>
        </w:rPr>
      </w:pPr>
      <w:r>
        <w:rPr>
          <w:rFonts w:hint="eastAsia"/>
          <w:kern w:val="0"/>
        </w:rPr>
        <w:t>根据承德市“三区三线”划定成果，项目涉及生态红线类型为水源涵养，名称为燕山水源涵养-生物多样性维护生态保护红线。</w:t>
      </w:r>
    </w:p>
    <w:p w14:paraId="40505619">
      <w:pPr>
        <w:pStyle w:val="85"/>
        <w:ind w:firstLine="480"/>
        <w:rPr>
          <w:kern w:val="0"/>
        </w:rPr>
      </w:pPr>
      <w:r>
        <w:rPr>
          <w:rFonts w:hint="eastAsia"/>
          <w:kern w:val="0"/>
        </w:rPr>
        <w:t>本项目涉及生态保护红线为燕山水源涵养--生物多样性维护生态保护红线。</w:t>
      </w:r>
    </w:p>
    <w:p w14:paraId="6503C29D">
      <w:pPr>
        <w:pStyle w:val="85"/>
        <w:ind w:firstLine="480"/>
        <w:rPr>
          <w:kern w:val="0"/>
        </w:rPr>
      </w:pPr>
      <w:r>
        <w:rPr>
          <w:kern w:val="0"/>
        </w:rPr>
        <w:fldChar w:fldCharType="begin"/>
      </w:r>
      <w:r>
        <w:rPr>
          <w:kern w:val="0"/>
        </w:rPr>
        <w:instrText xml:space="preserve"> </w:instrText>
      </w:r>
      <w:r>
        <w:rPr>
          <w:rFonts w:hint="eastAsia"/>
          <w:kern w:val="0"/>
        </w:rPr>
        <w:instrText xml:space="preserve">= 1 \* GB3</w:instrText>
      </w:r>
      <w:r>
        <w:rPr>
          <w:kern w:val="0"/>
        </w:rPr>
        <w:instrText xml:space="preserve"> </w:instrText>
      </w:r>
      <w:r>
        <w:rPr>
          <w:kern w:val="0"/>
        </w:rPr>
        <w:fldChar w:fldCharType="separate"/>
      </w:r>
      <w:r>
        <w:rPr>
          <w:rFonts w:hint="eastAsia"/>
          <w:kern w:val="0"/>
        </w:rPr>
        <w:t>①</w:t>
      </w:r>
      <w:r>
        <w:rPr>
          <w:kern w:val="0"/>
        </w:rPr>
        <w:fldChar w:fldCharType="end"/>
      </w:r>
      <w:r>
        <w:rPr>
          <w:kern w:val="0"/>
        </w:rPr>
        <w:t>分布范围</w:t>
      </w:r>
    </w:p>
    <w:p w14:paraId="5C4DF074">
      <w:pPr>
        <w:pStyle w:val="85"/>
        <w:ind w:firstLine="480"/>
        <w:rPr>
          <w:kern w:val="0"/>
        </w:rPr>
      </w:pPr>
      <w:r>
        <w:rPr>
          <w:rFonts w:hint="eastAsia"/>
          <w:kern w:val="0"/>
        </w:rPr>
        <w:t>该区位于河北省东北部，北与坝上高原相接，南与河北平原为邻。生态保护红线主要分布于张家口东部坝下、承德地区坝下和唐山、秦皇岛市所属19个县（市）。生态保护红线面积22579km</w:t>
      </w:r>
      <w:r>
        <w:rPr>
          <w:rFonts w:hint="eastAsia"/>
          <w:kern w:val="0"/>
          <w:vertAlign w:val="superscript"/>
        </w:rPr>
        <w:t>2</w:t>
      </w:r>
      <w:r>
        <w:rPr>
          <w:rFonts w:hint="eastAsia"/>
          <w:kern w:val="0"/>
        </w:rPr>
        <w:t>，占全省陆域面积的11.97%。</w:t>
      </w:r>
    </w:p>
    <w:p w14:paraId="350E6FCD">
      <w:pPr>
        <w:pStyle w:val="85"/>
        <w:ind w:firstLine="480"/>
        <w:rPr>
          <w:kern w:val="0"/>
        </w:rPr>
      </w:pPr>
      <w:r>
        <w:rPr>
          <w:kern w:val="0"/>
        </w:rPr>
        <w:fldChar w:fldCharType="begin"/>
      </w:r>
      <w:r>
        <w:rPr>
          <w:kern w:val="0"/>
        </w:rPr>
        <w:instrText xml:space="preserve"> </w:instrText>
      </w:r>
      <w:r>
        <w:rPr>
          <w:rFonts w:hint="eastAsia"/>
          <w:kern w:val="0"/>
        </w:rPr>
        <w:instrText xml:space="preserve">= 2 \* GB3</w:instrText>
      </w:r>
      <w:r>
        <w:rPr>
          <w:kern w:val="0"/>
        </w:rPr>
        <w:instrText xml:space="preserve"> </w:instrText>
      </w:r>
      <w:r>
        <w:rPr>
          <w:kern w:val="0"/>
        </w:rPr>
        <w:fldChar w:fldCharType="separate"/>
      </w:r>
      <w:r>
        <w:rPr>
          <w:rFonts w:hint="eastAsia"/>
          <w:kern w:val="0"/>
        </w:rPr>
        <w:t>②</w:t>
      </w:r>
      <w:r>
        <w:rPr>
          <w:kern w:val="0"/>
        </w:rPr>
        <w:fldChar w:fldCharType="end"/>
      </w:r>
      <w:r>
        <w:rPr>
          <w:kern w:val="0"/>
        </w:rPr>
        <w:t>生态系统类型及生态功能</w:t>
      </w:r>
    </w:p>
    <w:p w14:paraId="05E3E744">
      <w:pPr>
        <w:pStyle w:val="85"/>
        <w:ind w:firstLine="480"/>
        <w:rPr>
          <w:kern w:val="0"/>
        </w:rPr>
      </w:pPr>
      <w:r>
        <w:rPr>
          <w:rFonts w:hint="eastAsia"/>
          <w:kern w:val="0"/>
        </w:rPr>
        <w:t>燕山水源涵养--生物多样性维护生态保护红线区域内以森林生态系统为主，植被覆盖率高，降水条件好，河流水系发达，是滦河、潮白河、辽河三大水系的主要发源地，有潘家口、大黑汀等水库，是北京、天津、唐山三大城市重要水源地，具有重要的水源涵养功能。区域内物种丰富，植被保护良好，为大量生物提供了栖息地，保护了物种的完整性，具有较强的生物多样性维护功能。</w:t>
      </w:r>
    </w:p>
    <w:p w14:paraId="1618E46A">
      <w:pPr>
        <w:pStyle w:val="85"/>
        <w:ind w:firstLine="480"/>
        <w:rPr>
          <w:kern w:val="0"/>
        </w:rPr>
      </w:pPr>
      <w:r>
        <w:rPr>
          <w:rFonts w:hint="eastAsia"/>
          <w:kern w:val="0"/>
        </w:rPr>
        <w:t>全线与生态保护红线重叠面积</w:t>
      </w:r>
      <w:bookmarkStart w:id="124" w:name="_Hlk198195326"/>
      <w:r>
        <w:rPr>
          <w:rFonts w:hint="eastAsia"/>
          <w:kern w:val="0"/>
        </w:rPr>
        <w:t>2</w:t>
      </w:r>
      <w:r>
        <w:rPr>
          <w:kern w:val="0"/>
        </w:rPr>
        <w:t>8.72</w:t>
      </w:r>
      <w:r>
        <w:rPr>
          <w:rFonts w:hint="eastAsia"/>
          <w:kern w:val="0"/>
        </w:rPr>
        <w:t>hm</w:t>
      </w:r>
      <w:r>
        <w:rPr>
          <w:kern w:val="0"/>
          <w:vertAlign w:val="superscript"/>
        </w:rPr>
        <w:t>2</w:t>
      </w:r>
      <w:r>
        <w:rPr>
          <w:rFonts w:hint="eastAsia"/>
          <w:kern w:val="0"/>
        </w:rPr>
        <w:t>，</w:t>
      </w:r>
      <w:bookmarkEnd w:id="124"/>
      <w:r>
        <w:rPr>
          <w:rFonts w:hint="eastAsia"/>
          <w:kern w:val="0"/>
        </w:rPr>
        <w:t>工程与生态保护红线位置关系见下图。</w:t>
      </w:r>
    </w:p>
    <w:p w14:paraId="53FF7825">
      <w:pPr>
        <w:pStyle w:val="20"/>
        <w:keepNext/>
      </w:pPr>
      <w:r>
        <w:drawing>
          <wp:inline distT="0" distB="0" distL="0" distR="0">
            <wp:extent cx="5278120" cy="706755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5" cstate="print">
                      <a:extLst>
                        <a:ext uri="{28A0092B-C50C-407E-A947-70E740481C1C}">
                          <a14:useLocalDpi xmlns:a14="http://schemas.microsoft.com/office/drawing/2010/main" val="0"/>
                        </a:ext>
                      </a:extLst>
                    </a:blip>
                    <a:srcRect t="2936" b="2307"/>
                    <a:stretch>
                      <a:fillRect/>
                    </a:stretch>
                  </pic:blipFill>
                  <pic:spPr>
                    <a:xfrm>
                      <a:off x="0" y="0"/>
                      <a:ext cx="5278120" cy="7067550"/>
                    </a:xfrm>
                    <a:prstGeom prst="rect">
                      <a:avLst/>
                    </a:prstGeom>
                    <a:noFill/>
                    <a:ln>
                      <a:noFill/>
                    </a:ln>
                  </pic:spPr>
                </pic:pic>
              </a:graphicData>
            </a:graphic>
          </wp:inline>
        </w:drawing>
      </w:r>
    </w:p>
    <w:p w14:paraId="0AB101C8">
      <w:pPr>
        <w:pStyle w:val="229"/>
        <w:rPr>
          <w:kern w:val="0"/>
        </w:rP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5</w:t>
      </w:r>
      <w:r>
        <w:fldChar w:fldCharType="end"/>
      </w:r>
      <w:r>
        <w:t xml:space="preserve">  </w:t>
      </w:r>
      <w:r>
        <w:rPr>
          <w:rFonts w:hint="eastAsia"/>
        </w:rPr>
        <w:t>项目与生态保护红线位置关系图</w:t>
      </w:r>
    </w:p>
    <w:p w14:paraId="77F25344">
      <w:pPr>
        <w:pStyle w:val="85"/>
        <w:ind w:firstLine="480"/>
        <w:rPr>
          <w:kern w:val="0"/>
        </w:rPr>
        <w:sectPr>
          <w:pgSz w:w="11906" w:h="16838"/>
          <w:pgMar w:top="1724" w:right="1797" w:bottom="2007" w:left="1797" w:header="1417" w:footer="1162" w:gutter="0"/>
          <w:pgNumType w:fmt="numberInDash"/>
          <w:cols w:space="425" w:num="1"/>
          <w:docGrid w:type="lines" w:linePitch="312" w:charSpace="0"/>
        </w:sectPr>
      </w:pPr>
    </w:p>
    <w:p w14:paraId="1F0263D9">
      <w:pPr>
        <w:pStyle w:val="4"/>
      </w:pPr>
      <w:r>
        <w:rPr>
          <w:rFonts w:hint="eastAsia"/>
        </w:rPr>
        <w:t>区域</w:t>
      </w:r>
      <w:r>
        <w:t>主要生态问题</w:t>
      </w:r>
    </w:p>
    <w:p w14:paraId="39BD3A2C">
      <w:pPr>
        <w:pStyle w:val="85"/>
        <w:ind w:firstLine="480"/>
        <w:rPr>
          <w:kern w:val="0"/>
        </w:rPr>
      </w:pPr>
      <w:r>
        <w:rPr>
          <w:rFonts w:hint="eastAsia"/>
          <w:kern w:val="0"/>
        </w:rPr>
        <w:t>一般而言，区域性生态问题包括水土流失、沙漠化、石漠化、盐渍化、生物入侵和污染危害等，以及已经存在的对生态保护目标产生不利影响的干扰因素。根据地区资料及现场踏勘，评价区不属于沙化区，评价区主要存在的区域性生态问题和对生态保护目标不利因素为水资源短缺、水土流失、水环境污染和湿地生态系统退化等。</w:t>
      </w:r>
    </w:p>
    <w:p w14:paraId="2B6D889F">
      <w:pPr>
        <w:pStyle w:val="85"/>
        <w:ind w:firstLine="480"/>
        <w:rPr>
          <w:kern w:val="0"/>
        </w:rPr>
      </w:pPr>
      <w:r>
        <w:rPr>
          <w:rFonts w:hint="eastAsia"/>
          <w:kern w:val="0"/>
        </w:rPr>
        <w:t>潮河是北京的重要水源地，年均向密云水库供水3.51亿m</w:t>
      </w:r>
      <w:r>
        <w:rPr>
          <w:rFonts w:hint="eastAsia"/>
          <w:kern w:val="0"/>
          <w:vertAlign w:val="superscript"/>
        </w:rPr>
        <w:t>3</w:t>
      </w:r>
      <w:r>
        <w:rPr>
          <w:rFonts w:hint="eastAsia"/>
          <w:kern w:val="0"/>
        </w:rPr>
        <w:t>，占密云水库蓄水量的56.7%。潮河总长约205 km，在滦平境内长58.5km，其水量和水质的保证对于北京水生态安全至关重要。但随着经济社会的快速发展、人口的增加、城镇化进程的加快，水环境污染和生态系统退化问题日益严重，潮河流域出现了水资源短缺、中上游地区水土流失、饮水安全受到威胁等问题。</w:t>
      </w:r>
    </w:p>
    <w:p w14:paraId="390A0E58">
      <w:pPr>
        <w:pStyle w:val="85"/>
        <w:spacing w:line="500" w:lineRule="exact"/>
        <w:ind w:firstLine="480"/>
        <w:rPr>
          <w:kern w:val="0"/>
        </w:rPr>
      </w:pPr>
    </w:p>
    <w:p w14:paraId="4942A391">
      <w:pPr>
        <w:pStyle w:val="85"/>
        <w:ind w:firstLine="480"/>
        <w:rPr>
          <w:kern w:val="0"/>
        </w:rPr>
        <w:sectPr>
          <w:pgSz w:w="11906" w:h="16838"/>
          <w:pgMar w:top="1724" w:right="1797" w:bottom="2007" w:left="1797" w:header="1417" w:footer="1162" w:gutter="0"/>
          <w:pgNumType w:fmt="numberInDash"/>
          <w:cols w:space="425" w:num="1"/>
          <w:docGrid w:type="lines" w:linePitch="312" w:charSpace="0"/>
        </w:sectPr>
      </w:pPr>
    </w:p>
    <w:p w14:paraId="0E28FE27">
      <w:pPr>
        <w:pStyle w:val="2"/>
        <w:rPr>
          <w:kern w:val="0"/>
        </w:rPr>
      </w:pPr>
      <w:bookmarkStart w:id="125" w:name="_Toc198733163"/>
      <w:r>
        <w:rPr>
          <w:rFonts w:hint="eastAsia"/>
          <w:kern w:val="0"/>
        </w:rPr>
        <w:t>环境影响预测</w:t>
      </w:r>
      <w:r>
        <w:rPr>
          <w:kern w:val="0"/>
        </w:rPr>
        <w:t>与评价</w:t>
      </w:r>
      <w:bookmarkEnd w:id="125"/>
    </w:p>
    <w:p w14:paraId="55AAD623">
      <w:pPr>
        <w:pStyle w:val="3"/>
        <w:rPr>
          <w:kern w:val="0"/>
        </w:rPr>
      </w:pPr>
      <w:bookmarkStart w:id="126" w:name="_Toc198733164"/>
      <w:r>
        <w:rPr>
          <w:rFonts w:hint="eastAsia"/>
          <w:kern w:val="0"/>
        </w:rPr>
        <w:t>施工期</w:t>
      </w:r>
      <w:r>
        <w:rPr>
          <w:kern w:val="0"/>
        </w:rPr>
        <w:t>环境</w:t>
      </w:r>
      <w:r>
        <w:rPr>
          <w:rFonts w:hint="eastAsia"/>
          <w:kern w:val="0"/>
        </w:rPr>
        <w:t>影响分析</w:t>
      </w:r>
      <w:bookmarkEnd w:id="126"/>
    </w:p>
    <w:p w14:paraId="4C85422E">
      <w:pPr>
        <w:pStyle w:val="4"/>
        <w:rPr>
          <w:kern w:val="0"/>
        </w:rPr>
      </w:pPr>
      <w:r>
        <w:rPr>
          <w:rFonts w:hint="eastAsia"/>
          <w:kern w:val="0"/>
        </w:rPr>
        <w:t>施工期地表水水环境</w:t>
      </w:r>
      <w:r>
        <w:rPr>
          <w:kern w:val="0"/>
        </w:rPr>
        <w:t>影响分析</w:t>
      </w:r>
    </w:p>
    <w:p w14:paraId="4FA1DDB5">
      <w:pPr>
        <w:pStyle w:val="85"/>
        <w:ind w:firstLine="480"/>
        <w:rPr>
          <w:kern w:val="0"/>
        </w:rPr>
      </w:pPr>
      <w:r>
        <w:rPr>
          <w:rFonts w:hint="eastAsia"/>
          <w:kern w:val="0"/>
        </w:rPr>
        <w:t>施工期</w:t>
      </w:r>
      <w:r>
        <w:rPr>
          <w:kern w:val="0"/>
        </w:rPr>
        <w:t>水污染源主要为施工人员生活污水。施工期施工人员产生的生活</w:t>
      </w:r>
      <w:r>
        <w:rPr>
          <w:rFonts w:hint="eastAsia"/>
          <w:kern w:val="0"/>
        </w:rPr>
        <w:t>污水</w:t>
      </w:r>
      <w:r>
        <w:rPr>
          <w:kern w:val="0"/>
        </w:rPr>
        <w:t>，可能影响附近水体环境，其主要污染因子有COD、NH</w:t>
      </w:r>
      <w:r>
        <w:rPr>
          <w:kern w:val="0"/>
          <w:vertAlign w:val="subscript"/>
        </w:rPr>
        <w:t>3</w:t>
      </w:r>
      <w:r>
        <w:rPr>
          <w:kern w:val="0"/>
        </w:rPr>
        <w:t>-N、SS等。根据</w:t>
      </w:r>
      <w:r>
        <w:rPr>
          <w:rFonts w:hint="eastAsia"/>
          <w:kern w:val="0"/>
        </w:rPr>
        <w:t>前文</w:t>
      </w:r>
      <w:r>
        <w:rPr>
          <w:kern w:val="0"/>
        </w:rPr>
        <w:t>核算，工程</w:t>
      </w:r>
      <w:r>
        <w:rPr>
          <w:rFonts w:hint="eastAsia"/>
          <w:kern w:val="0"/>
        </w:rPr>
        <w:t>施工</w:t>
      </w:r>
      <w:r>
        <w:rPr>
          <w:kern w:val="0"/>
        </w:rPr>
        <w:t>期每天约产生COD0.504kg、NH</w:t>
      </w:r>
      <w:r>
        <w:rPr>
          <w:kern w:val="0"/>
          <w:vertAlign w:val="subscript"/>
        </w:rPr>
        <w:t>3</w:t>
      </w:r>
      <w:r>
        <w:rPr>
          <w:kern w:val="0"/>
        </w:rPr>
        <w:t>-N 0.036kg、SS 0.216kg。</w:t>
      </w:r>
      <w:r>
        <w:rPr>
          <w:rFonts w:hint="eastAsia"/>
          <w:kern w:val="0"/>
        </w:rPr>
        <w:t>本工程在施工</w:t>
      </w:r>
      <w:r>
        <w:rPr>
          <w:kern w:val="0"/>
        </w:rPr>
        <w:t>区域</w:t>
      </w:r>
      <w:r>
        <w:rPr>
          <w:rFonts w:hint="eastAsia"/>
          <w:kern w:val="0"/>
        </w:rPr>
        <w:t>设</w:t>
      </w:r>
      <w:r>
        <w:rPr>
          <w:kern w:val="0"/>
        </w:rPr>
        <w:t>2</w:t>
      </w:r>
      <w:r>
        <w:rPr>
          <w:rFonts w:hint="eastAsia"/>
          <w:kern w:val="0"/>
        </w:rPr>
        <w:t>座流动式厕所，粪便经流动式厕所收集后用作农肥，生活污水不外排。本项目</w:t>
      </w:r>
      <w:r>
        <w:rPr>
          <w:kern w:val="0"/>
        </w:rPr>
        <w:t xml:space="preserve">SS </w:t>
      </w:r>
      <w:r>
        <w:rPr>
          <w:rFonts w:hint="eastAsia"/>
          <w:kern w:val="0"/>
        </w:rPr>
        <w:t>排放量为</w:t>
      </w:r>
      <w:r>
        <w:rPr>
          <w:kern w:val="0"/>
        </w:rPr>
        <w:t>0</w:t>
      </w:r>
      <w:r>
        <w:rPr>
          <w:rFonts w:hint="eastAsia"/>
          <w:kern w:val="0"/>
        </w:rPr>
        <w:t>，</w:t>
      </w:r>
      <w:r>
        <w:rPr>
          <w:kern w:val="0"/>
        </w:rPr>
        <w:t xml:space="preserve">COD </w:t>
      </w:r>
      <w:r>
        <w:rPr>
          <w:rFonts w:hint="eastAsia"/>
          <w:kern w:val="0"/>
        </w:rPr>
        <w:t>排放量为</w:t>
      </w:r>
      <w:r>
        <w:rPr>
          <w:kern w:val="0"/>
        </w:rPr>
        <w:t>0</w:t>
      </w:r>
      <w:r>
        <w:rPr>
          <w:rFonts w:hint="eastAsia"/>
          <w:kern w:val="0"/>
        </w:rPr>
        <w:t>，氨氮排放量为</w:t>
      </w:r>
      <w:r>
        <w:rPr>
          <w:kern w:val="0"/>
        </w:rPr>
        <w:t>0</w:t>
      </w:r>
      <w:r>
        <w:rPr>
          <w:rFonts w:hint="eastAsia"/>
          <w:kern w:val="0"/>
        </w:rPr>
        <w:t>。</w:t>
      </w:r>
    </w:p>
    <w:p w14:paraId="130F20C2">
      <w:pPr>
        <w:pStyle w:val="85"/>
        <w:ind w:firstLine="480"/>
        <w:rPr>
          <w:kern w:val="0"/>
        </w:rPr>
      </w:pPr>
      <w:r>
        <w:rPr>
          <w:rFonts w:hint="eastAsia"/>
          <w:kern w:val="0"/>
        </w:rPr>
        <w:t>施工扰动引起的悬浮物污染源主要来自围堰建设过程中引起的泥沙悬浮，使施工区域水体内悬浮物含量升高，对河道水质造成一定影响，但影响是短期的，围堰建设完成，停止一段时间后即可恢复。</w:t>
      </w:r>
    </w:p>
    <w:p w14:paraId="26CA11AE">
      <w:pPr>
        <w:pStyle w:val="85"/>
        <w:ind w:firstLine="480"/>
        <w:rPr>
          <w:kern w:val="0"/>
        </w:rPr>
      </w:pPr>
      <w:r>
        <w:rPr>
          <w:kern w:val="0"/>
        </w:rPr>
        <w:t>综合以上分析，本工程</w:t>
      </w:r>
      <w:r>
        <w:rPr>
          <w:rFonts w:hint="eastAsia"/>
          <w:kern w:val="0"/>
        </w:rPr>
        <w:t>施工期废水</w:t>
      </w:r>
      <w:r>
        <w:rPr>
          <w:kern w:val="0"/>
        </w:rPr>
        <w:t>无外排，通过以上水处理措施后，可以有效防止施工生活污水</w:t>
      </w:r>
      <w:r>
        <w:rPr>
          <w:rFonts w:hint="eastAsia"/>
          <w:kern w:val="0"/>
        </w:rPr>
        <w:t>、</w:t>
      </w:r>
      <w:r>
        <w:rPr>
          <w:kern w:val="0"/>
        </w:rPr>
        <w:t>施工废水对周围水环境的影响。</w:t>
      </w:r>
    </w:p>
    <w:p w14:paraId="1D42BD15">
      <w:pPr>
        <w:pStyle w:val="4"/>
        <w:rPr>
          <w:kern w:val="0"/>
        </w:rPr>
      </w:pPr>
      <w:r>
        <w:rPr>
          <w:rFonts w:hint="eastAsia"/>
          <w:kern w:val="0"/>
        </w:rPr>
        <w:t>施工期地下水环境</w:t>
      </w:r>
      <w:r>
        <w:rPr>
          <w:kern w:val="0"/>
        </w:rPr>
        <w:t>影响分析</w:t>
      </w:r>
    </w:p>
    <w:p w14:paraId="70207E58">
      <w:pPr>
        <w:pStyle w:val="85"/>
        <w:ind w:firstLine="480"/>
        <w:rPr>
          <w:kern w:val="0"/>
        </w:rPr>
      </w:pPr>
      <w:r>
        <w:rPr>
          <w:kern w:val="0"/>
        </w:rPr>
        <w:t>（1）对地下水补泄条件的影响</w:t>
      </w:r>
    </w:p>
    <w:p w14:paraId="4950C1E4">
      <w:pPr>
        <w:pStyle w:val="85"/>
        <w:ind w:firstLine="480"/>
        <w:rPr>
          <w:kern w:val="0"/>
        </w:rPr>
      </w:pPr>
      <w:r>
        <w:rPr>
          <w:kern w:val="0"/>
        </w:rPr>
        <w:t>本项目为</w:t>
      </w:r>
      <w:r>
        <w:rPr>
          <w:rFonts w:hint="eastAsia"/>
          <w:kern w:val="0"/>
        </w:rPr>
        <w:t>滦平县潮河干流河道水质改善与生态修复工程</w:t>
      </w:r>
      <w:r>
        <w:rPr>
          <w:kern w:val="0"/>
        </w:rPr>
        <w:t>，</w:t>
      </w:r>
      <w:r>
        <w:rPr>
          <w:rFonts w:hint="eastAsia"/>
          <w:kern w:val="0"/>
        </w:rPr>
        <w:t>其中</w:t>
      </w:r>
      <w:r>
        <w:rPr>
          <w:kern w:val="0"/>
        </w:rPr>
        <w:t>，</w:t>
      </w:r>
      <w:bookmarkStart w:id="127" w:name="OLE_LINK16"/>
      <w:r>
        <w:rPr>
          <w:rFonts w:hint="eastAsia"/>
          <w:kern w:val="0"/>
        </w:rPr>
        <w:t>河道基底修复及微地形梳理工程</w:t>
      </w:r>
      <w:bookmarkEnd w:id="127"/>
      <w:r>
        <w:rPr>
          <w:rFonts w:hint="eastAsia"/>
          <w:kern w:val="0"/>
        </w:rPr>
        <w:t>施工前</w:t>
      </w:r>
      <w:r>
        <w:rPr>
          <w:kern w:val="0"/>
        </w:rPr>
        <w:t>先</w:t>
      </w:r>
      <w:r>
        <w:rPr>
          <w:rFonts w:hint="eastAsia"/>
          <w:kern w:val="0"/>
        </w:rPr>
        <w:t>建设围堰</w:t>
      </w:r>
      <w:r>
        <w:rPr>
          <w:kern w:val="0"/>
        </w:rPr>
        <w:t>，施工过程</w:t>
      </w:r>
      <w:r>
        <w:rPr>
          <w:rFonts w:hint="eastAsia"/>
          <w:kern w:val="0"/>
        </w:rPr>
        <w:t>为</w:t>
      </w:r>
      <w:r>
        <w:rPr>
          <w:kern w:val="0"/>
        </w:rPr>
        <w:t>明挖</w:t>
      </w:r>
      <w:r>
        <w:rPr>
          <w:rFonts w:hint="eastAsia"/>
          <w:kern w:val="0"/>
        </w:rPr>
        <w:t>；采用挖掘机械将淤泥直接提升至自卸汽车转运。</w:t>
      </w:r>
    </w:p>
    <w:p w14:paraId="319158D4">
      <w:pPr>
        <w:pStyle w:val="85"/>
        <w:ind w:firstLine="480"/>
        <w:rPr>
          <w:kern w:val="0"/>
        </w:rPr>
      </w:pPr>
      <w:r>
        <w:rPr>
          <w:kern w:val="0"/>
        </w:rPr>
        <w:t>根据本工程施工条件和地下水补给、排泄条件，本项目施工期拟建项目</w:t>
      </w:r>
      <w:r>
        <w:rPr>
          <w:rFonts w:hint="eastAsia"/>
          <w:kern w:val="0"/>
        </w:rPr>
        <w:t>明挖施工</w:t>
      </w:r>
      <w:r>
        <w:rPr>
          <w:kern w:val="0"/>
        </w:rPr>
        <w:t>区未见地下水露头，出现突水、涌泥可能性不大，不会造成区域地下水系统的失衡，对地下水水位的影响范围较小</w:t>
      </w:r>
      <w:r>
        <w:rPr>
          <w:rFonts w:hint="eastAsia"/>
          <w:kern w:val="0"/>
        </w:rPr>
        <w:t>；工程施工会</w:t>
      </w:r>
      <w:r>
        <w:rPr>
          <w:kern w:val="0"/>
        </w:rPr>
        <w:t>挖出部分底泥，</w:t>
      </w:r>
      <w:r>
        <w:rPr>
          <w:rFonts w:hint="eastAsia"/>
          <w:kern w:val="0"/>
        </w:rPr>
        <w:t>但不会改变河道</w:t>
      </w:r>
      <w:r>
        <w:rPr>
          <w:kern w:val="0"/>
        </w:rPr>
        <w:t>与周边环境</w:t>
      </w:r>
      <w:r>
        <w:rPr>
          <w:rFonts w:hint="eastAsia"/>
          <w:kern w:val="0"/>
        </w:rPr>
        <w:t>补泄条件。</w:t>
      </w:r>
    </w:p>
    <w:p w14:paraId="6A24AAD3">
      <w:pPr>
        <w:pStyle w:val="85"/>
        <w:ind w:firstLine="480"/>
        <w:rPr>
          <w:kern w:val="0"/>
        </w:rPr>
      </w:pPr>
      <w:r>
        <w:rPr>
          <w:kern w:val="0"/>
        </w:rPr>
        <w:t>（2）废水排放对地下水环境影响</w:t>
      </w:r>
      <w:r>
        <w:rPr>
          <w:rFonts w:hint="eastAsia"/>
          <w:kern w:val="0"/>
        </w:rPr>
        <w:t>分析</w:t>
      </w:r>
    </w:p>
    <w:p w14:paraId="2387B8C4">
      <w:pPr>
        <w:pStyle w:val="85"/>
        <w:ind w:firstLine="480"/>
        <w:rPr>
          <w:kern w:val="0"/>
        </w:rPr>
      </w:pPr>
      <w:r>
        <w:rPr>
          <w:kern w:val="0"/>
        </w:rPr>
        <w:t>工程涉及的废水有施工生活</w:t>
      </w:r>
      <w:r>
        <w:rPr>
          <w:rFonts w:hint="eastAsia"/>
          <w:kern w:val="0"/>
        </w:rPr>
        <w:t>污水</w:t>
      </w:r>
      <w:r>
        <w:rPr>
          <w:kern w:val="0"/>
        </w:rPr>
        <w:t>。</w:t>
      </w:r>
      <w:r>
        <w:rPr>
          <w:rFonts w:hint="eastAsia"/>
          <w:kern w:val="0"/>
        </w:rPr>
        <w:t>本工程设</w:t>
      </w:r>
      <w:r>
        <w:rPr>
          <w:kern w:val="0"/>
        </w:rPr>
        <w:t>2</w:t>
      </w:r>
      <w:r>
        <w:rPr>
          <w:rFonts w:hint="eastAsia"/>
          <w:kern w:val="0"/>
        </w:rPr>
        <w:t>座流动式厕所，粪便经流动式厕所收集后用作农肥，生活污水不外排</w:t>
      </w:r>
      <w:r>
        <w:rPr>
          <w:kern w:val="0"/>
        </w:rPr>
        <w:t>，</w:t>
      </w:r>
      <w:r>
        <w:rPr>
          <w:rFonts w:hint="eastAsia"/>
          <w:kern w:val="0"/>
        </w:rPr>
        <w:t>不会</w:t>
      </w:r>
      <w:r>
        <w:rPr>
          <w:kern w:val="0"/>
        </w:rPr>
        <w:t>对周围地下水环境产生影响。</w:t>
      </w:r>
    </w:p>
    <w:p w14:paraId="7FC116C0">
      <w:pPr>
        <w:pStyle w:val="85"/>
        <w:ind w:firstLine="480"/>
        <w:rPr>
          <w:kern w:val="0"/>
        </w:rPr>
      </w:pPr>
      <w:r>
        <w:rPr>
          <w:rFonts w:hint="eastAsia"/>
          <w:kern w:val="0"/>
        </w:rPr>
        <w:t>施工扰动引起的悬浮物污染源主要来自围堰建设过程中引起的泥沙悬浮，使施工区域水体内悬浮物含量升高，对河道水质造成一定影响，但影响是短期的，围堰建设完成，停止一段时间后即可恢复。</w:t>
      </w:r>
    </w:p>
    <w:p w14:paraId="7A9C4696">
      <w:pPr>
        <w:pStyle w:val="85"/>
        <w:ind w:firstLine="480"/>
        <w:rPr>
          <w:kern w:val="0"/>
        </w:rPr>
      </w:pPr>
      <w:r>
        <w:rPr>
          <w:kern w:val="0"/>
        </w:rPr>
        <w:t>综上，拟建项目对区域地下水影响</w:t>
      </w:r>
      <w:r>
        <w:rPr>
          <w:rFonts w:hint="eastAsia"/>
          <w:kern w:val="0"/>
        </w:rPr>
        <w:t>很</w:t>
      </w:r>
      <w:r>
        <w:rPr>
          <w:kern w:val="0"/>
        </w:rPr>
        <w:t>小。</w:t>
      </w:r>
    </w:p>
    <w:p w14:paraId="2C6E4338">
      <w:pPr>
        <w:pStyle w:val="4"/>
        <w:rPr>
          <w:kern w:val="0"/>
        </w:rPr>
      </w:pPr>
      <w:r>
        <w:rPr>
          <w:rFonts w:hint="eastAsia"/>
          <w:kern w:val="0"/>
        </w:rPr>
        <w:t>施工期</w:t>
      </w:r>
      <w:r>
        <w:rPr>
          <w:kern w:val="0"/>
        </w:rPr>
        <w:t>水文</w:t>
      </w:r>
      <w:r>
        <w:rPr>
          <w:rFonts w:hint="eastAsia"/>
          <w:kern w:val="0"/>
        </w:rPr>
        <w:t>情势</w:t>
      </w:r>
      <w:r>
        <w:rPr>
          <w:kern w:val="0"/>
        </w:rPr>
        <w:t>影响分析</w:t>
      </w:r>
    </w:p>
    <w:p w14:paraId="657CEC77">
      <w:pPr>
        <w:pStyle w:val="85"/>
        <w:ind w:firstLine="480"/>
        <w:rPr>
          <w:bCs/>
          <w:kern w:val="0"/>
          <w:lang w:bidi="en-US"/>
        </w:rPr>
      </w:pPr>
      <w:r>
        <w:rPr>
          <w:bCs/>
          <w:kern w:val="0"/>
          <w:lang w:bidi="en-US"/>
        </w:rPr>
        <w:t>根据现场踏勘情况，</w:t>
      </w:r>
      <w:r>
        <w:rPr>
          <w:rFonts w:hint="eastAsia"/>
          <w:bCs/>
          <w:kern w:val="0"/>
          <w:lang w:bidi="en-US"/>
        </w:rPr>
        <w:t>潮河</w:t>
      </w:r>
      <w:r>
        <w:rPr>
          <w:bCs/>
          <w:kern w:val="0"/>
          <w:lang w:bidi="en-US"/>
        </w:rPr>
        <w:t>现状河道河床底部参差不齐，不同河段流动情况存在差异。拟建项目施工选择在平水期及枯水期进行，水位较低（＜1.5m），施工前针对施工河段上下游采取分段施工</w:t>
      </w:r>
      <w:r>
        <w:rPr>
          <w:rFonts w:hint="eastAsia"/>
          <w:bCs/>
          <w:kern w:val="0"/>
          <w:lang w:bidi="en-US"/>
        </w:rPr>
        <w:t>，并建设围堰，干场施工，</w:t>
      </w:r>
      <w:r>
        <w:rPr>
          <w:bCs/>
          <w:kern w:val="0"/>
          <w:lang w:bidi="en-US"/>
        </w:rPr>
        <w:t>将对河流宽度及水流流速产生一定影响</w:t>
      </w:r>
      <w:r>
        <w:rPr>
          <w:rFonts w:hint="eastAsia"/>
          <w:bCs/>
          <w:kern w:val="0"/>
          <w:lang w:bidi="en-US"/>
        </w:rPr>
        <w:t>，</w:t>
      </w:r>
      <w:r>
        <w:rPr>
          <w:bCs/>
          <w:kern w:val="0"/>
          <w:lang w:bidi="en-US"/>
        </w:rPr>
        <w:t>因采用半幅施工方案，</w:t>
      </w:r>
      <w:r>
        <w:rPr>
          <w:rFonts w:hint="eastAsia"/>
          <w:bCs/>
          <w:kern w:val="0"/>
          <w:lang w:bidi="en-US"/>
        </w:rPr>
        <w:t>围堰段河流平均水深基本不会发生变化，但流速增加，约为非施工河段流速2倍</w:t>
      </w:r>
      <w:r>
        <w:rPr>
          <w:bCs/>
          <w:kern w:val="0"/>
          <w:lang w:bidi="en-US"/>
        </w:rPr>
        <w:t>。根据现场踏勘及历史资料收集，</w:t>
      </w:r>
      <w:r>
        <w:rPr>
          <w:rFonts w:hint="eastAsia"/>
          <w:bCs/>
          <w:kern w:val="0"/>
          <w:lang w:bidi="en-US"/>
        </w:rPr>
        <w:t>潮河</w:t>
      </w:r>
      <w:r>
        <w:rPr>
          <w:bCs/>
          <w:kern w:val="0"/>
          <w:lang w:bidi="en-US"/>
        </w:rPr>
        <w:t>平水期及枯水期该处通水河道宽度较窄，水位较浅。因此拟建项目通过采取施工导流措施，可以有效减轻围堰施工对地表水体流动的影响。</w:t>
      </w:r>
      <w:r>
        <w:rPr>
          <w:rFonts w:hint="eastAsia"/>
          <w:bCs/>
          <w:kern w:val="0"/>
          <w:lang w:bidi="en-US"/>
        </w:rPr>
        <w:t>基底修复及微地形梳理、护坡</w:t>
      </w:r>
      <w:r>
        <w:rPr>
          <w:bCs/>
          <w:kern w:val="0"/>
          <w:lang w:bidi="en-US"/>
        </w:rPr>
        <w:t>工程扰动区域在雨季易形成水土流失，在旱季易出现风吹起尘，使周边景观的美感度降低；因此需要施工单位有序、分阶段地推进施工进程，雨季施工时，采用彩条布进行覆盖，防止坡面被雨水冲刷而造成滑坡或者水土流失，在采取局部开挖、局部剥离、局部防护等措施的前提下不会对区域地表水水文情势产生明显不利影响。同时，分段施工的设计确保了施工扰动范围能够得到有效控制；施工完成后及时对施工场地进行恢复。</w:t>
      </w:r>
    </w:p>
    <w:p w14:paraId="6341F148">
      <w:pPr>
        <w:pStyle w:val="85"/>
        <w:ind w:firstLine="480"/>
        <w:rPr>
          <w:bCs/>
          <w:kern w:val="0"/>
          <w:lang w:bidi="en-US"/>
        </w:rPr>
      </w:pPr>
      <w:r>
        <w:rPr>
          <w:bCs/>
          <w:kern w:val="0"/>
          <w:lang w:bidi="en-US"/>
        </w:rPr>
        <w:t>工程虽需要在河道范围内施工，但施工期选择在平水期及枯水期等水量较小时段进行，施工时采用分段施工、围堰导流施工（顺着河流流向设置围堰，左右岸半幅施工，一侧完工，围堰河水引导到另一侧，然后</w:t>
      </w:r>
      <w:r>
        <w:rPr>
          <w:rFonts w:hint="eastAsia"/>
          <w:bCs/>
          <w:kern w:val="0"/>
          <w:lang w:bidi="en-US"/>
        </w:rPr>
        <w:t>在</w:t>
      </w:r>
      <w:r>
        <w:rPr>
          <w:bCs/>
          <w:kern w:val="0"/>
          <w:lang w:bidi="en-US"/>
        </w:rPr>
        <w:t>另一侧河道、河岸施工）的方式对河道内水体进行导流，确保了施工扰动范围能够得到有效控制；</w:t>
      </w:r>
      <w:r>
        <w:rPr>
          <w:rFonts w:hint="eastAsia"/>
          <w:bCs/>
          <w:kern w:val="0"/>
          <w:lang w:bidi="en-US"/>
        </w:rPr>
        <w:t>护坡</w:t>
      </w:r>
      <w:r>
        <w:rPr>
          <w:bCs/>
          <w:kern w:val="0"/>
          <w:lang w:bidi="en-US"/>
        </w:rPr>
        <w:t>采取局部开挖、局部剥离、局部防护等措施的前提下不会对区域地表水水文情势产生明显不利影响。因此拟建项目施工期对地表水水文情势的影响可接受。</w:t>
      </w:r>
    </w:p>
    <w:p w14:paraId="3155C9DE">
      <w:pPr>
        <w:pStyle w:val="4"/>
        <w:rPr>
          <w:kern w:val="0"/>
        </w:rPr>
      </w:pPr>
      <w:r>
        <w:rPr>
          <w:rFonts w:hint="eastAsia"/>
          <w:kern w:val="0"/>
        </w:rPr>
        <w:t>施工期大气环境</w:t>
      </w:r>
      <w:r>
        <w:rPr>
          <w:kern w:val="0"/>
        </w:rPr>
        <w:t>影响分析</w:t>
      </w:r>
    </w:p>
    <w:p w14:paraId="432E07FD">
      <w:pPr>
        <w:pStyle w:val="5"/>
        <w:rPr>
          <w:kern w:val="0"/>
        </w:rPr>
      </w:pPr>
      <w:r>
        <w:rPr>
          <w:rFonts w:hint="eastAsia"/>
          <w:kern w:val="0"/>
        </w:rPr>
        <w:t>施工废气污染源</w:t>
      </w:r>
    </w:p>
    <w:p w14:paraId="7992E524">
      <w:pPr>
        <w:pStyle w:val="85"/>
        <w:ind w:firstLine="480"/>
        <w:rPr>
          <w:kern w:val="0"/>
        </w:rPr>
      </w:pPr>
      <w:r>
        <w:rPr>
          <w:rFonts w:hint="eastAsia"/>
          <w:kern w:val="0"/>
        </w:rPr>
        <w:t>本项目施工期废气污染源主要分为土方开挖</w:t>
      </w:r>
      <w:r>
        <w:rPr>
          <w:kern w:val="0"/>
        </w:rPr>
        <w:t>粉尘、运输粉尘、</w:t>
      </w:r>
      <w:r>
        <w:rPr>
          <w:rFonts w:hint="eastAsia"/>
          <w:kern w:val="0"/>
        </w:rPr>
        <w:t>机械</w:t>
      </w:r>
      <w:r>
        <w:rPr>
          <w:kern w:val="0"/>
        </w:rPr>
        <w:t>燃油废气</w:t>
      </w:r>
      <w:r>
        <w:rPr>
          <w:rFonts w:hint="eastAsia"/>
          <w:kern w:val="0"/>
        </w:rPr>
        <w:t>。</w:t>
      </w:r>
    </w:p>
    <w:p w14:paraId="136D9AA1">
      <w:pPr>
        <w:pStyle w:val="5"/>
        <w:rPr>
          <w:kern w:val="0"/>
        </w:rPr>
      </w:pPr>
      <w:r>
        <w:rPr>
          <w:rFonts w:hint="eastAsia"/>
          <w:kern w:val="0"/>
        </w:rPr>
        <w:t>施工扬尘影响分析</w:t>
      </w:r>
    </w:p>
    <w:p w14:paraId="6ED1D266">
      <w:pPr>
        <w:pStyle w:val="85"/>
        <w:ind w:firstLine="480"/>
        <w:rPr>
          <w:kern w:val="0"/>
        </w:rPr>
      </w:pPr>
      <w:r>
        <w:rPr>
          <w:rFonts w:hint="eastAsia"/>
          <w:kern w:val="0"/>
        </w:rPr>
        <w:t>为有效控制扬尘污染，本评价要求项目建设及施工单位严格执行《河北省大气污染防治条例》</w:t>
      </w:r>
      <w:r>
        <w:rPr>
          <w:kern w:val="0"/>
        </w:rPr>
        <w:t xml:space="preserve">(2016 </w:t>
      </w:r>
      <w:r>
        <w:rPr>
          <w:rFonts w:hint="eastAsia"/>
          <w:kern w:val="0"/>
        </w:rPr>
        <w:t>年</w:t>
      </w:r>
      <w:r>
        <w:rPr>
          <w:kern w:val="0"/>
        </w:rPr>
        <w:t>1</w:t>
      </w:r>
      <w:r>
        <w:rPr>
          <w:rFonts w:hint="eastAsia"/>
          <w:kern w:val="0"/>
        </w:rPr>
        <w:t>月</w:t>
      </w:r>
      <w:r>
        <w:rPr>
          <w:kern w:val="0"/>
        </w:rPr>
        <w:t>13</w:t>
      </w:r>
      <w:r>
        <w:rPr>
          <w:rFonts w:hint="eastAsia"/>
          <w:kern w:val="0"/>
        </w:rPr>
        <w:t>日</w:t>
      </w:r>
      <w:r>
        <w:rPr>
          <w:kern w:val="0"/>
        </w:rPr>
        <w:t>)</w:t>
      </w:r>
      <w:r>
        <w:rPr>
          <w:rFonts w:hint="eastAsia"/>
          <w:kern w:val="0"/>
        </w:rPr>
        <w:t>、《中共河北省委河北省人民政府关于强化推进大气污染综合治理的意见》</w:t>
      </w:r>
      <w:r>
        <w:rPr>
          <w:kern w:val="0"/>
        </w:rPr>
        <w:t>(</w:t>
      </w:r>
      <w:r>
        <w:rPr>
          <w:rFonts w:hint="eastAsia"/>
          <w:kern w:val="0"/>
        </w:rPr>
        <w:t>冀发</w:t>
      </w:r>
      <w:r>
        <w:rPr>
          <w:kern w:val="0"/>
        </w:rPr>
        <w:t>[2017]7</w:t>
      </w:r>
      <w:r>
        <w:rPr>
          <w:rFonts w:hint="eastAsia"/>
          <w:kern w:val="0"/>
        </w:rPr>
        <w:t>号</w:t>
      </w:r>
      <w:r>
        <w:rPr>
          <w:kern w:val="0"/>
        </w:rPr>
        <w:t>)</w:t>
      </w:r>
      <w:r>
        <w:rPr>
          <w:rFonts w:hint="eastAsia"/>
          <w:kern w:val="0"/>
        </w:rPr>
        <w:t>、《关于印发&lt;河北省202</w:t>
      </w:r>
      <w:r>
        <w:rPr>
          <w:kern w:val="0"/>
        </w:rPr>
        <w:t>4</w:t>
      </w:r>
      <w:r>
        <w:rPr>
          <w:rFonts w:hint="eastAsia"/>
          <w:kern w:val="0"/>
        </w:rPr>
        <w:t>年建筑施工扬尘污染防治工作方案&gt;的通知》（冀建质安函﹝202</w:t>
      </w:r>
      <w:r>
        <w:rPr>
          <w:kern w:val="0"/>
        </w:rPr>
        <w:t>4</w:t>
      </w:r>
      <w:r>
        <w:rPr>
          <w:rFonts w:hint="eastAsia"/>
          <w:kern w:val="0"/>
        </w:rPr>
        <w:t>﹞1</w:t>
      </w:r>
      <w:r>
        <w:rPr>
          <w:kern w:val="0"/>
        </w:rPr>
        <w:t>15</w:t>
      </w:r>
      <w:r>
        <w:rPr>
          <w:rFonts w:hint="eastAsia"/>
          <w:kern w:val="0"/>
        </w:rPr>
        <w:t>号）、《河北省人民代表大会常务委员会关于加强扬尘污染防治的决定》、《扬尘在线监测系统建设及运行技术规范》的要求，对项目施工提出以下扬尘控制要求。具体要求见</w:t>
      </w:r>
      <w:r>
        <w:rPr>
          <w:kern w:val="0"/>
          <w:highlight w:val="yellow"/>
        </w:rPr>
        <w:fldChar w:fldCharType="begin"/>
      </w:r>
      <w:r>
        <w:rPr>
          <w:kern w:val="0"/>
        </w:rPr>
        <w:instrText xml:space="preserve"> </w:instrText>
      </w:r>
      <w:r>
        <w:rPr>
          <w:rFonts w:hint="eastAsia"/>
          <w:kern w:val="0"/>
        </w:rPr>
        <w:instrText xml:space="preserve">REF _Ref75765089 \h</w:instrText>
      </w:r>
      <w:r>
        <w:rPr>
          <w:kern w:val="0"/>
        </w:rPr>
        <w:instrText xml:space="preserve"> </w:instrText>
      </w:r>
      <w:r>
        <w:rPr>
          <w:kern w:val="0"/>
          <w:highlight w:val="yellow"/>
        </w:rPr>
        <w:instrText xml:space="preserve"> \* MERGEFORMAT </w:instrText>
      </w:r>
      <w:r>
        <w:rPr>
          <w:kern w:val="0"/>
          <w:highlight w:val="yellow"/>
        </w:rPr>
        <w:fldChar w:fldCharType="separate"/>
      </w:r>
      <w:r>
        <w:rPr>
          <w:rFonts w:hint="eastAsia" w:eastAsia="黑体"/>
          <w:kern w:val="0"/>
          <w:szCs w:val="21"/>
        </w:rPr>
        <w:t>表</w:t>
      </w:r>
      <w:r>
        <w:rPr>
          <w:rFonts w:eastAsia="黑体"/>
          <w:kern w:val="0"/>
          <w:szCs w:val="21"/>
        </w:rPr>
        <w:t>4</w:t>
      </w:r>
      <w:r>
        <w:rPr>
          <w:rFonts w:eastAsia="黑体"/>
          <w:kern w:val="0"/>
          <w:szCs w:val="21"/>
        </w:rPr>
        <w:noBreakHyphen/>
      </w:r>
      <w:r>
        <w:rPr>
          <w:rFonts w:eastAsia="黑体"/>
          <w:kern w:val="0"/>
          <w:szCs w:val="21"/>
        </w:rPr>
        <w:t>1</w:t>
      </w:r>
      <w:r>
        <w:rPr>
          <w:kern w:val="0"/>
          <w:highlight w:val="yellow"/>
        </w:rPr>
        <w:fldChar w:fldCharType="end"/>
      </w:r>
      <w:r>
        <w:rPr>
          <w:rFonts w:hint="eastAsia"/>
          <w:kern w:val="0"/>
        </w:rPr>
        <w:t>，确保施工扬尘满足《施工场地扬尘排放标准》</w:t>
      </w:r>
      <w:r>
        <w:rPr>
          <w:kern w:val="0"/>
        </w:rPr>
        <w:t>(DB13/2934-2019)</w:t>
      </w:r>
      <w:r>
        <w:rPr>
          <w:rFonts w:hint="eastAsia"/>
          <w:kern w:val="0"/>
        </w:rPr>
        <w:t>要求。通过采取以下抑尘措施后，可较大限度的降低施工扬尘对周围环境的影响。</w:t>
      </w:r>
    </w:p>
    <w:p w14:paraId="028190F0">
      <w:pPr>
        <w:spacing w:line="360" w:lineRule="auto"/>
        <w:jc w:val="center"/>
        <w:rPr>
          <w:rFonts w:eastAsia="黑体"/>
          <w:kern w:val="0"/>
          <w:sz w:val="24"/>
          <w:szCs w:val="21"/>
        </w:rPr>
      </w:pPr>
      <w:bookmarkStart w:id="128" w:name="_Ref75765089"/>
      <w:r>
        <w:rPr>
          <w:rFonts w:hint="eastAsia" w:eastAsia="黑体"/>
          <w:kern w:val="0"/>
          <w:sz w:val="24"/>
          <w:szCs w:val="21"/>
        </w:rPr>
        <w:t>表</w:t>
      </w:r>
      <w:r>
        <w:rPr>
          <w:rFonts w:eastAsia="黑体"/>
          <w:kern w:val="0"/>
          <w:sz w:val="24"/>
          <w:szCs w:val="21"/>
        </w:rPr>
        <w:fldChar w:fldCharType="begin"/>
      </w:r>
      <w:r>
        <w:rPr>
          <w:rFonts w:eastAsia="黑体"/>
          <w:kern w:val="0"/>
          <w:sz w:val="24"/>
          <w:szCs w:val="21"/>
        </w:rPr>
        <w:instrText xml:space="preserve"> </w:instrText>
      </w:r>
      <w:r>
        <w:rPr>
          <w:rFonts w:hint="eastAsia" w:eastAsia="黑体"/>
          <w:kern w:val="0"/>
          <w:sz w:val="24"/>
          <w:szCs w:val="21"/>
        </w:rPr>
        <w:instrText xml:space="preserve">STYLEREF 1 \s</w:instrText>
      </w:r>
      <w:r>
        <w:rPr>
          <w:rFonts w:eastAsia="黑体"/>
          <w:kern w:val="0"/>
          <w:sz w:val="24"/>
          <w:szCs w:val="21"/>
        </w:rPr>
        <w:instrText xml:space="preserve"> </w:instrText>
      </w:r>
      <w:r>
        <w:rPr>
          <w:rFonts w:eastAsia="黑体"/>
          <w:kern w:val="0"/>
          <w:sz w:val="24"/>
          <w:szCs w:val="21"/>
        </w:rPr>
        <w:fldChar w:fldCharType="separate"/>
      </w:r>
      <w:r>
        <w:rPr>
          <w:rFonts w:eastAsia="黑体"/>
          <w:kern w:val="0"/>
          <w:sz w:val="24"/>
          <w:szCs w:val="21"/>
        </w:rPr>
        <w:t>4</w:t>
      </w:r>
      <w:r>
        <w:rPr>
          <w:rFonts w:eastAsia="黑体"/>
          <w:kern w:val="0"/>
          <w:sz w:val="24"/>
          <w:szCs w:val="21"/>
        </w:rPr>
        <w:fldChar w:fldCharType="end"/>
      </w:r>
      <w:r>
        <w:rPr>
          <w:rFonts w:eastAsia="黑体"/>
          <w:kern w:val="0"/>
          <w:sz w:val="24"/>
          <w:szCs w:val="21"/>
        </w:rPr>
        <w:noBreakHyphen/>
      </w:r>
      <w:r>
        <w:rPr>
          <w:rFonts w:eastAsia="黑体"/>
          <w:kern w:val="0"/>
          <w:sz w:val="24"/>
          <w:szCs w:val="21"/>
        </w:rPr>
        <w:fldChar w:fldCharType="begin"/>
      </w:r>
      <w:r>
        <w:rPr>
          <w:rFonts w:eastAsia="黑体"/>
          <w:kern w:val="0"/>
          <w:sz w:val="24"/>
          <w:szCs w:val="21"/>
        </w:rPr>
        <w:instrText xml:space="preserve"> </w:instrText>
      </w:r>
      <w:r>
        <w:rPr>
          <w:rFonts w:hint="eastAsia" w:eastAsia="黑体"/>
          <w:kern w:val="0"/>
          <w:sz w:val="24"/>
          <w:szCs w:val="21"/>
        </w:rPr>
        <w:instrText xml:space="preserve">SEQ 表 \* ARABIC \s 1</w:instrText>
      </w:r>
      <w:r>
        <w:rPr>
          <w:rFonts w:eastAsia="黑体"/>
          <w:kern w:val="0"/>
          <w:sz w:val="24"/>
          <w:szCs w:val="21"/>
        </w:rPr>
        <w:instrText xml:space="preserve"> </w:instrText>
      </w:r>
      <w:r>
        <w:rPr>
          <w:rFonts w:eastAsia="黑体"/>
          <w:kern w:val="0"/>
          <w:sz w:val="24"/>
          <w:szCs w:val="21"/>
        </w:rPr>
        <w:fldChar w:fldCharType="separate"/>
      </w:r>
      <w:r>
        <w:rPr>
          <w:rFonts w:eastAsia="黑体"/>
          <w:kern w:val="0"/>
          <w:sz w:val="24"/>
          <w:szCs w:val="21"/>
        </w:rPr>
        <w:t>1</w:t>
      </w:r>
      <w:r>
        <w:rPr>
          <w:rFonts w:eastAsia="黑体"/>
          <w:kern w:val="0"/>
          <w:sz w:val="24"/>
          <w:szCs w:val="21"/>
        </w:rPr>
        <w:fldChar w:fldCharType="end"/>
      </w:r>
      <w:bookmarkEnd w:id="128"/>
      <w:r>
        <w:rPr>
          <w:rFonts w:eastAsia="黑体"/>
          <w:kern w:val="0"/>
          <w:sz w:val="24"/>
          <w:szCs w:val="21"/>
        </w:rPr>
        <w:t xml:space="preserve">  </w:t>
      </w:r>
      <w:r>
        <w:rPr>
          <w:rFonts w:hint="eastAsia" w:eastAsia="黑体"/>
          <w:kern w:val="0"/>
          <w:sz w:val="24"/>
          <w:szCs w:val="21"/>
        </w:rPr>
        <w:t>施工期扬尘污染防治措施一览表</w:t>
      </w:r>
    </w:p>
    <w:tbl>
      <w:tblPr>
        <w:tblStyle w:val="6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587"/>
        <w:gridCol w:w="3628"/>
        <w:gridCol w:w="3858"/>
      </w:tblGrid>
      <w:tr w14:paraId="2A60A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Align w:val="center"/>
          </w:tcPr>
          <w:p w14:paraId="3FA200A8">
            <w:pPr>
              <w:spacing w:line="320" w:lineRule="exact"/>
              <w:jc w:val="center"/>
              <w:rPr>
                <w:kern w:val="0"/>
                <w:szCs w:val="20"/>
              </w:rPr>
            </w:pPr>
            <w:r>
              <w:rPr>
                <w:rFonts w:hint="eastAsia"/>
                <w:kern w:val="0"/>
                <w:szCs w:val="20"/>
              </w:rPr>
              <w:t>序号</w:t>
            </w:r>
          </w:p>
        </w:tc>
        <w:tc>
          <w:tcPr>
            <w:tcW w:w="344" w:type="pct"/>
            <w:vAlign w:val="center"/>
          </w:tcPr>
          <w:p w14:paraId="45001316">
            <w:pPr>
              <w:spacing w:line="320" w:lineRule="exact"/>
              <w:jc w:val="center"/>
              <w:rPr>
                <w:kern w:val="0"/>
                <w:szCs w:val="20"/>
              </w:rPr>
            </w:pPr>
            <w:r>
              <w:rPr>
                <w:rFonts w:hint="eastAsia"/>
                <w:kern w:val="0"/>
                <w:szCs w:val="20"/>
              </w:rPr>
              <w:t>防治</w:t>
            </w:r>
            <w:r>
              <w:rPr>
                <w:kern w:val="0"/>
                <w:szCs w:val="20"/>
              </w:rPr>
              <w:t>措施</w:t>
            </w:r>
          </w:p>
        </w:tc>
        <w:tc>
          <w:tcPr>
            <w:tcW w:w="2127" w:type="pct"/>
            <w:vAlign w:val="center"/>
          </w:tcPr>
          <w:p w14:paraId="2EE90C9C">
            <w:pPr>
              <w:spacing w:line="320" w:lineRule="exact"/>
              <w:jc w:val="center"/>
              <w:rPr>
                <w:kern w:val="0"/>
                <w:szCs w:val="20"/>
              </w:rPr>
            </w:pPr>
            <w:r>
              <w:rPr>
                <w:rFonts w:hint="eastAsia"/>
                <w:kern w:val="0"/>
                <w:szCs w:val="20"/>
              </w:rPr>
              <w:t>具体</w:t>
            </w:r>
            <w:r>
              <w:rPr>
                <w:kern w:val="0"/>
                <w:szCs w:val="20"/>
              </w:rPr>
              <w:t>要求</w:t>
            </w:r>
          </w:p>
        </w:tc>
        <w:tc>
          <w:tcPr>
            <w:tcW w:w="2262" w:type="pct"/>
            <w:vAlign w:val="center"/>
          </w:tcPr>
          <w:p w14:paraId="3D957970">
            <w:pPr>
              <w:spacing w:line="320" w:lineRule="exact"/>
              <w:jc w:val="center"/>
              <w:rPr>
                <w:kern w:val="0"/>
                <w:szCs w:val="20"/>
              </w:rPr>
            </w:pPr>
            <w:r>
              <w:rPr>
                <w:rFonts w:hint="eastAsia"/>
                <w:kern w:val="0"/>
                <w:szCs w:val="20"/>
              </w:rPr>
              <w:t>依据</w:t>
            </w:r>
          </w:p>
        </w:tc>
      </w:tr>
      <w:tr w14:paraId="56793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Align w:val="center"/>
          </w:tcPr>
          <w:p w14:paraId="2156FB5F">
            <w:pPr>
              <w:spacing w:line="320" w:lineRule="exact"/>
              <w:jc w:val="center"/>
              <w:rPr>
                <w:kern w:val="0"/>
                <w:szCs w:val="20"/>
              </w:rPr>
            </w:pPr>
            <w:r>
              <w:rPr>
                <w:kern w:val="0"/>
                <w:szCs w:val="20"/>
              </w:rPr>
              <w:t>1</w:t>
            </w:r>
          </w:p>
        </w:tc>
        <w:tc>
          <w:tcPr>
            <w:tcW w:w="344" w:type="pct"/>
            <w:vAlign w:val="center"/>
          </w:tcPr>
          <w:p w14:paraId="20F628BB">
            <w:pPr>
              <w:spacing w:line="320" w:lineRule="exact"/>
              <w:jc w:val="center"/>
              <w:rPr>
                <w:kern w:val="0"/>
                <w:szCs w:val="20"/>
              </w:rPr>
            </w:pPr>
            <w:r>
              <w:rPr>
                <w:rFonts w:hint="eastAsia"/>
                <w:kern w:val="0"/>
                <w:szCs w:val="20"/>
              </w:rPr>
              <w:t>土石方</w:t>
            </w:r>
            <w:r>
              <w:rPr>
                <w:kern w:val="0"/>
                <w:szCs w:val="20"/>
              </w:rPr>
              <w:t>作业</w:t>
            </w:r>
          </w:p>
        </w:tc>
        <w:tc>
          <w:tcPr>
            <w:tcW w:w="2127" w:type="pct"/>
            <w:vAlign w:val="center"/>
          </w:tcPr>
          <w:p w14:paraId="1E8550C6">
            <w:pPr>
              <w:spacing w:line="320" w:lineRule="exact"/>
              <w:jc w:val="center"/>
              <w:rPr>
                <w:kern w:val="0"/>
                <w:szCs w:val="20"/>
              </w:rPr>
            </w:pPr>
            <w:r>
              <w:rPr>
                <w:rFonts w:hint="eastAsia"/>
                <w:kern w:val="0"/>
                <w:szCs w:val="20"/>
              </w:rPr>
              <w:t>①土石方作业过程中要洒水、喷淋、喷雾降尘，控制尘土飞扬，避免扬尘污染。出现重污染天气状况时，施工单位应当停止土石方作业以及其他可能产生扬尘污染的施工建设行为。②对于土方工程，开挖完毕的裸露地面应及时覆盖，其他裸露的地面必须采取绿化、洒水或其他防扬尘措施</w:t>
            </w:r>
          </w:p>
        </w:tc>
        <w:tc>
          <w:tcPr>
            <w:tcW w:w="2262" w:type="pct"/>
            <w:vAlign w:val="center"/>
          </w:tcPr>
          <w:p w14:paraId="7B78704D">
            <w:pPr>
              <w:spacing w:line="320" w:lineRule="exact"/>
              <w:jc w:val="center"/>
              <w:rPr>
                <w:kern w:val="0"/>
                <w:szCs w:val="20"/>
              </w:rPr>
            </w:pPr>
            <w:r>
              <w:rPr>
                <w:rFonts w:hint="eastAsia"/>
                <w:kern w:val="0"/>
                <w:szCs w:val="20"/>
              </w:rPr>
              <w:t>《防治城市扬尘污染技术规范》</w:t>
            </w:r>
            <w:r>
              <w:rPr>
                <w:kern w:val="0"/>
                <w:szCs w:val="20"/>
              </w:rPr>
              <w:t>(HJ/T393-2007)</w:t>
            </w:r>
            <w:r>
              <w:rPr>
                <w:rFonts w:hint="eastAsia"/>
                <w:kern w:val="0"/>
                <w:szCs w:val="20"/>
              </w:rPr>
              <w:t>、《关于印发&lt;河北省202</w:t>
            </w:r>
            <w:r>
              <w:rPr>
                <w:kern w:val="0"/>
                <w:szCs w:val="20"/>
              </w:rPr>
              <w:t>4</w:t>
            </w:r>
            <w:r>
              <w:rPr>
                <w:rFonts w:hint="eastAsia"/>
                <w:kern w:val="0"/>
                <w:szCs w:val="20"/>
              </w:rPr>
              <w:t>年建筑施工扬尘污染防治工作方案&gt;的通知》（冀建质安函﹝202</w:t>
            </w:r>
            <w:r>
              <w:rPr>
                <w:kern w:val="0"/>
                <w:szCs w:val="20"/>
              </w:rPr>
              <w:t>4</w:t>
            </w:r>
            <w:r>
              <w:rPr>
                <w:rFonts w:hint="eastAsia"/>
                <w:kern w:val="0"/>
                <w:szCs w:val="20"/>
              </w:rPr>
              <w:t>﹞1</w:t>
            </w:r>
            <w:r>
              <w:rPr>
                <w:kern w:val="0"/>
                <w:szCs w:val="20"/>
              </w:rPr>
              <w:t>15</w:t>
            </w:r>
            <w:r>
              <w:rPr>
                <w:rFonts w:hint="eastAsia"/>
                <w:kern w:val="0"/>
                <w:szCs w:val="20"/>
              </w:rPr>
              <w:t>号）</w:t>
            </w:r>
          </w:p>
        </w:tc>
      </w:tr>
      <w:tr w14:paraId="27B32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Align w:val="center"/>
          </w:tcPr>
          <w:p w14:paraId="747D1A01">
            <w:pPr>
              <w:spacing w:line="320" w:lineRule="exact"/>
              <w:jc w:val="center"/>
              <w:rPr>
                <w:kern w:val="0"/>
                <w:szCs w:val="20"/>
              </w:rPr>
            </w:pPr>
            <w:r>
              <w:rPr>
                <w:kern w:val="0"/>
                <w:szCs w:val="20"/>
              </w:rPr>
              <w:t>2</w:t>
            </w:r>
          </w:p>
        </w:tc>
        <w:tc>
          <w:tcPr>
            <w:tcW w:w="344" w:type="pct"/>
            <w:vAlign w:val="center"/>
          </w:tcPr>
          <w:p w14:paraId="7E5B8322">
            <w:pPr>
              <w:spacing w:line="320" w:lineRule="exact"/>
              <w:jc w:val="center"/>
              <w:rPr>
                <w:kern w:val="0"/>
                <w:szCs w:val="20"/>
              </w:rPr>
            </w:pPr>
            <w:r>
              <w:rPr>
                <w:rFonts w:hint="eastAsia"/>
                <w:kern w:val="0"/>
                <w:szCs w:val="20"/>
              </w:rPr>
              <w:t>物料</w:t>
            </w:r>
            <w:r>
              <w:rPr>
                <w:kern w:val="0"/>
                <w:szCs w:val="20"/>
              </w:rPr>
              <w:t>运输</w:t>
            </w:r>
          </w:p>
        </w:tc>
        <w:tc>
          <w:tcPr>
            <w:tcW w:w="2127" w:type="pct"/>
            <w:vAlign w:val="center"/>
          </w:tcPr>
          <w:p w14:paraId="17C2A96A">
            <w:pPr>
              <w:spacing w:line="320" w:lineRule="exact"/>
              <w:jc w:val="center"/>
              <w:rPr>
                <w:kern w:val="0"/>
                <w:szCs w:val="20"/>
              </w:rPr>
            </w:pPr>
            <w:r>
              <w:rPr>
                <w:rFonts w:hint="eastAsia"/>
                <w:kern w:val="0"/>
                <w:szCs w:val="20"/>
              </w:rPr>
              <w:t>①应尽可能采用密闭车斗，并保证物料不遗撒外漏。若无密闭车斗，物料、垃圾、渣土的装载高度不得超过车辆罐帮上沿，车斗应用苫布遮盖严实；②装卸和运输易产生扬尘污染物料的，应当采取完全密闭措施③配备洒水车，运输线路定期用洒水车洒水抑尘，每天不低于</w:t>
            </w:r>
            <w:r>
              <w:rPr>
                <w:kern w:val="0"/>
                <w:szCs w:val="20"/>
              </w:rPr>
              <w:t xml:space="preserve">2 </w:t>
            </w:r>
            <w:r>
              <w:rPr>
                <w:rFonts w:hint="eastAsia"/>
                <w:kern w:val="0"/>
                <w:szCs w:val="20"/>
              </w:rPr>
              <w:t>次</w:t>
            </w:r>
          </w:p>
        </w:tc>
        <w:tc>
          <w:tcPr>
            <w:tcW w:w="2262" w:type="pct"/>
            <w:vAlign w:val="center"/>
          </w:tcPr>
          <w:p w14:paraId="21E9F6F1">
            <w:pPr>
              <w:spacing w:line="320" w:lineRule="exact"/>
              <w:jc w:val="center"/>
              <w:rPr>
                <w:kern w:val="0"/>
                <w:szCs w:val="20"/>
              </w:rPr>
            </w:pPr>
            <w:r>
              <w:rPr>
                <w:rFonts w:hint="eastAsia"/>
                <w:kern w:val="0"/>
                <w:szCs w:val="20"/>
              </w:rPr>
              <w:t>《防治城市扬尘污染技术规范》</w:t>
            </w:r>
            <w:r>
              <w:rPr>
                <w:kern w:val="0"/>
                <w:szCs w:val="20"/>
              </w:rPr>
              <w:t>(HJ/T393-2007)</w:t>
            </w:r>
            <w:r>
              <w:rPr>
                <w:rFonts w:hint="eastAsia"/>
                <w:kern w:val="0"/>
                <w:szCs w:val="20"/>
              </w:rPr>
              <w:t>、《河北省大气污染防治条例》</w:t>
            </w:r>
            <w:r>
              <w:rPr>
                <w:kern w:val="0"/>
                <w:szCs w:val="20"/>
              </w:rPr>
              <w:t xml:space="preserve">(2016 </w:t>
            </w:r>
            <w:r>
              <w:rPr>
                <w:rFonts w:hint="eastAsia"/>
                <w:kern w:val="0"/>
                <w:szCs w:val="20"/>
              </w:rPr>
              <w:t>年</w:t>
            </w:r>
            <w:r>
              <w:rPr>
                <w:kern w:val="0"/>
                <w:szCs w:val="20"/>
              </w:rPr>
              <w:t xml:space="preserve">1 </w:t>
            </w:r>
            <w:r>
              <w:rPr>
                <w:rFonts w:hint="eastAsia"/>
                <w:kern w:val="0"/>
                <w:szCs w:val="20"/>
              </w:rPr>
              <w:t>月</w:t>
            </w:r>
            <w:r>
              <w:rPr>
                <w:kern w:val="0"/>
                <w:szCs w:val="20"/>
              </w:rPr>
              <w:t xml:space="preserve">13 </w:t>
            </w:r>
            <w:r>
              <w:rPr>
                <w:rFonts w:hint="eastAsia"/>
                <w:kern w:val="0"/>
                <w:szCs w:val="20"/>
              </w:rPr>
              <w:t>日</w:t>
            </w:r>
            <w:r>
              <w:rPr>
                <w:kern w:val="0"/>
                <w:szCs w:val="20"/>
              </w:rPr>
              <w:t>)</w:t>
            </w:r>
            <w:r>
              <w:rPr>
                <w:rFonts w:hint="eastAsia"/>
                <w:kern w:val="0"/>
                <w:szCs w:val="20"/>
              </w:rPr>
              <w:t>、《关于印发&lt;河北省202</w:t>
            </w:r>
            <w:r>
              <w:rPr>
                <w:kern w:val="0"/>
                <w:szCs w:val="20"/>
              </w:rPr>
              <w:t>4</w:t>
            </w:r>
            <w:r>
              <w:rPr>
                <w:rFonts w:hint="eastAsia"/>
                <w:kern w:val="0"/>
                <w:szCs w:val="20"/>
              </w:rPr>
              <w:t>年建筑施工扬尘污染防治工作方案&gt;的通知》（冀建质安函﹝202</w:t>
            </w:r>
            <w:r>
              <w:rPr>
                <w:kern w:val="0"/>
                <w:szCs w:val="20"/>
              </w:rPr>
              <w:t>4</w:t>
            </w:r>
            <w:r>
              <w:rPr>
                <w:rFonts w:hint="eastAsia"/>
                <w:kern w:val="0"/>
                <w:szCs w:val="20"/>
              </w:rPr>
              <w:t>﹞1</w:t>
            </w:r>
            <w:r>
              <w:rPr>
                <w:kern w:val="0"/>
                <w:szCs w:val="20"/>
              </w:rPr>
              <w:t>15</w:t>
            </w:r>
            <w:r>
              <w:rPr>
                <w:rFonts w:hint="eastAsia"/>
                <w:kern w:val="0"/>
                <w:szCs w:val="20"/>
              </w:rPr>
              <w:t>号）</w:t>
            </w:r>
          </w:p>
        </w:tc>
      </w:tr>
      <w:tr w14:paraId="55467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Align w:val="center"/>
          </w:tcPr>
          <w:p w14:paraId="4FF9C3D3">
            <w:pPr>
              <w:spacing w:line="320" w:lineRule="exact"/>
              <w:jc w:val="center"/>
              <w:rPr>
                <w:kern w:val="0"/>
                <w:szCs w:val="20"/>
              </w:rPr>
            </w:pPr>
            <w:r>
              <w:rPr>
                <w:kern w:val="0"/>
                <w:szCs w:val="20"/>
              </w:rPr>
              <w:t>3</w:t>
            </w:r>
          </w:p>
        </w:tc>
        <w:tc>
          <w:tcPr>
            <w:tcW w:w="344" w:type="pct"/>
            <w:vAlign w:val="center"/>
          </w:tcPr>
          <w:p w14:paraId="3BDA600D">
            <w:pPr>
              <w:spacing w:line="320" w:lineRule="exact"/>
              <w:jc w:val="center"/>
              <w:rPr>
                <w:kern w:val="0"/>
                <w:szCs w:val="20"/>
              </w:rPr>
            </w:pPr>
            <w:r>
              <w:rPr>
                <w:rFonts w:hint="eastAsia"/>
                <w:kern w:val="0"/>
                <w:szCs w:val="20"/>
              </w:rPr>
              <w:t>洒水抑尘</w:t>
            </w:r>
            <w:r>
              <w:rPr>
                <w:kern w:val="0"/>
                <w:szCs w:val="20"/>
              </w:rPr>
              <w:t>措施</w:t>
            </w:r>
          </w:p>
        </w:tc>
        <w:tc>
          <w:tcPr>
            <w:tcW w:w="2127" w:type="pct"/>
            <w:vAlign w:val="center"/>
          </w:tcPr>
          <w:p w14:paraId="43A3A9DD">
            <w:pPr>
              <w:spacing w:line="320" w:lineRule="exact"/>
              <w:jc w:val="center"/>
              <w:rPr>
                <w:kern w:val="0"/>
                <w:szCs w:val="20"/>
              </w:rPr>
            </w:pPr>
            <w:r>
              <w:rPr>
                <w:rFonts w:hint="eastAsia"/>
                <w:kern w:val="0"/>
                <w:szCs w:val="20"/>
              </w:rPr>
              <w:t>①遇到干燥、易起尘的土方工程作业时，应辅以洒水压尘，尽量缩短起尘操作时间，遇到四级及四级以上大风天气，应停止土方作业，同时作业处覆以防尘网；②施工现场必须建立洒水清扫抑尘制度，配备喷淋喷雾等洒水设备。非冰冻期每天洒水不少于</w:t>
            </w:r>
            <w:r>
              <w:rPr>
                <w:kern w:val="0"/>
                <w:szCs w:val="20"/>
              </w:rPr>
              <w:t xml:space="preserve">2 </w:t>
            </w:r>
            <w:r>
              <w:rPr>
                <w:rFonts w:hint="eastAsia"/>
                <w:kern w:val="0"/>
                <w:szCs w:val="20"/>
              </w:rPr>
              <w:t>次，并有专人负责。重污染天气时相应增加洒水频次。</w:t>
            </w:r>
          </w:p>
        </w:tc>
        <w:tc>
          <w:tcPr>
            <w:tcW w:w="2262" w:type="pct"/>
            <w:vAlign w:val="center"/>
          </w:tcPr>
          <w:p w14:paraId="78B866A3">
            <w:pPr>
              <w:spacing w:line="320" w:lineRule="exact"/>
              <w:jc w:val="center"/>
              <w:rPr>
                <w:kern w:val="0"/>
                <w:szCs w:val="20"/>
              </w:rPr>
            </w:pPr>
            <w:r>
              <w:rPr>
                <w:rFonts w:hint="eastAsia"/>
                <w:kern w:val="0"/>
                <w:szCs w:val="20"/>
              </w:rPr>
              <w:t>《防治城市扬尘污染技术规范》</w:t>
            </w:r>
            <w:r>
              <w:rPr>
                <w:kern w:val="0"/>
                <w:szCs w:val="20"/>
              </w:rPr>
              <w:t>(HJ/T393-2007)</w:t>
            </w:r>
            <w:r>
              <w:rPr>
                <w:rFonts w:hint="eastAsia"/>
                <w:kern w:val="0"/>
                <w:szCs w:val="20"/>
              </w:rPr>
              <w:t>、《关于印发&lt;河北省202</w:t>
            </w:r>
            <w:r>
              <w:rPr>
                <w:kern w:val="0"/>
                <w:szCs w:val="20"/>
              </w:rPr>
              <w:t>4</w:t>
            </w:r>
            <w:r>
              <w:rPr>
                <w:rFonts w:hint="eastAsia"/>
                <w:kern w:val="0"/>
                <w:szCs w:val="20"/>
              </w:rPr>
              <w:t>年建筑施工扬尘污染防治工作方案&gt;的通知》（冀建质安函﹝202</w:t>
            </w:r>
            <w:r>
              <w:rPr>
                <w:kern w:val="0"/>
                <w:szCs w:val="20"/>
              </w:rPr>
              <w:t>4</w:t>
            </w:r>
            <w:r>
              <w:rPr>
                <w:rFonts w:hint="eastAsia"/>
                <w:kern w:val="0"/>
                <w:szCs w:val="20"/>
              </w:rPr>
              <w:t>﹞1</w:t>
            </w:r>
            <w:r>
              <w:rPr>
                <w:kern w:val="0"/>
                <w:szCs w:val="20"/>
              </w:rPr>
              <w:t>15</w:t>
            </w:r>
            <w:r>
              <w:rPr>
                <w:rFonts w:hint="eastAsia"/>
                <w:kern w:val="0"/>
                <w:szCs w:val="20"/>
              </w:rPr>
              <w:t>号）</w:t>
            </w:r>
          </w:p>
        </w:tc>
      </w:tr>
    </w:tbl>
    <w:p w14:paraId="6F76C609">
      <w:pPr>
        <w:pStyle w:val="85"/>
        <w:ind w:firstLine="480"/>
        <w:rPr>
          <w:kern w:val="0"/>
        </w:rPr>
      </w:pPr>
      <w:r>
        <w:rPr>
          <w:rFonts w:hint="eastAsia"/>
          <w:kern w:val="0"/>
        </w:rPr>
        <w:t>通过采取以上抑尘措施后，可以满足《施工场地扬尘排放标准》</w:t>
      </w:r>
      <w:r>
        <w:rPr>
          <w:kern w:val="0"/>
        </w:rPr>
        <w:t>(DB13/2934-2019)</w:t>
      </w:r>
      <w:r>
        <w:rPr>
          <w:rFonts w:hint="eastAsia"/>
          <w:kern w:val="0"/>
        </w:rPr>
        <w:t>中的要求，可较大限度的降低施工扬尘对周围环境的影响。</w:t>
      </w:r>
    </w:p>
    <w:p w14:paraId="18E63A40">
      <w:pPr>
        <w:pStyle w:val="5"/>
        <w:rPr>
          <w:kern w:val="0"/>
        </w:rPr>
      </w:pPr>
      <w:r>
        <w:rPr>
          <w:rFonts w:hint="eastAsia"/>
          <w:kern w:val="0"/>
        </w:rPr>
        <w:t>机械燃油</w:t>
      </w:r>
      <w:r>
        <w:rPr>
          <w:kern w:val="0"/>
        </w:rPr>
        <w:t>废气环境影响分析</w:t>
      </w:r>
    </w:p>
    <w:p w14:paraId="5D48C759">
      <w:pPr>
        <w:pStyle w:val="85"/>
        <w:ind w:firstLine="480"/>
        <w:rPr>
          <w:kern w:val="0"/>
        </w:rPr>
      </w:pPr>
      <w:r>
        <w:rPr>
          <w:rFonts w:hint="eastAsia"/>
          <w:kern w:val="0"/>
        </w:rPr>
        <w:t>燃油废气的主要成份是CO和NOx。主要来自于挖掘机、装载机、推土机、汽车、</w:t>
      </w:r>
      <w:r>
        <w:rPr>
          <w:kern w:val="0"/>
        </w:rPr>
        <w:t>洒水车</w:t>
      </w:r>
      <w:r>
        <w:rPr>
          <w:rFonts w:hint="eastAsia"/>
          <w:kern w:val="0"/>
        </w:rPr>
        <w:t>等运输车辆和以燃油为动力的施工机械在运行时排放的尾气。由于施工区地形开阔，大气扩散条件较好，施工机械尾气对当地环境空气质量影响较小。施工机械燃油产生的污染物不会对大气环境质量及功能造成明显影响。</w:t>
      </w:r>
    </w:p>
    <w:p w14:paraId="3A9830C5">
      <w:pPr>
        <w:pStyle w:val="4"/>
        <w:rPr>
          <w:kern w:val="0"/>
        </w:rPr>
      </w:pPr>
      <w:r>
        <w:rPr>
          <w:rFonts w:hint="eastAsia"/>
          <w:kern w:val="0"/>
        </w:rPr>
        <w:t>施工</w:t>
      </w:r>
      <w:r>
        <w:rPr>
          <w:kern w:val="0"/>
        </w:rPr>
        <w:t>噪声影响分析</w:t>
      </w:r>
    </w:p>
    <w:p w14:paraId="39C2CE5C">
      <w:pPr>
        <w:pStyle w:val="85"/>
        <w:ind w:firstLine="480"/>
        <w:rPr>
          <w:kern w:val="0"/>
        </w:rPr>
      </w:pPr>
      <w:r>
        <w:rPr>
          <w:rFonts w:hint="eastAsia"/>
          <w:kern w:val="0"/>
        </w:rPr>
        <w:t>本工程施工期噪声源主要为施工机械运行噪声及车辆运输噪声</w:t>
      </w:r>
      <w:r>
        <w:rPr>
          <w:kern w:val="0"/>
        </w:rPr>
        <w:t>。</w:t>
      </w:r>
    </w:p>
    <w:p w14:paraId="01737478">
      <w:pPr>
        <w:pStyle w:val="85"/>
        <w:ind w:firstLine="480"/>
        <w:rPr>
          <w:kern w:val="0"/>
        </w:rPr>
      </w:pPr>
      <w:r>
        <w:rPr>
          <w:kern w:val="0"/>
        </w:rPr>
        <w:t>（1）</w:t>
      </w:r>
      <w:r>
        <w:rPr>
          <w:rFonts w:hint="eastAsia"/>
          <w:kern w:val="0"/>
        </w:rPr>
        <w:t>施工期</w:t>
      </w:r>
      <w:r>
        <w:rPr>
          <w:kern w:val="0"/>
        </w:rPr>
        <w:t>噪声</w:t>
      </w:r>
      <w:r>
        <w:rPr>
          <w:rFonts w:hint="eastAsia"/>
          <w:kern w:val="0"/>
        </w:rPr>
        <w:t>源</w:t>
      </w:r>
    </w:p>
    <w:p w14:paraId="3B1FCF0C">
      <w:pPr>
        <w:pStyle w:val="85"/>
        <w:ind w:firstLine="480"/>
        <w:rPr>
          <w:kern w:val="0"/>
        </w:rPr>
      </w:pPr>
      <w:r>
        <w:rPr>
          <w:rFonts w:hint="eastAsia"/>
          <w:kern w:val="0"/>
        </w:rPr>
        <w:t>本项目的施工噪声主要是工程建设中施工机械噪声和土方运输车辆的交通噪声，为间歇性噪声。根据同类工程施工区的实测资料类比分析，本工程施工机械中高噪声设备声级值一般为8</w:t>
      </w:r>
      <w:r>
        <w:rPr>
          <w:kern w:val="0"/>
        </w:rPr>
        <w:t>0</w:t>
      </w:r>
      <w:r>
        <w:rPr>
          <w:rFonts w:hint="eastAsia"/>
          <w:kern w:val="0"/>
        </w:rPr>
        <w:t>~</w:t>
      </w:r>
      <w:r>
        <w:rPr>
          <w:kern w:val="0"/>
        </w:rPr>
        <w:t>90</w:t>
      </w:r>
      <w:r>
        <w:rPr>
          <w:rFonts w:hint="eastAsia"/>
          <w:kern w:val="0"/>
        </w:rPr>
        <w:t>dB(A)。预计施工期各类常用施工机械及运输噪声源强见下表。</w:t>
      </w:r>
    </w:p>
    <w:p w14:paraId="4E56C724">
      <w:pPr>
        <w:pStyle w:val="85"/>
        <w:ind w:firstLine="448"/>
        <w:jc w:val="center"/>
        <w:rPr>
          <w:kern w:val="0"/>
        </w:rPr>
      </w:pPr>
      <w:r>
        <w:rPr>
          <w:rFonts w:hint="eastAsia" w:eastAsia="黑体"/>
          <w:bCs/>
          <w:spacing w:val="-8"/>
          <w:kern w:val="0"/>
        </w:rPr>
        <w:t>表</w:t>
      </w:r>
      <w:r>
        <w:rPr>
          <w:rFonts w:eastAsia="黑体"/>
          <w:bCs/>
          <w:spacing w:val="-8"/>
          <w:kern w:val="0"/>
        </w:rPr>
        <w:fldChar w:fldCharType="begin"/>
      </w:r>
      <w:r>
        <w:rPr>
          <w:rFonts w:eastAsia="黑体"/>
          <w:bCs/>
          <w:spacing w:val="-8"/>
          <w:kern w:val="0"/>
        </w:rPr>
        <w:instrText xml:space="preserve"> </w:instrText>
      </w:r>
      <w:r>
        <w:rPr>
          <w:rFonts w:hint="eastAsia" w:eastAsia="黑体"/>
          <w:bCs/>
          <w:spacing w:val="-8"/>
          <w:kern w:val="0"/>
        </w:rPr>
        <w:instrText xml:space="preserve">STYLEREF 1 \s</w:instrText>
      </w:r>
      <w:r>
        <w:rPr>
          <w:rFonts w:eastAsia="黑体"/>
          <w:bCs/>
          <w:spacing w:val="-8"/>
          <w:kern w:val="0"/>
        </w:rPr>
        <w:instrText xml:space="preserve"> </w:instrText>
      </w:r>
      <w:r>
        <w:rPr>
          <w:rFonts w:eastAsia="黑体"/>
          <w:bCs/>
          <w:spacing w:val="-8"/>
          <w:kern w:val="0"/>
        </w:rPr>
        <w:fldChar w:fldCharType="separate"/>
      </w:r>
      <w:r>
        <w:rPr>
          <w:rFonts w:eastAsia="黑体"/>
          <w:bCs/>
          <w:spacing w:val="-8"/>
          <w:kern w:val="0"/>
        </w:rPr>
        <w:t>4</w:t>
      </w:r>
      <w:r>
        <w:rPr>
          <w:rFonts w:eastAsia="黑体"/>
          <w:bCs/>
          <w:spacing w:val="-8"/>
          <w:kern w:val="0"/>
        </w:rPr>
        <w:fldChar w:fldCharType="end"/>
      </w:r>
      <w:r>
        <w:rPr>
          <w:rFonts w:eastAsia="黑体"/>
          <w:bCs/>
          <w:spacing w:val="-8"/>
          <w:kern w:val="0"/>
        </w:rPr>
        <w:noBreakHyphen/>
      </w:r>
      <w:r>
        <w:rPr>
          <w:rFonts w:eastAsia="黑体"/>
          <w:bCs/>
          <w:spacing w:val="-8"/>
          <w:kern w:val="0"/>
        </w:rPr>
        <w:fldChar w:fldCharType="begin"/>
      </w:r>
      <w:r>
        <w:rPr>
          <w:rFonts w:eastAsia="黑体"/>
          <w:bCs/>
          <w:spacing w:val="-8"/>
          <w:kern w:val="0"/>
        </w:rPr>
        <w:instrText xml:space="preserve"> </w:instrText>
      </w:r>
      <w:r>
        <w:rPr>
          <w:rFonts w:hint="eastAsia" w:eastAsia="黑体"/>
          <w:bCs/>
          <w:spacing w:val="-8"/>
          <w:kern w:val="0"/>
        </w:rPr>
        <w:instrText xml:space="preserve">SEQ 表 \* ARABIC \s 1</w:instrText>
      </w:r>
      <w:r>
        <w:rPr>
          <w:rFonts w:eastAsia="黑体"/>
          <w:bCs/>
          <w:spacing w:val="-8"/>
          <w:kern w:val="0"/>
        </w:rPr>
        <w:instrText xml:space="preserve"> </w:instrText>
      </w:r>
      <w:r>
        <w:rPr>
          <w:rFonts w:eastAsia="黑体"/>
          <w:bCs/>
          <w:spacing w:val="-8"/>
          <w:kern w:val="0"/>
        </w:rPr>
        <w:fldChar w:fldCharType="separate"/>
      </w:r>
      <w:r>
        <w:rPr>
          <w:rFonts w:eastAsia="黑体"/>
          <w:bCs/>
          <w:spacing w:val="-8"/>
          <w:kern w:val="0"/>
        </w:rPr>
        <w:t>2</w:t>
      </w:r>
      <w:r>
        <w:rPr>
          <w:rFonts w:eastAsia="黑体"/>
          <w:bCs/>
          <w:spacing w:val="-8"/>
          <w:kern w:val="0"/>
        </w:rPr>
        <w:fldChar w:fldCharType="end"/>
      </w:r>
      <w:r>
        <w:rPr>
          <w:rFonts w:eastAsia="黑体"/>
          <w:bCs/>
          <w:spacing w:val="-8"/>
          <w:kern w:val="0"/>
        </w:rPr>
        <w:t xml:space="preserve">  </w:t>
      </w:r>
      <w:r>
        <w:rPr>
          <w:rFonts w:hint="eastAsia" w:eastAsia="黑体"/>
          <w:bCs/>
          <w:spacing w:val="-8"/>
          <w:kern w:val="0"/>
        </w:rPr>
        <w:t>各类施工机械设备、交通设备噪声级值一览表</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2217"/>
        <w:gridCol w:w="2465"/>
        <w:gridCol w:w="2660"/>
      </w:tblGrid>
      <w:tr w14:paraId="16A98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tcPr>
          <w:p w14:paraId="72228A5D">
            <w:pPr>
              <w:pStyle w:val="85"/>
              <w:spacing w:line="240" w:lineRule="auto"/>
              <w:ind w:firstLine="0" w:firstLineChars="0"/>
              <w:rPr>
                <w:kern w:val="0"/>
                <w:sz w:val="21"/>
                <w:szCs w:val="21"/>
              </w:rPr>
            </w:pPr>
            <w:r>
              <w:rPr>
                <w:rFonts w:hint="eastAsia"/>
                <w:kern w:val="0"/>
                <w:sz w:val="21"/>
                <w:szCs w:val="21"/>
              </w:rPr>
              <w:t>序号</w:t>
            </w:r>
          </w:p>
        </w:tc>
        <w:tc>
          <w:tcPr>
            <w:tcW w:w="2217" w:type="dxa"/>
          </w:tcPr>
          <w:p w14:paraId="32230D45">
            <w:pPr>
              <w:pStyle w:val="85"/>
              <w:spacing w:line="240" w:lineRule="auto"/>
              <w:ind w:firstLine="0" w:firstLineChars="0"/>
              <w:jc w:val="center"/>
              <w:rPr>
                <w:kern w:val="0"/>
                <w:sz w:val="21"/>
                <w:szCs w:val="21"/>
              </w:rPr>
            </w:pPr>
            <w:r>
              <w:rPr>
                <w:rFonts w:hint="eastAsia"/>
                <w:kern w:val="0"/>
                <w:sz w:val="21"/>
                <w:szCs w:val="21"/>
              </w:rPr>
              <w:t>机械</w:t>
            </w:r>
            <w:r>
              <w:rPr>
                <w:kern w:val="0"/>
                <w:sz w:val="21"/>
                <w:szCs w:val="21"/>
              </w:rPr>
              <w:t>名称</w:t>
            </w:r>
          </w:p>
        </w:tc>
        <w:tc>
          <w:tcPr>
            <w:tcW w:w="2465" w:type="dxa"/>
          </w:tcPr>
          <w:p w14:paraId="05C0D0BC">
            <w:pPr>
              <w:pStyle w:val="85"/>
              <w:spacing w:line="240" w:lineRule="auto"/>
              <w:ind w:firstLine="0" w:firstLineChars="0"/>
              <w:jc w:val="center"/>
              <w:rPr>
                <w:kern w:val="0"/>
                <w:sz w:val="21"/>
                <w:szCs w:val="21"/>
              </w:rPr>
            </w:pPr>
            <w:r>
              <w:rPr>
                <w:rFonts w:hint="eastAsia"/>
                <w:kern w:val="0"/>
                <w:sz w:val="21"/>
                <w:szCs w:val="21"/>
              </w:rPr>
              <w:t>测点与机械距离</w:t>
            </w:r>
          </w:p>
        </w:tc>
        <w:tc>
          <w:tcPr>
            <w:tcW w:w="2660" w:type="dxa"/>
          </w:tcPr>
          <w:p w14:paraId="51146668">
            <w:pPr>
              <w:pStyle w:val="85"/>
              <w:spacing w:line="240" w:lineRule="auto"/>
              <w:ind w:firstLine="0" w:firstLineChars="0"/>
              <w:jc w:val="center"/>
              <w:rPr>
                <w:kern w:val="0"/>
                <w:sz w:val="21"/>
                <w:szCs w:val="21"/>
              </w:rPr>
            </w:pPr>
            <w:r>
              <w:rPr>
                <w:rFonts w:hint="eastAsia"/>
                <w:kern w:val="0"/>
                <w:sz w:val="21"/>
                <w:szCs w:val="21"/>
              </w:rPr>
              <w:t>源强</w:t>
            </w:r>
            <w:r>
              <w:rPr>
                <w:kern w:val="0"/>
                <w:sz w:val="21"/>
                <w:szCs w:val="21"/>
              </w:rPr>
              <w:t>dB(A)</w:t>
            </w:r>
          </w:p>
        </w:tc>
      </w:tr>
      <w:tr w14:paraId="60A56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tcPr>
          <w:p w14:paraId="7FBDC900">
            <w:pPr>
              <w:pStyle w:val="85"/>
              <w:spacing w:line="240" w:lineRule="auto"/>
              <w:ind w:firstLine="0" w:firstLineChars="0"/>
              <w:jc w:val="center"/>
              <w:rPr>
                <w:kern w:val="0"/>
                <w:sz w:val="21"/>
                <w:szCs w:val="21"/>
              </w:rPr>
            </w:pPr>
            <w:r>
              <w:rPr>
                <w:rFonts w:hint="eastAsia"/>
                <w:kern w:val="0"/>
                <w:sz w:val="21"/>
                <w:szCs w:val="21"/>
              </w:rPr>
              <w:t>1</w:t>
            </w:r>
          </w:p>
        </w:tc>
        <w:tc>
          <w:tcPr>
            <w:tcW w:w="2217" w:type="dxa"/>
          </w:tcPr>
          <w:p w14:paraId="2ED4F11F">
            <w:pPr>
              <w:pStyle w:val="85"/>
              <w:spacing w:line="240" w:lineRule="auto"/>
              <w:ind w:firstLine="0" w:firstLineChars="0"/>
              <w:jc w:val="center"/>
              <w:rPr>
                <w:kern w:val="0"/>
                <w:sz w:val="21"/>
                <w:szCs w:val="21"/>
              </w:rPr>
            </w:pPr>
            <w:r>
              <w:rPr>
                <w:kern w:val="0"/>
                <w:sz w:val="21"/>
                <w:szCs w:val="21"/>
              </w:rPr>
              <w:t>挖掘机</w:t>
            </w:r>
          </w:p>
        </w:tc>
        <w:tc>
          <w:tcPr>
            <w:tcW w:w="2465" w:type="dxa"/>
          </w:tcPr>
          <w:p w14:paraId="3A33104C">
            <w:pPr>
              <w:pStyle w:val="85"/>
              <w:spacing w:line="240" w:lineRule="auto"/>
              <w:ind w:firstLine="0" w:firstLineChars="0"/>
              <w:jc w:val="center"/>
              <w:rPr>
                <w:kern w:val="0"/>
                <w:sz w:val="21"/>
                <w:szCs w:val="21"/>
              </w:rPr>
            </w:pPr>
            <w:r>
              <w:rPr>
                <w:rFonts w:hint="eastAsia"/>
                <w:kern w:val="0"/>
                <w:sz w:val="21"/>
                <w:szCs w:val="21"/>
              </w:rPr>
              <w:t>5</w:t>
            </w:r>
            <w:r>
              <w:rPr>
                <w:kern w:val="0"/>
                <w:sz w:val="21"/>
                <w:szCs w:val="21"/>
              </w:rPr>
              <w:t>m</w:t>
            </w:r>
          </w:p>
        </w:tc>
        <w:tc>
          <w:tcPr>
            <w:tcW w:w="2660" w:type="dxa"/>
          </w:tcPr>
          <w:p w14:paraId="54050BE0">
            <w:pPr>
              <w:pStyle w:val="85"/>
              <w:spacing w:line="240" w:lineRule="auto"/>
              <w:ind w:firstLine="0" w:firstLineChars="0"/>
              <w:jc w:val="center"/>
              <w:rPr>
                <w:kern w:val="0"/>
                <w:sz w:val="21"/>
                <w:szCs w:val="21"/>
              </w:rPr>
            </w:pPr>
            <w:r>
              <w:rPr>
                <w:kern w:val="0"/>
                <w:sz w:val="21"/>
                <w:szCs w:val="21"/>
              </w:rPr>
              <w:t>84</w:t>
            </w:r>
          </w:p>
        </w:tc>
      </w:tr>
      <w:tr w14:paraId="034A0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tcPr>
          <w:p w14:paraId="44C05377">
            <w:pPr>
              <w:pStyle w:val="85"/>
              <w:spacing w:line="240" w:lineRule="auto"/>
              <w:ind w:firstLine="0" w:firstLineChars="0"/>
              <w:jc w:val="center"/>
              <w:rPr>
                <w:kern w:val="0"/>
                <w:sz w:val="21"/>
                <w:szCs w:val="21"/>
              </w:rPr>
            </w:pPr>
            <w:r>
              <w:rPr>
                <w:rFonts w:hint="eastAsia"/>
                <w:kern w:val="0"/>
                <w:sz w:val="21"/>
                <w:szCs w:val="21"/>
              </w:rPr>
              <w:t>2</w:t>
            </w:r>
          </w:p>
        </w:tc>
        <w:tc>
          <w:tcPr>
            <w:tcW w:w="2217" w:type="dxa"/>
          </w:tcPr>
          <w:p w14:paraId="214EC297">
            <w:pPr>
              <w:pStyle w:val="85"/>
              <w:spacing w:line="240" w:lineRule="auto"/>
              <w:ind w:firstLine="0" w:firstLineChars="0"/>
              <w:jc w:val="center"/>
              <w:rPr>
                <w:kern w:val="0"/>
                <w:sz w:val="21"/>
                <w:szCs w:val="21"/>
              </w:rPr>
            </w:pPr>
            <w:r>
              <w:rPr>
                <w:kern w:val="0"/>
                <w:sz w:val="21"/>
                <w:szCs w:val="21"/>
              </w:rPr>
              <w:t>装载机</w:t>
            </w:r>
          </w:p>
        </w:tc>
        <w:tc>
          <w:tcPr>
            <w:tcW w:w="2465" w:type="dxa"/>
          </w:tcPr>
          <w:p w14:paraId="658BE3D5">
            <w:pPr>
              <w:pStyle w:val="85"/>
              <w:spacing w:line="240" w:lineRule="auto"/>
              <w:ind w:firstLine="0" w:firstLineChars="0"/>
              <w:jc w:val="center"/>
              <w:rPr>
                <w:kern w:val="0"/>
                <w:sz w:val="21"/>
                <w:szCs w:val="21"/>
              </w:rPr>
            </w:pPr>
            <w:r>
              <w:rPr>
                <w:rFonts w:hint="eastAsia"/>
                <w:kern w:val="0"/>
                <w:sz w:val="21"/>
                <w:szCs w:val="21"/>
              </w:rPr>
              <w:t>5</w:t>
            </w:r>
            <w:r>
              <w:rPr>
                <w:kern w:val="0"/>
                <w:sz w:val="21"/>
                <w:szCs w:val="21"/>
              </w:rPr>
              <w:t>m</w:t>
            </w:r>
          </w:p>
        </w:tc>
        <w:tc>
          <w:tcPr>
            <w:tcW w:w="2660" w:type="dxa"/>
          </w:tcPr>
          <w:p w14:paraId="42B05F6F">
            <w:pPr>
              <w:pStyle w:val="85"/>
              <w:spacing w:line="240" w:lineRule="auto"/>
              <w:ind w:firstLine="0" w:firstLineChars="0"/>
              <w:jc w:val="center"/>
              <w:rPr>
                <w:kern w:val="0"/>
                <w:sz w:val="21"/>
                <w:szCs w:val="21"/>
              </w:rPr>
            </w:pPr>
            <w:r>
              <w:rPr>
                <w:kern w:val="0"/>
                <w:sz w:val="21"/>
                <w:szCs w:val="21"/>
              </w:rPr>
              <w:t>90</w:t>
            </w:r>
          </w:p>
        </w:tc>
      </w:tr>
      <w:tr w14:paraId="7F982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tcPr>
          <w:p w14:paraId="49B79574">
            <w:pPr>
              <w:pStyle w:val="85"/>
              <w:spacing w:line="240" w:lineRule="auto"/>
              <w:ind w:firstLine="0" w:firstLineChars="0"/>
              <w:jc w:val="center"/>
              <w:rPr>
                <w:kern w:val="0"/>
                <w:sz w:val="21"/>
                <w:szCs w:val="21"/>
              </w:rPr>
            </w:pPr>
            <w:r>
              <w:rPr>
                <w:rFonts w:hint="eastAsia"/>
                <w:kern w:val="0"/>
                <w:sz w:val="21"/>
                <w:szCs w:val="21"/>
              </w:rPr>
              <w:t>3</w:t>
            </w:r>
          </w:p>
        </w:tc>
        <w:tc>
          <w:tcPr>
            <w:tcW w:w="2217" w:type="dxa"/>
          </w:tcPr>
          <w:p w14:paraId="22ED6800">
            <w:pPr>
              <w:pStyle w:val="85"/>
              <w:spacing w:line="240" w:lineRule="auto"/>
              <w:ind w:firstLine="0" w:firstLineChars="0"/>
              <w:jc w:val="center"/>
              <w:rPr>
                <w:kern w:val="0"/>
                <w:sz w:val="21"/>
                <w:szCs w:val="21"/>
              </w:rPr>
            </w:pPr>
            <w:r>
              <w:rPr>
                <w:kern w:val="0"/>
                <w:sz w:val="21"/>
                <w:szCs w:val="21"/>
              </w:rPr>
              <w:t>推土机</w:t>
            </w:r>
          </w:p>
        </w:tc>
        <w:tc>
          <w:tcPr>
            <w:tcW w:w="2465" w:type="dxa"/>
          </w:tcPr>
          <w:p w14:paraId="08BB7EDA">
            <w:pPr>
              <w:pStyle w:val="85"/>
              <w:spacing w:line="240" w:lineRule="auto"/>
              <w:ind w:firstLine="0" w:firstLineChars="0"/>
              <w:jc w:val="center"/>
              <w:rPr>
                <w:kern w:val="0"/>
                <w:sz w:val="21"/>
                <w:szCs w:val="21"/>
              </w:rPr>
            </w:pPr>
            <w:r>
              <w:rPr>
                <w:rFonts w:hint="eastAsia"/>
                <w:kern w:val="0"/>
                <w:sz w:val="21"/>
                <w:szCs w:val="21"/>
              </w:rPr>
              <w:t>5</w:t>
            </w:r>
            <w:r>
              <w:rPr>
                <w:kern w:val="0"/>
                <w:sz w:val="21"/>
                <w:szCs w:val="21"/>
              </w:rPr>
              <w:t>m</w:t>
            </w:r>
          </w:p>
        </w:tc>
        <w:tc>
          <w:tcPr>
            <w:tcW w:w="2660" w:type="dxa"/>
          </w:tcPr>
          <w:p w14:paraId="1BFE232D">
            <w:pPr>
              <w:pStyle w:val="85"/>
              <w:spacing w:line="240" w:lineRule="auto"/>
              <w:ind w:firstLine="0" w:firstLineChars="0"/>
              <w:jc w:val="center"/>
              <w:rPr>
                <w:kern w:val="0"/>
                <w:sz w:val="21"/>
                <w:szCs w:val="21"/>
              </w:rPr>
            </w:pPr>
            <w:r>
              <w:rPr>
                <w:kern w:val="0"/>
                <w:sz w:val="21"/>
                <w:szCs w:val="21"/>
              </w:rPr>
              <w:t>86</w:t>
            </w:r>
          </w:p>
        </w:tc>
      </w:tr>
      <w:tr w14:paraId="6879A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tcPr>
          <w:p w14:paraId="0C460E1C">
            <w:pPr>
              <w:pStyle w:val="85"/>
              <w:spacing w:line="240" w:lineRule="auto"/>
              <w:ind w:firstLine="0" w:firstLineChars="0"/>
              <w:jc w:val="center"/>
              <w:rPr>
                <w:kern w:val="0"/>
                <w:sz w:val="21"/>
                <w:szCs w:val="21"/>
              </w:rPr>
            </w:pPr>
            <w:r>
              <w:rPr>
                <w:rFonts w:hint="eastAsia"/>
                <w:kern w:val="0"/>
                <w:sz w:val="21"/>
                <w:szCs w:val="21"/>
              </w:rPr>
              <w:t>4</w:t>
            </w:r>
          </w:p>
        </w:tc>
        <w:tc>
          <w:tcPr>
            <w:tcW w:w="2217" w:type="dxa"/>
          </w:tcPr>
          <w:p w14:paraId="76980EFA">
            <w:pPr>
              <w:pStyle w:val="85"/>
              <w:spacing w:line="240" w:lineRule="auto"/>
              <w:ind w:firstLine="0" w:firstLineChars="0"/>
              <w:jc w:val="center"/>
              <w:rPr>
                <w:kern w:val="0"/>
                <w:sz w:val="21"/>
                <w:szCs w:val="21"/>
              </w:rPr>
            </w:pPr>
            <w:r>
              <w:rPr>
                <w:kern w:val="0"/>
                <w:sz w:val="21"/>
                <w:szCs w:val="21"/>
              </w:rPr>
              <w:t>自卸汽车</w:t>
            </w:r>
          </w:p>
        </w:tc>
        <w:tc>
          <w:tcPr>
            <w:tcW w:w="2465" w:type="dxa"/>
          </w:tcPr>
          <w:p w14:paraId="42837F9C">
            <w:pPr>
              <w:pStyle w:val="85"/>
              <w:spacing w:line="240" w:lineRule="auto"/>
              <w:ind w:firstLine="0" w:firstLineChars="0"/>
              <w:jc w:val="center"/>
              <w:rPr>
                <w:kern w:val="0"/>
                <w:sz w:val="21"/>
                <w:szCs w:val="21"/>
              </w:rPr>
            </w:pPr>
            <w:r>
              <w:rPr>
                <w:rFonts w:hint="eastAsia"/>
                <w:kern w:val="0"/>
                <w:sz w:val="21"/>
                <w:szCs w:val="21"/>
              </w:rPr>
              <w:t>5</w:t>
            </w:r>
            <w:r>
              <w:rPr>
                <w:kern w:val="0"/>
                <w:sz w:val="21"/>
                <w:szCs w:val="21"/>
              </w:rPr>
              <w:t>m</w:t>
            </w:r>
          </w:p>
        </w:tc>
        <w:tc>
          <w:tcPr>
            <w:tcW w:w="2660" w:type="dxa"/>
          </w:tcPr>
          <w:p w14:paraId="49C36800">
            <w:pPr>
              <w:pStyle w:val="85"/>
              <w:spacing w:line="240" w:lineRule="auto"/>
              <w:ind w:firstLine="0" w:firstLineChars="0"/>
              <w:jc w:val="center"/>
              <w:rPr>
                <w:kern w:val="0"/>
                <w:sz w:val="21"/>
                <w:szCs w:val="21"/>
              </w:rPr>
            </w:pPr>
            <w:r>
              <w:rPr>
                <w:kern w:val="0"/>
                <w:sz w:val="21"/>
                <w:szCs w:val="21"/>
              </w:rPr>
              <w:t>80</w:t>
            </w:r>
          </w:p>
        </w:tc>
      </w:tr>
      <w:tr w14:paraId="6E261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tcPr>
          <w:p w14:paraId="682B4146">
            <w:pPr>
              <w:pStyle w:val="85"/>
              <w:spacing w:line="240" w:lineRule="auto"/>
              <w:ind w:firstLine="0" w:firstLineChars="0"/>
              <w:jc w:val="center"/>
              <w:rPr>
                <w:kern w:val="0"/>
                <w:sz w:val="21"/>
                <w:szCs w:val="21"/>
              </w:rPr>
            </w:pPr>
            <w:r>
              <w:rPr>
                <w:kern w:val="0"/>
                <w:sz w:val="21"/>
                <w:szCs w:val="21"/>
              </w:rPr>
              <w:t>5</w:t>
            </w:r>
          </w:p>
        </w:tc>
        <w:tc>
          <w:tcPr>
            <w:tcW w:w="2217" w:type="dxa"/>
          </w:tcPr>
          <w:p w14:paraId="5E7417B5">
            <w:pPr>
              <w:pStyle w:val="85"/>
              <w:spacing w:line="240" w:lineRule="auto"/>
              <w:ind w:firstLine="0" w:firstLineChars="0"/>
              <w:jc w:val="center"/>
              <w:rPr>
                <w:kern w:val="0"/>
                <w:sz w:val="21"/>
                <w:szCs w:val="21"/>
              </w:rPr>
            </w:pPr>
            <w:r>
              <w:rPr>
                <w:rFonts w:hint="eastAsia"/>
                <w:kern w:val="0"/>
                <w:sz w:val="21"/>
                <w:szCs w:val="21"/>
              </w:rPr>
              <w:t>平板</w:t>
            </w:r>
            <w:r>
              <w:rPr>
                <w:kern w:val="0"/>
                <w:sz w:val="21"/>
                <w:szCs w:val="21"/>
              </w:rPr>
              <w:t>振动器</w:t>
            </w:r>
          </w:p>
        </w:tc>
        <w:tc>
          <w:tcPr>
            <w:tcW w:w="2465" w:type="dxa"/>
          </w:tcPr>
          <w:p w14:paraId="26BE6F92">
            <w:pPr>
              <w:pStyle w:val="85"/>
              <w:spacing w:line="240" w:lineRule="auto"/>
              <w:ind w:firstLine="0" w:firstLineChars="0"/>
              <w:jc w:val="center"/>
              <w:rPr>
                <w:kern w:val="0"/>
                <w:sz w:val="21"/>
                <w:szCs w:val="21"/>
              </w:rPr>
            </w:pPr>
            <w:r>
              <w:rPr>
                <w:rFonts w:hint="eastAsia"/>
                <w:kern w:val="0"/>
                <w:sz w:val="21"/>
                <w:szCs w:val="21"/>
              </w:rPr>
              <w:t>5</w:t>
            </w:r>
            <w:r>
              <w:rPr>
                <w:kern w:val="0"/>
                <w:sz w:val="21"/>
                <w:szCs w:val="21"/>
              </w:rPr>
              <w:t>m</w:t>
            </w:r>
          </w:p>
        </w:tc>
        <w:tc>
          <w:tcPr>
            <w:tcW w:w="2660" w:type="dxa"/>
          </w:tcPr>
          <w:p w14:paraId="72CAEE55">
            <w:pPr>
              <w:pStyle w:val="85"/>
              <w:spacing w:line="240" w:lineRule="auto"/>
              <w:ind w:firstLine="0" w:firstLineChars="0"/>
              <w:jc w:val="center"/>
              <w:rPr>
                <w:kern w:val="0"/>
                <w:sz w:val="21"/>
                <w:szCs w:val="21"/>
              </w:rPr>
            </w:pPr>
            <w:r>
              <w:rPr>
                <w:rFonts w:hint="eastAsia"/>
                <w:kern w:val="0"/>
                <w:sz w:val="21"/>
                <w:szCs w:val="21"/>
              </w:rPr>
              <w:t>86</w:t>
            </w:r>
          </w:p>
        </w:tc>
      </w:tr>
      <w:tr w14:paraId="7FA05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tcPr>
          <w:p w14:paraId="46946BA4">
            <w:pPr>
              <w:pStyle w:val="85"/>
              <w:spacing w:line="240" w:lineRule="auto"/>
              <w:ind w:firstLine="0" w:firstLineChars="0"/>
              <w:jc w:val="center"/>
              <w:rPr>
                <w:kern w:val="0"/>
                <w:sz w:val="21"/>
                <w:szCs w:val="21"/>
              </w:rPr>
            </w:pPr>
            <w:r>
              <w:rPr>
                <w:kern w:val="0"/>
                <w:sz w:val="21"/>
                <w:szCs w:val="21"/>
              </w:rPr>
              <w:t>6</w:t>
            </w:r>
          </w:p>
        </w:tc>
        <w:tc>
          <w:tcPr>
            <w:tcW w:w="2217" w:type="dxa"/>
          </w:tcPr>
          <w:p w14:paraId="46F24393">
            <w:pPr>
              <w:pStyle w:val="85"/>
              <w:spacing w:line="240" w:lineRule="auto"/>
              <w:ind w:firstLine="0" w:firstLineChars="0"/>
              <w:jc w:val="center"/>
              <w:rPr>
                <w:kern w:val="0"/>
                <w:sz w:val="21"/>
                <w:szCs w:val="21"/>
              </w:rPr>
            </w:pPr>
            <w:r>
              <w:rPr>
                <w:rFonts w:hint="eastAsia"/>
                <w:kern w:val="0"/>
                <w:sz w:val="21"/>
                <w:szCs w:val="21"/>
              </w:rPr>
              <w:t>洒水车</w:t>
            </w:r>
          </w:p>
        </w:tc>
        <w:tc>
          <w:tcPr>
            <w:tcW w:w="2465" w:type="dxa"/>
          </w:tcPr>
          <w:p w14:paraId="571745CD">
            <w:pPr>
              <w:pStyle w:val="85"/>
              <w:spacing w:line="240" w:lineRule="auto"/>
              <w:ind w:firstLine="0" w:firstLineChars="0"/>
              <w:jc w:val="center"/>
              <w:rPr>
                <w:kern w:val="0"/>
                <w:sz w:val="21"/>
                <w:szCs w:val="21"/>
              </w:rPr>
            </w:pPr>
            <w:r>
              <w:rPr>
                <w:rFonts w:hint="eastAsia"/>
                <w:kern w:val="0"/>
                <w:sz w:val="21"/>
                <w:szCs w:val="21"/>
              </w:rPr>
              <w:t>5</w:t>
            </w:r>
            <w:r>
              <w:rPr>
                <w:kern w:val="0"/>
                <w:sz w:val="21"/>
                <w:szCs w:val="21"/>
              </w:rPr>
              <w:t>m</w:t>
            </w:r>
          </w:p>
        </w:tc>
        <w:tc>
          <w:tcPr>
            <w:tcW w:w="2660" w:type="dxa"/>
          </w:tcPr>
          <w:p w14:paraId="32DDBCCA">
            <w:pPr>
              <w:pStyle w:val="85"/>
              <w:spacing w:line="240" w:lineRule="auto"/>
              <w:ind w:firstLine="0" w:firstLineChars="0"/>
              <w:jc w:val="center"/>
              <w:rPr>
                <w:kern w:val="0"/>
                <w:sz w:val="21"/>
                <w:szCs w:val="21"/>
              </w:rPr>
            </w:pPr>
            <w:r>
              <w:rPr>
                <w:kern w:val="0"/>
                <w:sz w:val="21"/>
                <w:szCs w:val="21"/>
              </w:rPr>
              <w:t>80</w:t>
            </w:r>
          </w:p>
        </w:tc>
      </w:tr>
      <w:tr w14:paraId="4B947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tcPr>
          <w:p w14:paraId="45A07983">
            <w:pPr>
              <w:pStyle w:val="85"/>
              <w:spacing w:line="240" w:lineRule="auto"/>
              <w:ind w:firstLine="0" w:firstLineChars="0"/>
              <w:jc w:val="center"/>
              <w:rPr>
                <w:kern w:val="0"/>
                <w:sz w:val="21"/>
                <w:szCs w:val="21"/>
              </w:rPr>
            </w:pPr>
            <w:r>
              <w:rPr>
                <w:kern w:val="0"/>
                <w:sz w:val="21"/>
                <w:szCs w:val="21"/>
              </w:rPr>
              <w:t>7</w:t>
            </w:r>
          </w:p>
        </w:tc>
        <w:tc>
          <w:tcPr>
            <w:tcW w:w="2217" w:type="dxa"/>
          </w:tcPr>
          <w:p w14:paraId="3862712E">
            <w:pPr>
              <w:pStyle w:val="85"/>
              <w:spacing w:line="240" w:lineRule="auto"/>
              <w:ind w:firstLine="0" w:firstLineChars="0"/>
              <w:jc w:val="center"/>
              <w:rPr>
                <w:kern w:val="0"/>
                <w:sz w:val="21"/>
                <w:szCs w:val="21"/>
              </w:rPr>
            </w:pPr>
            <w:r>
              <w:rPr>
                <w:rFonts w:hint="eastAsia"/>
                <w:kern w:val="0"/>
                <w:sz w:val="21"/>
                <w:szCs w:val="21"/>
              </w:rPr>
              <w:t>插入式</w:t>
            </w:r>
            <w:r>
              <w:rPr>
                <w:kern w:val="0"/>
                <w:sz w:val="21"/>
                <w:szCs w:val="21"/>
              </w:rPr>
              <w:t>振动器</w:t>
            </w:r>
          </w:p>
        </w:tc>
        <w:tc>
          <w:tcPr>
            <w:tcW w:w="2465" w:type="dxa"/>
          </w:tcPr>
          <w:p w14:paraId="339CBC57">
            <w:pPr>
              <w:pStyle w:val="85"/>
              <w:spacing w:line="240" w:lineRule="auto"/>
              <w:ind w:firstLine="0" w:firstLineChars="0"/>
              <w:jc w:val="center"/>
              <w:rPr>
                <w:kern w:val="0"/>
                <w:sz w:val="21"/>
                <w:szCs w:val="21"/>
              </w:rPr>
            </w:pPr>
            <w:r>
              <w:rPr>
                <w:rFonts w:hint="eastAsia"/>
                <w:kern w:val="0"/>
                <w:sz w:val="21"/>
                <w:szCs w:val="21"/>
              </w:rPr>
              <w:t>5</w:t>
            </w:r>
            <w:r>
              <w:rPr>
                <w:kern w:val="0"/>
                <w:sz w:val="21"/>
                <w:szCs w:val="21"/>
              </w:rPr>
              <w:t>m</w:t>
            </w:r>
          </w:p>
        </w:tc>
        <w:tc>
          <w:tcPr>
            <w:tcW w:w="2660" w:type="dxa"/>
          </w:tcPr>
          <w:p w14:paraId="1EF22C26">
            <w:pPr>
              <w:pStyle w:val="85"/>
              <w:spacing w:line="240" w:lineRule="auto"/>
              <w:ind w:firstLine="0" w:firstLineChars="0"/>
              <w:jc w:val="center"/>
              <w:rPr>
                <w:kern w:val="0"/>
                <w:sz w:val="21"/>
                <w:szCs w:val="21"/>
              </w:rPr>
            </w:pPr>
            <w:r>
              <w:rPr>
                <w:rFonts w:hint="eastAsia"/>
                <w:kern w:val="0"/>
                <w:sz w:val="21"/>
                <w:szCs w:val="21"/>
              </w:rPr>
              <w:t>86</w:t>
            </w:r>
          </w:p>
        </w:tc>
      </w:tr>
      <w:tr w14:paraId="4EAF4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tcPr>
          <w:p w14:paraId="1AF6C432">
            <w:pPr>
              <w:pStyle w:val="85"/>
              <w:spacing w:line="240" w:lineRule="auto"/>
              <w:ind w:firstLine="0" w:firstLineChars="0"/>
              <w:jc w:val="center"/>
              <w:rPr>
                <w:kern w:val="0"/>
                <w:sz w:val="21"/>
                <w:szCs w:val="21"/>
              </w:rPr>
            </w:pPr>
            <w:r>
              <w:rPr>
                <w:kern w:val="0"/>
                <w:sz w:val="21"/>
                <w:szCs w:val="21"/>
              </w:rPr>
              <w:t>8</w:t>
            </w:r>
          </w:p>
        </w:tc>
        <w:tc>
          <w:tcPr>
            <w:tcW w:w="2217" w:type="dxa"/>
          </w:tcPr>
          <w:p w14:paraId="07D16FE9">
            <w:pPr>
              <w:pStyle w:val="85"/>
              <w:spacing w:line="240" w:lineRule="auto"/>
              <w:ind w:firstLine="0" w:firstLineChars="0"/>
              <w:jc w:val="center"/>
              <w:rPr>
                <w:kern w:val="0"/>
                <w:sz w:val="21"/>
                <w:szCs w:val="21"/>
              </w:rPr>
            </w:pPr>
            <w:r>
              <w:rPr>
                <w:rFonts w:hint="eastAsia"/>
                <w:kern w:val="0"/>
                <w:sz w:val="21"/>
                <w:szCs w:val="21"/>
              </w:rPr>
              <w:t>振动</w:t>
            </w:r>
            <w:r>
              <w:rPr>
                <w:kern w:val="0"/>
                <w:sz w:val="21"/>
                <w:szCs w:val="21"/>
              </w:rPr>
              <w:t>梁</w:t>
            </w:r>
          </w:p>
        </w:tc>
        <w:tc>
          <w:tcPr>
            <w:tcW w:w="2465" w:type="dxa"/>
          </w:tcPr>
          <w:p w14:paraId="08BEE489">
            <w:pPr>
              <w:pStyle w:val="85"/>
              <w:spacing w:line="240" w:lineRule="auto"/>
              <w:ind w:firstLine="0" w:firstLineChars="0"/>
              <w:jc w:val="center"/>
              <w:rPr>
                <w:kern w:val="0"/>
                <w:sz w:val="21"/>
                <w:szCs w:val="21"/>
              </w:rPr>
            </w:pPr>
            <w:r>
              <w:rPr>
                <w:rFonts w:hint="eastAsia"/>
                <w:kern w:val="0"/>
                <w:sz w:val="21"/>
                <w:szCs w:val="21"/>
              </w:rPr>
              <w:t>5</w:t>
            </w:r>
            <w:r>
              <w:rPr>
                <w:kern w:val="0"/>
                <w:sz w:val="21"/>
                <w:szCs w:val="21"/>
              </w:rPr>
              <w:t>m</w:t>
            </w:r>
          </w:p>
        </w:tc>
        <w:tc>
          <w:tcPr>
            <w:tcW w:w="2660" w:type="dxa"/>
          </w:tcPr>
          <w:p w14:paraId="1E5219AA">
            <w:pPr>
              <w:pStyle w:val="85"/>
              <w:spacing w:line="240" w:lineRule="auto"/>
              <w:ind w:firstLine="0" w:firstLineChars="0"/>
              <w:jc w:val="center"/>
              <w:rPr>
                <w:kern w:val="0"/>
                <w:sz w:val="21"/>
                <w:szCs w:val="21"/>
              </w:rPr>
            </w:pPr>
            <w:r>
              <w:rPr>
                <w:rFonts w:hint="eastAsia"/>
                <w:kern w:val="0"/>
                <w:sz w:val="21"/>
                <w:szCs w:val="21"/>
              </w:rPr>
              <w:t>86</w:t>
            </w:r>
          </w:p>
        </w:tc>
      </w:tr>
    </w:tbl>
    <w:p w14:paraId="4706C7CE">
      <w:pPr>
        <w:pStyle w:val="85"/>
        <w:ind w:firstLine="480"/>
        <w:rPr>
          <w:kern w:val="0"/>
        </w:rPr>
      </w:pPr>
      <w:r>
        <w:rPr>
          <w:rFonts w:hint="eastAsia"/>
          <w:kern w:val="0"/>
        </w:rPr>
        <w:t>（2）施工期</w:t>
      </w:r>
      <w:r>
        <w:rPr>
          <w:kern w:val="0"/>
        </w:rPr>
        <w:t>噪声预测模式</w:t>
      </w:r>
    </w:p>
    <w:p w14:paraId="4547D94A">
      <w:pPr>
        <w:pStyle w:val="85"/>
        <w:ind w:firstLine="480"/>
        <w:rPr>
          <w:bCs/>
          <w:kern w:val="0"/>
          <w:lang w:bidi="en-US"/>
        </w:rPr>
      </w:pPr>
      <w:r>
        <w:rPr>
          <w:rFonts w:hint="eastAsia"/>
          <w:bCs/>
          <w:kern w:val="0"/>
          <w:lang w:bidi="en-US"/>
        </w:rPr>
        <w:t>根据《环境影响评价技术导则 声环境》（HJ2.4-20</w:t>
      </w:r>
      <w:r>
        <w:rPr>
          <w:bCs/>
          <w:kern w:val="0"/>
          <w:lang w:bidi="en-US"/>
        </w:rPr>
        <w:t>21</w:t>
      </w:r>
      <w:r>
        <w:rPr>
          <w:rFonts w:hint="eastAsia"/>
          <w:bCs/>
          <w:kern w:val="0"/>
          <w:lang w:bidi="en-US"/>
        </w:rPr>
        <w:t>），固定点源噪声源计算公式如下：</w:t>
      </w:r>
    </w:p>
    <w:p w14:paraId="7067C07A">
      <w:pPr>
        <w:pStyle w:val="85"/>
        <w:spacing w:line="240" w:lineRule="auto"/>
        <w:ind w:firstLine="480"/>
        <w:rPr>
          <w:bCs/>
          <w:kern w:val="0"/>
          <w:lang w:bidi="en-US"/>
        </w:rPr>
      </w:pPr>
      <w:r>
        <w:rPr>
          <w:rFonts w:hint="eastAsia"/>
          <w:bCs/>
          <w:kern w:val="0"/>
          <w:lang w:bidi="en-US"/>
        </w:rPr>
        <w:object>
          <v:shape id="_x0000_i1026" o:spt="75" type="#_x0000_t75" style="height:36pt;width:122.25pt;" o:ole="t" filled="f" o:preferrelative="t" stroked="f" coordsize="21600,21600">
            <v:path/>
            <v:fill on="f" focussize="0,0"/>
            <v:stroke on="f" joinstyle="miter"/>
            <v:imagedata r:id="rId37" o:title=""/>
            <o:lock v:ext="edit" aspectratio="t"/>
            <w10:wrap type="none"/>
            <w10:anchorlock/>
          </v:shape>
          <o:OLEObject Type="Embed" ProgID="Equation.3" ShapeID="_x0000_i1026" DrawAspect="Content" ObjectID="_1468075726" r:id="rId36">
            <o:LockedField>false</o:LockedField>
          </o:OLEObject>
        </w:object>
      </w:r>
    </w:p>
    <w:p w14:paraId="574FF065">
      <w:pPr>
        <w:pStyle w:val="85"/>
        <w:ind w:firstLine="480"/>
        <w:rPr>
          <w:bCs/>
          <w:kern w:val="0"/>
          <w:lang w:bidi="en-US"/>
        </w:rPr>
      </w:pPr>
      <w:r>
        <w:rPr>
          <w:rFonts w:hint="eastAsia"/>
          <w:bCs/>
          <w:kern w:val="0"/>
          <w:lang w:bidi="en-US"/>
        </w:rPr>
        <w:t>式中：</w:t>
      </w:r>
      <w:r>
        <w:rPr>
          <w:rFonts w:hint="eastAsia"/>
          <w:bCs/>
          <w:kern w:val="0"/>
          <w:lang w:bidi="en-US"/>
        </w:rPr>
        <w:object>
          <v:shape id="_x0000_i1027" o:spt="75" type="#_x0000_t75" style="height:14.25pt;width:28.5pt;" o:ole="t" filled="f" o:preferrelative="t" stroked="f" coordsize="21600,21600">
            <v:path/>
            <v:fill on="f" focussize="0,0"/>
            <v:stroke on="f" joinstyle="miter"/>
            <v:imagedata r:id="rId39" o:title=""/>
            <o:lock v:ext="edit" aspectratio="t"/>
            <w10:wrap type="none"/>
            <w10:anchorlock/>
          </v:shape>
          <o:OLEObject Type="Embed" ProgID="Equation.3" ShapeID="_x0000_i1027" DrawAspect="Content" ObjectID="_1468075727" r:id="rId38">
            <o:LockedField>false</o:LockedField>
          </o:OLEObject>
        </w:object>
      </w:r>
      <w:r>
        <w:rPr>
          <w:bCs/>
          <w:kern w:val="0"/>
          <w:lang w:bidi="en-US"/>
        </w:rPr>
        <w:t>——</w:t>
      </w:r>
      <w:r>
        <w:rPr>
          <w:rFonts w:hint="eastAsia"/>
          <w:bCs/>
          <w:kern w:val="0"/>
          <w:lang w:bidi="en-US"/>
        </w:rPr>
        <w:t>距离声源r处的A声级，dB（A）；</w:t>
      </w:r>
    </w:p>
    <w:p w14:paraId="30C63812">
      <w:pPr>
        <w:pStyle w:val="85"/>
        <w:ind w:firstLine="480"/>
        <w:rPr>
          <w:bCs/>
          <w:kern w:val="0"/>
          <w:lang w:bidi="en-US"/>
        </w:rPr>
      </w:pPr>
      <w:r>
        <w:rPr>
          <w:rFonts w:hint="eastAsia"/>
          <w:bCs/>
          <w:kern w:val="0"/>
          <w:lang w:bidi="en-US"/>
        </w:rPr>
        <w:object>
          <v:shape id="_x0000_i1028" o:spt="75" type="#_x0000_t75" style="height:21.75pt;width:36pt;" o:ole="t" filled="f" o:preferrelative="t" stroked="f" coordsize="21600,21600">
            <v:path/>
            <v:fill on="f" focussize="0,0"/>
            <v:stroke on="f" joinstyle="miter"/>
            <v:imagedata r:id="rId41" o:title=""/>
            <o:lock v:ext="edit" aspectratio="t"/>
            <w10:wrap type="none"/>
            <w10:anchorlock/>
          </v:shape>
          <o:OLEObject Type="Embed" ProgID="Equation.3" ShapeID="_x0000_i1028" DrawAspect="Content" ObjectID="_1468075728" r:id="rId40">
            <o:LockedField>false</o:LockedField>
          </o:OLEObject>
        </w:object>
      </w:r>
      <w:r>
        <w:rPr>
          <w:bCs/>
          <w:kern w:val="0"/>
          <w:lang w:bidi="en-US"/>
        </w:rPr>
        <w:t>——</w:t>
      </w:r>
      <w:r>
        <w:rPr>
          <w:rFonts w:hint="eastAsia"/>
          <w:bCs/>
          <w:kern w:val="0"/>
          <w:lang w:bidi="en-US"/>
        </w:rPr>
        <w:t>参考r</w:t>
      </w:r>
      <w:r>
        <w:rPr>
          <w:rFonts w:hint="eastAsia"/>
          <w:bCs/>
          <w:kern w:val="0"/>
          <w:vertAlign w:val="subscript"/>
          <w:lang w:bidi="en-US"/>
        </w:rPr>
        <w:t>0</w:t>
      </w:r>
      <w:r>
        <w:rPr>
          <w:rFonts w:hint="eastAsia"/>
          <w:bCs/>
          <w:kern w:val="0"/>
          <w:lang w:bidi="en-US"/>
        </w:rPr>
        <w:t>处的A声级，dB（A）；</w:t>
      </w:r>
    </w:p>
    <w:p w14:paraId="3F61DB2A">
      <w:pPr>
        <w:pStyle w:val="85"/>
        <w:ind w:firstLine="480"/>
        <w:rPr>
          <w:bCs/>
          <w:kern w:val="0"/>
          <w:lang w:bidi="en-US"/>
        </w:rPr>
      </w:pPr>
      <w:r>
        <w:rPr>
          <w:rFonts w:hint="eastAsia"/>
          <w:bCs/>
          <w:kern w:val="0"/>
          <w:lang w:bidi="en-US"/>
        </w:rPr>
        <w:t>r</w:t>
      </w:r>
      <w:r>
        <w:rPr>
          <w:bCs/>
          <w:kern w:val="0"/>
          <w:lang w:bidi="en-US"/>
        </w:rPr>
        <w:t>——</w:t>
      </w:r>
      <w:r>
        <w:rPr>
          <w:rFonts w:hint="eastAsia"/>
          <w:bCs/>
          <w:kern w:val="0"/>
          <w:lang w:bidi="en-US"/>
        </w:rPr>
        <w:t>预测点与点声源之间的距离，m；</w:t>
      </w:r>
    </w:p>
    <w:p w14:paraId="28219ED2">
      <w:pPr>
        <w:pStyle w:val="85"/>
        <w:ind w:firstLine="480"/>
        <w:rPr>
          <w:bCs/>
          <w:kern w:val="0"/>
          <w:lang w:bidi="en-US"/>
        </w:rPr>
      </w:pPr>
      <w:r>
        <w:rPr>
          <w:rFonts w:hint="eastAsia"/>
          <w:bCs/>
          <w:kern w:val="0"/>
          <w:lang w:bidi="en-US"/>
        </w:rPr>
        <w:t>r</w:t>
      </w:r>
      <w:r>
        <w:rPr>
          <w:rFonts w:hint="eastAsia"/>
          <w:bCs/>
          <w:kern w:val="0"/>
          <w:vertAlign w:val="subscript"/>
          <w:lang w:bidi="en-US"/>
        </w:rPr>
        <w:t>0</w:t>
      </w:r>
      <w:r>
        <w:rPr>
          <w:bCs/>
          <w:kern w:val="0"/>
          <w:lang w:bidi="en-US"/>
        </w:rPr>
        <w:t>——</w:t>
      </w:r>
      <w:r>
        <w:rPr>
          <w:rFonts w:hint="eastAsia"/>
          <w:bCs/>
          <w:kern w:val="0"/>
          <w:lang w:bidi="en-US"/>
        </w:rPr>
        <w:t>参考位置与点声源之间的距离，m。</w:t>
      </w:r>
    </w:p>
    <w:p w14:paraId="4FB162C1">
      <w:pPr>
        <w:pStyle w:val="85"/>
        <w:ind w:firstLine="480"/>
        <w:rPr>
          <w:bCs/>
          <w:kern w:val="0"/>
          <w:lang w:bidi="en-US"/>
        </w:rPr>
      </w:pPr>
      <w:r>
        <w:rPr>
          <w:rFonts w:hint="eastAsia"/>
          <w:bCs/>
          <w:kern w:val="0"/>
          <w:lang w:bidi="en-US"/>
        </w:rPr>
        <w:t>（3）施工噪声</w:t>
      </w:r>
      <w:r>
        <w:rPr>
          <w:bCs/>
          <w:kern w:val="0"/>
          <w:lang w:bidi="en-US"/>
        </w:rPr>
        <w:t>预测</w:t>
      </w:r>
      <w:r>
        <w:rPr>
          <w:rFonts w:hint="eastAsia"/>
          <w:bCs/>
          <w:kern w:val="0"/>
          <w:lang w:bidi="en-US"/>
        </w:rPr>
        <w:t>结果</w:t>
      </w:r>
      <w:r>
        <w:rPr>
          <w:bCs/>
          <w:kern w:val="0"/>
          <w:lang w:bidi="en-US"/>
        </w:rPr>
        <w:t>及分析</w:t>
      </w:r>
    </w:p>
    <w:p w14:paraId="25A5343E">
      <w:pPr>
        <w:pStyle w:val="85"/>
        <w:ind w:firstLine="480"/>
        <w:rPr>
          <w:kern w:val="0"/>
        </w:rPr>
      </w:pPr>
      <w:r>
        <w:rPr>
          <w:kern w:val="0"/>
        </w:rPr>
        <w:t>施工期噪声污染主要由施工作业机械产生，根据常用机械的实测资料，其噪声源强</w:t>
      </w:r>
      <w:r>
        <w:rPr>
          <w:rFonts w:hint="eastAsia"/>
          <w:kern w:val="0"/>
        </w:rPr>
        <w:t>及不同距离处的噪声预测值</w:t>
      </w:r>
      <w:r>
        <w:rPr>
          <w:kern w:val="0"/>
        </w:rPr>
        <w:t>分别见</w:t>
      </w:r>
      <w:r>
        <w:rPr>
          <w:rFonts w:hint="eastAsia"/>
          <w:kern w:val="0"/>
        </w:rPr>
        <w:t>下表</w:t>
      </w:r>
      <w:r>
        <w:rPr>
          <w:kern w:val="0"/>
        </w:rPr>
        <w:t>。</w:t>
      </w:r>
    </w:p>
    <w:p w14:paraId="311389A4">
      <w:pPr>
        <w:pStyle w:val="85"/>
        <w:ind w:firstLine="480"/>
        <w:jc w:val="center"/>
        <w:rPr>
          <w:rFonts w:eastAsia="黑体"/>
          <w:kern w:val="0"/>
          <w:sz w:val="21"/>
          <w:szCs w:val="21"/>
        </w:rPr>
      </w:pPr>
      <w:r>
        <w:rPr>
          <w:rFonts w:hint="eastAsia" w:eastAsia="黑体"/>
          <w:kern w:val="0"/>
          <w:szCs w:val="21"/>
        </w:rPr>
        <w:t>表</w:t>
      </w:r>
      <w:r>
        <w:rPr>
          <w:rFonts w:eastAsia="黑体"/>
          <w:kern w:val="0"/>
          <w:szCs w:val="21"/>
        </w:rPr>
        <w:fldChar w:fldCharType="begin"/>
      </w:r>
      <w:r>
        <w:rPr>
          <w:rFonts w:eastAsia="黑体"/>
          <w:kern w:val="0"/>
          <w:szCs w:val="21"/>
        </w:rPr>
        <w:instrText xml:space="preserve"> </w:instrText>
      </w:r>
      <w:r>
        <w:rPr>
          <w:rFonts w:hint="eastAsia" w:eastAsia="黑体"/>
          <w:kern w:val="0"/>
          <w:szCs w:val="21"/>
        </w:rPr>
        <w:instrText xml:space="preserve">STYLEREF 1 \s</w:instrText>
      </w:r>
      <w:r>
        <w:rPr>
          <w:rFonts w:eastAsia="黑体"/>
          <w:kern w:val="0"/>
          <w:szCs w:val="21"/>
        </w:rPr>
        <w:instrText xml:space="preserve"> </w:instrText>
      </w:r>
      <w:r>
        <w:rPr>
          <w:rFonts w:eastAsia="黑体"/>
          <w:kern w:val="0"/>
          <w:szCs w:val="21"/>
        </w:rPr>
        <w:fldChar w:fldCharType="separate"/>
      </w:r>
      <w:r>
        <w:rPr>
          <w:rFonts w:eastAsia="黑体"/>
          <w:kern w:val="0"/>
          <w:szCs w:val="21"/>
        </w:rPr>
        <w:t>4</w:t>
      </w:r>
      <w:r>
        <w:rPr>
          <w:rFonts w:eastAsia="黑体"/>
          <w:kern w:val="0"/>
          <w:szCs w:val="21"/>
        </w:rPr>
        <w:fldChar w:fldCharType="end"/>
      </w:r>
      <w:r>
        <w:rPr>
          <w:rFonts w:eastAsia="黑体"/>
          <w:kern w:val="0"/>
          <w:szCs w:val="21"/>
        </w:rPr>
        <w:noBreakHyphen/>
      </w:r>
      <w:r>
        <w:rPr>
          <w:rFonts w:eastAsia="黑体"/>
          <w:kern w:val="0"/>
          <w:szCs w:val="21"/>
        </w:rPr>
        <w:fldChar w:fldCharType="begin"/>
      </w:r>
      <w:r>
        <w:rPr>
          <w:rFonts w:eastAsia="黑体"/>
          <w:kern w:val="0"/>
          <w:szCs w:val="21"/>
        </w:rPr>
        <w:instrText xml:space="preserve"> </w:instrText>
      </w:r>
      <w:r>
        <w:rPr>
          <w:rFonts w:hint="eastAsia" w:eastAsia="黑体"/>
          <w:kern w:val="0"/>
          <w:szCs w:val="21"/>
        </w:rPr>
        <w:instrText xml:space="preserve">SEQ 表 \* ARABIC \s 1</w:instrText>
      </w:r>
      <w:r>
        <w:rPr>
          <w:rFonts w:eastAsia="黑体"/>
          <w:kern w:val="0"/>
          <w:szCs w:val="21"/>
        </w:rPr>
        <w:instrText xml:space="preserve"> </w:instrText>
      </w:r>
      <w:r>
        <w:rPr>
          <w:rFonts w:eastAsia="黑体"/>
          <w:kern w:val="0"/>
          <w:szCs w:val="21"/>
        </w:rPr>
        <w:fldChar w:fldCharType="separate"/>
      </w:r>
      <w:r>
        <w:rPr>
          <w:rFonts w:eastAsia="黑体"/>
          <w:kern w:val="0"/>
          <w:szCs w:val="21"/>
        </w:rPr>
        <w:t>3</w:t>
      </w:r>
      <w:r>
        <w:rPr>
          <w:rFonts w:eastAsia="黑体"/>
          <w:kern w:val="0"/>
          <w:szCs w:val="21"/>
        </w:rPr>
        <w:fldChar w:fldCharType="end"/>
      </w:r>
      <w:r>
        <w:rPr>
          <w:rFonts w:eastAsia="黑体"/>
          <w:kern w:val="0"/>
          <w:szCs w:val="21"/>
        </w:rPr>
        <w:t xml:space="preserve">  </w:t>
      </w:r>
      <w:r>
        <w:rPr>
          <w:rFonts w:hint="eastAsia" w:eastAsia="黑体"/>
          <w:kern w:val="0"/>
          <w:szCs w:val="21"/>
        </w:rPr>
        <w:t xml:space="preserve">主要施工机械不同距离处的噪声预测值一览表  </w:t>
      </w:r>
      <w:r>
        <w:rPr>
          <w:rFonts w:hint="eastAsia" w:eastAsia="黑体"/>
          <w:kern w:val="0"/>
          <w:sz w:val="21"/>
          <w:szCs w:val="21"/>
        </w:rPr>
        <w:t>单位：dB(A)</w:t>
      </w:r>
    </w:p>
    <w:tbl>
      <w:tblPr>
        <w:tblStyle w:val="63"/>
        <w:tblW w:w="5000" w:type="pct"/>
        <w:tblInd w:w="0" w:type="dxa"/>
        <w:tblLayout w:type="autofit"/>
        <w:tblCellMar>
          <w:top w:w="0" w:type="dxa"/>
          <w:left w:w="0" w:type="dxa"/>
          <w:bottom w:w="0" w:type="dxa"/>
          <w:right w:w="0" w:type="dxa"/>
        </w:tblCellMar>
      </w:tblPr>
      <w:tblGrid>
        <w:gridCol w:w="616"/>
        <w:gridCol w:w="2445"/>
        <w:gridCol w:w="398"/>
        <w:gridCol w:w="551"/>
        <w:gridCol w:w="551"/>
        <w:gridCol w:w="551"/>
        <w:gridCol w:w="551"/>
        <w:gridCol w:w="551"/>
        <w:gridCol w:w="702"/>
        <w:gridCol w:w="702"/>
        <w:gridCol w:w="700"/>
      </w:tblGrid>
      <w:tr w14:paraId="0C01FA14">
        <w:tblPrEx>
          <w:tblCellMar>
            <w:top w:w="0" w:type="dxa"/>
            <w:left w:w="0" w:type="dxa"/>
            <w:bottom w:w="0" w:type="dxa"/>
            <w:right w:w="0" w:type="dxa"/>
          </w:tblCellMar>
        </w:tblPrEx>
        <w:tc>
          <w:tcPr>
            <w:tcW w:w="371" w:type="pct"/>
            <w:vMerge w:val="restart"/>
            <w:tcBorders>
              <w:top w:val="single" w:color="000000" w:sz="2" w:space="0"/>
              <w:left w:val="single" w:color="000000" w:sz="2" w:space="0"/>
              <w:right w:val="single" w:color="000000" w:sz="2" w:space="0"/>
            </w:tcBorders>
            <w:vAlign w:val="center"/>
          </w:tcPr>
          <w:p w14:paraId="1EDA2BEE">
            <w:pPr>
              <w:jc w:val="center"/>
              <w:rPr>
                <w:bCs/>
                <w:kern w:val="0"/>
                <w:szCs w:val="21"/>
              </w:rPr>
            </w:pPr>
            <w:r>
              <w:rPr>
                <w:bCs/>
                <w:kern w:val="0"/>
                <w:szCs w:val="21"/>
              </w:rPr>
              <w:t>序号</w:t>
            </w:r>
          </w:p>
        </w:tc>
        <w:tc>
          <w:tcPr>
            <w:tcW w:w="1470" w:type="pct"/>
            <w:vMerge w:val="restart"/>
            <w:tcBorders>
              <w:top w:val="single" w:color="000000" w:sz="2" w:space="0"/>
              <w:left w:val="single" w:color="000000" w:sz="2" w:space="0"/>
              <w:right w:val="single" w:color="000000" w:sz="2" w:space="0"/>
            </w:tcBorders>
            <w:vAlign w:val="center"/>
          </w:tcPr>
          <w:p w14:paraId="32D40208">
            <w:pPr>
              <w:jc w:val="center"/>
              <w:rPr>
                <w:bCs/>
                <w:kern w:val="0"/>
                <w:szCs w:val="21"/>
              </w:rPr>
            </w:pPr>
            <w:r>
              <w:rPr>
                <w:bCs/>
                <w:kern w:val="0"/>
                <w:szCs w:val="21"/>
              </w:rPr>
              <w:t>机械类型</w:t>
            </w:r>
          </w:p>
        </w:tc>
        <w:tc>
          <w:tcPr>
            <w:tcW w:w="3159" w:type="pct"/>
            <w:gridSpan w:val="9"/>
            <w:tcBorders>
              <w:top w:val="single" w:color="000000" w:sz="2" w:space="0"/>
              <w:left w:val="single" w:color="000000" w:sz="2" w:space="0"/>
              <w:bottom w:val="single" w:color="000000" w:sz="2" w:space="0"/>
              <w:right w:val="single" w:color="000000" w:sz="2" w:space="0"/>
            </w:tcBorders>
            <w:vAlign w:val="center"/>
          </w:tcPr>
          <w:p w14:paraId="71C775E0">
            <w:pPr>
              <w:jc w:val="center"/>
              <w:rPr>
                <w:bCs/>
                <w:kern w:val="0"/>
                <w:szCs w:val="21"/>
              </w:rPr>
            </w:pPr>
            <w:r>
              <w:rPr>
                <w:rFonts w:hint="eastAsia"/>
                <w:bCs/>
                <w:kern w:val="0"/>
                <w:szCs w:val="21"/>
              </w:rPr>
              <w:t>与声源不同距离的噪声值dB（A）</w:t>
            </w:r>
          </w:p>
        </w:tc>
      </w:tr>
      <w:tr w14:paraId="2162A272">
        <w:tblPrEx>
          <w:tblCellMar>
            <w:top w:w="0" w:type="dxa"/>
            <w:left w:w="0" w:type="dxa"/>
            <w:bottom w:w="0" w:type="dxa"/>
            <w:right w:w="0" w:type="dxa"/>
          </w:tblCellMar>
        </w:tblPrEx>
        <w:tc>
          <w:tcPr>
            <w:tcW w:w="371" w:type="pct"/>
            <w:vMerge w:val="continue"/>
            <w:tcBorders>
              <w:left w:val="single" w:color="000000" w:sz="2" w:space="0"/>
              <w:bottom w:val="single" w:color="000000" w:sz="2" w:space="0"/>
              <w:right w:val="single" w:color="000000" w:sz="2" w:space="0"/>
            </w:tcBorders>
            <w:vAlign w:val="center"/>
          </w:tcPr>
          <w:p w14:paraId="42E393BA">
            <w:pPr>
              <w:jc w:val="center"/>
              <w:rPr>
                <w:kern w:val="0"/>
                <w:szCs w:val="21"/>
              </w:rPr>
            </w:pPr>
          </w:p>
        </w:tc>
        <w:tc>
          <w:tcPr>
            <w:tcW w:w="1470" w:type="pct"/>
            <w:vMerge w:val="continue"/>
            <w:tcBorders>
              <w:left w:val="single" w:color="000000" w:sz="2" w:space="0"/>
              <w:bottom w:val="single" w:color="000000" w:sz="2" w:space="0"/>
              <w:right w:val="single" w:color="000000" w:sz="2" w:space="0"/>
            </w:tcBorders>
            <w:vAlign w:val="center"/>
          </w:tcPr>
          <w:p w14:paraId="2FA724D5">
            <w:pPr>
              <w:jc w:val="center"/>
              <w:rPr>
                <w:kern w:val="0"/>
                <w:szCs w:val="21"/>
              </w:rPr>
            </w:pPr>
          </w:p>
        </w:tc>
        <w:tc>
          <w:tcPr>
            <w:tcW w:w="239" w:type="pct"/>
            <w:tcBorders>
              <w:top w:val="single" w:color="000000" w:sz="2" w:space="0"/>
              <w:left w:val="single" w:color="000000" w:sz="2" w:space="0"/>
              <w:bottom w:val="single" w:color="000000" w:sz="2" w:space="0"/>
              <w:right w:val="single" w:color="000000" w:sz="2" w:space="0"/>
            </w:tcBorders>
            <w:vAlign w:val="center"/>
          </w:tcPr>
          <w:p w14:paraId="488BEBDD">
            <w:pPr>
              <w:jc w:val="center"/>
              <w:rPr>
                <w:kern w:val="0"/>
                <w:szCs w:val="21"/>
              </w:rPr>
            </w:pPr>
            <w:r>
              <w:rPr>
                <w:rFonts w:hint="eastAsia"/>
                <w:kern w:val="0"/>
                <w:szCs w:val="21"/>
              </w:rPr>
              <w:t>5m</w:t>
            </w:r>
          </w:p>
        </w:tc>
        <w:tc>
          <w:tcPr>
            <w:tcW w:w="331" w:type="pct"/>
            <w:tcBorders>
              <w:top w:val="single" w:color="000000" w:sz="2" w:space="0"/>
              <w:left w:val="single" w:color="000000" w:sz="2" w:space="0"/>
              <w:bottom w:val="single" w:color="000000" w:sz="2" w:space="0"/>
              <w:right w:val="single" w:color="000000" w:sz="2" w:space="0"/>
            </w:tcBorders>
            <w:vAlign w:val="center"/>
          </w:tcPr>
          <w:p w14:paraId="3AE4619D">
            <w:pPr>
              <w:jc w:val="center"/>
              <w:rPr>
                <w:kern w:val="0"/>
                <w:szCs w:val="21"/>
              </w:rPr>
            </w:pPr>
            <w:r>
              <w:rPr>
                <w:rFonts w:hint="eastAsia"/>
                <w:kern w:val="0"/>
                <w:szCs w:val="21"/>
              </w:rPr>
              <w:t>10m</w:t>
            </w:r>
          </w:p>
        </w:tc>
        <w:tc>
          <w:tcPr>
            <w:tcW w:w="331" w:type="pct"/>
            <w:tcBorders>
              <w:top w:val="single" w:color="000000" w:sz="2" w:space="0"/>
              <w:left w:val="single" w:color="000000" w:sz="2" w:space="0"/>
              <w:bottom w:val="single" w:color="000000" w:sz="2" w:space="0"/>
              <w:right w:val="single" w:color="000000" w:sz="2" w:space="0"/>
            </w:tcBorders>
            <w:vAlign w:val="center"/>
          </w:tcPr>
          <w:p w14:paraId="6681A630">
            <w:pPr>
              <w:jc w:val="center"/>
              <w:rPr>
                <w:kern w:val="0"/>
                <w:szCs w:val="21"/>
              </w:rPr>
            </w:pPr>
            <w:r>
              <w:rPr>
                <w:rFonts w:hint="eastAsia"/>
                <w:kern w:val="0"/>
                <w:szCs w:val="21"/>
              </w:rPr>
              <w:t>20m</w:t>
            </w:r>
          </w:p>
        </w:tc>
        <w:tc>
          <w:tcPr>
            <w:tcW w:w="331" w:type="pct"/>
            <w:tcBorders>
              <w:top w:val="single" w:color="000000" w:sz="2" w:space="0"/>
              <w:left w:val="single" w:color="000000" w:sz="2" w:space="0"/>
              <w:bottom w:val="single" w:color="000000" w:sz="2" w:space="0"/>
              <w:right w:val="single" w:color="000000" w:sz="2" w:space="0"/>
            </w:tcBorders>
            <w:vAlign w:val="center"/>
          </w:tcPr>
          <w:p w14:paraId="16D17DB2">
            <w:pPr>
              <w:jc w:val="center"/>
              <w:rPr>
                <w:kern w:val="0"/>
                <w:szCs w:val="21"/>
              </w:rPr>
            </w:pPr>
            <w:r>
              <w:rPr>
                <w:kern w:val="0"/>
                <w:szCs w:val="21"/>
              </w:rPr>
              <w:t>3</w:t>
            </w:r>
            <w:r>
              <w:rPr>
                <w:rFonts w:hint="eastAsia"/>
                <w:kern w:val="0"/>
                <w:szCs w:val="21"/>
              </w:rPr>
              <w:t>0m</w:t>
            </w:r>
          </w:p>
        </w:tc>
        <w:tc>
          <w:tcPr>
            <w:tcW w:w="331" w:type="pct"/>
            <w:tcBorders>
              <w:top w:val="single" w:color="000000" w:sz="2" w:space="0"/>
              <w:left w:val="single" w:color="000000" w:sz="2" w:space="0"/>
              <w:bottom w:val="single" w:color="000000" w:sz="2" w:space="0"/>
              <w:right w:val="single" w:color="000000" w:sz="2" w:space="0"/>
            </w:tcBorders>
            <w:vAlign w:val="center"/>
          </w:tcPr>
          <w:p w14:paraId="7DCFCB9C">
            <w:pPr>
              <w:jc w:val="center"/>
              <w:rPr>
                <w:kern w:val="0"/>
                <w:szCs w:val="21"/>
              </w:rPr>
            </w:pPr>
            <w:r>
              <w:rPr>
                <w:kern w:val="0"/>
                <w:szCs w:val="21"/>
              </w:rPr>
              <w:t>4</w:t>
            </w:r>
            <w:r>
              <w:rPr>
                <w:rFonts w:hint="eastAsia"/>
                <w:kern w:val="0"/>
                <w:szCs w:val="21"/>
              </w:rPr>
              <w:t>0m</w:t>
            </w:r>
          </w:p>
        </w:tc>
        <w:tc>
          <w:tcPr>
            <w:tcW w:w="331" w:type="pct"/>
            <w:tcBorders>
              <w:top w:val="single" w:color="000000" w:sz="2" w:space="0"/>
              <w:left w:val="single" w:color="000000" w:sz="2" w:space="0"/>
              <w:bottom w:val="single" w:color="000000" w:sz="2" w:space="0"/>
              <w:right w:val="single" w:color="000000" w:sz="2" w:space="0"/>
            </w:tcBorders>
            <w:vAlign w:val="center"/>
          </w:tcPr>
          <w:p w14:paraId="27C3177C">
            <w:pPr>
              <w:jc w:val="center"/>
              <w:rPr>
                <w:kern w:val="0"/>
                <w:szCs w:val="21"/>
              </w:rPr>
            </w:pPr>
            <w:r>
              <w:rPr>
                <w:rFonts w:hint="eastAsia"/>
                <w:kern w:val="0"/>
                <w:szCs w:val="21"/>
              </w:rPr>
              <w:t>50m</w:t>
            </w:r>
          </w:p>
        </w:tc>
        <w:tc>
          <w:tcPr>
            <w:tcW w:w="422" w:type="pct"/>
            <w:tcBorders>
              <w:top w:val="single" w:color="000000" w:sz="2" w:space="0"/>
              <w:left w:val="single" w:color="000000" w:sz="2" w:space="0"/>
              <w:bottom w:val="single" w:color="000000" w:sz="2" w:space="0"/>
              <w:right w:val="single" w:color="000000" w:sz="2" w:space="0"/>
            </w:tcBorders>
            <w:vAlign w:val="center"/>
          </w:tcPr>
          <w:p w14:paraId="0268B49C">
            <w:pPr>
              <w:jc w:val="center"/>
              <w:rPr>
                <w:kern w:val="0"/>
                <w:szCs w:val="21"/>
              </w:rPr>
            </w:pPr>
            <w:r>
              <w:rPr>
                <w:kern w:val="0"/>
                <w:szCs w:val="21"/>
              </w:rPr>
              <w:t>1</w:t>
            </w:r>
            <w:r>
              <w:rPr>
                <w:rFonts w:hint="eastAsia"/>
                <w:kern w:val="0"/>
                <w:szCs w:val="21"/>
              </w:rPr>
              <w:t>00m</w:t>
            </w:r>
          </w:p>
        </w:tc>
        <w:tc>
          <w:tcPr>
            <w:tcW w:w="422" w:type="pct"/>
            <w:tcBorders>
              <w:top w:val="single" w:color="000000" w:sz="2" w:space="0"/>
              <w:left w:val="single" w:color="000000" w:sz="2" w:space="0"/>
              <w:bottom w:val="single" w:color="000000" w:sz="2" w:space="0"/>
              <w:right w:val="single" w:color="000000" w:sz="2" w:space="0"/>
            </w:tcBorders>
            <w:vAlign w:val="center"/>
          </w:tcPr>
          <w:p w14:paraId="05E57FDE">
            <w:pPr>
              <w:jc w:val="center"/>
              <w:rPr>
                <w:kern w:val="0"/>
                <w:szCs w:val="21"/>
              </w:rPr>
            </w:pPr>
            <w:r>
              <w:rPr>
                <w:kern w:val="0"/>
                <w:szCs w:val="21"/>
              </w:rPr>
              <w:t>15</w:t>
            </w:r>
            <w:r>
              <w:rPr>
                <w:rFonts w:hint="eastAsia"/>
                <w:kern w:val="0"/>
                <w:szCs w:val="21"/>
              </w:rPr>
              <w:t>0m</w:t>
            </w:r>
          </w:p>
        </w:tc>
        <w:tc>
          <w:tcPr>
            <w:tcW w:w="421" w:type="pct"/>
            <w:tcBorders>
              <w:top w:val="single" w:color="000000" w:sz="2" w:space="0"/>
              <w:left w:val="single" w:color="000000" w:sz="2" w:space="0"/>
              <w:bottom w:val="single" w:color="000000" w:sz="2" w:space="0"/>
              <w:right w:val="single" w:color="000000" w:sz="2" w:space="0"/>
            </w:tcBorders>
            <w:vAlign w:val="center"/>
          </w:tcPr>
          <w:p w14:paraId="50672E28">
            <w:pPr>
              <w:jc w:val="center"/>
              <w:rPr>
                <w:kern w:val="0"/>
                <w:szCs w:val="21"/>
              </w:rPr>
            </w:pPr>
            <w:r>
              <w:rPr>
                <w:kern w:val="0"/>
                <w:szCs w:val="21"/>
              </w:rPr>
              <w:t>2</w:t>
            </w:r>
            <w:r>
              <w:rPr>
                <w:rFonts w:hint="eastAsia"/>
                <w:kern w:val="0"/>
                <w:szCs w:val="21"/>
              </w:rPr>
              <w:t>00m</w:t>
            </w:r>
          </w:p>
        </w:tc>
      </w:tr>
      <w:tr w14:paraId="38F7CABB">
        <w:tblPrEx>
          <w:tblCellMar>
            <w:top w:w="0" w:type="dxa"/>
            <w:left w:w="0" w:type="dxa"/>
            <w:bottom w:w="0" w:type="dxa"/>
            <w:right w:w="0" w:type="dxa"/>
          </w:tblCellMar>
        </w:tblPrEx>
        <w:tc>
          <w:tcPr>
            <w:tcW w:w="371" w:type="pct"/>
            <w:tcBorders>
              <w:top w:val="single" w:color="000000" w:sz="2" w:space="0"/>
              <w:left w:val="single" w:color="000000" w:sz="2" w:space="0"/>
              <w:bottom w:val="single" w:color="000000" w:sz="2" w:space="0"/>
              <w:right w:val="single" w:color="000000" w:sz="2" w:space="0"/>
            </w:tcBorders>
            <w:vAlign w:val="center"/>
          </w:tcPr>
          <w:p w14:paraId="5FFEA583">
            <w:pPr>
              <w:jc w:val="center"/>
              <w:rPr>
                <w:kern w:val="0"/>
                <w:szCs w:val="21"/>
              </w:rPr>
            </w:pPr>
            <w:r>
              <w:rPr>
                <w:kern w:val="0"/>
                <w:szCs w:val="21"/>
              </w:rPr>
              <w:t>1</w:t>
            </w:r>
          </w:p>
        </w:tc>
        <w:tc>
          <w:tcPr>
            <w:tcW w:w="1470" w:type="pct"/>
            <w:tcBorders>
              <w:top w:val="single" w:color="000000" w:sz="2" w:space="0"/>
              <w:left w:val="single" w:color="000000" w:sz="2" w:space="0"/>
              <w:bottom w:val="single" w:color="000000" w:sz="2" w:space="0"/>
              <w:right w:val="single" w:color="000000" w:sz="2" w:space="0"/>
            </w:tcBorders>
            <w:vAlign w:val="center"/>
          </w:tcPr>
          <w:p w14:paraId="472071F9">
            <w:pPr>
              <w:jc w:val="center"/>
              <w:rPr>
                <w:kern w:val="0"/>
                <w:szCs w:val="21"/>
              </w:rPr>
            </w:pPr>
            <w:r>
              <w:rPr>
                <w:kern w:val="0"/>
                <w:szCs w:val="21"/>
              </w:rPr>
              <w:t>挖掘机</w:t>
            </w:r>
          </w:p>
        </w:tc>
        <w:tc>
          <w:tcPr>
            <w:tcW w:w="239" w:type="pct"/>
            <w:tcBorders>
              <w:top w:val="single" w:color="000000" w:sz="2" w:space="0"/>
              <w:left w:val="single" w:color="000000" w:sz="2" w:space="0"/>
              <w:bottom w:val="single" w:color="000000" w:sz="2" w:space="0"/>
              <w:right w:val="single" w:color="000000" w:sz="2" w:space="0"/>
            </w:tcBorders>
          </w:tcPr>
          <w:p w14:paraId="0AC38127">
            <w:pPr>
              <w:jc w:val="center"/>
              <w:rPr>
                <w:kern w:val="0"/>
                <w:szCs w:val="21"/>
              </w:rPr>
            </w:pPr>
            <w:r>
              <w:rPr>
                <w:kern w:val="0"/>
                <w:szCs w:val="21"/>
              </w:rPr>
              <w:t>84</w:t>
            </w:r>
          </w:p>
        </w:tc>
        <w:tc>
          <w:tcPr>
            <w:tcW w:w="331" w:type="pct"/>
            <w:tcBorders>
              <w:top w:val="single" w:color="000000" w:sz="2" w:space="0"/>
              <w:left w:val="single" w:color="000000" w:sz="2" w:space="0"/>
              <w:bottom w:val="single" w:color="000000" w:sz="2" w:space="0"/>
              <w:right w:val="single" w:color="000000" w:sz="2" w:space="0"/>
            </w:tcBorders>
          </w:tcPr>
          <w:p w14:paraId="093E78C2">
            <w:pPr>
              <w:jc w:val="center"/>
              <w:rPr>
                <w:kern w:val="0"/>
                <w:szCs w:val="21"/>
              </w:rPr>
            </w:pPr>
            <w:r>
              <w:rPr>
                <w:kern w:val="0"/>
                <w:szCs w:val="21"/>
              </w:rPr>
              <w:t>78</w:t>
            </w:r>
          </w:p>
        </w:tc>
        <w:tc>
          <w:tcPr>
            <w:tcW w:w="331" w:type="pct"/>
            <w:tcBorders>
              <w:top w:val="single" w:color="000000" w:sz="2" w:space="0"/>
              <w:left w:val="single" w:color="000000" w:sz="2" w:space="0"/>
              <w:bottom w:val="single" w:color="000000" w:sz="2" w:space="0"/>
              <w:right w:val="single" w:color="000000" w:sz="2" w:space="0"/>
            </w:tcBorders>
          </w:tcPr>
          <w:p w14:paraId="3CAB57CF">
            <w:pPr>
              <w:jc w:val="center"/>
              <w:rPr>
                <w:kern w:val="0"/>
                <w:szCs w:val="21"/>
              </w:rPr>
            </w:pPr>
            <w:r>
              <w:rPr>
                <w:kern w:val="0"/>
                <w:szCs w:val="21"/>
              </w:rPr>
              <w:t>72</w:t>
            </w:r>
          </w:p>
        </w:tc>
        <w:tc>
          <w:tcPr>
            <w:tcW w:w="331" w:type="pct"/>
            <w:tcBorders>
              <w:top w:val="single" w:color="000000" w:sz="2" w:space="0"/>
              <w:left w:val="single" w:color="000000" w:sz="2" w:space="0"/>
              <w:bottom w:val="single" w:color="000000" w:sz="2" w:space="0"/>
              <w:right w:val="single" w:color="000000" w:sz="2" w:space="0"/>
            </w:tcBorders>
          </w:tcPr>
          <w:p w14:paraId="145475EC">
            <w:pPr>
              <w:jc w:val="center"/>
              <w:rPr>
                <w:kern w:val="0"/>
                <w:szCs w:val="21"/>
              </w:rPr>
            </w:pPr>
            <w:r>
              <w:rPr>
                <w:kern w:val="0"/>
                <w:szCs w:val="21"/>
              </w:rPr>
              <w:t>68</w:t>
            </w:r>
          </w:p>
        </w:tc>
        <w:tc>
          <w:tcPr>
            <w:tcW w:w="331" w:type="pct"/>
            <w:tcBorders>
              <w:top w:val="single" w:color="000000" w:sz="2" w:space="0"/>
              <w:left w:val="single" w:color="000000" w:sz="2" w:space="0"/>
              <w:bottom w:val="single" w:color="000000" w:sz="2" w:space="0"/>
              <w:right w:val="single" w:color="000000" w:sz="2" w:space="0"/>
            </w:tcBorders>
          </w:tcPr>
          <w:p w14:paraId="073C8A6C">
            <w:pPr>
              <w:jc w:val="center"/>
              <w:rPr>
                <w:kern w:val="0"/>
                <w:szCs w:val="21"/>
              </w:rPr>
            </w:pPr>
            <w:r>
              <w:rPr>
                <w:kern w:val="0"/>
                <w:szCs w:val="21"/>
              </w:rPr>
              <w:t>66</w:t>
            </w:r>
          </w:p>
        </w:tc>
        <w:tc>
          <w:tcPr>
            <w:tcW w:w="331" w:type="pct"/>
            <w:tcBorders>
              <w:top w:val="single" w:color="000000" w:sz="2" w:space="0"/>
              <w:left w:val="single" w:color="000000" w:sz="2" w:space="0"/>
              <w:bottom w:val="single" w:color="000000" w:sz="2" w:space="0"/>
              <w:right w:val="single" w:color="000000" w:sz="2" w:space="0"/>
            </w:tcBorders>
          </w:tcPr>
          <w:p w14:paraId="389700BD">
            <w:pPr>
              <w:jc w:val="center"/>
              <w:rPr>
                <w:kern w:val="0"/>
                <w:szCs w:val="21"/>
              </w:rPr>
            </w:pPr>
            <w:r>
              <w:rPr>
                <w:kern w:val="0"/>
                <w:szCs w:val="21"/>
              </w:rPr>
              <w:t>64</w:t>
            </w:r>
          </w:p>
        </w:tc>
        <w:tc>
          <w:tcPr>
            <w:tcW w:w="422" w:type="pct"/>
            <w:tcBorders>
              <w:top w:val="single" w:color="000000" w:sz="2" w:space="0"/>
              <w:left w:val="single" w:color="000000" w:sz="2" w:space="0"/>
              <w:bottom w:val="single" w:color="000000" w:sz="2" w:space="0"/>
              <w:right w:val="single" w:color="000000" w:sz="2" w:space="0"/>
            </w:tcBorders>
          </w:tcPr>
          <w:p w14:paraId="140432A5">
            <w:pPr>
              <w:jc w:val="center"/>
              <w:rPr>
                <w:kern w:val="0"/>
                <w:szCs w:val="21"/>
              </w:rPr>
            </w:pPr>
            <w:r>
              <w:rPr>
                <w:kern w:val="0"/>
                <w:szCs w:val="21"/>
              </w:rPr>
              <w:t>63</w:t>
            </w:r>
          </w:p>
        </w:tc>
        <w:tc>
          <w:tcPr>
            <w:tcW w:w="422" w:type="pct"/>
            <w:tcBorders>
              <w:top w:val="single" w:color="000000" w:sz="2" w:space="0"/>
              <w:left w:val="single" w:color="000000" w:sz="2" w:space="0"/>
              <w:bottom w:val="single" w:color="000000" w:sz="2" w:space="0"/>
              <w:right w:val="single" w:color="000000" w:sz="2" w:space="0"/>
            </w:tcBorders>
          </w:tcPr>
          <w:p w14:paraId="0017B192">
            <w:pPr>
              <w:jc w:val="center"/>
              <w:rPr>
                <w:kern w:val="0"/>
                <w:szCs w:val="21"/>
              </w:rPr>
            </w:pPr>
            <w:r>
              <w:rPr>
                <w:kern w:val="0"/>
                <w:szCs w:val="21"/>
              </w:rPr>
              <w:t>58</w:t>
            </w:r>
          </w:p>
        </w:tc>
        <w:tc>
          <w:tcPr>
            <w:tcW w:w="421" w:type="pct"/>
            <w:tcBorders>
              <w:top w:val="single" w:color="000000" w:sz="2" w:space="0"/>
              <w:left w:val="single" w:color="000000" w:sz="2" w:space="0"/>
              <w:bottom w:val="single" w:color="000000" w:sz="2" w:space="0"/>
              <w:right w:val="single" w:color="000000" w:sz="2" w:space="0"/>
            </w:tcBorders>
          </w:tcPr>
          <w:p w14:paraId="2803E869">
            <w:pPr>
              <w:jc w:val="center"/>
              <w:rPr>
                <w:kern w:val="0"/>
                <w:szCs w:val="21"/>
              </w:rPr>
            </w:pPr>
            <w:r>
              <w:rPr>
                <w:kern w:val="0"/>
                <w:szCs w:val="21"/>
              </w:rPr>
              <w:t>55</w:t>
            </w:r>
          </w:p>
        </w:tc>
      </w:tr>
      <w:tr w14:paraId="31261FC9">
        <w:tblPrEx>
          <w:tblCellMar>
            <w:top w:w="0" w:type="dxa"/>
            <w:left w:w="0" w:type="dxa"/>
            <w:bottom w:w="0" w:type="dxa"/>
            <w:right w:w="0" w:type="dxa"/>
          </w:tblCellMar>
        </w:tblPrEx>
        <w:tc>
          <w:tcPr>
            <w:tcW w:w="371" w:type="pct"/>
            <w:tcBorders>
              <w:top w:val="single" w:color="000000" w:sz="2" w:space="0"/>
              <w:left w:val="single" w:color="000000" w:sz="2" w:space="0"/>
              <w:bottom w:val="single" w:color="000000" w:sz="2" w:space="0"/>
              <w:right w:val="single" w:color="000000" w:sz="2" w:space="0"/>
            </w:tcBorders>
            <w:vAlign w:val="center"/>
          </w:tcPr>
          <w:p w14:paraId="15292D18">
            <w:pPr>
              <w:jc w:val="center"/>
              <w:rPr>
                <w:kern w:val="0"/>
                <w:szCs w:val="21"/>
              </w:rPr>
            </w:pPr>
            <w:r>
              <w:rPr>
                <w:kern w:val="0"/>
                <w:szCs w:val="21"/>
              </w:rPr>
              <w:t>2</w:t>
            </w:r>
          </w:p>
        </w:tc>
        <w:tc>
          <w:tcPr>
            <w:tcW w:w="1470" w:type="pct"/>
            <w:tcBorders>
              <w:top w:val="single" w:color="000000" w:sz="2" w:space="0"/>
              <w:left w:val="single" w:color="000000" w:sz="2" w:space="0"/>
              <w:bottom w:val="single" w:color="000000" w:sz="2" w:space="0"/>
              <w:right w:val="single" w:color="000000" w:sz="2" w:space="0"/>
            </w:tcBorders>
            <w:vAlign w:val="center"/>
          </w:tcPr>
          <w:p w14:paraId="67B3BE4B">
            <w:pPr>
              <w:jc w:val="center"/>
              <w:rPr>
                <w:kern w:val="0"/>
                <w:szCs w:val="21"/>
              </w:rPr>
            </w:pPr>
            <w:r>
              <w:rPr>
                <w:kern w:val="0"/>
                <w:szCs w:val="21"/>
              </w:rPr>
              <w:t>装载机</w:t>
            </w:r>
          </w:p>
        </w:tc>
        <w:tc>
          <w:tcPr>
            <w:tcW w:w="239" w:type="pct"/>
            <w:tcBorders>
              <w:top w:val="single" w:color="000000" w:sz="2" w:space="0"/>
              <w:left w:val="single" w:color="000000" w:sz="2" w:space="0"/>
              <w:bottom w:val="single" w:color="000000" w:sz="2" w:space="0"/>
              <w:right w:val="single" w:color="000000" w:sz="2" w:space="0"/>
            </w:tcBorders>
          </w:tcPr>
          <w:p w14:paraId="6B49BC80">
            <w:pPr>
              <w:jc w:val="center"/>
              <w:rPr>
                <w:kern w:val="0"/>
                <w:szCs w:val="21"/>
              </w:rPr>
            </w:pPr>
            <w:r>
              <w:rPr>
                <w:kern w:val="0"/>
                <w:szCs w:val="21"/>
              </w:rPr>
              <w:t>90</w:t>
            </w:r>
          </w:p>
        </w:tc>
        <w:tc>
          <w:tcPr>
            <w:tcW w:w="331" w:type="pct"/>
            <w:tcBorders>
              <w:top w:val="single" w:color="000000" w:sz="2" w:space="0"/>
              <w:left w:val="single" w:color="000000" w:sz="2" w:space="0"/>
              <w:bottom w:val="single" w:color="000000" w:sz="2" w:space="0"/>
              <w:right w:val="single" w:color="000000" w:sz="2" w:space="0"/>
            </w:tcBorders>
          </w:tcPr>
          <w:p w14:paraId="06D17982">
            <w:pPr>
              <w:jc w:val="center"/>
              <w:rPr>
                <w:kern w:val="0"/>
                <w:szCs w:val="21"/>
              </w:rPr>
            </w:pPr>
            <w:r>
              <w:rPr>
                <w:kern w:val="0"/>
                <w:szCs w:val="21"/>
              </w:rPr>
              <w:t>84</w:t>
            </w:r>
          </w:p>
        </w:tc>
        <w:tc>
          <w:tcPr>
            <w:tcW w:w="331" w:type="pct"/>
            <w:tcBorders>
              <w:top w:val="single" w:color="000000" w:sz="2" w:space="0"/>
              <w:left w:val="single" w:color="000000" w:sz="2" w:space="0"/>
              <w:bottom w:val="single" w:color="000000" w:sz="2" w:space="0"/>
              <w:right w:val="single" w:color="000000" w:sz="2" w:space="0"/>
            </w:tcBorders>
          </w:tcPr>
          <w:p w14:paraId="2D2F1F35">
            <w:pPr>
              <w:jc w:val="center"/>
              <w:rPr>
                <w:kern w:val="0"/>
                <w:szCs w:val="21"/>
              </w:rPr>
            </w:pPr>
            <w:r>
              <w:rPr>
                <w:kern w:val="0"/>
                <w:szCs w:val="21"/>
              </w:rPr>
              <w:t>78</w:t>
            </w:r>
          </w:p>
        </w:tc>
        <w:tc>
          <w:tcPr>
            <w:tcW w:w="331" w:type="pct"/>
            <w:tcBorders>
              <w:top w:val="single" w:color="000000" w:sz="2" w:space="0"/>
              <w:left w:val="single" w:color="000000" w:sz="2" w:space="0"/>
              <w:bottom w:val="single" w:color="000000" w:sz="2" w:space="0"/>
              <w:right w:val="single" w:color="000000" w:sz="2" w:space="0"/>
            </w:tcBorders>
          </w:tcPr>
          <w:p w14:paraId="03CD09D3">
            <w:pPr>
              <w:jc w:val="center"/>
              <w:rPr>
                <w:kern w:val="0"/>
                <w:szCs w:val="21"/>
              </w:rPr>
            </w:pPr>
            <w:r>
              <w:rPr>
                <w:kern w:val="0"/>
                <w:szCs w:val="21"/>
              </w:rPr>
              <w:t>74</w:t>
            </w:r>
          </w:p>
        </w:tc>
        <w:tc>
          <w:tcPr>
            <w:tcW w:w="331" w:type="pct"/>
            <w:tcBorders>
              <w:top w:val="single" w:color="000000" w:sz="2" w:space="0"/>
              <w:left w:val="single" w:color="000000" w:sz="2" w:space="0"/>
              <w:bottom w:val="single" w:color="000000" w:sz="2" w:space="0"/>
              <w:right w:val="single" w:color="000000" w:sz="2" w:space="0"/>
            </w:tcBorders>
          </w:tcPr>
          <w:p w14:paraId="6BFEA7C3">
            <w:pPr>
              <w:jc w:val="center"/>
              <w:rPr>
                <w:kern w:val="0"/>
                <w:szCs w:val="21"/>
              </w:rPr>
            </w:pPr>
            <w:r>
              <w:rPr>
                <w:kern w:val="0"/>
                <w:szCs w:val="21"/>
              </w:rPr>
              <w:t>72</w:t>
            </w:r>
          </w:p>
        </w:tc>
        <w:tc>
          <w:tcPr>
            <w:tcW w:w="331" w:type="pct"/>
            <w:tcBorders>
              <w:top w:val="single" w:color="000000" w:sz="2" w:space="0"/>
              <w:left w:val="single" w:color="000000" w:sz="2" w:space="0"/>
              <w:bottom w:val="single" w:color="000000" w:sz="2" w:space="0"/>
              <w:right w:val="single" w:color="000000" w:sz="2" w:space="0"/>
            </w:tcBorders>
          </w:tcPr>
          <w:p w14:paraId="2376C1F4">
            <w:pPr>
              <w:jc w:val="center"/>
              <w:rPr>
                <w:kern w:val="0"/>
                <w:szCs w:val="21"/>
              </w:rPr>
            </w:pPr>
            <w:r>
              <w:rPr>
                <w:kern w:val="0"/>
                <w:szCs w:val="21"/>
              </w:rPr>
              <w:t>70</w:t>
            </w:r>
          </w:p>
        </w:tc>
        <w:tc>
          <w:tcPr>
            <w:tcW w:w="422" w:type="pct"/>
            <w:tcBorders>
              <w:top w:val="single" w:color="000000" w:sz="2" w:space="0"/>
              <w:left w:val="single" w:color="000000" w:sz="2" w:space="0"/>
              <w:bottom w:val="single" w:color="000000" w:sz="2" w:space="0"/>
              <w:right w:val="single" w:color="000000" w:sz="2" w:space="0"/>
            </w:tcBorders>
          </w:tcPr>
          <w:p w14:paraId="1DFB6683">
            <w:pPr>
              <w:jc w:val="center"/>
              <w:rPr>
                <w:kern w:val="0"/>
                <w:szCs w:val="21"/>
              </w:rPr>
            </w:pPr>
            <w:r>
              <w:rPr>
                <w:kern w:val="0"/>
                <w:szCs w:val="21"/>
              </w:rPr>
              <w:t>69</w:t>
            </w:r>
          </w:p>
        </w:tc>
        <w:tc>
          <w:tcPr>
            <w:tcW w:w="422" w:type="pct"/>
            <w:tcBorders>
              <w:top w:val="single" w:color="000000" w:sz="2" w:space="0"/>
              <w:left w:val="single" w:color="000000" w:sz="2" w:space="0"/>
              <w:bottom w:val="single" w:color="000000" w:sz="2" w:space="0"/>
              <w:right w:val="single" w:color="000000" w:sz="2" w:space="0"/>
            </w:tcBorders>
          </w:tcPr>
          <w:p w14:paraId="50988442">
            <w:pPr>
              <w:jc w:val="center"/>
              <w:rPr>
                <w:kern w:val="0"/>
                <w:szCs w:val="21"/>
              </w:rPr>
            </w:pPr>
            <w:r>
              <w:rPr>
                <w:kern w:val="0"/>
                <w:szCs w:val="21"/>
              </w:rPr>
              <w:t>64</w:t>
            </w:r>
          </w:p>
        </w:tc>
        <w:tc>
          <w:tcPr>
            <w:tcW w:w="421" w:type="pct"/>
            <w:tcBorders>
              <w:top w:val="single" w:color="000000" w:sz="2" w:space="0"/>
              <w:left w:val="single" w:color="000000" w:sz="2" w:space="0"/>
              <w:bottom w:val="single" w:color="000000" w:sz="2" w:space="0"/>
              <w:right w:val="single" w:color="000000" w:sz="2" w:space="0"/>
            </w:tcBorders>
          </w:tcPr>
          <w:p w14:paraId="0616BB8F">
            <w:pPr>
              <w:jc w:val="center"/>
              <w:rPr>
                <w:kern w:val="0"/>
                <w:szCs w:val="21"/>
              </w:rPr>
            </w:pPr>
            <w:r>
              <w:rPr>
                <w:kern w:val="0"/>
                <w:szCs w:val="21"/>
              </w:rPr>
              <w:t>62</w:t>
            </w:r>
          </w:p>
        </w:tc>
      </w:tr>
      <w:tr w14:paraId="498BEEA1">
        <w:tblPrEx>
          <w:tblCellMar>
            <w:top w:w="0" w:type="dxa"/>
            <w:left w:w="0" w:type="dxa"/>
            <w:bottom w:w="0" w:type="dxa"/>
            <w:right w:w="0" w:type="dxa"/>
          </w:tblCellMar>
        </w:tblPrEx>
        <w:tc>
          <w:tcPr>
            <w:tcW w:w="371" w:type="pct"/>
            <w:tcBorders>
              <w:top w:val="single" w:color="000000" w:sz="2" w:space="0"/>
              <w:left w:val="single" w:color="000000" w:sz="2" w:space="0"/>
              <w:bottom w:val="single" w:color="000000" w:sz="2" w:space="0"/>
              <w:right w:val="single" w:color="000000" w:sz="2" w:space="0"/>
            </w:tcBorders>
            <w:vAlign w:val="center"/>
          </w:tcPr>
          <w:p w14:paraId="5EF12B6B">
            <w:pPr>
              <w:jc w:val="center"/>
              <w:rPr>
                <w:kern w:val="0"/>
                <w:szCs w:val="21"/>
              </w:rPr>
            </w:pPr>
            <w:r>
              <w:rPr>
                <w:rFonts w:hint="eastAsia"/>
                <w:kern w:val="0"/>
                <w:szCs w:val="21"/>
              </w:rPr>
              <w:t>3</w:t>
            </w:r>
          </w:p>
        </w:tc>
        <w:tc>
          <w:tcPr>
            <w:tcW w:w="1470" w:type="pct"/>
            <w:tcBorders>
              <w:top w:val="single" w:color="000000" w:sz="2" w:space="0"/>
              <w:left w:val="single" w:color="000000" w:sz="2" w:space="0"/>
              <w:bottom w:val="single" w:color="000000" w:sz="2" w:space="0"/>
              <w:right w:val="single" w:color="000000" w:sz="2" w:space="0"/>
            </w:tcBorders>
            <w:vAlign w:val="center"/>
          </w:tcPr>
          <w:p w14:paraId="651B9FFB">
            <w:pPr>
              <w:jc w:val="center"/>
              <w:rPr>
                <w:kern w:val="0"/>
                <w:szCs w:val="21"/>
              </w:rPr>
            </w:pPr>
            <w:r>
              <w:rPr>
                <w:kern w:val="0"/>
                <w:szCs w:val="21"/>
              </w:rPr>
              <w:t>推土机</w:t>
            </w:r>
          </w:p>
        </w:tc>
        <w:tc>
          <w:tcPr>
            <w:tcW w:w="239" w:type="pct"/>
            <w:tcBorders>
              <w:top w:val="single" w:color="000000" w:sz="2" w:space="0"/>
              <w:left w:val="single" w:color="000000" w:sz="2" w:space="0"/>
              <w:bottom w:val="single" w:color="000000" w:sz="2" w:space="0"/>
              <w:right w:val="single" w:color="000000" w:sz="2" w:space="0"/>
            </w:tcBorders>
          </w:tcPr>
          <w:p w14:paraId="6319DE99">
            <w:pPr>
              <w:jc w:val="center"/>
              <w:rPr>
                <w:kern w:val="0"/>
                <w:szCs w:val="21"/>
              </w:rPr>
            </w:pPr>
            <w:r>
              <w:rPr>
                <w:kern w:val="0"/>
                <w:szCs w:val="21"/>
              </w:rPr>
              <w:t>86</w:t>
            </w:r>
          </w:p>
        </w:tc>
        <w:tc>
          <w:tcPr>
            <w:tcW w:w="331" w:type="pct"/>
            <w:tcBorders>
              <w:top w:val="single" w:color="000000" w:sz="2" w:space="0"/>
              <w:left w:val="single" w:color="000000" w:sz="2" w:space="0"/>
              <w:bottom w:val="single" w:color="000000" w:sz="2" w:space="0"/>
              <w:right w:val="single" w:color="000000" w:sz="2" w:space="0"/>
            </w:tcBorders>
          </w:tcPr>
          <w:p w14:paraId="727D8625">
            <w:pPr>
              <w:jc w:val="center"/>
              <w:rPr>
                <w:kern w:val="0"/>
                <w:szCs w:val="21"/>
              </w:rPr>
            </w:pPr>
            <w:r>
              <w:rPr>
                <w:kern w:val="0"/>
                <w:szCs w:val="21"/>
              </w:rPr>
              <w:t>80</w:t>
            </w:r>
          </w:p>
        </w:tc>
        <w:tc>
          <w:tcPr>
            <w:tcW w:w="331" w:type="pct"/>
            <w:tcBorders>
              <w:top w:val="single" w:color="000000" w:sz="2" w:space="0"/>
              <w:left w:val="single" w:color="000000" w:sz="2" w:space="0"/>
              <w:bottom w:val="single" w:color="000000" w:sz="2" w:space="0"/>
              <w:right w:val="single" w:color="000000" w:sz="2" w:space="0"/>
            </w:tcBorders>
          </w:tcPr>
          <w:p w14:paraId="54902F3A">
            <w:pPr>
              <w:jc w:val="center"/>
              <w:rPr>
                <w:kern w:val="0"/>
                <w:szCs w:val="21"/>
              </w:rPr>
            </w:pPr>
            <w:r>
              <w:rPr>
                <w:kern w:val="0"/>
                <w:szCs w:val="21"/>
              </w:rPr>
              <w:t>74</w:t>
            </w:r>
          </w:p>
        </w:tc>
        <w:tc>
          <w:tcPr>
            <w:tcW w:w="331" w:type="pct"/>
            <w:tcBorders>
              <w:top w:val="single" w:color="000000" w:sz="2" w:space="0"/>
              <w:left w:val="single" w:color="000000" w:sz="2" w:space="0"/>
              <w:bottom w:val="single" w:color="000000" w:sz="2" w:space="0"/>
              <w:right w:val="single" w:color="000000" w:sz="2" w:space="0"/>
            </w:tcBorders>
          </w:tcPr>
          <w:p w14:paraId="3A70B297">
            <w:pPr>
              <w:jc w:val="center"/>
              <w:rPr>
                <w:kern w:val="0"/>
                <w:szCs w:val="21"/>
              </w:rPr>
            </w:pPr>
            <w:r>
              <w:rPr>
                <w:kern w:val="0"/>
                <w:szCs w:val="21"/>
              </w:rPr>
              <w:t>70</w:t>
            </w:r>
          </w:p>
        </w:tc>
        <w:tc>
          <w:tcPr>
            <w:tcW w:w="331" w:type="pct"/>
            <w:tcBorders>
              <w:top w:val="single" w:color="000000" w:sz="2" w:space="0"/>
              <w:left w:val="single" w:color="000000" w:sz="2" w:space="0"/>
              <w:bottom w:val="single" w:color="000000" w:sz="2" w:space="0"/>
              <w:right w:val="single" w:color="000000" w:sz="2" w:space="0"/>
            </w:tcBorders>
          </w:tcPr>
          <w:p w14:paraId="108021A0">
            <w:pPr>
              <w:jc w:val="center"/>
              <w:rPr>
                <w:kern w:val="0"/>
                <w:szCs w:val="21"/>
              </w:rPr>
            </w:pPr>
            <w:r>
              <w:rPr>
                <w:kern w:val="0"/>
                <w:szCs w:val="21"/>
              </w:rPr>
              <w:t>68</w:t>
            </w:r>
          </w:p>
        </w:tc>
        <w:tc>
          <w:tcPr>
            <w:tcW w:w="331" w:type="pct"/>
            <w:tcBorders>
              <w:top w:val="single" w:color="000000" w:sz="2" w:space="0"/>
              <w:left w:val="single" w:color="000000" w:sz="2" w:space="0"/>
              <w:bottom w:val="single" w:color="000000" w:sz="2" w:space="0"/>
              <w:right w:val="single" w:color="000000" w:sz="2" w:space="0"/>
            </w:tcBorders>
          </w:tcPr>
          <w:p w14:paraId="1E96B7A4">
            <w:pPr>
              <w:jc w:val="center"/>
              <w:rPr>
                <w:kern w:val="0"/>
                <w:szCs w:val="21"/>
              </w:rPr>
            </w:pPr>
            <w:r>
              <w:rPr>
                <w:kern w:val="0"/>
                <w:szCs w:val="21"/>
              </w:rPr>
              <w:t>66</w:t>
            </w:r>
          </w:p>
        </w:tc>
        <w:tc>
          <w:tcPr>
            <w:tcW w:w="422" w:type="pct"/>
            <w:tcBorders>
              <w:top w:val="single" w:color="000000" w:sz="2" w:space="0"/>
              <w:left w:val="single" w:color="000000" w:sz="2" w:space="0"/>
              <w:bottom w:val="single" w:color="000000" w:sz="2" w:space="0"/>
              <w:right w:val="single" w:color="000000" w:sz="2" w:space="0"/>
            </w:tcBorders>
          </w:tcPr>
          <w:p w14:paraId="170FD11E">
            <w:pPr>
              <w:jc w:val="center"/>
              <w:rPr>
                <w:kern w:val="0"/>
                <w:szCs w:val="21"/>
              </w:rPr>
            </w:pPr>
            <w:r>
              <w:rPr>
                <w:kern w:val="0"/>
                <w:szCs w:val="21"/>
              </w:rPr>
              <w:t>65</w:t>
            </w:r>
          </w:p>
        </w:tc>
        <w:tc>
          <w:tcPr>
            <w:tcW w:w="422" w:type="pct"/>
            <w:tcBorders>
              <w:top w:val="single" w:color="000000" w:sz="2" w:space="0"/>
              <w:left w:val="single" w:color="000000" w:sz="2" w:space="0"/>
              <w:bottom w:val="single" w:color="000000" w:sz="2" w:space="0"/>
              <w:right w:val="single" w:color="000000" w:sz="2" w:space="0"/>
            </w:tcBorders>
          </w:tcPr>
          <w:p w14:paraId="54D62AC3">
            <w:pPr>
              <w:jc w:val="center"/>
              <w:rPr>
                <w:kern w:val="0"/>
                <w:szCs w:val="21"/>
              </w:rPr>
            </w:pPr>
            <w:r>
              <w:rPr>
                <w:kern w:val="0"/>
                <w:szCs w:val="21"/>
              </w:rPr>
              <w:t>60</w:t>
            </w:r>
          </w:p>
        </w:tc>
        <w:tc>
          <w:tcPr>
            <w:tcW w:w="421" w:type="pct"/>
            <w:tcBorders>
              <w:top w:val="single" w:color="000000" w:sz="2" w:space="0"/>
              <w:left w:val="single" w:color="000000" w:sz="2" w:space="0"/>
              <w:bottom w:val="single" w:color="000000" w:sz="2" w:space="0"/>
              <w:right w:val="single" w:color="000000" w:sz="2" w:space="0"/>
            </w:tcBorders>
          </w:tcPr>
          <w:p w14:paraId="373363E4">
            <w:pPr>
              <w:jc w:val="center"/>
              <w:rPr>
                <w:kern w:val="0"/>
                <w:szCs w:val="21"/>
              </w:rPr>
            </w:pPr>
            <w:r>
              <w:rPr>
                <w:kern w:val="0"/>
                <w:szCs w:val="21"/>
              </w:rPr>
              <w:t>57</w:t>
            </w:r>
          </w:p>
        </w:tc>
      </w:tr>
      <w:tr w14:paraId="76550D0C">
        <w:tblPrEx>
          <w:tblCellMar>
            <w:top w:w="0" w:type="dxa"/>
            <w:left w:w="0" w:type="dxa"/>
            <w:bottom w:w="0" w:type="dxa"/>
            <w:right w:w="0" w:type="dxa"/>
          </w:tblCellMar>
        </w:tblPrEx>
        <w:tc>
          <w:tcPr>
            <w:tcW w:w="371" w:type="pct"/>
            <w:tcBorders>
              <w:top w:val="single" w:color="000000" w:sz="2" w:space="0"/>
              <w:left w:val="single" w:color="000000" w:sz="2" w:space="0"/>
              <w:bottom w:val="single" w:color="000000" w:sz="2" w:space="0"/>
              <w:right w:val="single" w:color="000000" w:sz="2" w:space="0"/>
            </w:tcBorders>
            <w:vAlign w:val="center"/>
          </w:tcPr>
          <w:p w14:paraId="184E774C">
            <w:pPr>
              <w:jc w:val="center"/>
              <w:rPr>
                <w:kern w:val="0"/>
                <w:szCs w:val="21"/>
              </w:rPr>
            </w:pPr>
            <w:r>
              <w:rPr>
                <w:kern w:val="0"/>
                <w:szCs w:val="21"/>
              </w:rPr>
              <w:t>4</w:t>
            </w:r>
          </w:p>
        </w:tc>
        <w:tc>
          <w:tcPr>
            <w:tcW w:w="1470" w:type="pct"/>
            <w:tcBorders>
              <w:top w:val="single" w:color="000000" w:sz="2" w:space="0"/>
              <w:left w:val="single" w:color="000000" w:sz="2" w:space="0"/>
              <w:bottom w:val="single" w:color="000000" w:sz="2" w:space="0"/>
              <w:right w:val="single" w:color="000000" w:sz="2" w:space="0"/>
            </w:tcBorders>
            <w:vAlign w:val="center"/>
          </w:tcPr>
          <w:p w14:paraId="15436C2A">
            <w:pPr>
              <w:jc w:val="center"/>
              <w:rPr>
                <w:kern w:val="0"/>
                <w:szCs w:val="21"/>
              </w:rPr>
            </w:pPr>
            <w:r>
              <w:rPr>
                <w:kern w:val="0"/>
                <w:szCs w:val="21"/>
              </w:rPr>
              <w:t>自卸车</w:t>
            </w:r>
          </w:p>
        </w:tc>
        <w:tc>
          <w:tcPr>
            <w:tcW w:w="239" w:type="pct"/>
            <w:tcBorders>
              <w:top w:val="single" w:color="000000" w:sz="2" w:space="0"/>
              <w:left w:val="single" w:color="000000" w:sz="2" w:space="0"/>
              <w:bottom w:val="single" w:color="000000" w:sz="2" w:space="0"/>
              <w:right w:val="single" w:color="000000" w:sz="2" w:space="0"/>
            </w:tcBorders>
          </w:tcPr>
          <w:p w14:paraId="4F6C3019">
            <w:pPr>
              <w:jc w:val="center"/>
              <w:rPr>
                <w:kern w:val="0"/>
                <w:szCs w:val="21"/>
              </w:rPr>
            </w:pPr>
            <w:r>
              <w:rPr>
                <w:rFonts w:hint="eastAsia"/>
                <w:kern w:val="0"/>
                <w:szCs w:val="21"/>
              </w:rPr>
              <w:t>80</w:t>
            </w:r>
          </w:p>
        </w:tc>
        <w:tc>
          <w:tcPr>
            <w:tcW w:w="331" w:type="pct"/>
            <w:tcBorders>
              <w:top w:val="single" w:color="000000" w:sz="2" w:space="0"/>
              <w:left w:val="single" w:color="000000" w:sz="2" w:space="0"/>
              <w:bottom w:val="single" w:color="000000" w:sz="2" w:space="0"/>
              <w:right w:val="single" w:color="000000" w:sz="2" w:space="0"/>
            </w:tcBorders>
          </w:tcPr>
          <w:p w14:paraId="047E0C99">
            <w:pPr>
              <w:jc w:val="center"/>
              <w:rPr>
                <w:kern w:val="0"/>
                <w:szCs w:val="21"/>
              </w:rPr>
            </w:pPr>
            <w:r>
              <w:rPr>
                <w:kern w:val="0"/>
                <w:szCs w:val="21"/>
              </w:rPr>
              <w:t>73</w:t>
            </w:r>
          </w:p>
        </w:tc>
        <w:tc>
          <w:tcPr>
            <w:tcW w:w="331" w:type="pct"/>
            <w:tcBorders>
              <w:top w:val="single" w:color="000000" w:sz="2" w:space="0"/>
              <w:left w:val="single" w:color="000000" w:sz="2" w:space="0"/>
              <w:bottom w:val="single" w:color="000000" w:sz="2" w:space="0"/>
              <w:right w:val="single" w:color="000000" w:sz="2" w:space="0"/>
            </w:tcBorders>
          </w:tcPr>
          <w:p w14:paraId="72B5F111">
            <w:pPr>
              <w:jc w:val="center"/>
              <w:rPr>
                <w:kern w:val="0"/>
                <w:szCs w:val="21"/>
              </w:rPr>
            </w:pPr>
            <w:r>
              <w:rPr>
                <w:kern w:val="0"/>
                <w:szCs w:val="21"/>
              </w:rPr>
              <w:t>67</w:t>
            </w:r>
          </w:p>
        </w:tc>
        <w:tc>
          <w:tcPr>
            <w:tcW w:w="331" w:type="pct"/>
            <w:tcBorders>
              <w:top w:val="single" w:color="000000" w:sz="2" w:space="0"/>
              <w:left w:val="single" w:color="000000" w:sz="2" w:space="0"/>
              <w:bottom w:val="single" w:color="000000" w:sz="2" w:space="0"/>
              <w:right w:val="single" w:color="000000" w:sz="2" w:space="0"/>
            </w:tcBorders>
          </w:tcPr>
          <w:p w14:paraId="48EE0ED0">
            <w:pPr>
              <w:jc w:val="center"/>
              <w:rPr>
                <w:kern w:val="0"/>
                <w:szCs w:val="21"/>
              </w:rPr>
            </w:pPr>
            <w:r>
              <w:rPr>
                <w:kern w:val="0"/>
                <w:szCs w:val="21"/>
              </w:rPr>
              <w:t>63</w:t>
            </w:r>
          </w:p>
        </w:tc>
        <w:tc>
          <w:tcPr>
            <w:tcW w:w="331" w:type="pct"/>
            <w:tcBorders>
              <w:top w:val="single" w:color="000000" w:sz="2" w:space="0"/>
              <w:left w:val="single" w:color="000000" w:sz="2" w:space="0"/>
              <w:bottom w:val="single" w:color="000000" w:sz="2" w:space="0"/>
              <w:right w:val="single" w:color="000000" w:sz="2" w:space="0"/>
            </w:tcBorders>
          </w:tcPr>
          <w:p w14:paraId="6FBB224B">
            <w:pPr>
              <w:jc w:val="center"/>
              <w:rPr>
                <w:kern w:val="0"/>
                <w:szCs w:val="21"/>
              </w:rPr>
            </w:pPr>
            <w:r>
              <w:rPr>
                <w:kern w:val="0"/>
                <w:szCs w:val="21"/>
              </w:rPr>
              <w:t>61</w:t>
            </w:r>
          </w:p>
        </w:tc>
        <w:tc>
          <w:tcPr>
            <w:tcW w:w="331" w:type="pct"/>
            <w:tcBorders>
              <w:top w:val="single" w:color="000000" w:sz="2" w:space="0"/>
              <w:left w:val="single" w:color="000000" w:sz="2" w:space="0"/>
              <w:bottom w:val="single" w:color="000000" w:sz="2" w:space="0"/>
              <w:right w:val="single" w:color="000000" w:sz="2" w:space="0"/>
            </w:tcBorders>
          </w:tcPr>
          <w:p w14:paraId="791F8430">
            <w:pPr>
              <w:jc w:val="center"/>
              <w:rPr>
                <w:kern w:val="0"/>
                <w:szCs w:val="21"/>
              </w:rPr>
            </w:pPr>
            <w:r>
              <w:rPr>
                <w:kern w:val="0"/>
                <w:szCs w:val="21"/>
              </w:rPr>
              <w:t>59</w:t>
            </w:r>
          </w:p>
        </w:tc>
        <w:tc>
          <w:tcPr>
            <w:tcW w:w="422" w:type="pct"/>
            <w:tcBorders>
              <w:top w:val="single" w:color="000000" w:sz="2" w:space="0"/>
              <w:left w:val="single" w:color="000000" w:sz="2" w:space="0"/>
              <w:bottom w:val="single" w:color="000000" w:sz="2" w:space="0"/>
              <w:right w:val="single" w:color="000000" w:sz="2" w:space="0"/>
            </w:tcBorders>
          </w:tcPr>
          <w:p w14:paraId="491F29D6">
            <w:pPr>
              <w:jc w:val="center"/>
              <w:rPr>
                <w:kern w:val="0"/>
                <w:szCs w:val="21"/>
              </w:rPr>
            </w:pPr>
            <w:r>
              <w:rPr>
                <w:kern w:val="0"/>
                <w:szCs w:val="21"/>
              </w:rPr>
              <w:t>57</w:t>
            </w:r>
          </w:p>
        </w:tc>
        <w:tc>
          <w:tcPr>
            <w:tcW w:w="422" w:type="pct"/>
            <w:tcBorders>
              <w:top w:val="single" w:color="000000" w:sz="2" w:space="0"/>
              <w:left w:val="single" w:color="000000" w:sz="2" w:space="0"/>
              <w:bottom w:val="single" w:color="000000" w:sz="2" w:space="0"/>
              <w:right w:val="single" w:color="000000" w:sz="2" w:space="0"/>
            </w:tcBorders>
          </w:tcPr>
          <w:p w14:paraId="4B94CF15">
            <w:pPr>
              <w:jc w:val="center"/>
              <w:rPr>
                <w:kern w:val="0"/>
                <w:szCs w:val="21"/>
              </w:rPr>
            </w:pPr>
            <w:r>
              <w:rPr>
                <w:kern w:val="0"/>
                <w:szCs w:val="21"/>
              </w:rPr>
              <w:t>53</w:t>
            </w:r>
          </w:p>
        </w:tc>
        <w:tc>
          <w:tcPr>
            <w:tcW w:w="421" w:type="pct"/>
            <w:tcBorders>
              <w:top w:val="single" w:color="000000" w:sz="2" w:space="0"/>
              <w:left w:val="single" w:color="000000" w:sz="2" w:space="0"/>
              <w:bottom w:val="single" w:color="000000" w:sz="2" w:space="0"/>
              <w:right w:val="single" w:color="000000" w:sz="2" w:space="0"/>
            </w:tcBorders>
          </w:tcPr>
          <w:p w14:paraId="26D93864">
            <w:pPr>
              <w:jc w:val="center"/>
              <w:rPr>
                <w:kern w:val="0"/>
                <w:szCs w:val="21"/>
              </w:rPr>
            </w:pPr>
            <w:r>
              <w:rPr>
                <w:kern w:val="0"/>
                <w:szCs w:val="21"/>
              </w:rPr>
              <w:t>49</w:t>
            </w:r>
          </w:p>
        </w:tc>
      </w:tr>
      <w:tr w14:paraId="0EB1B70C">
        <w:tblPrEx>
          <w:tblCellMar>
            <w:top w:w="0" w:type="dxa"/>
            <w:left w:w="0" w:type="dxa"/>
            <w:bottom w:w="0" w:type="dxa"/>
            <w:right w:w="0" w:type="dxa"/>
          </w:tblCellMar>
        </w:tblPrEx>
        <w:tc>
          <w:tcPr>
            <w:tcW w:w="371" w:type="pct"/>
            <w:tcBorders>
              <w:top w:val="single" w:color="000000" w:sz="2" w:space="0"/>
              <w:left w:val="single" w:color="000000" w:sz="2" w:space="0"/>
              <w:bottom w:val="single" w:color="000000" w:sz="2" w:space="0"/>
              <w:right w:val="single" w:color="000000" w:sz="2" w:space="0"/>
            </w:tcBorders>
            <w:vAlign w:val="center"/>
          </w:tcPr>
          <w:p w14:paraId="01D62162">
            <w:pPr>
              <w:jc w:val="center"/>
              <w:rPr>
                <w:kern w:val="0"/>
                <w:szCs w:val="21"/>
              </w:rPr>
            </w:pPr>
            <w:r>
              <w:rPr>
                <w:kern w:val="0"/>
                <w:szCs w:val="21"/>
              </w:rPr>
              <w:t>5</w:t>
            </w:r>
          </w:p>
        </w:tc>
        <w:tc>
          <w:tcPr>
            <w:tcW w:w="1470" w:type="pct"/>
            <w:tcBorders>
              <w:top w:val="single" w:color="000000" w:sz="2" w:space="0"/>
              <w:left w:val="single" w:color="000000" w:sz="2" w:space="0"/>
              <w:bottom w:val="single" w:color="000000" w:sz="2" w:space="0"/>
              <w:right w:val="single" w:color="000000" w:sz="2" w:space="0"/>
            </w:tcBorders>
          </w:tcPr>
          <w:p w14:paraId="0ECB5717">
            <w:pPr>
              <w:jc w:val="center"/>
              <w:rPr>
                <w:kern w:val="0"/>
                <w:szCs w:val="21"/>
              </w:rPr>
            </w:pPr>
            <w:r>
              <w:rPr>
                <w:rFonts w:hint="eastAsia"/>
                <w:kern w:val="0"/>
                <w:szCs w:val="21"/>
              </w:rPr>
              <w:t>平板</w:t>
            </w:r>
            <w:r>
              <w:rPr>
                <w:kern w:val="0"/>
                <w:szCs w:val="21"/>
              </w:rPr>
              <w:t>振动器</w:t>
            </w:r>
          </w:p>
        </w:tc>
        <w:tc>
          <w:tcPr>
            <w:tcW w:w="239" w:type="pct"/>
            <w:tcBorders>
              <w:top w:val="single" w:color="000000" w:sz="2" w:space="0"/>
              <w:left w:val="single" w:color="000000" w:sz="2" w:space="0"/>
              <w:bottom w:val="single" w:color="000000" w:sz="2" w:space="0"/>
              <w:right w:val="single" w:color="000000" w:sz="2" w:space="0"/>
            </w:tcBorders>
          </w:tcPr>
          <w:p w14:paraId="7B5C34B2">
            <w:pPr>
              <w:jc w:val="center"/>
              <w:rPr>
                <w:kern w:val="0"/>
                <w:szCs w:val="21"/>
              </w:rPr>
            </w:pPr>
            <w:r>
              <w:rPr>
                <w:kern w:val="0"/>
                <w:szCs w:val="21"/>
              </w:rPr>
              <w:t>86</w:t>
            </w:r>
          </w:p>
        </w:tc>
        <w:tc>
          <w:tcPr>
            <w:tcW w:w="331" w:type="pct"/>
            <w:tcBorders>
              <w:top w:val="single" w:color="000000" w:sz="2" w:space="0"/>
              <w:left w:val="single" w:color="000000" w:sz="2" w:space="0"/>
              <w:bottom w:val="single" w:color="000000" w:sz="2" w:space="0"/>
              <w:right w:val="single" w:color="000000" w:sz="2" w:space="0"/>
            </w:tcBorders>
          </w:tcPr>
          <w:p w14:paraId="1B5E9BF5">
            <w:pPr>
              <w:jc w:val="center"/>
              <w:rPr>
                <w:kern w:val="0"/>
                <w:szCs w:val="21"/>
              </w:rPr>
            </w:pPr>
            <w:r>
              <w:rPr>
                <w:kern w:val="0"/>
                <w:szCs w:val="21"/>
              </w:rPr>
              <w:t>80</w:t>
            </w:r>
          </w:p>
        </w:tc>
        <w:tc>
          <w:tcPr>
            <w:tcW w:w="331" w:type="pct"/>
            <w:tcBorders>
              <w:top w:val="single" w:color="000000" w:sz="2" w:space="0"/>
              <w:left w:val="single" w:color="000000" w:sz="2" w:space="0"/>
              <w:bottom w:val="single" w:color="000000" w:sz="2" w:space="0"/>
              <w:right w:val="single" w:color="000000" w:sz="2" w:space="0"/>
            </w:tcBorders>
          </w:tcPr>
          <w:p w14:paraId="1791D342">
            <w:pPr>
              <w:jc w:val="center"/>
              <w:rPr>
                <w:kern w:val="0"/>
                <w:szCs w:val="21"/>
              </w:rPr>
            </w:pPr>
            <w:r>
              <w:rPr>
                <w:kern w:val="0"/>
                <w:szCs w:val="21"/>
              </w:rPr>
              <w:t>74</w:t>
            </w:r>
          </w:p>
        </w:tc>
        <w:tc>
          <w:tcPr>
            <w:tcW w:w="331" w:type="pct"/>
            <w:tcBorders>
              <w:top w:val="single" w:color="000000" w:sz="2" w:space="0"/>
              <w:left w:val="single" w:color="000000" w:sz="2" w:space="0"/>
              <w:bottom w:val="single" w:color="000000" w:sz="2" w:space="0"/>
              <w:right w:val="single" w:color="000000" w:sz="2" w:space="0"/>
            </w:tcBorders>
          </w:tcPr>
          <w:p w14:paraId="506248DE">
            <w:pPr>
              <w:jc w:val="center"/>
              <w:rPr>
                <w:kern w:val="0"/>
                <w:szCs w:val="21"/>
              </w:rPr>
            </w:pPr>
            <w:r>
              <w:rPr>
                <w:kern w:val="0"/>
                <w:szCs w:val="21"/>
              </w:rPr>
              <w:t>70</w:t>
            </w:r>
          </w:p>
        </w:tc>
        <w:tc>
          <w:tcPr>
            <w:tcW w:w="331" w:type="pct"/>
            <w:tcBorders>
              <w:top w:val="single" w:color="000000" w:sz="2" w:space="0"/>
              <w:left w:val="single" w:color="000000" w:sz="2" w:space="0"/>
              <w:bottom w:val="single" w:color="000000" w:sz="2" w:space="0"/>
              <w:right w:val="single" w:color="000000" w:sz="2" w:space="0"/>
            </w:tcBorders>
          </w:tcPr>
          <w:p w14:paraId="659247D6">
            <w:pPr>
              <w:jc w:val="center"/>
              <w:rPr>
                <w:kern w:val="0"/>
                <w:szCs w:val="21"/>
              </w:rPr>
            </w:pPr>
            <w:r>
              <w:rPr>
                <w:kern w:val="0"/>
                <w:szCs w:val="21"/>
              </w:rPr>
              <w:t>68</w:t>
            </w:r>
          </w:p>
        </w:tc>
        <w:tc>
          <w:tcPr>
            <w:tcW w:w="331" w:type="pct"/>
            <w:tcBorders>
              <w:top w:val="single" w:color="000000" w:sz="2" w:space="0"/>
              <w:left w:val="single" w:color="000000" w:sz="2" w:space="0"/>
              <w:bottom w:val="single" w:color="000000" w:sz="2" w:space="0"/>
              <w:right w:val="single" w:color="000000" w:sz="2" w:space="0"/>
            </w:tcBorders>
          </w:tcPr>
          <w:p w14:paraId="37DAB8C1">
            <w:pPr>
              <w:jc w:val="center"/>
              <w:rPr>
                <w:kern w:val="0"/>
                <w:szCs w:val="21"/>
              </w:rPr>
            </w:pPr>
            <w:r>
              <w:rPr>
                <w:kern w:val="0"/>
                <w:szCs w:val="21"/>
              </w:rPr>
              <w:t>66</w:t>
            </w:r>
          </w:p>
        </w:tc>
        <w:tc>
          <w:tcPr>
            <w:tcW w:w="422" w:type="pct"/>
            <w:tcBorders>
              <w:top w:val="single" w:color="000000" w:sz="2" w:space="0"/>
              <w:left w:val="single" w:color="000000" w:sz="2" w:space="0"/>
              <w:bottom w:val="single" w:color="000000" w:sz="2" w:space="0"/>
              <w:right w:val="single" w:color="000000" w:sz="2" w:space="0"/>
            </w:tcBorders>
          </w:tcPr>
          <w:p w14:paraId="5CEEA00D">
            <w:pPr>
              <w:jc w:val="center"/>
              <w:rPr>
                <w:kern w:val="0"/>
                <w:szCs w:val="21"/>
              </w:rPr>
            </w:pPr>
            <w:r>
              <w:rPr>
                <w:kern w:val="0"/>
                <w:szCs w:val="21"/>
              </w:rPr>
              <w:t>65</w:t>
            </w:r>
          </w:p>
        </w:tc>
        <w:tc>
          <w:tcPr>
            <w:tcW w:w="422" w:type="pct"/>
            <w:tcBorders>
              <w:top w:val="single" w:color="000000" w:sz="2" w:space="0"/>
              <w:left w:val="single" w:color="000000" w:sz="2" w:space="0"/>
              <w:bottom w:val="single" w:color="000000" w:sz="2" w:space="0"/>
              <w:right w:val="single" w:color="000000" w:sz="2" w:space="0"/>
            </w:tcBorders>
          </w:tcPr>
          <w:p w14:paraId="497EE7B1">
            <w:pPr>
              <w:jc w:val="center"/>
              <w:rPr>
                <w:kern w:val="0"/>
                <w:szCs w:val="21"/>
              </w:rPr>
            </w:pPr>
            <w:r>
              <w:rPr>
                <w:kern w:val="0"/>
                <w:szCs w:val="21"/>
              </w:rPr>
              <w:t>60</w:t>
            </w:r>
          </w:p>
        </w:tc>
        <w:tc>
          <w:tcPr>
            <w:tcW w:w="421" w:type="pct"/>
            <w:tcBorders>
              <w:top w:val="single" w:color="000000" w:sz="2" w:space="0"/>
              <w:left w:val="single" w:color="000000" w:sz="2" w:space="0"/>
              <w:bottom w:val="single" w:color="000000" w:sz="2" w:space="0"/>
              <w:right w:val="single" w:color="000000" w:sz="2" w:space="0"/>
            </w:tcBorders>
          </w:tcPr>
          <w:p w14:paraId="248B4A64">
            <w:pPr>
              <w:jc w:val="center"/>
              <w:rPr>
                <w:kern w:val="0"/>
                <w:szCs w:val="21"/>
              </w:rPr>
            </w:pPr>
            <w:r>
              <w:rPr>
                <w:kern w:val="0"/>
                <w:szCs w:val="21"/>
              </w:rPr>
              <w:t>57</w:t>
            </w:r>
          </w:p>
        </w:tc>
      </w:tr>
      <w:tr w14:paraId="3FA6CED3">
        <w:tblPrEx>
          <w:tblCellMar>
            <w:top w:w="0" w:type="dxa"/>
            <w:left w:w="0" w:type="dxa"/>
            <w:bottom w:w="0" w:type="dxa"/>
            <w:right w:w="0" w:type="dxa"/>
          </w:tblCellMar>
        </w:tblPrEx>
        <w:tc>
          <w:tcPr>
            <w:tcW w:w="371" w:type="pct"/>
            <w:tcBorders>
              <w:top w:val="single" w:color="000000" w:sz="2" w:space="0"/>
              <w:left w:val="single" w:color="000000" w:sz="2" w:space="0"/>
              <w:bottom w:val="single" w:color="000000" w:sz="2" w:space="0"/>
              <w:right w:val="single" w:color="000000" w:sz="2" w:space="0"/>
            </w:tcBorders>
            <w:vAlign w:val="center"/>
          </w:tcPr>
          <w:p w14:paraId="118422EA">
            <w:pPr>
              <w:jc w:val="center"/>
              <w:rPr>
                <w:kern w:val="0"/>
                <w:szCs w:val="21"/>
              </w:rPr>
            </w:pPr>
            <w:r>
              <w:rPr>
                <w:kern w:val="0"/>
                <w:szCs w:val="21"/>
              </w:rPr>
              <w:t>6</w:t>
            </w:r>
          </w:p>
        </w:tc>
        <w:tc>
          <w:tcPr>
            <w:tcW w:w="1470" w:type="pct"/>
            <w:tcBorders>
              <w:top w:val="single" w:color="000000" w:sz="2" w:space="0"/>
              <w:left w:val="single" w:color="000000" w:sz="2" w:space="0"/>
              <w:bottom w:val="single" w:color="000000" w:sz="2" w:space="0"/>
              <w:right w:val="single" w:color="000000" w:sz="2" w:space="0"/>
            </w:tcBorders>
          </w:tcPr>
          <w:p w14:paraId="153C2D06">
            <w:pPr>
              <w:jc w:val="center"/>
              <w:rPr>
                <w:kern w:val="0"/>
                <w:szCs w:val="21"/>
              </w:rPr>
            </w:pPr>
            <w:r>
              <w:rPr>
                <w:rFonts w:hint="eastAsia"/>
                <w:kern w:val="0"/>
                <w:szCs w:val="21"/>
              </w:rPr>
              <w:t>洒水车</w:t>
            </w:r>
          </w:p>
        </w:tc>
        <w:tc>
          <w:tcPr>
            <w:tcW w:w="239" w:type="pct"/>
            <w:tcBorders>
              <w:top w:val="single" w:color="000000" w:sz="2" w:space="0"/>
              <w:left w:val="single" w:color="000000" w:sz="2" w:space="0"/>
              <w:bottom w:val="single" w:color="000000" w:sz="2" w:space="0"/>
              <w:right w:val="single" w:color="000000" w:sz="2" w:space="0"/>
            </w:tcBorders>
          </w:tcPr>
          <w:p w14:paraId="206A4706">
            <w:pPr>
              <w:jc w:val="center"/>
              <w:rPr>
                <w:kern w:val="0"/>
                <w:szCs w:val="21"/>
              </w:rPr>
            </w:pPr>
            <w:r>
              <w:rPr>
                <w:rFonts w:hint="eastAsia"/>
                <w:kern w:val="0"/>
                <w:szCs w:val="21"/>
              </w:rPr>
              <w:t>80</w:t>
            </w:r>
          </w:p>
        </w:tc>
        <w:tc>
          <w:tcPr>
            <w:tcW w:w="331" w:type="pct"/>
            <w:tcBorders>
              <w:top w:val="single" w:color="000000" w:sz="2" w:space="0"/>
              <w:left w:val="single" w:color="000000" w:sz="2" w:space="0"/>
              <w:bottom w:val="single" w:color="000000" w:sz="2" w:space="0"/>
              <w:right w:val="single" w:color="000000" w:sz="2" w:space="0"/>
            </w:tcBorders>
          </w:tcPr>
          <w:p w14:paraId="28337B5C">
            <w:pPr>
              <w:jc w:val="center"/>
              <w:rPr>
                <w:kern w:val="0"/>
                <w:szCs w:val="21"/>
              </w:rPr>
            </w:pPr>
            <w:r>
              <w:rPr>
                <w:kern w:val="0"/>
                <w:szCs w:val="21"/>
              </w:rPr>
              <w:t>73</w:t>
            </w:r>
          </w:p>
        </w:tc>
        <w:tc>
          <w:tcPr>
            <w:tcW w:w="331" w:type="pct"/>
            <w:tcBorders>
              <w:top w:val="single" w:color="000000" w:sz="2" w:space="0"/>
              <w:left w:val="single" w:color="000000" w:sz="2" w:space="0"/>
              <w:bottom w:val="single" w:color="000000" w:sz="2" w:space="0"/>
              <w:right w:val="single" w:color="000000" w:sz="2" w:space="0"/>
            </w:tcBorders>
          </w:tcPr>
          <w:p w14:paraId="5A104B84">
            <w:pPr>
              <w:jc w:val="center"/>
              <w:rPr>
                <w:kern w:val="0"/>
                <w:szCs w:val="21"/>
              </w:rPr>
            </w:pPr>
            <w:r>
              <w:rPr>
                <w:kern w:val="0"/>
                <w:szCs w:val="21"/>
              </w:rPr>
              <w:t>67</w:t>
            </w:r>
          </w:p>
        </w:tc>
        <w:tc>
          <w:tcPr>
            <w:tcW w:w="331" w:type="pct"/>
            <w:tcBorders>
              <w:top w:val="single" w:color="000000" w:sz="2" w:space="0"/>
              <w:left w:val="single" w:color="000000" w:sz="2" w:space="0"/>
              <w:bottom w:val="single" w:color="000000" w:sz="2" w:space="0"/>
              <w:right w:val="single" w:color="000000" w:sz="2" w:space="0"/>
            </w:tcBorders>
          </w:tcPr>
          <w:p w14:paraId="3E2DF1A7">
            <w:pPr>
              <w:jc w:val="center"/>
              <w:rPr>
                <w:kern w:val="0"/>
                <w:szCs w:val="21"/>
              </w:rPr>
            </w:pPr>
            <w:r>
              <w:rPr>
                <w:kern w:val="0"/>
                <w:szCs w:val="21"/>
              </w:rPr>
              <w:t>63</w:t>
            </w:r>
          </w:p>
        </w:tc>
        <w:tc>
          <w:tcPr>
            <w:tcW w:w="331" w:type="pct"/>
            <w:tcBorders>
              <w:top w:val="single" w:color="000000" w:sz="2" w:space="0"/>
              <w:left w:val="single" w:color="000000" w:sz="2" w:space="0"/>
              <w:bottom w:val="single" w:color="000000" w:sz="2" w:space="0"/>
              <w:right w:val="single" w:color="000000" w:sz="2" w:space="0"/>
            </w:tcBorders>
          </w:tcPr>
          <w:p w14:paraId="039C6053">
            <w:pPr>
              <w:jc w:val="center"/>
              <w:rPr>
                <w:kern w:val="0"/>
                <w:szCs w:val="21"/>
              </w:rPr>
            </w:pPr>
            <w:r>
              <w:rPr>
                <w:kern w:val="0"/>
                <w:szCs w:val="21"/>
              </w:rPr>
              <w:t>61</w:t>
            </w:r>
          </w:p>
        </w:tc>
        <w:tc>
          <w:tcPr>
            <w:tcW w:w="331" w:type="pct"/>
            <w:tcBorders>
              <w:top w:val="single" w:color="000000" w:sz="2" w:space="0"/>
              <w:left w:val="single" w:color="000000" w:sz="2" w:space="0"/>
              <w:bottom w:val="single" w:color="000000" w:sz="2" w:space="0"/>
              <w:right w:val="single" w:color="000000" w:sz="2" w:space="0"/>
            </w:tcBorders>
          </w:tcPr>
          <w:p w14:paraId="2127FCA9">
            <w:pPr>
              <w:jc w:val="center"/>
              <w:rPr>
                <w:kern w:val="0"/>
                <w:szCs w:val="21"/>
              </w:rPr>
            </w:pPr>
            <w:r>
              <w:rPr>
                <w:kern w:val="0"/>
                <w:szCs w:val="21"/>
              </w:rPr>
              <w:t>59</w:t>
            </w:r>
          </w:p>
        </w:tc>
        <w:tc>
          <w:tcPr>
            <w:tcW w:w="422" w:type="pct"/>
            <w:tcBorders>
              <w:top w:val="single" w:color="000000" w:sz="2" w:space="0"/>
              <w:left w:val="single" w:color="000000" w:sz="2" w:space="0"/>
              <w:bottom w:val="single" w:color="000000" w:sz="2" w:space="0"/>
              <w:right w:val="single" w:color="000000" w:sz="2" w:space="0"/>
            </w:tcBorders>
          </w:tcPr>
          <w:p w14:paraId="1614B531">
            <w:pPr>
              <w:jc w:val="center"/>
              <w:rPr>
                <w:kern w:val="0"/>
                <w:szCs w:val="21"/>
              </w:rPr>
            </w:pPr>
            <w:r>
              <w:rPr>
                <w:kern w:val="0"/>
                <w:szCs w:val="21"/>
              </w:rPr>
              <w:t>57</w:t>
            </w:r>
          </w:p>
        </w:tc>
        <w:tc>
          <w:tcPr>
            <w:tcW w:w="422" w:type="pct"/>
            <w:tcBorders>
              <w:top w:val="single" w:color="000000" w:sz="2" w:space="0"/>
              <w:left w:val="single" w:color="000000" w:sz="2" w:space="0"/>
              <w:bottom w:val="single" w:color="000000" w:sz="2" w:space="0"/>
              <w:right w:val="single" w:color="000000" w:sz="2" w:space="0"/>
            </w:tcBorders>
          </w:tcPr>
          <w:p w14:paraId="3377CB74">
            <w:pPr>
              <w:jc w:val="center"/>
              <w:rPr>
                <w:kern w:val="0"/>
                <w:szCs w:val="21"/>
              </w:rPr>
            </w:pPr>
            <w:r>
              <w:rPr>
                <w:kern w:val="0"/>
                <w:szCs w:val="21"/>
              </w:rPr>
              <w:t>53</w:t>
            </w:r>
          </w:p>
        </w:tc>
        <w:tc>
          <w:tcPr>
            <w:tcW w:w="421" w:type="pct"/>
            <w:tcBorders>
              <w:top w:val="single" w:color="000000" w:sz="2" w:space="0"/>
              <w:left w:val="single" w:color="000000" w:sz="2" w:space="0"/>
              <w:bottom w:val="single" w:color="000000" w:sz="2" w:space="0"/>
              <w:right w:val="single" w:color="000000" w:sz="2" w:space="0"/>
            </w:tcBorders>
          </w:tcPr>
          <w:p w14:paraId="15C4F2E4">
            <w:pPr>
              <w:jc w:val="center"/>
              <w:rPr>
                <w:kern w:val="0"/>
                <w:szCs w:val="21"/>
              </w:rPr>
            </w:pPr>
            <w:r>
              <w:rPr>
                <w:kern w:val="0"/>
                <w:szCs w:val="21"/>
              </w:rPr>
              <w:t>49</w:t>
            </w:r>
          </w:p>
        </w:tc>
      </w:tr>
      <w:tr w14:paraId="5F588B3A">
        <w:tblPrEx>
          <w:tblCellMar>
            <w:top w:w="0" w:type="dxa"/>
            <w:left w:w="0" w:type="dxa"/>
            <w:bottom w:w="0" w:type="dxa"/>
            <w:right w:w="0" w:type="dxa"/>
          </w:tblCellMar>
        </w:tblPrEx>
        <w:tc>
          <w:tcPr>
            <w:tcW w:w="371" w:type="pct"/>
            <w:tcBorders>
              <w:top w:val="single" w:color="000000" w:sz="2" w:space="0"/>
              <w:left w:val="single" w:color="000000" w:sz="2" w:space="0"/>
              <w:bottom w:val="single" w:color="000000" w:sz="2" w:space="0"/>
              <w:right w:val="single" w:color="000000" w:sz="2" w:space="0"/>
            </w:tcBorders>
            <w:vAlign w:val="center"/>
          </w:tcPr>
          <w:p w14:paraId="450160EB">
            <w:pPr>
              <w:jc w:val="center"/>
              <w:rPr>
                <w:kern w:val="0"/>
                <w:szCs w:val="21"/>
              </w:rPr>
            </w:pPr>
            <w:r>
              <w:rPr>
                <w:kern w:val="0"/>
                <w:szCs w:val="21"/>
              </w:rPr>
              <w:t>7</w:t>
            </w:r>
          </w:p>
        </w:tc>
        <w:tc>
          <w:tcPr>
            <w:tcW w:w="1470" w:type="pct"/>
            <w:tcBorders>
              <w:top w:val="single" w:color="000000" w:sz="2" w:space="0"/>
              <w:left w:val="single" w:color="000000" w:sz="2" w:space="0"/>
              <w:bottom w:val="single" w:color="000000" w:sz="2" w:space="0"/>
              <w:right w:val="single" w:color="000000" w:sz="2" w:space="0"/>
            </w:tcBorders>
          </w:tcPr>
          <w:p w14:paraId="60EFE9B7">
            <w:pPr>
              <w:jc w:val="center"/>
              <w:rPr>
                <w:kern w:val="0"/>
                <w:szCs w:val="21"/>
              </w:rPr>
            </w:pPr>
            <w:r>
              <w:rPr>
                <w:rFonts w:hint="eastAsia"/>
                <w:kern w:val="0"/>
                <w:szCs w:val="21"/>
              </w:rPr>
              <w:t>插入式</w:t>
            </w:r>
            <w:r>
              <w:rPr>
                <w:kern w:val="0"/>
                <w:szCs w:val="21"/>
              </w:rPr>
              <w:t>振动器</w:t>
            </w:r>
          </w:p>
        </w:tc>
        <w:tc>
          <w:tcPr>
            <w:tcW w:w="239" w:type="pct"/>
            <w:tcBorders>
              <w:top w:val="single" w:color="000000" w:sz="2" w:space="0"/>
              <w:left w:val="single" w:color="000000" w:sz="2" w:space="0"/>
              <w:bottom w:val="single" w:color="000000" w:sz="2" w:space="0"/>
              <w:right w:val="single" w:color="000000" w:sz="2" w:space="0"/>
            </w:tcBorders>
          </w:tcPr>
          <w:p w14:paraId="09167136">
            <w:pPr>
              <w:jc w:val="center"/>
              <w:rPr>
                <w:kern w:val="0"/>
                <w:szCs w:val="21"/>
              </w:rPr>
            </w:pPr>
            <w:r>
              <w:rPr>
                <w:kern w:val="0"/>
                <w:szCs w:val="21"/>
              </w:rPr>
              <w:t>86</w:t>
            </w:r>
          </w:p>
        </w:tc>
        <w:tc>
          <w:tcPr>
            <w:tcW w:w="331" w:type="pct"/>
            <w:tcBorders>
              <w:top w:val="single" w:color="000000" w:sz="2" w:space="0"/>
              <w:left w:val="single" w:color="000000" w:sz="2" w:space="0"/>
              <w:bottom w:val="single" w:color="000000" w:sz="2" w:space="0"/>
              <w:right w:val="single" w:color="000000" w:sz="2" w:space="0"/>
            </w:tcBorders>
          </w:tcPr>
          <w:p w14:paraId="3D01CD74">
            <w:pPr>
              <w:jc w:val="center"/>
              <w:rPr>
                <w:kern w:val="0"/>
                <w:szCs w:val="21"/>
              </w:rPr>
            </w:pPr>
            <w:r>
              <w:rPr>
                <w:kern w:val="0"/>
                <w:szCs w:val="21"/>
              </w:rPr>
              <w:t>80</w:t>
            </w:r>
          </w:p>
        </w:tc>
        <w:tc>
          <w:tcPr>
            <w:tcW w:w="331" w:type="pct"/>
            <w:tcBorders>
              <w:top w:val="single" w:color="000000" w:sz="2" w:space="0"/>
              <w:left w:val="single" w:color="000000" w:sz="2" w:space="0"/>
              <w:bottom w:val="single" w:color="000000" w:sz="2" w:space="0"/>
              <w:right w:val="single" w:color="000000" w:sz="2" w:space="0"/>
            </w:tcBorders>
          </w:tcPr>
          <w:p w14:paraId="0933B4C2">
            <w:pPr>
              <w:jc w:val="center"/>
              <w:rPr>
                <w:kern w:val="0"/>
                <w:szCs w:val="21"/>
              </w:rPr>
            </w:pPr>
            <w:r>
              <w:rPr>
                <w:kern w:val="0"/>
                <w:szCs w:val="21"/>
              </w:rPr>
              <w:t>74</w:t>
            </w:r>
          </w:p>
        </w:tc>
        <w:tc>
          <w:tcPr>
            <w:tcW w:w="331" w:type="pct"/>
            <w:tcBorders>
              <w:top w:val="single" w:color="000000" w:sz="2" w:space="0"/>
              <w:left w:val="single" w:color="000000" w:sz="2" w:space="0"/>
              <w:bottom w:val="single" w:color="000000" w:sz="2" w:space="0"/>
              <w:right w:val="single" w:color="000000" w:sz="2" w:space="0"/>
            </w:tcBorders>
          </w:tcPr>
          <w:p w14:paraId="1FAA333F">
            <w:pPr>
              <w:jc w:val="center"/>
              <w:rPr>
                <w:kern w:val="0"/>
                <w:szCs w:val="21"/>
              </w:rPr>
            </w:pPr>
            <w:r>
              <w:rPr>
                <w:kern w:val="0"/>
                <w:szCs w:val="21"/>
              </w:rPr>
              <w:t>70</w:t>
            </w:r>
          </w:p>
        </w:tc>
        <w:tc>
          <w:tcPr>
            <w:tcW w:w="331" w:type="pct"/>
            <w:tcBorders>
              <w:top w:val="single" w:color="000000" w:sz="2" w:space="0"/>
              <w:left w:val="single" w:color="000000" w:sz="2" w:space="0"/>
              <w:bottom w:val="single" w:color="000000" w:sz="2" w:space="0"/>
              <w:right w:val="single" w:color="000000" w:sz="2" w:space="0"/>
            </w:tcBorders>
          </w:tcPr>
          <w:p w14:paraId="5F7CB746">
            <w:pPr>
              <w:jc w:val="center"/>
              <w:rPr>
                <w:kern w:val="0"/>
                <w:szCs w:val="21"/>
              </w:rPr>
            </w:pPr>
            <w:r>
              <w:rPr>
                <w:kern w:val="0"/>
                <w:szCs w:val="21"/>
              </w:rPr>
              <w:t>68</w:t>
            </w:r>
          </w:p>
        </w:tc>
        <w:tc>
          <w:tcPr>
            <w:tcW w:w="331" w:type="pct"/>
            <w:tcBorders>
              <w:top w:val="single" w:color="000000" w:sz="2" w:space="0"/>
              <w:left w:val="single" w:color="000000" w:sz="2" w:space="0"/>
              <w:bottom w:val="single" w:color="000000" w:sz="2" w:space="0"/>
              <w:right w:val="single" w:color="000000" w:sz="2" w:space="0"/>
            </w:tcBorders>
          </w:tcPr>
          <w:p w14:paraId="4E8FEBE5">
            <w:pPr>
              <w:jc w:val="center"/>
              <w:rPr>
                <w:kern w:val="0"/>
                <w:szCs w:val="21"/>
              </w:rPr>
            </w:pPr>
            <w:r>
              <w:rPr>
                <w:kern w:val="0"/>
                <w:szCs w:val="21"/>
              </w:rPr>
              <w:t>66</w:t>
            </w:r>
          </w:p>
        </w:tc>
        <w:tc>
          <w:tcPr>
            <w:tcW w:w="422" w:type="pct"/>
            <w:tcBorders>
              <w:top w:val="single" w:color="000000" w:sz="2" w:space="0"/>
              <w:left w:val="single" w:color="000000" w:sz="2" w:space="0"/>
              <w:bottom w:val="single" w:color="000000" w:sz="2" w:space="0"/>
              <w:right w:val="single" w:color="000000" w:sz="2" w:space="0"/>
            </w:tcBorders>
          </w:tcPr>
          <w:p w14:paraId="02598683">
            <w:pPr>
              <w:jc w:val="center"/>
              <w:rPr>
                <w:kern w:val="0"/>
                <w:szCs w:val="21"/>
              </w:rPr>
            </w:pPr>
            <w:r>
              <w:rPr>
                <w:kern w:val="0"/>
                <w:szCs w:val="21"/>
              </w:rPr>
              <w:t>65</w:t>
            </w:r>
          </w:p>
        </w:tc>
        <w:tc>
          <w:tcPr>
            <w:tcW w:w="422" w:type="pct"/>
            <w:tcBorders>
              <w:top w:val="single" w:color="000000" w:sz="2" w:space="0"/>
              <w:left w:val="single" w:color="000000" w:sz="2" w:space="0"/>
              <w:bottom w:val="single" w:color="000000" w:sz="2" w:space="0"/>
              <w:right w:val="single" w:color="000000" w:sz="2" w:space="0"/>
            </w:tcBorders>
          </w:tcPr>
          <w:p w14:paraId="3F8A0CA8">
            <w:pPr>
              <w:jc w:val="center"/>
              <w:rPr>
                <w:kern w:val="0"/>
                <w:szCs w:val="21"/>
              </w:rPr>
            </w:pPr>
            <w:r>
              <w:rPr>
                <w:kern w:val="0"/>
                <w:szCs w:val="21"/>
              </w:rPr>
              <w:t>60</w:t>
            </w:r>
          </w:p>
        </w:tc>
        <w:tc>
          <w:tcPr>
            <w:tcW w:w="421" w:type="pct"/>
            <w:tcBorders>
              <w:top w:val="single" w:color="000000" w:sz="2" w:space="0"/>
              <w:left w:val="single" w:color="000000" w:sz="2" w:space="0"/>
              <w:bottom w:val="single" w:color="000000" w:sz="2" w:space="0"/>
              <w:right w:val="single" w:color="000000" w:sz="2" w:space="0"/>
            </w:tcBorders>
          </w:tcPr>
          <w:p w14:paraId="2E14644C">
            <w:pPr>
              <w:jc w:val="center"/>
              <w:rPr>
                <w:kern w:val="0"/>
                <w:szCs w:val="21"/>
              </w:rPr>
            </w:pPr>
            <w:r>
              <w:rPr>
                <w:kern w:val="0"/>
                <w:szCs w:val="21"/>
              </w:rPr>
              <w:t>57</w:t>
            </w:r>
          </w:p>
        </w:tc>
      </w:tr>
      <w:tr w14:paraId="60EDBEAB">
        <w:tblPrEx>
          <w:tblCellMar>
            <w:top w:w="0" w:type="dxa"/>
            <w:left w:w="0" w:type="dxa"/>
            <w:bottom w:w="0" w:type="dxa"/>
            <w:right w:w="0" w:type="dxa"/>
          </w:tblCellMar>
        </w:tblPrEx>
        <w:tc>
          <w:tcPr>
            <w:tcW w:w="371" w:type="pct"/>
            <w:tcBorders>
              <w:top w:val="single" w:color="000000" w:sz="2" w:space="0"/>
              <w:left w:val="single" w:color="000000" w:sz="2" w:space="0"/>
              <w:bottom w:val="single" w:color="000000" w:sz="2" w:space="0"/>
              <w:right w:val="single" w:color="000000" w:sz="2" w:space="0"/>
            </w:tcBorders>
            <w:vAlign w:val="center"/>
          </w:tcPr>
          <w:p w14:paraId="00CA05D1">
            <w:pPr>
              <w:jc w:val="center"/>
              <w:rPr>
                <w:kern w:val="0"/>
                <w:szCs w:val="21"/>
              </w:rPr>
            </w:pPr>
            <w:r>
              <w:rPr>
                <w:kern w:val="0"/>
                <w:szCs w:val="21"/>
              </w:rPr>
              <w:t>8</w:t>
            </w:r>
          </w:p>
        </w:tc>
        <w:tc>
          <w:tcPr>
            <w:tcW w:w="1470" w:type="pct"/>
            <w:tcBorders>
              <w:top w:val="single" w:color="000000" w:sz="2" w:space="0"/>
              <w:left w:val="single" w:color="000000" w:sz="2" w:space="0"/>
              <w:bottom w:val="single" w:color="000000" w:sz="2" w:space="0"/>
              <w:right w:val="single" w:color="000000" w:sz="2" w:space="0"/>
            </w:tcBorders>
          </w:tcPr>
          <w:p w14:paraId="614DD820">
            <w:pPr>
              <w:jc w:val="center"/>
              <w:rPr>
                <w:kern w:val="0"/>
                <w:szCs w:val="21"/>
              </w:rPr>
            </w:pPr>
            <w:r>
              <w:rPr>
                <w:rFonts w:hint="eastAsia"/>
                <w:kern w:val="0"/>
                <w:szCs w:val="21"/>
              </w:rPr>
              <w:t>振动</w:t>
            </w:r>
            <w:r>
              <w:rPr>
                <w:kern w:val="0"/>
                <w:szCs w:val="21"/>
              </w:rPr>
              <w:t>梁</w:t>
            </w:r>
          </w:p>
        </w:tc>
        <w:tc>
          <w:tcPr>
            <w:tcW w:w="239" w:type="pct"/>
            <w:tcBorders>
              <w:top w:val="single" w:color="000000" w:sz="2" w:space="0"/>
              <w:left w:val="single" w:color="000000" w:sz="2" w:space="0"/>
              <w:bottom w:val="single" w:color="000000" w:sz="2" w:space="0"/>
              <w:right w:val="single" w:color="000000" w:sz="2" w:space="0"/>
            </w:tcBorders>
          </w:tcPr>
          <w:p w14:paraId="15687DB2">
            <w:pPr>
              <w:jc w:val="center"/>
              <w:rPr>
                <w:kern w:val="0"/>
                <w:szCs w:val="21"/>
              </w:rPr>
            </w:pPr>
            <w:r>
              <w:rPr>
                <w:kern w:val="0"/>
                <w:szCs w:val="21"/>
              </w:rPr>
              <w:t>86</w:t>
            </w:r>
          </w:p>
        </w:tc>
        <w:tc>
          <w:tcPr>
            <w:tcW w:w="331" w:type="pct"/>
            <w:tcBorders>
              <w:top w:val="single" w:color="000000" w:sz="2" w:space="0"/>
              <w:left w:val="single" w:color="000000" w:sz="2" w:space="0"/>
              <w:bottom w:val="single" w:color="000000" w:sz="2" w:space="0"/>
              <w:right w:val="single" w:color="000000" w:sz="2" w:space="0"/>
            </w:tcBorders>
          </w:tcPr>
          <w:p w14:paraId="64AAE47D">
            <w:pPr>
              <w:jc w:val="center"/>
              <w:rPr>
                <w:kern w:val="0"/>
                <w:szCs w:val="21"/>
              </w:rPr>
            </w:pPr>
            <w:r>
              <w:rPr>
                <w:kern w:val="0"/>
                <w:szCs w:val="21"/>
              </w:rPr>
              <w:t>80</w:t>
            </w:r>
          </w:p>
        </w:tc>
        <w:tc>
          <w:tcPr>
            <w:tcW w:w="331" w:type="pct"/>
            <w:tcBorders>
              <w:top w:val="single" w:color="000000" w:sz="2" w:space="0"/>
              <w:left w:val="single" w:color="000000" w:sz="2" w:space="0"/>
              <w:bottom w:val="single" w:color="000000" w:sz="2" w:space="0"/>
              <w:right w:val="single" w:color="000000" w:sz="2" w:space="0"/>
            </w:tcBorders>
          </w:tcPr>
          <w:p w14:paraId="0B0C838D">
            <w:pPr>
              <w:jc w:val="center"/>
              <w:rPr>
                <w:kern w:val="0"/>
                <w:szCs w:val="21"/>
              </w:rPr>
            </w:pPr>
            <w:r>
              <w:rPr>
                <w:kern w:val="0"/>
                <w:szCs w:val="21"/>
              </w:rPr>
              <w:t>74</w:t>
            </w:r>
          </w:p>
        </w:tc>
        <w:tc>
          <w:tcPr>
            <w:tcW w:w="331" w:type="pct"/>
            <w:tcBorders>
              <w:top w:val="single" w:color="000000" w:sz="2" w:space="0"/>
              <w:left w:val="single" w:color="000000" w:sz="2" w:space="0"/>
              <w:bottom w:val="single" w:color="000000" w:sz="2" w:space="0"/>
              <w:right w:val="single" w:color="000000" w:sz="2" w:space="0"/>
            </w:tcBorders>
          </w:tcPr>
          <w:p w14:paraId="7A1F8086">
            <w:pPr>
              <w:jc w:val="center"/>
              <w:rPr>
                <w:kern w:val="0"/>
                <w:szCs w:val="21"/>
              </w:rPr>
            </w:pPr>
            <w:r>
              <w:rPr>
                <w:kern w:val="0"/>
                <w:szCs w:val="21"/>
              </w:rPr>
              <w:t>70</w:t>
            </w:r>
          </w:p>
        </w:tc>
        <w:tc>
          <w:tcPr>
            <w:tcW w:w="331" w:type="pct"/>
            <w:tcBorders>
              <w:top w:val="single" w:color="000000" w:sz="2" w:space="0"/>
              <w:left w:val="single" w:color="000000" w:sz="2" w:space="0"/>
              <w:bottom w:val="single" w:color="000000" w:sz="2" w:space="0"/>
              <w:right w:val="single" w:color="000000" w:sz="2" w:space="0"/>
            </w:tcBorders>
          </w:tcPr>
          <w:p w14:paraId="25929FC0">
            <w:pPr>
              <w:jc w:val="center"/>
              <w:rPr>
                <w:kern w:val="0"/>
                <w:szCs w:val="21"/>
              </w:rPr>
            </w:pPr>
            <w:r>
              <w:rPr>
                <w:kern w:val="0"/>
                <w:szCs w:val="21"/>
              </w:rPr>
              <w:t>68</w:t>
            </w:r>
          </w:p>
        </w:tc>
        <w:tc>
          <w:tcPr>
            <w:tcW w:w="331" w:type="pct"/>
            <w:tcBorders>
              <w:top w:val="single" w:color="000000" w:sz="2" w:space="0"/>
              <w:left w:val="single" w:color="000000" w:sz="2" w:space="0"/>
              <w:bottom w:val="single" w:color="000000" w:sz="2" w:space="0"/>
              <w:right w:val="single" w:color="000000" w:sz="2" w:space="0"/>
            </w:tcBorders>
          </w:tcPr>
          <w:p w14:paraId="05074106">
            <w:pPr>
              <w:jc w:val="center"/>
              <w:rPr>
                <w:kern w:val="0"/>
                <w:szCs w:val="21"/>
              </w:rPr>
            </w:pPr>
            <w:r>
              <w:rPr>
                <w:kern w:val="0"/>
                <w:szCs w:val="21"/>
              </w:rPr>
              <w:t>66</w:t>
            </w:r>
          </w:p>
        </w:tc>
        <w:tc>
          <w:tcPr>
            <w:tcW w:w="422" w:type="pct"/>
            <w:tcBorders>
              <w:top w:val="single" w:color="000000" w:sz="2" w:space="0"/>
              <w:left w:val="single" w:color="000000" w:sz="2" w:space="0"/>
              <w:bottom w:val="single" w:color="000000" w:sz="2" w:space="0"/>
              <w:right w:val="single" w:color="000000" w:sz="2" w:space="0"/>
            </w:tcBorders>
          </w:tcPr>
          <w:p w14:paraId="02564678">
            <w:pPr>
              <w:jc w:val="center"/>
              <w:rPr>
                <w:kern w:val="0"/>
                <w:szCs w:val="21"/>
              </w:rPr>
            </w:pPr>
            <w:r>
              <w:rPr>
                <w:kern w:val="0"/>
                <w:szCs w:val="21"/>
              </w:rPr>
              <w:t>65</w:t>
            </w:r>
          </w:p>
        </w:tc>
        <w:tc>
          <w:tcPr>
            <w:tcW w:w="422" w:type="pct"/>
            <w:tcBorders>
              <w:top w:val="single" w:color="000000" w:sz="2" w:space="0"/>
              <w:left w:val="single" w:color="000000" w:sz="2" w:space="0"/>
              <w:bottom w:val="single" w:color="000000" w:sz="2" w:space="0"/>
              <w:right w:val="single" w:color="000000" w:sz="2" w:space="0"/>
            </w:tcBorders>
          </w:tcPr>
          <w:p w14:paraId="42DA216A">
            <w:pPr>
              <w:jc w:val="center"/>
              <w:rPr>
                <w:kern w:val="0"/>
                <w:szCs w:val="21"/>
              </w:rPr>
            </w:pPr>
            <w:r>
              <w:rPr>
                <w:kern w:val="0"/>
                <w:szCs w:val="21"/>
              </w:rPr>
              <w:t>60</w:t>
            </w:r>
          </w:p>
        </w:tc>
        <w:tc>
          <w:tcPr>
            <w:tcW w:w="421" w:type="pct"/>
            <w:tcBorders>
              <w:top w:val="single" w:color="000000" w:sz="2" w:space="0"/>
              <w:left w:val="single" w:color="000000" w:sz="2" w:space="0"/>
              <w:bottom w:val="single" w:color="000000" w:sz="2" w:space="0"/>
              <w:right w:val="single" w:color="000000" w:sz="2" w:space="0"/>
            </w:tcBorders>
          </w:tcPr>
          <w:p w14:paraId="4540C5B6">
            <w:pPr>
              <w:jc w:val="center"/>
              <w:rPr>
                <w:kern w:val="0"/>
                <w:szCs w:val="21"/>
              </w:rPr>
            </w:pPr>
            <w:r>
              <w:rPr>
                <w:kern w:val="0"/>
                <w:szCs w:val="21"/>
              </w:rPr>
              <w:t>57</w:t>
            </w:r>
          </w:p>
        </w:tc>
      </w:tr>
    </w:tbl>
    <w:p w14:paraId="152046DC">
      <w:pPr>
        <w:pStyle w:val="85"/>
        <w:ind w:firstLine="480"/>
        <w:rPr>
          <w:bCs/>
          <w:kern w:val="0"/>
          <w:lang w:bidi="en-US"/>
        </w:rPr>
      </w:pPr>
      <w:r>
        <w:rPr>
          <w:rFonts w:hint="eastAsia"/>
          <w:bCs/>
          <w:kern w:val="0"/>
          <w:lang w:bidi="en-US"/>
        </w:rPr>
        <w:t>由上表可知，施工机械按照《建筑施工场界环境噪声排放标准》（GB12523-2011）昼间70dB（A）和夜间55dB（A）的要求，在噪声不叠加、不考虑衰减的情况下，昼间施工现场</w:t>
      </w:r>
      <w:r>
        <w:rPr>
          <w:bCs/>
          <w:kern w:val="0"/>
          <w:lang w:bidi="en-US"/>
        </w:rPr>
        <w:t>50</w:t>
      </w:r>
      <w:r>
        <w:rPr>
          <w:rFonts w:hint="eastAsia"/>
          <w:bCs/>
          <w:kern w:val="0"/>
          <w:lang w:bidi="en-US"/>
        </w:rPr>
        <w:t>m处可达到施工厂界噪声限值要求，但是在200m处许多机械设备施工噪声仍超过夜间标准限值55dB，说明施工机械噪声夜间影响更为严重。根据施工组织设计，本工程夜间不施工，则施工期施工机械产噪主要对作业区5</w:t>
      </w:r>
      <w:r>
        <w:rPr>
          <w:bCs/>
          <w:kern w:val="0"/>
          <w:lang w:bidi="en-US"/>
        </w:rPr>
        <w:t>0</w:t>
      </w:r>
      <w:r>
        <w:rPr>
          <w:rFonts w:hint="eastAsia"/>
          <w:bCs/>
          <w:kern w:val="0"/>
          <w:lang w:bidi="en-US"/>
        </w:rPr>
        <w:t>m范围内敏感点产生影响。</w:t>
      </w:r>
    </w:p>
    <w:p w14:paraId="0664A1B7">
      <w:pPr>
        <w:pStyle w:val="85"/>
        <w:ind w:firstLine="480"/>
        <w:rPr>
          <w:bCs/>
          <w:kern w:val="0"/>
          <w:lang w:bidi="en-US"/>
        </w:rPr>
      </w:pPr>
      <w:r>
        <w:rPr>
          <w:rFonts w:hint="eastAsia"/>
          <w:bCs/>
          <w:kern w:val="0"/>
          <w:lang w:bidi="en-US"/>
        </w:rPr>
        <w:t>施工期合理安排施工时间，避免午间（12:00-14：00）施工；选用合格施工设备，加强设备检修及维护，规范操作；施工设备尽量远离敏感点布设；对距离敏感点近的采取施工围挡、声屏障隔声，经距离衰减后，对区域声环境及周边敏感点影响较小。且随施工期结束，噪声影响消失。</w:t>
      </w:r>
    </w:p>
    <w:p w14:paraId="6330878A">
      <w:pPr>
        <w:pStyle w:val="4"/>
        <w:rPr>
          <w:kern w:val="0"/>
        </w:rPr>
      </w:pPr>
      <w:r>
        <w:rPr>
          <w:rFonts w:hint="eastAsia"/>
          <w:kern w:val="0"/>
        </w:rPr>
        <w:t>固体</w:t>
      </w:r>
      <w:r>
        <w:rPr>
          <w:kern w:val="0"/>
        </w:rPr>
        <w:t>废物影响分析</w:t>
      </w:r>
    </w:p>
    <w:p w14:paraId="5BBA2D91">
      <w:pPr>
        <w:pStyle w:val="85"/>
        <w:ind w:firstLine="480"/>
        <w:rPr>
          <w:kern w:val="0"/>
        </w:rPr>
      </w:pPr>
      <w:r>
        <w:rPr>
          <w:rFonts w:hint="eastAsia"/>
          <w:kern w:val="0"/>
        </w:rPr>
        <w:t>工程开挖土方、淤泥优先用于河道基底修复及微地形梳理工程，少量多余土方就近用于护坡。工程固体废物主要为施工人员的生活垃圾</w:t>
      </w:r>
      <w:r>
        <w:rPr>
          <w:kern w:val="0"/>
        </w:rPr>
        <w:t>。</w:t>
      </w:r>
    </w:p>
    <w:p w14:paraId="3EBEF5E2">
      <w:pPr>
        <w:pStyle w:val="85"/>
        <w:ind w:firstLine="480"/>
        <w:rPr>
          <w:kern w:val="0"/>
        </w:rPr>
      </w:pPr>
      <w:r>
        <w:rPr>
          <w:kern w:val="0"/>
        </w:rPr>
        <w:t>根据工程规模和施工进度安排，高峰期的施工人数为30</w:t>
      </w:r>
      <w:r>
        <w:rPr>
          <w:rFonts w:hint="eastAsia"/>
          <w:kern w:val="0"/>
        </w:rPr>
        <w:t>人</w:t>
      </w:r>
      <w:r>
        <w:rPr>
          <w:kern w:val="0"/>
        </w:rPr>
        <w:t>，按人均0.5kg/d 的生活垃圾量估算，施工高峰期的生活垃圾量为15kg/d。工程施工期间产生的生活垃圾严禁乱抛乱丢，随地倾倒，生活垃圾统一收集后由地方环卫部门定期清运进行无害化处理，对环境的影响较小</w:t>
      </w:r>
      <w:r>
        <w:rPr>
          <w:rFonts w:hint="eastAsia"/>
          <w:kern w:val="0"/>
        </w:rPr>
        <w:t>。</w:t>
      </w:r>
    </w:p>
    <w:p w14:paraId="3EEBC2E8">
      <w:pPr>
        <w:pStyle w:val="85"/>
        <w:ind w:firstLine="480"/>
        <w:rPr>
          <w:kern w:val="0"/>
        </w:rPr>
      </w:pPr>
      <w:r>
        <w:rPr>
          <w:rFonts w:hint="eastAsia"/>
          <w:kern w:val="0"/>
        </w:rPr>
        <w:t>综上所述，施工期产生的固体废物全部得到妥善处置，不会对周围环境产生明显影响。</w:t>
      </w:r>
    </w:p>
    <w:p w14:paraId="75A11605">
      <w:pPr>
        <w:pStyle w:val="3"/>
        <w:rPr>
          <w:kern w:val="0"/>
        </w:rPr>
      </w:pPr>
      <w:bookmarkStart w:id="129" w:name="_Toc198733165"/>
      <w:r>
        <w:rPr>
          <w:rFonts w:hint="eastAsia"/>
          <w:kern w:val="0"/>
        </w:rPr>
        <w:t>运营期</w:t>
      </w:r>
      <w:r>
        <w:rPr>
          <w:kern w:val="0"/>
        </w:rPr>
        <w:t>环境影响评价</w:t>
      </w:r>
      <w:bookmarkEnd w:id="129"/>
    </w:p>
    <w:p w14:paraId="3D4F3305">
      <w:pPr>
        <w:pStyle w:val="4"/>
        <w:rPr>
          <w:kern w:val="0"/>
        </w:rPr>
      </w:pPr>
      <w:r>
        <w:rPr>
          <w:rFonts w:hint="eastAsia"/>
          <w:kern w:val="0"/>
        </w:rPr>
        <w:t>水文</w:t>
      </w:r>
      <w:r>
        <w:rPr>
          <w:kern w:val="0"/>
        </w:rPr>
        <w:t>影响</w:t>
      </w:r>
    </w:p>
    <w:p w14:paraId="2066E2FE">
      <w:pPr>
        <w:pStyle w:val="85"/>
        <w:ind w:firstLine="480"/>
        <w:rPr>
          <w:kern w:val="0"/>
        </w:rPr>
      </w:pPr>
      <w:r>
        <w:rPr>
          <w:rFonts w:hint="eastAsia"/>
          <w:kern w:val="0"/>
        </w:rPr>
        <w:t>（1）水深、水位、水面宽度、水面面积影响</w:t>
      </w:r>
    </w:p>
    <w:p w14:paraId="62F8A399">
      <w:pPr>
        <w:pStyle w:val="85"/>
        <w:ind w:firstLine="480"/>
        <w:rPr>
          <w:kern w:val="0"/>
        </w:rPr>
      </w:pPr>
      <w:r>
        <w:rPr>
          <w:rFonts w:hint="eastAsia"/>
          <w:kern w:val="0"/>
        </w:rPr>
        <w:t>因项目土方均在工程区域内基本实现土石方平衡，因此工程实施后，平均水深、水位、水面宽度和水面面积不会发生较大变化。但随着河道基底修复及微地形梳理工程的实施，清淤区域和非清淤区域水深、水位、水面宽度、水面面积变化情况略有不同。在同等来水水量的情况下，清淤区域潮河过水断面截面积略微扩大，水深增加，其它区域水深减小；清淤区域水面宽度增加，其它区域面积略微减小；清淤区域水面面积增加，其它区域面积略微减小；工程无拦蓄设施，区域水位基本不会发生变化。</w:t>
      </w:r>
    </w:p>
    <w:p w14:paraId="08376A84">
      <w:pPr>
        <w:pStyle w:val="85"/>
        <w:ind w:firstLine="480"/>
        <w:rPr>
          <w:kern w:val="0"/>
        </w:rPr>
      </w:pPr>
      <w:bookmarkStart w:id="130" w:name="OLE_LINK27"/>
      <w:r>
        <w:rPr>
          <w:rFonts w:hint="eastAsia"/>
          <w:kern w:val="0"/>
        </w:rPr>
        <w:t>工程实施后，</w:t>
      </w:r>
      <w:bookmarkEnd w:id="130"/>
      <w:bookmarkStart w:id="131" w:name="_Hlk196664862"/>
      <w:r>
        <w:rPr>
          <w:kern w:val="0"/>
        </w:rPr>
        <w:t>河床高度</w:t>
      </w:r>
      <w:r>
        <w:rPr>
          <w:rFonts w:hint="eastAsia"/>
          <w:kern w:val="0"/>
        </w:rPr>
        <w:t>趋向</w:t>
      </w:r>
      <w:r>
        <w:rPr>
          <w:kern w:val="0"/>
        </w:rPr>
        <w:t>均一，上下游河道连通更加顺畅，</w:t>
      </w:r>
      <w:r>
        <w:rPr>
          <w:rFonts w:hint="eastAsia"/>
          <w:kern w:val="0"/>
        </w:rPr>
        <w:t>工程的实施</w:t>
      </w:r>
      <w:r>
        <w:rPr>
          <w:kern w:val="0"/>
        </w:rPr>
        <w:t>不会对</w:t>
      </w:r>
      <w:r>
        <w:rPr>
          <w:rFonts w:hint="eastAsia"/>
          <w:kern w:val="0"/>
        </w:rPr>
        <w:t>潮河河水</w:t>
      </w:r>
      <w:r>
        <w:rPr>
          <w:kern w:val="0"/>
        </w:rPr>
        <w:t>流动产生不利影响</w:t>
      </w:r>
      <w:r>
        <w:rPr>
          <w:rFonts w:hint="eastAsia"/>
          <w:kern w:val="0"/>
        </w:rPr>
        <w:t>。</w:t>
      </w:r>
    </w:p>
    <w:bookmarkEnd w:id="131"/>
    <w:p w14:paraId="10D289E8">
      <w:pPr>
        <w:pStyle w:val="85"/>
        <w:ind w:firstLine="480"/>
        <w:rPr>
          <w:kern w:val="0"/>
        </w:rPr>
      </w:pPr>
      <w:r>
        <w:rPr>
          <w:rFonts w:hint="eastAsia"/>
          <w:kern w:val="0"/>
        </w:rPr>
        <w:t>（2）水量、</w:t>
      </w:r>
      <w:r>
        <w:rPr>
          <w:kern w:val="0"/>
        </w:rPr>
        <w:t>生态流量影响</w:t>
      </w:r>
    </w:p>
    <w:p w14:paraId="76240CD3">
      <w:pPr>
        <w:pStyle w:val="85"/>
        <w:ind w:firstLine="480"/>
        <w:rPr>
          <w:kern w:val="0"/>
        </w:rPr>
      </w:pPr>
      <w:r>
        <w:rPr>
          <w:rFonts w:hint="eastAsia"/>
          <w:kern w:val="0"/>
        </w:rPr>
        <w:t>潮河多年平均入境量（入滦平）为18958万</w:t>
      </w:r>
      <w:r>
        <w:rPr>
          <w:kern w:val="0"/>
        </w:rPr>
        <w:t>立方米</w:t>
      </w:r>
      <w:r>
        <w:rPr>
          <w:rFonts w:hint="eastAsia"/>
          <w:kern w:val="0"/>
        </w:rPr>
        <w:t>。当计入入境量后多年平均水资源总量为31051万</w:t>
      </w:r>
      <w:r>
        <w:rPr>
          <w:kern w:val="0"/>
        </w:rPr>
        <w:t>立方米</w:t>
      </w:r>
      <w:r>
        <w:rPr>
          <w:rFonts w:hint="eastAsia"/>
          <w:kern w:val="0"/>
        </w:rPr>
        <w:t>，入境量占水资源总量的61.1％。多年平均出境量为29338万</w:t>
      </w:r>
      <w:r>
        <w:rPr>
          <w:kern w:val="0"/>
        </w:rPr>
        <w:t>立方米</w:t>
      </w:r>
      <w:r>
        <w:rPr>
          <w:rFonts w:hint="eastAsia"/>
          <w:kern w:val="0"/>
        </w:rPr>
        <w:t>，占水资源总量的94.5％。</w:t>
      </w:r>
      <w:r>
        <w:rPr>
          <w:kern w:val="0"/>
        </w:rPr>
        <w:t>多年平均径流</w:t>
      </w:r>
      <w:r>
        <w:rPr>
          <w:rFonts w:hint="eastAsia"/>
          <w:kern w:val="0"/>
        </w:rPr>
        <w:t>深81.5</w:t>
      </w:r>
      <w:r>
        <w:rPr>
          <w:kern w:val="0"/>
        </w:rPr>
        <w:t>毫米，</w:t>
      </w:r>
      <w:r>
        <w:rPr>
          <w:rFonts w:hint="eastAsia"/>
          <w:kern w:val="0"/>
        </w:rPr>
        <w:t>年</w:t>
      </w:r>
      <w:r>
        <w:rPr>
          <w:kern w:val="0"/>
        </w:rPr>
        <w:t>产径流量</w:t>
      </w:r>
      <w:r>
        <w:rPr>
          <w:rFonts w:hint="eastAsia"/>
          <w:kern w:val="0"/>
        </w:rPr>
        <w:t>11589万</w:t>
      </w:r>
      <w:r>
        <w:rPr>
          <w:kern w:val="0"/>
        </w:rPr>
        <w:t>立方米</w:t>
      </w:r>
      <w:r>
        <w:rPr>
          <w:rFonts w:hint="eastAsia"/>
          <w:kern w:val="0"/>
        </w:rPr>
        <w:t>。滦平县潮河流域水资源总量为12093万</w:t>
      </w:r>
      <w:r>
        <w:rPr>
          <w:kern w:val="0"/>
        </w:rPr>
        <w:t>立方米</w:t>
      </w:r>
      <w:r>
        <w:rPr>
          <w:rFonts w:hint="eastAsia"/>
          <w:kern w:val="0"/>
        </w:rPr>
        <w:t>，其中地表水11589万</w:t>
      </w:r>
      <w:r>
        <w:rPr>
          <w:kern w:val="0"/>
        </w:rPr>
        <w:t>立方米</w:t>
      </w:r>
      <w:r>
        <w:rPr>
          <w:rFonts w:hint="eastAsia"/>
          <w:kern w:val="0"/>
        </w:rPr>
        <w:t>，地下水5379万</w:t>
      </w:r>
      <w:r>
        <w:rPr>
          <w:kern w:val="0"/>
        </w:rPr>
        <w:t>立方米</w:t>
      </w:r>
      <w:r>
        <w:rPr>
          <w:rFonts w:hint="eastAsia"/>
          <w:kern w:val="0"/>
        </w:rPr>
        <w:t>，地表水和地下水重复计算量（即：河川基流量）为4875万</w:t>
      </w:r>
      <w:r>
        <w:rPr>
          <w:kern w:val="0"/>
        </w:rPr>
        <w:t>立方米</w:t>
      </w:r>
      <w:r>
        <w:rPr>
          <w:rFonts w:hint="eastAsia"/>
          <w:kern w:val="0"/>
        </w:rPr>
        <w:t>。人均水资源占有量为1023.7立方米/人，亩均水资源量为851.6</w:t>
      </w:r>
      <w:r>
        <w:rPr>
          <w:kern w:val="0"/>
        </w:rPr>
        <w:t>立方米</w:t>
      </w:r>
      <w:r>
        <w:rPr>
          <w:rFonts w:hint="eastAsia"/>
          <w:kern w:val="0"/>
        </w:rPr>
        <w:t>/亩，为水资源比较丰富的地区。</w:t>
      </w:r>
    </w:p>
    <w:p w14:paraId="1BDFEA54">
      <w:pPr>
        <w:pStyle w:val="85"/>
        <w:ind w:firstLine="480"/>
        <w:rPr>
          <w:kern w:val="0"/>
        </w:rPr>
      </w:pPr>
      <w:r>
        <w:rPr>
          <w:kern w:val="0"/>
        </w:rPr>
        <w:t>拟建项目主要工程内容</w:t>
      </w:r>
      <w:r>
        <w:rPr>
          <w:rFonts w:hint="eastAsia"/>
          <w:kern w:val="0"/>
        </w:rPr>
        <w:t>仅为河道基底修复及微地形梳理和构建恢复生态缓冲带，无任何拦蓄设施，</w:t>
      </w:r>
      <w:r>
        <w:rPr>
          <w:kern w:val="0"/>
        </w:rPr>
        <w:t>不涉及蓄水量、径流补给来源等的变化，工程本身不会造成区域内径流量的明显变化。</w:t>
      </w:r>
    </w:p>
    <w:p w14:paraId="039599D3">
      <w:pPr>
        <w:pStyle w:val="85"/>
        <w:ind w:firstLine="480"/>
        <w:rPr>
          <w:kern w:val="0"/>
        </w:rPr>
      </w:pPr>
      <w:r>
        <w:rPr>
          <w:rFonts w:hint="eastAsia"/>
          <w:kern w:val="0"/>
        </w:rPr>
        <w:t>（3）水力</w:t>
      </w:r>
      <w:r>
        <w:rPr>
          <w:kern w:val="0"/>
        </w:rPr>
        <w:t>停留时间</w:t>
      </w:r>
      <w:r>
        <w:rPr>
          <w:rFonts w:hint="eastAsia"/>
          <w:kern w:val="0"/>
        </w:rPr>
        <w:t>、径流</w:t>
      </w:r>
      <w:r>
        <w:rPr>
          <w:kern w:val="0"/>
        </w:rPr>
        <w:t>过程、</w:t>
      </w:r>
      <w:r>
        <w:rPr>
          <w:rFonts w:hint="eastAsia"/>
          <w:kern w:val="0"/>
        </w:rPr>
        <w:t>流速</w:t>
      </w:r>
      <w:r>
        <w:rPr>
          <w:kern w:val="0"/>
        </w:rPr>
        <w:t>、</w:t>
      </w:r>
      <w:bookmarkStart w:id="132" w:name="_Hlk196664226"/>
      <w:r>
        <w:rPr>
          <w:rFonts w:hint="eastAsia"/>
          <w:kern w:val="0"/>
        </w:rPr>
        <w:t>冲淤</w:t>
      </w:r>
      <w:bookmarkEnd w:id="132"/>
      <w:r>
        <w:rPr>
          <w:rFonts w:hint="eastAsia"/>
          <w:kern w:val="0"/>
        </w:rPr>
        <w:t>变化</w:t>
      </w:r>
    </w:p>
    <w:p w14:paraId="34E95EA4">
      <w:pPr>
        <w:pStyle w:val="85"/>
        <w:ind w:firstLine="480"/>
        <w:rPr>
          <w:kern w:val="0"/>
        </w:rPr>
      </w:pPr>
      <w:r>
        <w:rPr>
          <w:kern w:val="0"/>
        </w:rPr>
        <w:t>本工程</w:t>
      </w:r>
      <w:r>
        <w:rPr>
          <w:rFonts w:hint="eastAsia"/>
          <w:kern w:val="0"/>
        </w:rPr>
        <w:t>建成后</w:t>
      </w:r>
      <w:r>
        <w:rPr>
          <w:kern w:val="0"/>
        </w:rPr>
        <w:t>，</w:t>
      </w:r>
      <w:r>
        <w:rPr>
          <w:rFonts w:hint="eastAsia"/>
          <w:kern w:val="0"/>
        </w:rPr>
        <w:t>河道上流来水情况不会发生变化，工程也不设拦蓄设施，潮河径流过程、停留时间、流速、冲淤情况基本不会发生变化。</w:t>
      </w:r>
    </w:p>
    <w:p w14:paraId="04B7AE21">
      <w:pPr>
        <w:pStyle w:val="85"/>
        <w:ind w:firstLine="480"/>
        <w:rPr>
          <w:kern w:val="0"/>
        </w:rPr>
      </w:pPr>
      <w:r>
        <w:rPr>
          <w:rFonts w:hint="eastAsia"/>
          <w:kern w:val="0"/>
        </w:rPr>
        <w:t>（</w:t>
      </w:r>
      <w:r>
        <w:rPr>
          <w:kern w:val="0"/>
        </w:rPr>
        <w:t>4</w:t>
      </w:r>
      <w:r>
        <w:rPr>
          <w:rFonts w:hint="eastAsia"/>
          <w:kern w:val="0"/>
        </w:rPr>
        <w:t>）水温</w:t>
      </w:r>
    </w:p>
    <w:p w14:paraId="696CE525">
      <w:pPr>
        <w:pStyle w:val="85"/>
        <w:ind w:firstLine="480"/>
        <w:rPr>
          <w:kern w:val="0"/>
        </w:rPr>
      </w:pPr>
      <w:r>
        <w:rPr>
          <w:rFonts w:hint="eastAsia"/>
          <w:kern w:val="0"/>
        </w:rPr>
        <w:t>根据前述分析，水深、水位、水面宽度、水面面积、水量、水力</w:t>
      </w:r>
      <w:r>
        <w:rPr>
          <w:kern w:val="0"/>
        </w:rPr>
        <w:t>停留时间</w:t>
      </w:r>
      <w:r>
        <w:rPr>
          <w:rFonts w:hint="eastAsia"/>
          <w:kern w:val="0"/>
        </w:rPr>
        <w:t>、径流</w:t>
      </w:r>
      <w:r>
        <w:rPr>
          <w:kern w:val="0"/>
        </w:rPr>
        <w:t>过程、</w:t>
      </w:r>
      <w:r>
        <w:rPr>
          <w:rFonts w:hint="eastAsia"/>
          <w:kern w:val="0"/>
        </w:rPr>
        <w:t>流速均未发生明显变化的前提下，河流水温基本不会发生变化。</w:t>
      </w:r>
    </w:p>
    <w:p w14:paraId="34379428">
      <w:pPr>
        <w:pStyle w:val="85"/>
        <w:ind w:firstLine="480"/>
        <w:rPr>
          <w:kern w:val="0"/>
        </w:rPr>
      </w:pPr>
      <w:r>
        <w:rPr>
          <w:rFonts w:hint="eastAsia"/>
          <w:kern w:val="0"/>
        </w:rPr>
        <w:t>（5）综合</w:t>
      </w:r>
      <w:r>
        <w:rPr>
          <w:kern w:val="0"/>
        </w:rPr>
        <w:t>结论</w:t>
      </w:r>
    </w:p>
    <w:p w14:paraId="3A7DCDD7">
      <w:pPr>
        <w:pStyle w:val="85"/>
        <w:ind w:firstLine="480"/>
        <w:rPr>
          <w:kern w:val="0"/>
        </w:rPr>
      </w:pPr>
      <w:r>
        <w:rPr>
          <w:rFonts w:hint="eastAsia"/>
          <w:kern w:val="0"/>
        </w:rPr>
        <w:t>工程不设拦蓄设施，水深、水位、水面宽度、水面面积、水量、水力停留时间、径流过程、流速、水文均不会发生明显变化。工程实施后，河床高度趋向均一，上下游河道连通更加顺畅，工程的实施不会对潮河河水流动产生不利影响。</w:t>
      </w:r>
    </w:p>
    <w:p w14:paraId="3FD6B28E">
      <w:pPr>
        <w:pStyle w:val="4"/>
        <w:rPr>
          <w:kern w:val="0"/>
        </w:rPr>
      </w:pPr>
      <w:r>
        <w:rPr>
          <w:rFonts w:hint="eastAsia"/>
          <w:kern w:val="0"/>
        </w:rPr>
        <w:t>其它</w:t>
      </w:r>
    </w:p>
    <w:p w14:paraId="325D8DFF">
      <w:pPr>
        <w:pStyle w:val="85"/>
        <w:ind w:firstLine="480"/>
        <w:rPr>
          <w:kern w:val="0"/>
        </w:rPr>
      </w:pPr>
      <w:r>
        <w:rPr>
          <w:rFonts w:hint="eastAsia"/>
          <w:kern w:val="0"/>
        </w:rPr>
        <w:t>本工程运营期不产生和排放其它污染物，不会对地表水环境、地下水环境、大气环境、声环境产生影响，也不产生固体废物。</w:t>
      </w:r>
    </w:p>
    <w:p w14:paraId="574A06C8">
      <w:pPr>
        <w:pStyle w:val="3"/>
        <w:rPr>
          <w:kern w:val="0"/>
        </w:rPr>
      </w:pPr>
      <w:bookmarkStart w:id="133" w:name="_Toc198733166"/>
      <w:r>
        <w:rPr>
          <w:rFonts w:hint="eastAsia"/>
          <w:kern w:val="0"/>
        </w:rPr>
        <w:t>生态</w:t>
      </w:r>
      <w:r>
        <w:rPr>
          <w:kern w:val="0"/>
        </w:rPr>
        <w:t>环境</w:t>
      </w:r>
      <w:r>
        <w:rPr>
          <w:rFonts w:hint="eastAsia"/>
          <w:kern w:val="0"/>
        </w:rPr>
        <w:t>影响预测</w:t>
      </w:r>
      <w:r>
        <w:rPr>
          <w:kern w:val="0"/>
        </w:rPr>
        <w:t>与评价</w:t>
      </w:r>
      <w:bookmarkEnd w:id="133"/>
    </w:p>
    <w:p w14:paraId="46FCBCDB">
      <w:pPr>
        <w:pStyle w:val="4"/>
        <w:rPr>
          <w:kern w:val="0"/>
        </w:rPr>
      </w:pPr>
      <w:r>
        <w:rPr>
          <w:rFonts w:hint="eastAsia"/>
          <w:kern w:val="0"/>
        </w:rPr>
        <w:t>生态</w:t>
      </w:r>
      <w:r>
        <w:rPr>
          <w:kern w:val="0"/>
        </w:rPr>
        <w:t>影响预测方法</w:t>
      </w:r>
    </w:p>
    <w:p w14:paraId="7E6A5F25">
      <w:pPr>
        <w:pStyle w:val="85"/>
        <w:ind w:firstLine="480"/>
        <w:rPr>
          <w:kern w:val="0"/>
        </w:rPr>
      </w:pPr>
      <w:r>
        <w:rPr>
          <w:rFonts w:hint="eastAsia"/>
          <w:kern w:val="0"/>
        </w:rPr>
        <w:t>根据《环境影响评价技术导则  生态影响》（HJ 19-2022），综合运用类比分析法、生态机理分析法、景观生态学分析法和图形叠置法等方法进行生态影响分析，其中：类比分析法主要用于对生态因子、自然资源、生态风险的影响分析；生态机理分析法主要用于对动植物资源、生态系统、主要保护对象的影响分析；景观生态学分析法主要用于对生态系统的影响分析；图形叠置法主要用于对动植物资源、生态系统、主要保护对象的影响分析。分别从建设期和运营期对生态影响评价指标体系中各指标的变化程度进行调查、预测，再综合得出最终评价结论。</w:t>
      </w:r>
    </w:p>
    <w:p w14:paraId="51D0F9F6">
      <w:pPr>
        <w:pStyle w:val="4"/>
        <w:rPr>
          <w:kern w:val="0"/>
        </w:rPr>
      </w:pPr>
      <w:r>
        <w:rPr>
          <w:rFonts w:hint="eastAsia"/>
          <w:kern w:val="0"/>
        </w:rPr>
        <w:t>陆生</w:t>
      </w:r>
      <w:r>
        <w:rPr>
          <w:kern w:val="0"/>
        </w:rPr>
        <w:t>生态影响预测与评价</w:t>
      </w:r>
    </w:p>
    <w:p w14:paraId="59124562">
      <w:pPr>
        <w:pStyle w:val="278"/>
        <w:ind w:firstLine="480"/>
        <w:rPr>
          <w:kern w:val="0"/>
        </w:rPr>
      </w:pPr>
      <w:r>
        <w:rPr>
          <w:rFonts w:hint="eastAsia"/>
          <w:kern w:val="0"/>
        </w:rPr>
        <w:t>本项目为生态修复项目，根据工程特点，本项目对生态环境的负面影响主要集中在施工期，运营期项目的实施对区域生态环境有明显的改善作用，为正面影响。</w:t>
      </w:r>
    </w:p>
    <w:p w14:paraId="2CFC9379">
      <w:pPr>
        <w:pStyle w:val="5"/>
        <w:rPr>
          <w:kern w:val="0"/>
        </w:rPr>
      </w:pPr>
      <w:r>
        <w:rPr>
          <w:rFonts w:hint="eastAsia"/>
          <w:kern w:val="0"/>
        </w:rPr>
        <w:t>对</w:t>
      </w:r>
      <w:r>
        <w:rPr>
          <w:kern w:val="0"/>
        </w:rPr>
        <w:t>陆生</w:t>
      </w:r>
      <w:r>
        <w:rPr>
          <w:rFonts w:hint="eastAsia"/>
          <w:kern w:val="0"/>
        </w:rPr>
        <w:t>植被</w:t>
      </w:r>
      <w:r>
        <w:rPr>
          <w:kern w:val="0"/>
        </w:rPr>
        <w:t>的影响</w:t>
      </w:r>
    </w:p>
    <w:p w14:paraId="70B25EBF">
      <w:pPr>
        <w:pStyle w:val="85"/>
        <w:ind w:firstLine="480"/>
        <w:rPr>
          <w:kern w:val="0"/>
        </w:rPr>
      </w:pPr>
      <w:r>
        <w:rPr>
          <w:rFonts w:hint="eastAsia"/>
          <w:kern w:val="0"/>
        </w:rPr>
        <w:t>本项目占地以河流水面和内陆滩涂为主。仅施工期间，会破坏了原有地形地貌、植被和生态，通过生态修复恢复甚至改善原有地貌、植被，陆生生态将逐渐恢复，从长远角度来看，占地对生态环境的负面影响是暂时的、可逆的。工程实施后，通过相应的水土保持措施及完工后临时占地区的植被恢复措施，可以使工程影响区内的植被在较短时间内得到较好的恢复。</w:t>
      </w:r>
    </w:p>
    <w:p w14:paraId="05E9C4C5">
      <w:pPr>
        <w:pStyle w:val="85"/>
        <w:ind w:firstLine="480"/>
        <w:rPr>
          <w:kern w:val="0"/>
        </w:rPr>
      </w:pPr>
      <w:r>
        <w:rPr>
          <w:rFonts w:hint="eastAsia"/>
          <w:kern w:val="0"/>
        </w:rPr>
        <w:t>根据调查，项目涉及区域包括芦苇草甸植被。由于工程占地会破坏地表植被，导致自然组分生物量损失，使自然系统生产能力受影响。根据工程占用土地类别，可得工程临时占地造成的生物损失量，主要为芦苇植被。</w:t>
      </w:r>
    </w:p>
    <w:p w14:paraId="742E64F2">
      <w:pPr>
        <w:pStyle w:val="85"/>
        <w:ind w:firstLine="480"/>
        <w:rPr>
          <w:kern w:val="0"/>
        </w:rPr>
      </w:pPr>
      <w:r>
        <w:rPr>
          <w:rFonts w:hint="eastAsia"/>
          <w:kern w:val="0"/>
        </w:rPr>
        <w:t>工程建设对区域植被的具体影响如下：</w:t>
      </w:r>
    </w:p>
    <w:p w14:paraId="32E39EA3">
      <w:pPr>
        <w:pStyle w:val="85"/>
        <w:ind w:firstLine="480"/>
        <w:rPr>
          <w:kern w:val="0"/>
        </w:rPr>
      </w:pPr>
      <w:r>
        <w:rPr>
          <w:rFonts w:hint="eastAsia"/>
          <w:kern w:val="0"/>
        </w:rPr>
        <w:t>（1）施工期</w:t>
      </w:r>
    </w:p>
    <w:p w14:paraId="61499D78">
      <w:pPr>
        <w:pStyle w:val="85"/>
        <w:ind w:firstLine="480"/>
        <w:rPr>
          <w:kern w:val="0"/>
        </w:rPr>
      </w:pPr>
      <w:r>
        <w:rPr>
          <w:rFonts w:hint="eastAsia"/>
          <w:kern w:val="0"/>
        </w:rPr>
        <w:t>工程施工期对评价区植物的影响主要有施工占地、清淤施工等。工程建设使得评价区少量陆域区域植被永久损失，主要为芦苇及少量杂草，该植被类型为区域常见类型，分布范围广，分布面积大，工程建设不会造成评价区域植被类型发生明显改变。</w:t>
      </w:r>
    </w:p>
    <w:p w14:paraId="602ADEA8">
      <w:pPr>
        <w:pStyle w:val="85"/>
        <w:ind w:firstLine="480"/>
        <w:rPr>
          <w:kern w:val="0"/>
        </w:rPr>
      </w:pPr>
      <w:r>
        <w:rPr>
          <w:rFonts w:hint="eastAsia"/>
          <w:kern w:val="0"/>
        </w:rPr>
        <w:t>（2）运营期</w:t>
      </w:r>
    </w:p>
    <w:p w14:paraId="67ACB99B">
      <w:pPr>
        <w:pStyle w:val="85"/>
        <w:ind w:firstLine="480"/>
        <w:rPr>
          <w:kern w:val="0"/>
        </w:rPr>
      </w:pPr>
      <w:r>
        <w:rPr>
          <w:rFonts w:hint="eastAsia"/>
          <w:kern w:val="0"/>
        </w:rPr>
        <w:t>由于区域植被均为当地常见物种，工程仅在规划的范围内建设施工，对植被的破坏范围有限，破坏程度轻微。工程选用连翘、沙地柏、高羊茅、蒿柳等植物种类对河道岸坡及滩涂进行陆生植被恢复，水域则依赖自然恢复的同时补种芦苇、菖蒲、水葱等挺水植物，建设阶段结束后，通过占地区域的生态恢复、边坡防护、堤线沿岸增加植被种植量等，逐步恢复被破坏的植被，地面植物数量将有所恢复，并达到建设施工前的水平。工程的建设造成的不利影响将逐步缓解。</w:t>
      </w:r>
    </w:p>
    <w:p w14:paraId="685962B2">
      <w:pPr>
        <w:pStyle w:val="85"/>
        <w:ind w:firstLine="480"/>
        <w:rPr>
          <w:kern w:val="0"/>
        </w:rPr>
      </w:pPr>
      <w:r>
        <w:rPr>
          <w:rFonts w:hint="eastAsia"/>
          <w:kern w:val="0"/>
        </w:rPr>
        <w:t>工程运行期可以增加该地区的蓄水量和水域面积，使该区土壤环境和空气环境更加湿润。工程运行将对周围临近地区的植物和植被演替有利，周边地区的植物种类可能会增加。</w:t>
      </w:r>
    </w:p>
    <w:p w14:paraId="482C3C60">
      <w:pPr>
        <w:pStyle w:val="5"/>
        <w:rPr>
          <w:kern w:val="0"/>
        </w:rPr>
      </w:pPr>
      <w:r>
        <w:rPr>
          <w:rFonts w:hint="eastAsia"/>
          <w:kern w:val="0"/>
        </w:rPr>
        <w:t>对</w:t>
      </w:r>
      <w:r>
        <w:rPr>
          <w:kern w:val="0"/>
        </w:rPr>
        <w:t>陆生植物的影响</w:t>
      </w:r>
    </w:p>
    <w:p w14:paraId="6415166D">
      <w:pPr>
        <w:pStyle w:val="85"/>
        <w:ind w:firstLine="480"/>
        <w:rPr>
          <w:kern w:val="0"/>
        </w:rPr>
      </w:pPr>
      <w:r>
        <w:rPr>
          <w:rFonts w:hint="eastAsia"/>
          <w:kern w:val="0"/>
        </w:rPr>
        <w:t>（1）施工期</w:t>
      </w:r>
    </w:p>
    <w:p w14:paraId="180A2E7D">
      <w:pPr>
        <w:pStyle w:val="85"/>
        <w:ind w:firstLine="480"/>
        <w:rPr>
          <w:kern w:val="0"/>
        </w:rPr>
      </w:pPr>
      <w:r>
        <w:rPr>
          <w:rFonts w:hint="eastAsia"/>
          <w:kern w:val="0"/>
        </w:rPr>
        <w:t>工程建设对陆生植物的影响主要体现在施工期施工活动产生的废水、废气、扬尘等可能会对区域植物产生的不利影响。</w:t>
      </w:r>
    </w:p>
    <w:p w14:paraId="59A6318C">
      <w:pPr>
        <w:pStyle w:val="85"/>
        <w:ind w:firstLine="480"/>
        <w:rPr>
          <w:kern w:val="0"/>
        </w:rPr>
      </w:pPr>
      <w:r>
        <w:rPr>
          <w:rFonts w:hint="eastAsia"/>
          <w:kern w:val="0"/>
        </w:rPr>
        <w:t>1）施工期废气主要来源于燃油机械的尾气，对植物的影响主要是在叶脉间或边缘出现不规则水渍状，导致叶片逐渐坏死，植物光合生产受阻，生长发育变缓。本项目施工区分散且呈线性分布，施工期机械尾气属移动线源排放，施工区废气浓度不高，其对区域及周边植物及植被的影响较小。</w:t>
      </w:r>
    </w:p>
    <w:p w14:paraId="57C7B448">
      <w:pPr>
        <w:pStyle w:val="85"/>
        <w:ind w:firstLine="480"/>
        <w:rPr>
          <w:kern w:val="0"/>
        </w:rPr>
      </w:pPr>
      <w:r>
        <w:rPr>
          <w:rFonts w:hint="eastAsia"/>
          <w:kern w:val="0"/>
        </w:rPr>
        <w:t>2）施工期废水为生活污水，废水对植物的影响主要是废水的随意排放将污染区域生态环境。但这种影响可通过</w:t>
      </w:r>
      <w:r>
        <w:rPr>
          <w:kern w:val="0"/>
        </w:rPr>
        <w:t>设置</w:t>
      </w:r>
      <w:r>
        <w:rPr>
          <w:rFonts w:hint="eastAsia"/>
          <w:kern w:val="0"/>
        </w:rPr>
        <w:t>流动式</w:t>
      </w:r>
      <w:r>
        <w:rPr>
          <w:kern w:val="0"/>
        </w:rPr>
        <w:t>旱厕</w:t>
      </w:r>
      <w:r>
        <w:rPr>
          <w:rFonts w:hint="eastAsia"/>
          <w:kern w:val="0"/>
        </w:rPr>
        <w:t>进行缓解。</w:t>
      </w:r>
    </w:p>
    <w:p w14:paraId="235C01A1">
      <w:pPr>
        <w:pStyle w:val="85"/>
        <w:ind w:firstLine="480"/>
        <w:rPr>
          <w:kern w:val="0"/>
        </w:rPr>
      </w:pPr>
      <w:r>
        <w:rPr>
          <w:rFonts w:hint="eastAsia"/>
          <w:kern w:val="0"/>
        </w:rPr>
        <w:t>3）施工期</w:t>
      </w:r>
      <w:r>
        <w:rPr>
          <w:kern w:val="0"/>
        </w:rPr>
        <w:t>地形整理涉及土方的摊铺</w:t>
      </w:r>
      <w:r>
        <w:rPr>
          <w:rFonts w:hint="eastAsia"/>
          <w:kern w:val="0"/>
        </w:rPr>
        <w:t>，不仅会压覆区域植物及植被，改变区域生境条件，还可能引起局部区域的水土流失。但这种影响可通过对就近利用</w:t>
      </w:r>
      <w:r>
        <w:rPr>
          <w:kern w:val="0"/>
        </w:rPr>
        <w:t>土方</w:t>
      </w:r>
      <w:r>
        <w:rPr>
          <w:rFonts w:hint="eastAsia"/>
          <w:kern w:val="0"/>
        </w:rPr>
        <w:t>等进行统一调配与处理等措施进行缓解。</w:t>
      </w:r>
    </w:p>
    <w:p w14:paraId="1BB73E4E">
      <w:pPr>
        <w:pStyle w:val="85"/>
        <w:ind w:firstLine="480"/>
        <w:rPr>
          <w:kern w:val="0"/>
        </w:rPr>
      </w:pPr>
      <w:r>
        <w:rPr>
          <w:rFonts w:hint="eastAsia"/>
          <w:kern w:val="0"/>
        </w:rPr>
        <w:t>4）扬尘主要来源于土方作业，土方运输，对周围植物及植被产生影响。扬尘粗颗粒随风飘落到附近地面或植物叶、茎、花表面，将对其生长生存产生不利影响。但这种影响可通过洒水抑尘等措施进行缓解。</w:t>
      </w:r>
    </w:p>
    <w:p w14:paraId="5FDDEE61">
      <w:pPr>
        <w:pStyle w:val="85"/>
        <w:ind w:firstLine="480"/>
        <w:rPr>
          <w:kern w:val="0"/>
        </w:rPr>
      </w:pPr>
      <w:r>
        <w:rPr>
          <w:rFonts w:hint="eastAsia"/>
          <w:kern w:val="0"/>
        </w:rPr>
        <w:t>5）施工期，施工人员及机械增多，施工人员活动及施工机械作业等可能会破坏区域植物及其生境。本项目施工区严格限制</w:t>
      </w:r>
      <w:r>
        <w:rPr>
          <w:kern w:val="0"/>
        </w:rPr>
        <w:t>在</w:t>
      </w:r>
      <w:r>
        <w:rPr>
          <w:rFonts w:hint="eastAsia"/>
          <w:kern w:val="0"/>
        </w:rPr>
        <w:t>工程</w:t>
      </w:r>
      <w:r>
        <w:rPr>
          <w:kern w:val="0"/>
        </w:rPr>
        <w:t>区域，不新增临时占地</w:t>
      </w:r>
      <w:r>
        <w:rPr>
          <w:rFonts w:hint="eastAsia"/>
          <w:kern w:val="0"/>
        </w:rPr>
        <w:t>，区域人为干扰范围较小，同时人为活动等可通过加强宣传教育活动，加强施工监理工作，在施工前划定施工范围等措施进行缓解，在相关措施得到落实后，人为干扰等对区域植物的影响较小。</w:t>
      </w:r>
    </w:p>
    <w:p w14:paraId="600EFA58">
      <w:pPr>
        <w:pStyle w:val="85"/>
        <w:ind w:firstLine="480"/>
        <w:rPr>
          <w:kern w:val="0"/>
        </w:rPr>
      </w:pPr>
      <w:r>
        <w:rPr>
          <w:rFonts w:hint="eastAsia"/>
          <w:kern w:val="0"/>
        </w:rPr>
        <w:t>（2）运营期</w:t>
      </w:r>
    </w:p>
    <w:p w14:paraId="39A6EC84">
      <w:pPr>
        <w:pStyle w:val="85"/>
        <w:ind w:firstLine="480"/>
        <w:rPr>
          <w:kern w:val="0"/>
        </w:rPr>
      </w:pPr>
      <w:r>
        <w:rPr>
          <w:rFonts w:hint="eastAsia"/>
          <w:kern w:val="0"/>
        </w:rPr>
        <w:t>项目建成后对评价区陆生植物的影响主要是河道主槽治理范围内原有的部分陆生植物被清除，变成了水面或栽植挺水植物。由于工程分布较分散，工程完工后，将在占地区内进行植被恢复，可在一定程度上减缓工程建设对区域植被的不利影响。</w:t>
      </w:r>
    </w:p>
    <w:p w14:paraId="53CC6908">
      <w:pPr>
        <w:pStyle w:val="5"/>
        <w:rPr>
          <w:kern w:val="0"/>
        </w:rPr>
      </w:pPr>
      <w:r>
        <w:rPr>
          <w:rFonts w:hint="eastAsia"/>
          <w:kern w:val="0"/>
        </w:rPr>
        <w:t>对</w:t>
      </w:r>
      <w:r>
        <w:rPr>
          <w:kern w:val="0"/>
        </w:rPr>
        <w:t>陆生动物的影响</w:t>
      </w:r>
    </w:p>
    <w:p w14:paraId="63E63304">
      <w:pPr>
        <w:pStyle w:val="85"/>
        <w:ind w:firstLine="482"/>
        <w:rPr>
          <w:b/>
          <w:bCs/>
          <w:kern w:val="0"/>
        </w:rPr>
      </w:pPr>
      <w:r>
        <w:rPr>
          <w:rFonts w:hint="eastAsia"/>
          <w:b/>
          <w:bCs/>
          <w:kern w:val="0"/>
        </w:rPr>
        <w:t>（一）施工期</w:t>
      </w:r>
    </w:p>
    <w:p w14:paraId="11401BDD">
      <w:pPr>
        <w:pStyle w:val="85"/>
        <w:ind w:firstLine="480"/>
        <w:rPr>
          <w:kern w:val="0"/>
        </w:rPr>
      </w:pPr>
      <w:r>
        <w:rPr>
          <w:rFonts w:hint="eastAsia"/>
          <w:kern w:val="0"/>
        </w:rPr>
        <w:t>在施工期对陆生动物的影响主要有以下几个方面：①工程占地；②施工干扰（包括噪声、废水、灯光、人为捕捉等）；③交通影响，影响范围主要为施工场地及周边地区。对各类动物的影响方式和程度具体如下：</w:t>
      </w:r>
    </w:p>
    <w:p w14:paraId="6379A6FA">
      <w:pPr>
        <w:pStyle w:val="85"/>
        <w:ind w:firstLine="480"/>
        <w:rPr>
          <w:kern w:val="0"/>
        </w:rPr>
      </w:pPr>
      <w:r>
        <w:rPr>
          <w:rFonts w:hint="eastAsia"/>
          <w:kern w:val="0"/>
        </w:rPr>
        <w:t>1、两栖类和爬行类动物的影响</w:t>
      </w:r>
    </w:p>
    <w:p w14:paraId="4D07BFC7">
      <w:pPr>
        <w:pStyle w:val="85"/>
        <w:ind w:firstLine="480"/>
        <w:rPr>
          <w:kern w:val="0"/>
        </w:rPr>
      </w:pPr>
      <w:r>
        <w:rPr>
          <w:rFonts w:hint="eastAsia"/>
          <w:kern w:val="0"/>
        </w:rPr>
        <w:t>a工程占地</w:t>
      </w:r>
    </w:p>
    <w:p w14:paraId="3D5511E8">
      <w:pPr>
        <w:pStyle w:val="85"/>
        <w:ind w:firstLine="480"/>
        <w:rPr>
          <w:kern w:val="0"/>
        </w:rPr>
      </w:pPr>
      <w:r>
        <w:rPr>
          <w:rFonts w:hint="eastAsia"/>
          <w:kern w:val="0"/>
        </w:rPr>
        <w:t>工程边坡防护工程永久破坏了两栖、爬行类的栖息地，直接造成其栖息地的损失，导致其生境范围缩小，加剧了种内种间竞争，会造成其个体及种群数量的下降。根据现场调查，评价区两栖爬行种类及数量相对贫乏，且评价区除工程占地区外适宜生境丰富，区域内两栖爬行都有一定的趋避能力，且本工程实施后，除生态护坡外，无其它永久构筑物，项目占地均为河道范围内，无新增占地。临时占地限定在工程区域内，不新增临时占地，在施工期占用破坏其生境，但由于临时占地区分布较零散，施工期间存在一定的干扰，但随着施工结束后的植被恢复和水土保持措施的实施，临时占地区的影响会逐渐减小。另外，工程施工过程中清淤、开挖等活动也可能直接造成两栖爬行类动物个体伤亡。</w:t>
      </w:r>
    </w:p>
    <w:p w14:paraId="039CB83E">
      <w:pPr>
        <w:pStyle w:val="85"/>
        <w:ind w:firstLine="480"/>
        <w:rPr>
          <w:kern w:val="0"/>
        </w:rPr>
      </w:pPr>
      <w:r>
        <w:rPr>
          <w:rFonts w:hint="eastAsia"/>
          <w:kern w:val="0"/>
        </w:rPr>
        <w:t>b施工干扰</w:t>
      </w:r>
    </w:p>
    <w:p w14:paraId="2E54D686">
      <w:pPr>
        <w:pStyle w:val="85"/>
        <w:ind w:firstLine="480"/>
        <w:rPr>
          <w:kern w:val="0"/>
        </w:rPr>
      </w:pPr>
      <w:r>
        <w:rPr>
          <w:rFonts w:hint="eastAsia"/>
          <w:kern w:val="0"/>
        </w:rPr>
        <w:t>施工期间产生的噪声、废水、灯光等也会对两栖爬行类动物产生一定的影响。施工机械及车辆噪声会对两栖爬行类动物的产生惊扰，迫使其远离工程影响区域；施工过程中机械滴漏的含油废水、施工人员生活污水等未经处理或者处理不达标排放会对两栖爬行类生境造成污染，从而劣化其生境。以上施工干扰都会使得工程影响区域内的两栖类、爬行类动物向工程干扰较小或未受影响的周边区域扩散，造成分布格局的改变，但由于评价区适宜生境丰富，这种影响不会造成整个评价区两栖、爬行类种类出现地方性的灭绝或</w:t>
      </w:r>
      <w:r>
        <w:rPr>
          <w:kern w:val="0"/>
        </w:rPr>
        <w:t>明显减少</w:t>
      </w:r>
      <w:r>
        <w:rPr>
          <w:rFonts w:hint="eastAsia"/>
          <w:kern w:val="0"/>
        </w:rPr>
        <w:t>。</w:t>
      </w:r>
    </w:p>
    <w:p w14:paraId="07B6AEC5">
      <w:pPr>
        <w:pStyle w:val="85"/>
        <w:ind w:firstLine="480"/>
        <w:rPr>
          <w:kern w:val="0"/>
        </w:rPr>
      </w:pPr>
      <w:r>
        <w:rPr>
          <w:rFonts w:hint="eastAsia"/>
          <w:kern w:val="0"/>
        </w:rPr>
        <w:t>c交通干扰</w:t>
      </w:r>
    </w:p>
    <w:p w14:paraId="065B781D">
      <w:pPr>
        <w:pStyle w:val="85"/>
        <w:ind w:firstLine="480"/>
        <w:rPr>
          <w:kern w:val="0"/>
        </w:rPr>
      </w:pPr>
      <w:r>
        <w:rPr>
          <w:rFonts w:hint="eastAsia"/>
          <w:kern w:val="0"/>
        </w:rPr>
        <w:t>工程施工期间，往来大型车辆、机械频繁。期间生态影响主要是施工干扰，和路线阻隔以及施工车辆通行直接碾压的影响。项目车辆行驶利用现有道路，区域两栖爬行种类及数量相对较少，因此车辆通行碾压造成两栖爬行个体伤亡影响较小。</w:t>
      </w:r>
    </w:p>
    <w:p w14:paraId="7E1B9B04">
      <w:pPr>
        <w:pStyle w:val="85"/>
        <w:ind w:firstLine="480"/>
        <w:rPr>
          <w:kern w:val="0"/>
        </w:rPr>
      </w:pPr>
      <w:r>
        <w:rPr>
          <w:rFonts w:hint="eastAsia"/>
          <w:kern w:val="0"/>
        </w:rPr>
        <w:t>总体而言，本工程占地、施工干扰及交通影响对区域内的两栖爬行动物存在一定的不利影响。但两栖动物和爬行动物都具有一定的迁移能力，而且工程区外围地带分布有大量的沼泽湿地等适宜生境，为避开不利影响，它们一般会向附近适宜生境中迁移。随着施工区植被恢复、水土保持生物措施等工程的实施，将成为其新的栖息地。此外，本工程进场的施工人员都是经过了严格的生态环境保护培训，施工时间严格按照环境要求划定，施工机械也都保持最优运转状态，而且工程也会配备专业的施工监理单位，因此，施工干扰影响是可以控制在最低程度的。因此，工程建设对两栖动物和爬行动物的影响主要是导致其在施工区及外围地带的分布及种群数量的变化，不改变其区系组成，更不会造成物种消失。</w:t>
      </w:r>
    </w:p>
    <w:p w14:paraId="0416E849">
      <w:pPr>
        <w:pStyle w:val="85"/>
        <w:ind w:firstLine="480"/>
        <w:rPr>
          <w:kern w:val="0"/>
        </w:rPr>
      </w:pPr>
      <w:r>
        <w:rPr>
          <w:kern w:val="0"/>
        </w:rPr>
        <w:t>2</w:t>
      </w:r>
      <w:r>
        <w:rPr>
          <w:rFonts w:hint="eastAsia"/>
          <w:kern w:val="0"/>
        </w:rPr>
        <w:t>、对鸟类的影响</w:t>
      </w:r>
    </w:p>
    <w:p w14:paraId="7DD9E77F">
      <w:pPr>
        <w:pStyle w:val="85"/>
        <w:ind w:firstLine="480"/>
        <w:rPr>
          <w:kern w:val="0"/>
        </w:rPr>
      </w:pPr>
      <w:r>
        <w:rPr>
          <w:rFonts w:hint="eastAsia"/>
          <w:kern w:val="0"/>
        </w:rPr>
        <w:t>a占地影响</w:t>
      </w:r>
    </w:p>
    <w:p w14:paraId="2B92EF12">
      <w:pPr>
        <w:pStyle w:val="85"/>
        <w:ind w:firstLine="480"/>
        <w:rPr>
          <w:kern w:val="0"/>
        </w:rPr>
      </w:pPr>
      <w:r>
        <w:rPr>
          <w:rFonts w:hint="eastAsia"/>
          <w:kern w:val="0"/>
        </w:rPr>
        <w:t>工程施工会暂时破坏这些鸟类的湿地生境等，使得评价区内分布在以上区域的鸟类丧失了部分栖息、活动、觅食环境。</w:t>
      </w:r>
    </w:p>
    <w:p w14:paraId="3EEA49CD">
      <w:pPr>
        <w:pStyle w:val="85"/>
        <w:ind w:firstLine="480"/>
        <w:rPr>
          <w:kern w:val="0"/>
        </w:rPr>
      </w:pPr>
      <w:r>
        <w:rPr>
          <w:rFonts w:hint="eastAsia"/>
          <w:kern w:val="0"/>
        </w:rPr>
        <w:t>工程施工期间因施工占地及人为活动影响使得区域鸟类栖息地减少。工程结束后，鸟类栖息地面积全部恢复。工程实施期间，作业区域外约100m范围内鸟类活动数量相对减少。项目通过合理安排施工时间，提高施工效率尽可能缩短工期，严格控制施工边界，来减缓施工期对鸟类影响程度、范围和时间。另外，由于鸟类具有迁移能力强、活动范围广及食物来源多样化的特点，工程占地区上下游潮河段分布有较多的可成为其替代生境的水面、沼泽滩涂等，工程建设新增鸟类栖息地面积，且工程完工后临时占地区会及时进行绿化或植被恢复，受影响迁移的鸟类可重新回到原生境活动，因此施工占地对鸟类的影响相对较小。</w:t>
      </w:r>
    </w:p>
    <w:p w14:paraId="3D1E0328">
      <w:pPr>
        <w:pStyle w:val="85"/>
        <w:ind w:firstLine="480"/>
        <w:rPr>
          <w:kern w:val="0"/>
        </w:rPr>
      </w:pPr>
      <w:r>
        <w:rPr>
          <w:rFonts w:hint="eastAsia"/>
          <w:kern w:val="0"/>
        </w:rPr>
        <w:t>b施工干扰</w:t>
      </w:r>
    </w:p>
    <w:p w14:paraId="436BEC86">
      <w:pPr>
        <w:pStyle w:val="85"/>
        <w:ind w:firstLine="480"/>
        <w:rPr>
          <w:kern w:val="0"/>
        </w:rPr>
      </w:pPr>
      <w:r>
        <w:rPr>
          <w:rFonts w:hint="eastAsia"/>
          <w:kern w:val="0"/>
        </w:rPr>
        <w:t>施工期间的施工干扰，如施工噪声、废水、灯光及人为捕捉等对鸟类也会造成一定的不利影响。</w:t>
      </w:r>
    </w:p>
    <w:p w14:paraId="1E5DA61A">
      <w:pPr>
        <w:pStyle w:val="85"/>
        <w:ind w:firstLine="480"/>
        <w:rPr>
          <w:kern w:val="0"/>
        </w:rPr>
      </w:pPr>
      <w:r>
        <w:rPr>
          <w:rFonts w:hint="eastAsia"/>
          <w:kern w:val="0"/>
        </w:rPr>
        <w:t>大部分鸟类对噪声较为敏感，施工过程中的机械及车辆运行噪声等会对施工区周边的鸟类造成一定的惊扰，迫使其迁往噪声影响相对较小的区域生存，同时突发的高噪声活动容易影响繁殖期鸟类的繁殖习性，如弃巢等。</w:t>
      </w:r>
    </w:p>
    <w:p w14:paraId="09B9E99F">
      <w:pPr>
        <w:pStyle w:val="85"/>
        <w:ind w:firstLine="480"/>
        <w:rPr>
          <w:kern w:val="0"/>
        </w:rPr>
      </w:pPr>
      <w:r>
        <w:rPr>
          <w:rFonts w:hint="eastAsia"/>
          <w:kern w:val="0"/>
        </w:rPr>
        <w:t>施工期的废水主要是施工人员生活污水，对鸟类影响</w:t>
      </w:r>
      <w:r>
        <w:rPr>
          <w:kern w:val="0"/>
        </w:rPr>
        <w:t>很小</w:t>
      </w:r>
      <w:r>
        <w:rPr>
          <w:rFonts w:hint="eastAsia"/>
          <w:kern w:val="0"/>
        </w:rPr>
        <w:t>。</w:t>
      </w:r>
    </w:p>
    <w:p w14:paraId="3C4438C0">
      <w:pPr>
        <w:pStyle w:val="85"/>
        <w:ind w:firstLine="480"/>
        <w:rPr>
          <w:kern w:val="0"/>
        </w:rPr>
      </w:pPr>
      <w:r>
        <w:rPr>
          <w:rFonts w:hint="eastAsia"/>
          <w:kern w:val="0"/>
        </w:rPr>
        <w:t>施工产生的扬尘、粉尘等也会劣化鸟类生境，对工程影响区内的鸟类造成影响。因此施工期间应合理安排施工时间，避免晨昏进行高噪声作业，禁止夜间施工，严格管理废水污水的处理，定期洒水抑尘，以减少施工活动对鸟类产生的不利影响。</w:t>
      </w:r>
    </w:p>
    <w:p w14:paraId="2041FC3D">
      <w:pPr>
        <w:pStyle w:val="85"/>
        <w:ind w:firstLine="480"/>
        <w:rPr>
          <w:kern w:val="0"/>
        </w:rPr>
      </w:pPr>
      <w:r>
        <w:rPr>
          <w:rFonts w:hint="eastAsia"/>
          <w:kern w:val="0"/>
        </w:rPr>
        <w:t>人为活动主要影响部分有食用价值、经济价值、观赏价值以及研究价值的鸟类，容易遭受施工人员的捕捉、捕杀等，从而造成个体数量的降低、有可能间接地影响该种鸟类的种群繁殖。施工期间应加强宣传和管理，以避免人为活动对鸟类造成影响。</w:t>
      </w:r>
    </w:p>
    <w:p w14:paraId="1E766583">
      <w:pPr>
        <w:pStyle w:val="85"/>
        <w:ind w:firstLine="480"/>
        <w:rPr>
          <w:kern w:val="0"/>
        </w:rPr>
      </w:pPr>
      <w:r>
        <w:rPr>
          <w:rFonts w:hint="eastAsia"/>
          <w:kern w:val="0"/>
        </w:rPr>
        <w:t>c交通影响</w:t>
      </w:r>
    </w:p>
    <w:p w14:paraId="3F2112A7">
      <w:pPr>
        <w:pStyle w:val="85"/>
        <w:ind w:firstLine="480"/>
        <w:rPr>
          <w:kern w:val="0"/>
        </w:rPr>
      </w:pPr>
      <w:r>
        <w:rPr>
          <w:rFonts w:hint="eastAsia"/>
          <w:kern w:val="0"/>
        </w:rPr>
        <w:t>本项目交通主要是服务施工期材料的输送干扰，通行的车辆主要是施工车辆及通行的车辆仅在施工高峰期较频繁。高峰期，车辆通行可能会出现鸟撞事件，施工期多为土料输送车辆，行车速度较缓，且鸟类的飞行能力较强，因此出现鸟撞事件的概率较低，对鸟类直接伤害影响较小。此外，车辆运行噪声对鸟类也有一定影响，但是鸟类会有一定的避趋能力，且对长期无害的噪声有较强的适应能力，因此施工车辆噪声对其影响也较为有限。</w:t>
      </w:r>
    </w:p>
    <w:p w14:paraId="72D5761E">
      <w:pPr>
        <w:pStyle w:val="85"/>
        <w:ind w:firstLine="480"/>
        <w:rPr>
          <w:kern w:val="0"/>
        </w:rPr>
      </w:pPr>
      <w:r>
        <w:rPr>
          <w:rFonts w:hint="eastAsia"/>
          <w:kern w:val="0"/>
        </w:rPr>
        <w:t>d对重要物种及鸟类迁徙影响</w:t>
      </w:r>
    </w:p>
    <w:p w14:paraId="02215ADB">
      <w:pPr>
        <w:pStyle w:val="85"/>
        <w:ind w:firstLine="480"/>
        <w:rPr>
          <w:kern w:val="0"/>
        </w:rPr>
      </w:pPr>
      <w:r>
        <w:rPr>
          <w:rFonts w:hint="eastAsia"/>
          <w:kern w:val="0"/>
        </w:rPr>
        <w:t>工程建设对受保护的野生动物的影响主要表现为栖息地丧失、人类干扰加重和对动物通道的阻隔。</w:t>
      </w:r>
    </w:p>
    <w:p w14:paraId="54A74412">
      <w:pPr>
        <w:pStyle w:val="85"/>
        <w:ind w:firstLine="480"/>
        <w:rPr>
          <w:kern w:val="0"/>
        </w:rPr>
      </w:pPr>
      <w:r>
        <w:rPr>
          <w:rFonts w:hint="eastAsia"/>
          <w:kern w:val="0"/>
        </w:rPr>
        <w:t>沿线受保护野生动物栖息地主要分布于湿地公园等受人类活动干扰较少的自然保护地等实施严格保护的区域，本项目河段涉及自然公园及生态保护红线区域，生态环境良好，湿地、森林植被较多，由于鸟类活动范围广，不排除重点保护野生动物会出现在项目区域的可能性。项目河段施工期间，潮河部分河段开展施工作业，导致野生动物在该区域内无法停留、觅食和栖息。对于受保护鸟类，由于其活动能力强、范围广，能够及时避开施工建设的不利影响。本工程实施区域视野开阔，鸟类能及时发现各类威胁，从而有效躲避危害。工程施工仅占用鸟类觅食区域的小部分，工程的实施会暂时使他们的觅食范围相对减小，并不会对它们造成大的直接影响。项目不占用鸟类迁徙重要停歇地，对其影响较小。</w:t>
      </w:r>
    </w:p>
    <w:p w14:paraId="2FEB4F71">
      <w:pPr>
        <w:pStyle w:val="85"/>
        <w:ind w:firstLine="480"/>
        <w:rPr>
          <w:kern w:val="0"/>
        </w:rPr>
      </w:pPr>
      <w:r>
        <w:rPr>
          <w:rFonts w:hint="eastAsia"/>
          <w:kern w:val="0"/>
        </w:rPr>
        <w:t>综上所述，由于鸟类活动和觅食范围较广，规避风险能力和适应能力较强，且工程施工影响范围较小，施工区外围仍有大量可替代的适宜生境，它们在受到施工活动影响后一般会自动向周边适宜生境迁移，规避施工活动造成的不利影响。工程完工后，随着施工迹地恢复和环境改善，施工区域动物种群数量将逐渐得到恢复。因此鸟类受项目建设干扰影响较小。</w:t>
      </w:r>
    </w:p>
    <w:p w14:paraId="715377EA">
      <w:pPr>
        <w:pStyle w:val="85"/>
        <w:ind w:firstLine="480"/>
        <w:rPr>
          <w:kern w:val="0"/>
        </w:rPr>
      </w:pPr>
      <w:r>
        <w:rPr>
          <w:rFonts w:hint="eastAsia"/>
          <w:kern w:val="0"/>
        </w:rPr>
        <w:t>3、对兽类的影响</w:t>
      </w:r>
    </w:p>
    <w:p w14:paraId="2A2C525B">
      <w:pPr>
        <w:pStyle w:val="85"/>
        <w:ind w:firstLine="480"/>
        <w:rPr>
          <w:kern w:val="0"/>
        </w:rPr>
      </w:pPr>
      <w:r>
        <w:rPr>
          <w:rFonts w:hint="eastAsia"/>
          <w:kern w:val="0"/>
        </w:rPr>
        <w:t>a工程占地影响</w:t>
      </w:r>
    </w:p>
    <w:p w14:paraId="01603AC3">
      <w:pPr>
        <w:pStyle w:val="85"/>
        <w:ind w:firstLine="480"/>
        <w:rPr>
          <w:kern w:val="0"/>
        </w:rPr>
      </w:pPr>
      <w:r>
        <w:rPr>
          <w:rFonts w:hint="eastAsia"/>
          <w:kern w:val="0"/>
        </w:rPr>
        <w:t>根据现场调查可知，评价区的兽类主要为啮齿目的动物，其与人类关系较为密切。工程施工期间，随着施工场地内施工</w:t>
      </w:r>
      <w:r>
        <w:rPr>
          <w:kern w:val="0"/>
        </w:rPr>
        <w:t>进行</w:t>
      </w:r>
      <w:r>
        <w:rPr>
          <w:rFonts w:hint="eastAsia"/>
          <w:kern w:val="0"/>
        </w:rPr>
        <w:t>，施工人员的进驻，以上区域的鼠科动物如小家鼠、褐家鼠、黑线姬鼠可能会逐步增加。评价区其他兽类如东北刺猬、蒙古兔等物种，在评价区常栖息于农田、草地等处。工程占地对其影响主要是人为活动干扰其栖息、活动、觅食的场地。</w:t>
      </w:r>
    </w:p>
    <w:p w14:paraId="63BB0C2D">
      <w:pPr>
        <w:pStyle w:val="85"/>
        <w:ind w:firstLine="480"/>
        <w:rPr>
          <w:kern w:val="0"/>
        </w:rPr>
      </w:pPr>
      <w:r>
        <w:rPr>
          <w:rFonts w:hint="eastAsia"/>
          <w:kern w:val="0"/>
        </w:rPr>
        <w:t>b施工干扰</w:t>
      </w:r>
    </w:p>
    <w:p w14:paraId="19CF032D">
      <w:pPr>
        <w:pStyle w:val="85"/>
        <w:ind w:firstLine="480"/>
        <w:rPr>
          <w:kern w:val="0"/>
        </w:rPr>
      </w:pPr>
      <w:r>
        <w:rPr>
          <w:rFonts w:hint="eastAsia"/>
          <w:kern w:val="0"/>
        </w:rPr>
        <w:t>除占地对兽类的影响外，施工期间的机械噪声、灯光污染以及车辆行驶和人为活动等各方面对环境的扰动，都对附近的兽类产生了一定的驱赶，兽类也会主动远离工程影响区。</w:t>
      </w:r>
    </w:p>
    <w:p w14:paraId="35B998B6">
      <w:pPr>
        <w:pStyle w:val="85"/>
        <w:ind w:firstLine="480"/>
        <w:rPr>
          <w:kern w:val="0"/>
        </w:rPr>
      </w:pPr>
      <w:r>
        <w:rPr>
          <w:rFonts w:hint="eastAsia"/>
          <w:kern w:val="0"/>
        </w:rPr>
        <w:t>c交通影响</w:t>
      </w:r>
    </w:p>
    <w:p w14:paraId="2C243CE9">
      <w:pPr>
        <w:pStyle w:val="85"/>
        <w:ind w:firstLine="480"/>
        <w:rPr>
          <w:kern w:val="0"/>
        </w:rPr>
      </w:pPr>
      <w:r>
        <w:rPr>
          <w:rFonts w:hint="eastAsia"/>
          <w:kern w:val="0"/>
        </w:rPr>
        <w:t>施工期，交通的影响主要体现在运输路线上行驶车辆对小型兽类的碾压影响。与两栖爬行及鸟类影响类似，路上行驶车辆较少，仅施工高峰期较多，但由于道路多是材料运输车辆通行，行车速度较慢，兽类也有较强的活动能力，因此直接碾压的概率较小，行驶车辆造成兽类个体伤亡的影响有限。</w:t>
      </w:r>
    </w:p>
    <w:p w14:paraId="0541725E">
      <w:pPr>
        <w:pStyle w:val="85"/>
        <w:ind w:firstLine="480"/>
        <w:rPr>
          <w:kern w:val="0"/>
        </w:rPr>
      </w:pPr>
      <w:r>
        <w:rPr>
          <w:rFonts w:hint="eastAsia"/>
          <w:kern w:val="0"/>
        </w:rPr>
        <w:t>工程完工后，随着施工迹地恢复和环境改善，施工区域动物种群数量将逐渐得到恢复。因此，工程占地、施工干扰及交通影响等对其影响相对较小。</w:t>
      </w:r>
    </w:p>
    <w:p w14:paraId="3ACD2AB5">
      <w:pPr>
        <w:pStyle w:val="85"/>
        <w:ind w:firstLine="482"/>
        <w:rPr>
          <w:b/>
          <w:kern w:val="0"/>
        </w:rPr>
      </w:pPr>
      <w:r>
        <w:rPr>
          <w:rFonts w:hint="eastAsia"/>
          <w:b/>
          <w:kern w:val="0"/>
        </w:rPr>
        <w:t>（二）运营期</w:t>
      </w:r>
    </w:p>
    <w:p w14:paraId="6BEC422F">
      <w:pPr>
        <w:pStyle w:val="85"/>
        <w:ind w:firstLine="480"/>
        <w:rPr>
          <w:kern w:val="0"/>
        </w:rPr>
      </w:pPr>
      <w:r>
        <w:rPr>
          <w:rFonts w:hint="eastAsia"/>
          <w:kern w:val="0"/>
        </w:rPr>
        <w:t>项目建成后，该区域内水域和滩涂面积增加，为区域两栖爬行的繁殖提供了适宜的生境，评价区潮湿的环境有利于植物的生长，岸边生境的改善对适应这一区域的动物摄食有利，为其带来一种安定的生活环境，可能导致评价区内两栖爬行类动物种类和数量增加。经过一段时间的调节后，其种群密度将达到生态平衡状态。</w:t>
      </w:r>
    </w:p>
    <w:p w14:paraId="61B3FC82">
      <w:pPr>
        <w:pStyle w:val="85"/>
        <w:ind w:firstLine="482"/>
        <w:rPr>
          <w:b/>
          <w:kern w:val="0"/>
        </w:rPr>
      </w:pPr>
      <w:r>
        <w:rPr>
          <w:rFonts w:hint="eastAsia"/>
          <w:b/>
          <w:kern w:val="0"/>
        </w:rPr>
        <w:t>（三）对</w:t>
      </w:r>
      <w:r>
        <w:rPr>
          <w:b/>
          <w:kern w:val="0"/>
        </w:rPr>
        <w:t>重点保护野生动物的影响</w:t>
      </w:r>
    </w:p>
    <w:p w14:paraId="50EAF5BF">
      <w:pPr>
        <w:pStyle w:val="85"/>
        <w:ind w:firstLine="480"/>
        <w:rPr>
          <w:kern w:val="0"/>
        </w:rPr>
      </w:pPr>
      <w:r>
        <w:rPr>
          <w:rFonts w:hint="eastAsia"/>
          <w:kern w:val="0"/>
        </w:rPr>
        <w:t>工程建设期间由于施工人员活动、施工机械、车辆噪声会对建设区域动物产生影响。受工程影响较为明显的鸟类主要为芦苇沼泽生境栖息的鸟类，对农田生境鸟类群落、灌草丛生境鸟类群落影响很小。</w:t>
      </w:r>
    </w:p>
    <w:p w14:paraId="60E27727">
      <w:pPr>
        <w:pStyle w:val="85"/>
        <w:ind w:firstLine="480"/>
        <w:rPr>
          <w:kern w:val="0"/>
        </w:rPr>
      </w:pPr>
      <w:r>
        <w:rPr>
          <w:rFonts w:hint="eastAsia"/>
          <w:kern w:val="0"/>
        </w:rPr>
        <w:t>工程实施后，通过相应的水土保持措施及完工后临时占地区的植被恢复措施和鸟类栖息地改造措施，可以使工程影响区内的植被在较短时间内得到较好的恢复，有利于改善区域生态环境和陆生动物栖息环境。</w:t>
      </w:r>
    </w:p>
    <w:p w14:paraId="6B01FA0B">
      <w:pPr>
        <w:pStyle w:val="85"/>
        <w:ind w:firstLine="480"/>
        <w:rPr>
          <w:kern w:val="0"/>
        </w:rPr>
      </w:pPr>
      <w:r>
        <w:rPr>
          <w:rFonts w:hint="eastAsia"/>
          <w:kern w:val="0"/>
        </w:rPr>
        <w:t>综上所述，工程建设在施工期对依赖水面及沼泽栖息的鸟类影响较大，施工结束采取恢复措施后，本工程的实施对评价区野生动物栖息地有明显的改善作用。</w:t>
      </w:r>
    </w:p>
    <w:p w14:paraId="45E260E5">
      <w:pPr>
        <w:pStyle w:val="85"/>
        <w:ind w:firstLine="482"/>
        <w:rPr>
          <w:b/>
          <w:kern w:val="0"/>
        </w:rPr>
      </w:pPr>
      <w:r>
        <w:rPr>
          <w:rFonts w:hint="eastAsia"/>
          <w:b/>
          <w:kern w:val="0"/>
        </w:rPr>
        <w:t>（四）对</w:t>
      </w:r>
      <w:r>
        <w:rPr>
          <w:b/>
          <w:kern w:val="0"/>
        </w:rPr>
        <w:t>生物多样性的影响</w:t>
      </w:r>
    </w:p>
    <w:p w14:paraId="18AC166C">
      <w:pPr>
        <w:pStyle w:val="85"/>
        <w:ind w:firstLine="480"/>
        <w:rPr>
          <w:kern w:val="0"/>
        </w:rPr>
      </w:pPr>
      <w:r>
        <w:rPr>
          <w:rFonts w:hint="eastAsia"/>
          <w:kern w:val="0"/>
        </w:rPr>
        <w:t>1）植物</w:t>
      </w:r>
    </w:p>
    <w:p w14:paraId="1CE4EFEC">
      <w:pPr>
        <w:pStyle w:val="85"/>
        <w:ind w:firstLine="480"/>
        <w:rPr>
          <w:kern w:val="0"/>
        </w:rPr>
      </w:pPr>
      <w:r>
        <w:rPr>
          <w:rFonts w:hint="eastAsia"/>
          <w:kern w:val="0"/>
        </w:rPr>
        <w:t>根据现状调查，破坏区域内植被类型主要为芦苇等当地常见种类，工程建设期间会减少这些物种种群的数量，但由于这些物种为常见物种，分布广泛，且本项目工程占地面积较小，植被数量有限因此不会造成区域植物多样性的降低，更不会导致评价区植物物种的灭绝。</w:t>
      </w:r>
    </w:p>
    <w:p w14:paraId="15D4FD8A">
      <w:pPr>
        <w:pStyle w:val="85"/>
        <w:ind w:firstLine="480"/>
        <w:rPr>
          <w:kern w:val="0"/>
        </w:rPr>
      </w:pPr>
      <w:r>
        <w:rPr>
          <w:rFonts w:hint="eastAsia"/>
          <w:kern w:val="0"/>
        </w:rPr>
        <w:t>工程运行期间，经过对工作人员开展生态环境保护培训，制定环境保护制度，自觉保护爱护动植物，不会发生对自然植被的乱砍乱伐现象。工程周围植物群落结构稳定，工程运营期间不会对区域植物多样性造成明显影响。</w:t>
      </w:r>
    </w:p>
    <w:p w14:paraId="270F5194">
      <w:pPr>
        <w:pStyle w:val="85"/>
        <w:ind w:firstLine="480"/>
        <w:rPr>
          <w:kern w:val="0"/>
        </w:rPr>
      </w:pPr>
      <w:r>
        <w:rPr>
          <w:rFonts w:hint="eastAsia"/>
          <w:kern w:val="0"/>
        </w:rPr>
        <w:t>2）动物</w:t>
      </w:r>
    </w:p>
    <w:p w14:paraId="11B96852">
      <w:pPr>
        <w:pStyle w:val="85"/>
        <w:ind w:firstLine="480"/>
        <w:rPr>
          <w:kern w:val="0"/>
        </w:rPr>
      </w:pPr>
      <w:r>
        <w:rPr>
          <w:rFonts w:hint="eastAsia"/>
          <w:kern w:val="0"/>
        </w:rPr>
        <w:t>评价区动物以机动灵活鸟类、小型哺乳类及少量北方常见两栖爬行类为主，无大型哺乳动物。</w:t>
      </w:r>
    </w:p>
    <w:p w14:paraId="10E3C531">
      <w:pPr>
        <w:pStyle w:val="85"/>
        <w:ind w:firstLine="480"/>
        <w:rPr>
          <w:kern w:val="0"/>
        </w:rPr>
      </w:pPr>
      <w:r>
        <w:rPr>
          <w:kern w:val="0"/>
        </w:rPr>
        <w:fldChar w:fldCharType="begin"/>
      </w:r>
      <w:r>
        <w:rPr>
          <w:kern w:val="0"/>
        </w:rPr>
        <w:instrText xml:space="preserve"> </w:instrText>
      </w:r>
      <w:r>
        <w:rPr>
          <w:rFonts w:hint="eastAsia"/>
          <w:kern w:val="0"/>
        </w:rPr>
        <w:instrText xml:space="preserve">= 1 \* GB3</w:instrText>
      </w:r>
      <w:r>
        <w:rPr>
          <w:kern w:val="0"/>
        </w:rPr>
        <w:instrText xml:space="preserve"> </w:instrText>
      </w:r>
      <w:r>
        <w:rPr>
          <w:kern w:val="0"/>
        </w:rPr>
        <w:fldChar w:fldCharType="separate"/>
      </w:r>
      <w:r>
        <w:rPr>
          <w:rFonts w:hint="eastAsia"/>
          <w:kern w:val="0"/>
        </w:rPr>
        <w:t>①</w:t>
      </w:r>
      <w:r>
        <w:rPr>
          <w:kern w:val="0"/>
        </w:rPr>
        <w:fldChar w:fldCharType="end"/>
      </w:r>
      <w:r>
        <w:rPr>
          <w:rFonts w:hint="eastAsia"/>
          <w:kern w:val="0"/>
        </w:rPr>
        <w:t>对物种丰富度影响</w:t>
      </w:r>
    </w:p>
    <w:p w14:paraId="0D10B382">
      <w:pPr>
        <w:pStyle w:val="85"/>
        <w:ind w:firstLine="480"/>
        <w:rPr>
          <w:kern w:val="0"/>
        </w:rPr>
      </w:pPr>
      <w:r>
        <w:rPr>
          <w:rFonts w:hint="eastAsia"/>
          <w:kern w:val="0"/>
        </w:rPr>
        <w:t>施工期间，局部地段的个体可能会因人员活动或车辆碾压受到损害，但不会造成整个评价区内这些动物物种的消失，评价区物种数量与项目建设前差异不大，对物种丰富度影响较小。</w:t>
      </w:r>
    </w:p>
    <w:p w14:paraId="54C3395F">
      <w:pPr>
        <w:pStyle w:val="85"/>
        <w:ind w:firstLine="480"/>
        <w:rPr>
          <w:kern w:val="0"/>
        </w:rPr>
      </w:pPr>
      <w:r>
        <w:rPr>
          <w:kern w:val="0"/>
        </w:rPr>
        <w:fldChar w:fldCharType="begin"/>
      </w:r>
      <w:r>
        <w:rPr>
          <w:kern w:val="0"/>
        </w:rPr>
        <w:instrText xml:space="preserve"> </w:instrText>
      </w:r>
      <w:r>
        <w:rPr>
          <w:rFonts w:hint="eastAsia"/>
          <w:kern w:val="0"/>
        </w:rPr>
        <w:instrText xml:space="preserve">= 2 \* GB3</w:instrText>
      </w:r>
      <w:r>
        <w:rPr>
          <w:kern w:val="0"/>
        </w:rPr>
        <w:instrText xml:space="preserve"> </w:instrText>
      </w:r>
      <w:r>
        <w:rPr>
          <w:kern w:val="0"/>
        </w:rPr>
        <w:fldChar w:fldCharType="separate"/>
      </w:r>
      <w:r>
        <w:rPr>
          <w:rFonts w:hint="eastAsia"/>
          <w:kern w:val="0"/>
        </w:rPr>
        <w:t>②</w:t>
      </w:r>
      <w:r>
        <w:rPr>
          <w:kern w:val="0"/>
        </w:rPr>
        <w:fldChar w:fldCharType="end"/>
      </w:r>
      <w:r>
        <w:rPr>
          <w:rFonts w:hint="eastAsia"/>
          <w:kern w:val="0"/>
        </w:rPr>
        <w:t>对地域分布格局影响</w:t>
      </w:r>
    </w:p>
    <w:p w14:paraId="607CE5B9">
      <w:pPr>
        <w:pStyle w:val="85"/>
        <w:ind w:firstLine="480"/>
        <w:rPr>
          <w:kern w:val="0"/>
        </w:rPr>
      </w:pPr>
      <w:r>
        <w:rPr>
          <w:kern w:val="0"/>
        </w:rPr>
        <w:t>受到影响的动物同类生境易于找寻，它们将因栖息地被占用而迁移至附近相同的生境。</w:t>
      </w:r>
      <w:r>
        <w:rPr>
          <w:rFonts w:hint="eastAsia"/>
          <w:kern w:val="0"/>
        </w:rPr>
        <w:t>施工期，因工业场地及人类活动使得兽类失去栖息地，将使栖息于工程占地区及附近区域动物的种群数量减小，噪声也将使栖息于工程占地区及附近区域的动物向远离噪声源地区的区域迁移。这些将使工程占地区及其附近区域的兽类物种密度在一定时期内降低，但工程对区域动物总体分布格局影响较小。</w:t>
      </w:r>
    </w:p>
    <w:p w14:paraId="3285DFD8">
      <w:pPr>
        <w:pStyle w:val="85"/>
        <w:ind w:firstLine="480"/>
        <w:rPr>
          <w:kern w:val="0"/>
        </w:rPr>
      </w:pPr>
      <w:r>
        <w:rPr>
          <w:kern w:val="0"/>
        </w:rPr>
        <w:fldChar w:fldCharType="begin"/>
      </w:r>
      <w:r>
        <w:rPr>
          <w:kern w:val="0"/>
        </w:rPr>
        <w:instrText xml:space="preserve"> </w:instrText>
      </w:r>
      <w:r>
        <w:rPr>
          <w:rFonts w:hint="eastAsia"/>
          <w:kern w:val="0"/>
        </w:rPr>
        <w:instrText xml:space="preserve">= 3 \* GB3</w:instrText>
      </w:r>
      <w:r>
        <w:rPr>
          <w:kern w:val="0"/>
        </w:rPr>
        <w:instrText xml:space="preserve"> </w:instrText>
      </w:r>
      <w:r>
        <w:rPr>
          <w:kern w:val="0"/>
        </w:rPr>
        <w:fldChar w:fldCharType="separate"/>
      </w:r>
      <w:r>
        <w:rPr>
          <w:rFonts w:hint="eastAsia"/>
          <w:kern w:val="0"/>
        </w:rPr>
        <w:t>③</w:t>
      </w:r>
      <w:r>
        <w:rPr>
          <w:kern w:val="0"/>
        </w:rPr>
        <w:fldChar w:fldCharType="end"/>
      </w:r>
      <w:r>
        <w:rPr>
          <w:rFonts w:hint="eastAsia"/>
          <w:kern w:val="0"/>
        </w:rPr>
        <w:t>对种群数量影响</w:t>
      </w:r>
    </w:p>
    <w:p w14:paraId="54E9420D">
      <w:pPr>
        <w:pStyle w:val="85"/>
        <w:ind w:firstLine="480"/>
        <w:rPr>
          <w:kern w:val="0"/>
        </w:rPr>
      </w:pPr>
      <w:r>
        <w:rPr>
          <w:rFonts w:hint="eastAsia"/>
          <w:kern w:val="0"/>
        </w:rPr>
        <w:t>施工作业将影响工程占地区及附近区域的兽类，使其逃离原栖息地或活动区域，部分可能逃离评价区。但这些物种属地区广布种，并且这些物种容易在评价区内找到适合的活动区或栖息地。工程建设不会导致评价区总的种群数量明显减少。</w:t>
      </w:r>
    </w:p>
    <w:p w14:paraId="1397CBBC">
      <w:pPr>
        <w:pStyle w:val="85"/>
        <w:ind w:firstLine="480"/>
        <w:rPr>
          <w:kern w:val="0"/>
        </w:rPr>
      </w:pPr>
      <w:r>
        <w:rPr>
          <w:kern w:val="0"/>
        </w:rPr>
        <w:t>因此，项目建设占地不会导致动物物种的减少，也不会使</w:t>
      </w:r>
      <w:r>
        <w:rPr>
          <w:rFonts w:hint="eastAsia"/>
          <w:kern w:val="0"/>
        </w:rPr>
        <w:t>工程区</w:t>
      </w:r>
      <w:r>
        <w:rPr>
          <w:kern w:val="0"/>
        </w:rPr>
        <w:t>植物群落的种类发生变化或造成某一种植物种的消失</w:t>
      </w:r>
      <w:r>
        <w:rPr>
          <w:rFonts w:hint="eastAsia"/>
          <w:kern w:val="0"/>
        </w:rPr>
        <w:t>，工程建设对区域的生物多样性影响较小。</w:t>
      </w:r>
    </w:p>
    <w:p w14:paraId="416FAB10">
      <w:pPr>
        <w:pStyle w:val="5"/>
        <w:rPr>
          <w:kern w:val="0"/>
        </w:rPr>
      </w:pPr>
      <w:r>
        <w:rPr>
          <w:rFonts w:hint="eastAsia"/>
          <w:kern w:val="0"/>
        </w:rPr>
        <w:t>对</w:t>
      </w:r>
      <w:r>
        <w:rPr>
          <w:kern w:val="0"/>
        </w:rPr>
        <w:t>生态系统的影响</w:t>
      </w:r>
    </w:p>
    <w:p w14:paraId="74024E64">
      <w:pPr>
        <w:pStyle w:val="85"/>
        <w:ind w:firstLine="480"/>
        <w:rPr>
          <w:kern w:val="0"/>
        </w:rPr>
      </w:pPr>
      <w:r>
        <w:rPr>
          <w:rFonts w:hint="eastAsia"/>
          <w:kern w:val="0"/>
        </w:rPr>
        <w:t>1）对组成的影响</w:t>
      </w:r>
    </w:p>
    <w:p w14:paraId="17863A68">
      <w:pPr>
        <w:pStyle w:val="85"/>
        <w:ind w:firstLine="480"/>
        <w:rPr>
          <w:kern w:val="0"/>
        </w:rPr>
      </w:pPr>
      <w:bookmarkStart w:id="134" w:name="_Hlk170229806"/>
      <w:r>
        <w:rPr>
          <w:rFonts w:hint="eastAsia"/>
          <w:kern w:val="0"/>
        </w:rPr>
        <w:t>本项目通过生态修复，区域湿地生态系统得以恢复，评价区内湿地生态系统面积会有所增加。</w:t>
      </w:r>
      <w:bookmarkEnd w:id="134"/>
    </w:p>
    <w:p w14:paraId="137B66CD">
      <w:pPr>
        <w:pStyle w:val="85"/>
        <w:ind w:firstLine="480"/>
        <w:rPr>
          <w:kern w:val="0"/>
        </w:rPr>
      </w:pPr>
      <w:r>
        <w:rPr>
          <w:rFonts w:hint="eastAsia"/>
          <w:kern w:val="0"/>
        </w:rPr>
        <w:t>2）对功能的影响</w:t>
      </w:r>
    </w:p>
    <w:p w14:paraId="002370BD">
      <w:pPr>
        <w:pStyle w:val="85"/>
        <w:ind w:firstLine="480"/>
        <w:rPr>
          <w:kern w:val="0"/>
        </w:rPr>
      </w:pPr>
      <w:r>
        <w:rPr>
          <w:rFonts w:hint="eastAsia"/>
          <w:kern w:val="0"/>
        </w:rPr>
        <w:t>本项目建设涉及扰动地表、破坏地表植被及植物，会对评价区生物量及生产力产生一定影响。</w:t>
      </w:r>
    </w:p>
    <w:p w14:paraId="6AA8A0DB">
      <w:pPr>
        <w:pStyle w:val="85"/>
        <w:ind w:firstLine="480"/>
        <w:rPr>
          <w:kern w:val="0"/>
        </w:rPr>
      </w:pPr>
      <w:r>
        <w:rPr>
          <w:rFonts w:hint="eastAsia"/>
          <w:kern w:val="0"/>
        </w:rPr>
        <w:t>3）生物量及生产力影响</w:t>
      </w:r>
    </w:p>
    <w:p w14:paraId="622FD31D">
      <w:pPr>
        <w:pStyle w:val="85"/>
        <w:ind w:firstLine="480"/>
        <w:rPr>
          <w:kern w:val="0"/>
          <w:szCs w:val="20"/>
        </w:rPr>
      </w:pPr>
      <w:r>
        <w:rPr>
          <w:rFonts w:hint="eastAsia"/>
          <w:kern w:val="0"/>
        </w:rPr>
        <w:t>工程涉及陆生植被面积较小，对区域生产力影响较小。受工程建设影响而遭到损失的植被以芦苇沼泽为主，生物量损失较小。施工期结束后，营造的鸟类栖息地采取植被恢复措施后植被恢复面积约3</w:t>
      </w:r>
      <w:r>
        <w:rPr>
          <w:kern w:val="0"/>
        </w:rPr>
        <w:t>5.12</w:t>
      </w:r>
      <w:r>
        <w:rPr>
          <w:rFonts w:hint="eastAsia"/>
          <w:kern w:val="0"/>
        </w:rPr>
        <w:t>hm</w:t>
      </w:r>
      <w:r>
        <w:rPr>
          <w:kern w:val="0"/>
          <w:vertAlign w:val="superscript"/>
        </w:rPr>
        <w:t>2</w:t>
      </w:r>
      <w:r>
        <w:rPr>
          <w:rFonts w:hint="eastAsia"/>
          <w:kern w:val="0"/>
        </w:rPr>
        <w:t>，经1-3年恢复后，评价区生产力水平会超过工程实施前水平，对区域生产力为正向影响</w:t>
      </w:r>
      <w:r>
        <w:rPr>
          <w:rFonts w:hint="eastAsia"/>
          <w:kern w:val="0"/>
          <w:szCs w:val="20"/>
        </w:rPr>
        <w:t>。</w:t>
      </w:r>
    </w:p>
    <w:p w14:paraId="5FC2FACA">
      <w:pPr>
        <w:pStyle w:val="5"/>
        <w:rPr>
          <w:kern w:val="0"/>
        </w:rPr>
      </w:pPr>
      <w:r>
        <w:rPr>
          <w:rFonts w:hint="eastAsia"/>
          <w:kern w:val="0"/>
        </w:rPr>
        <w:t>对土地</w:t>
      </w:r>
      <w:r>
        <w:rPr>
          <w:kern w:val="0"/>
        </w:rPr>
        <w:t>利用</w:t>
      </w:r>
      <w:r>
        <w:rPr>
          <w:rFonts w:hint="eastAsia"/>
          <w:kern w:val="0"/>
        </w:rPr>
        <w:t>的</w:t>
      </w:r>
      <w:r>
        <w:rPr>
          <w:kern w:val="0"/>
        </w:rPr>
        <w:t>影响</w:t>
      </w:r>
    </w:p>
    <w:p w14:paraId="561C0FDE">
      <w:pPr>
        <w:pStyle w:val="85"/>
        <w:ind w:firstLine="480"/>
        <w:rPr>
          <w:kern w:val="0"/>
        </w:rPr>
      </w:pPr>
      <w:r>
        <w:rPr>
          <w:rFonts w:hint="eastAsia"/>
          <w:kern w:val="0"/>
        </w:rPr>
        <w:t>工程区总面积约4</w:t>
      </w:r>
      <w:r>
        <w:rPr>
          <w:kern w:val="0"/>
        </w:rPr>
        <w:t>8.95</w:t>
      </w:r>
      <w:r>
        <w:rPr>
          <w:rFonts w:hint="eastAsia"/>
          <w:kern w:val="0"/>
        </w:rPr>
        <w:t>hm</w:t>
      </w:r>
      <w:r>
        <w:rPr>
          <w:kern w:val="0"/>
          <w:vertAlign w:val="superscript"/>
        </w:rPr>
        <w:t>2</w:t>
      </w:r>
      <w:r>
        <w:rPr>
          <w:rFonts w:hint="eastAsia"/>
          <w:kern w:val="0"/>
        </w:rPr>
        <w:t>，全部位于河道管理范围内，主要涉及主槽清淤、岸坡防护及植被恢复工程。工程建设阶段，施工占地会临时改变原有土地使用功能，由于作业区内地表层的清理、开挖、碾压、践踏等，导致原地表覆盖层的消失，裸露土地面积增加，开挖造成的土体扰动使土壤的结构、组成及理化特性等发生变化，进而影响土壤的原有使用用途及植被的生长发育等，对原有土地利用形式产生一定程度的影响。工程建设阶段，尽可能利用现有公路和乡间土路，施工结束后大部分即可恢复原有用地使用性质。</w:t>
      </w:r>
    </w:p>
    <w:p w14:paraId="0D99947D">
      <w:pPr>
        <w:pStyle w:val="85"/>
        <w:ind w:firstLine="480"/>
        <w:rPr>
          <w:kern w:val="0"/>
        </w:rPr>
      </w:pPr>
      <w:r>
        <w:rPr>
          <w:rFonts w:hint="eastAsia"/>
          <w:kern w:val="0"/>
        </w:rPr>
        <w:t>工程建设前后，项目区域土地利用类型总体不会发生明显改变。</w:t>
      </w:r>
    </w:p>
    <w:p w14:paraId="57E234E8">
      <w:pPr>
        <w:pStyle w:val="5"/>
        <w:rPr>
          <w:kern w:val="0"/>
        </w:rPr>
      </w:pPr>
      <w:r>
        <w:rPr>
          <w:rFonts w:hint="eastAsia"/>
          <w:kern w:val="0"/>
        </w:rPr>
        <w:t>外来</w:t>
      </w:r>
      <w:r>
        <w:rPr>
          <w:kern w:val="0"/>
        </w:rPr>
        <w:t>物种入侵影响</w:t>
      </w:r>
    </w:p>
    <w:p w14:paraId="1C149CA6">
      <w:pPr>
        <w:pStyle w:val="85"/>
        <w:ind w:firstLine="480"/>
        <w:rPr>
          <w:kern w:val="0"/>
        </w:rPr>
      </w:pPr>
      <w:r>
        <w:rPr>
          <w:rFonts w:hint="eastAsia"/>
          <w:kern w:val="0"/>
        </w:rPr>
        <w:t>项目建设期间施工人员和外来人员有可能携带外来物种或有害生物进入该区域。一个稳定的生态系统是经过长期进化形成的，系统中的物种经过上百年，上千年的竞争，排斥，适应和互利互助，才形成了现在相互依赖又互相制约的密切关系。一个外来物种传播后，有可能因不能适应新环境而被排斥在系统之外，有些必须要有人为的帮助才能勉强生存；也有可能因新的环境中没有相抗衡或制约它的生物，外来物种可能成为真正的入侵者，打破平衡，改变或破坏当地的生态环境。</w:t>
      </w:r>
    </w:p>
    <w:p w14:paraId="5DCA4327">
      <w:pPr>
        <w:pStyle w:val="85"/>
        <w:ind w:firstLine="480"/>
        <w:rPr>
          <w:kern w:val="0"/>
        </w:rPr>
      </w:pPr>
      <w:r>
        <w:rPr>
          <w:rFonts w:hint="eastAsia"/>
          <w:kern w:val="0"/>
        </w:rPr>
        <w:t>施工期间，大量施工车辆和施工人员进入施工区，评价区与外界的交流突然增大，增大了发生生物入侵事件的风险。这些入侵种会排挤了许多群落中的原有物种，破坏了当地原有生物群落的结构，带来极大的经济损失。工程施工期人员活动加剧，入侵物种进行传播并且产生威胁的可能性增加，因此施工期及恢复期植被选种应选择本土物种，加强施工人员、车辆管理，加强生物安全意识，防范于未然，尽可能避免携带外来物种或有害生物进入，来避免外来物种入侵风险。</w:t>
      </w:r>
    </w:p>
    <w:p w14:paraId="337F0782">
      <w:pPr>
        <w:pStyle w:val="5"/>
      </w:pPr>
      <w:r>
        <w:rPr>
          <w:rFonts w:hint="eastAsia"/>
        </w:rPr>
        <w:t>对生物多样性的影响</w:t>
      </w:r>
    </w:p>
    <w:p w14:paraId="2B4FE5FD">
      <w:pPr>
        <w:pStyle w:val="85"/>
        <w:ind w:firstLine="480"/>
        <w:rPr>
          <w:kern w:val="0"/>
        </w:rPr>
      </w:pPr>
      <w:r>
        <w:rPr>
          <w:rFonts w:hint="eastAsia"/>
          <w:kern w:val="0"/>
        </w:rPr>
        <w:t>1、物种变化</w:t>
      </w:r>
    </w:p>
    <w:p w14:paraId="3336D3A2">
      <w:pPr>
        <w:pStyle w:val="85"/>
        <w:ind w:firstLine="480"/>
        <w:rPr>
          <w:kern w:val="0"/>
        </w:rPr>
      </w:pPr>
      <w:r>
        <w:rPr>
          <w:rFonts w:hint="eastAsia"/>
          <w:kern w:val="0"/>
        </w:rPr>
        <w:t>工程区植物物种简单，包括芦苇等为主，均为当地以及周边乃至河北省常见的种。这些常见植物在评价区分布广，其部分物种的部分个体会随着工程建设而临时性减少，对评价区的生物多样性产生一定的负面影响。但是，由于它们基本是广布种，分布广泛，加上受影响的个体较少，没有一个物种种群结构会因此受到显著的影响。因此，该工程建设对评价区一般植物种类的影响不大。</w:t>
      </w:r>
    </w:p>
    <w:p w14:paraId="5961B495">
      <w:pPr>
        <w:pStyle w:val="85"/>
        <w:ind w:firstLine="480"/>
        <w:rPr>
          <w:kern w:val="0"/>
        </w:rPr>
      </w:pPr>
      <w:r>
        <w:rPr>
          <w:rFonts w:hint="eastAsia"/>
          <w:kern w:val="0"/>
        </w:rPr>
        <w:t>工程区鸟类建设期间受施工车辆设备及人为活动影响，区域活动鸟类数量将暂时减少，转移至潮河项目段上下游或两侧山地森林内。工程结束后，可回到原处活动，工程建设前后，区域植物物种和动物物种不会发生明显变化。</w:t>
      </w:r>
    </w:p>
    <w:p w14:paraId="1459A3F4">
      <w:pPr>
        <w:pStyle w:val="85"/>
        <w:ind w:firstLine="480"/>
        <w:rPr>
          <w:kern w:val="0"/>
        </w:rPr>
      </w:pPr>
      <w:r>
        <w:rPr>
          <w:rFonts w:hint="eastAsia"/>
          <w:kern w:val="0"/>
        </w:rPr>
        <w:t>2、生境变化</w:t>
      </w:r>
    </w:p>
    <w:p w14:paraId="4DF389BA">
      <w:pPr>
        <w:pStyle w:val="85"/>
        <w:ind w:firstLine="480"/>
        <w:rPr>
          <w:kern w:val="0"/>
        </w:rPr>
      </w:pPr>
      <w:r>
        <w:rPr>
          <w:rFonts w:hint="eastAsia"/>
          <w:kern w:val="0"/>
        </w:rPr>
        <w:t>工程占地主要包括河流水面和内陆滩涂等，工程建设完成后，区域土地利用类型无明显变化，但因湿地恢复，区域水面有所增加，其他草地面积减少，生境类型不会发生明显变化，但以水面和滩涂为主要组成的湿地生境面积会增加，有利于吸引周边以湿地为主要生境的鸟类物种，提高区域生物多样性水平。</w:t>
      </w:r>
    </w:p>
    <w:p w14:paraId="12F7865B">
      <w:pPr>
        <w:pStyle w:val="85"/>
        <w:ind w:firstLine="480"/>
        <w:rPr>
          <w:kern w:val="0"/>
        </w:rPr>
      </w:pPr>
      <w:r>
        <w:rPr>
          <w:rFonts w:hint="eastAsia"/>
          <w:kern w:val="0"/>
        </w:rPr>
        <w:t>3、生态系统变化</w:t>
      </w:r>
    </w:p>
    <w:p w14:paraId="3CEA061C">
      <w:pPr>
        <w:pStyle w:val="85"/>
        <w:ind w:firstLine="480"/>
        <w:rPr>
          <w:kern w:val="0"/>
        </w:rPr>
      </w:pPr>
      <w:r>
        <w:rPr>
          <w:rFonts w:hint="eastAsia"/>
          <w:kern w:val="0"/>
        </w:rPr>
        <w:t>工程建设前后，评价区内湿地生态系统无明显变化，但湿地生态环境质量明显改善，生态服务功能提高。</w:t>
      </w:r>
    </w:p>
    <w:p w14:paraId="78F92AB9">
      <w:pPr>
        <w:pStyle w:val="85"/>
        <w:ind w:firstLine="480"/>
        <w:rPr>
          <w:kern w:val="0"/>
        </w:rPr>
      </w:pPr>
      <w:r>
        <w:rPr>
          <w:rFonts w:hint="eastAsia"/>
          <w:kern w:val="0"/>
        </w:rPr>
        <w:t>综上所述，本项目建设不会造成区域重要生境丧失、退化，也不会造成生态系统退化、生物多样性下降，总体对区域生物多样性影响较小。</w:t>
      </w:r>
    </w:p>
    <w:p w14:paraId="09E8F126">
      <w:pPr>
        <w:pStyle w:val="4"/>
        <w:rPr>
          <w:kern w:val="0"/>
        </w:rPr>
      </w:pPr>
      <w:r>
        <w:rPr>
          <w:rFonts w:hint="eastAsia"/>
          <w:kern w:val="0"/>
        </w:rPr>
        <w:t>水生</w:t>
      </w:r>
      <w:r>
        <w:rPr>
          <w:kern w:val="0"/>
        </w:rPr>
        <w:t>生态影响预测与评价</w:t>
      </w:r>
    </w:p>
    <w:p w14:paraId="4877EEAF">
      <w:pPr>
        <w:pStyle w:val="5"/>
        <w:rPr>
          <w:kern w:val="0"/>
        </w:rPr>
      </w:pPr>
      <w:r>
        <w:rPr>
          <w:rFonts w:hint="eastAsia"/>
          <w:kern w:val="0"/>
        </w:rPr>
        <w:t>对</w:t>
      </w:r>
      <w:r>
        <w:rPr>
          <w:kern w:val="0"/>
        </w:rPr>
        <w:t>浮游植物的影响</w:t>
      </w:r>
    </w:p>
    <w:p w14:paraId="3C0C8C09">
      <w:pPr>
        <w:pStyle w:val="85"/>
        <w:ind w:firstLine="480"/>
        <w:rPr>
          <w:kern w:val="0"/>
        </w:rPr>
      </w:pPr>
      <w:r>
        <w:rPr>
          <w:rFonts w:hint="eastAsia"/>
          <w:kern w:val="0"/>
        </w:rPr>
        <w:t>（1）施工期</w:t>
      </w:r>
    </w:p>
    <w:p w14:paraId="486514A7">
      <w:pPr>
        <w:pStyle w:val="85"/>
        <w:ind w:firstLine="480"/>
        <w:rPr>
          <w:kern w:val="0"/>
        </w:rPr>
      </w:pPr>
      <w:r>
        <w:rPr>
          <w:rFonts w:hint="eastAsia"/>
          <w:kern w:val="0"/>
        </w:rPr>
        <w:t>疏挖施工作业会扰动施工区域水体，使得施工区域水中悬浮物浓度升高，使部分浮游生物减少。水体的透光率降低，光强的减少阻碍部分藻类等浮游植物的光合作用，降低浮游植物等初级生产者的生产力，使得浮游植物等初级生产者生物总量出现下降。浮游植物等初级生产者生物总量的减少，会使以浮游植物为食的浮游动物在单位水体所拥有的生物量相应出现减少，也会造成单位水体所拥有的鱼类及以其为食的上一级水生生物生物量出现下降，影响区域水生生物总量将减少。</w:t>
      </w:r>
    </w:p>
    <w:p w14:paraId="68D62D45">
      <w:pPr>
        <w:pStyle w:val="85"/>
        <w:ind w:firstLine="480"/>
        <w:rPr>
          <w:kern w:val="0"/>
        </w:rPr>
      </w:pPr>
      <w:r>
        <w:rPr>
          <w:rFonts w:hint="eastAsia"/>
          <w:kern w:val="0"/>
        </w:rPr>
        <w:t>工程影响的浮游生物均为常见物种，且适应环境的能力很强，施工建设可能会降低施工区域浮游生物的生物量，但不会对其种类组成、结构造成影响，且这种影响是暂时的，会随着施工的结束而逐渐得到恢复。</w:t>
      </w:r>
    </w:p>
    <w:p w14:paraId="7B93B1C4">
      <w:pPr>
        <w:pStyle w:val="85"/>
        <w:ind w:firstLine="480"/>
        <w:rPr>
          <w:kern w:val="0"/>
        </w:rPr>
      </w:pPr>
      <w:r>
        <w:rPr>
          <w:rFonts w:hint="eastAsia"/>
          <w:kern w:val="0"/>
        </w:rPr>
        <w:t>（2）运营期</w:t>
      </w:r>
    </w:p>
    <w:p w14:paraId="6C179626">
      <w:pPr>
        <w:pStyle w:val="85"/>
        <w:ind w:firstLine="480"/>
        <w:rPr>
          <w:kern w:val="0"/>
        </w:rPr>
      </w:pPr>
      <w:r>
        <w:rPr>
          <w:rFonts w:hint="eastAsia"/>
          <w:kern w:val="0"/>
        </w:rPr>
        <w:t>根据历史资料记载和水生生物现场调查，其鱼类及浮游生物种类和资源量均较多，工程实施后，河道的剖面发生了变化，构建深浅不一等的多态生境，为各种水生生物提供适宜生境，且经过生态缓冲带、水生态构建及水生植物恢复后，会使浮游植物生物多样性进一步丰富，增加生物多样性，改善区域内的水生生态环境。</w:t>
      </w:r>
    </w:p>
    <w:p w14:paraId="5FE82A03">
      <w:pPr>
        <w:pStyle w:val="5"/>
        <w:rPr>
          <w:kern w:val="0"/>
        </w:rPr>
      </w:pPr>
      <w:r>
        <w:rPr>
          <w:rFonts w:hint="eastAsia"/>
          <w:kern w:val="0"/>
        </w:rPr>
        <w:t>对</w:t>
      </w:r>
      <w:r>
        <w:rPr>
          <w:kern w:val="0"/>
        </w:rPr>
        <w:t>浮游动物的影响</w:t>
      </w:r>
    </w:p>
    <w:p w14:paraId="68A098D1">
      <w:pPr>
        <w:pStyle w:val="85"/>
        <w:ind w:firstLine="480"/>
        <w:rPr>
          <w:kern w:val="0"/>
        </w:rPr>
      </w:pPr>
      <w:r>
        <w:rPr>
          <w:rFonts w:hint="eastAsia"/>
          <w:kern w:val="0"/>
        </w:rPr>
        <w:t>（1）施工期</w:t>
      </w:r>
    </w:p>
    <w:p w14:paraId="7413810F">
      <w:pPr>
        <w:pStyle w:val="85"/>
        <w:ind w:firstLine="480"/>
        <w:rPr>
          <w:kern w:val="0"/>
        </w:rPr>
      </w:pPr>
      <w:r>
        <w:rPr>
          <w:rFonts w:hint="eastAsia"/>
          <w:kern w:val="0"/>
        </w:rPr>
        <w:t>工程建设对浮游动物最主要的影响是水上施工扰动水体，造成水体悬浮物浓度增加，从而影响浮游动物摄食率、生长率、存活率和群落等。根据有关实验结论，水中过量的悬浮物会堵塞桡足类等浮游动物的食物过滤系统和消化器官，尤以悬浮物浓度达到300mg/L以上、悬浮物为粘性淤泥时为甚，如只能分辨颗粒大小的滤食性浮游动物可能会摄入大量的泥砂，造成其内部系统紊乱；水中悬浮物浓度的增加会对桡足类等浮游动物的繁殖和存活产生一定的抑制作用。</w:t>
      </w:r>
    </w:p>
    <w:p w14:paraId="2B4B154F">
      <w:pPr>
        <w:pStyle w:val="85"/>
        <w:ind w:firstLine="480"/>
        <w:rPr>
          <w:kern w:val="0"/>
        </w:rPr>
      </w:pPr>
      <w:r>
        <w:rPr>
          <w:rFonts w:hint="eastAsia"/>
          <w:kern w:val="0"/>
        </w:rPr>
        <w:t>（2）运营期</w:t>
      </w:r>
    </w:p>
    <w:p w14:paraId="7A7D5116">
      <w:pPr>
        <w:pStyle w:val="85"/>
        <w:ind w:firstLine="480"/>
        <w:rPr>
          <w:kern w:val="0"/>
        </w:rPr>
      </w:pPr>
      <w:r>
        <w:rPr>
          <w:rFonts w:hint="eastAsia"/>
          <w:kern w:val="0"/>
        </w:rPr>
        <w:t>工程实施后，河段水质得到改善，随着上下游河流水面恢复，浮游动物种群和密度将得到恢复，对其影响较小。</w:t>
      </w:r>
    </w:p>
    <w:p w14:paraId="349CAD95">
      <w:pPr>
        <w:pStyle w:val="5"/>
        <w:rPr>
          <w:kern w:val="0"/>
        </w:rPr>
      </w:pPr>
      <w:r>
        <w:rPr>
          <w:rFonts w:hint="eastAsia"/>
          <w:kern w:val="0"/>
        </w:rPr>
        <w:t>对</w:t>
      </w:r>
      <w:r>
        <w:rPr>
          <w:kern w:val="0"/>
        </w:rPr>
        <w:t>底栖动物的影响</w:t>
      </w:r>
    </w:p>
    <w:p w14:paraId="79BBF8E1">
      <w:pPr>
        <w:pStyle w:val="85"/>
        <w:ind w:firstLine="480"/>
        <w:rPr>
          <w:kern w:val="0"/>
        </w:rPr>
      </w:pPr>
      <w:r>
        <w:rPr>
          <w:rFonts w:hint="eastAsia"/>
          <w:kern w:val="0"/>
        </w:rPr>
        <w:t>（1）施工期</w:t>
      </w:r>
    </w:p>
    <w:p w14:paraId="3B47C214">
      <w:pPr>
        <w:pStyle w:val="85"/>
        <w:ind w:firstLine="480"/>
        <w:rPr>
          <w:kern w:val="0"/>
        </w:rPr>
      </w:pPr>
      <w:r>
        <w:rPr>
          <w:rFonts w:hint="eastAsia"/>
          <w:kern w:val="0"/>
        </w:rPr>
        <w:t>疏挖施工作业改变了底栖动物原有栖息环境。施工期改变施工水域内的底质环境，使得少量活动能力强的底栖动物逃往它处，施工区域局部底栖动物将被掩埋。根据现场调查，本区域的底栖动物的优势种类主要以北方水域常见的水蚯蚓、螺、河虾、河蚬等，以上底栖动物种类主要栖息于河底底质为淤泥或泥沙的区域，工程建设将导致这部分种类遭受损失。工程结束后，随着治理河段水流恢复，底栖生物种群也将逐渐恢复。</w:t>
      </w:r>
    </w:p>
    <w:p w14:paraId="4AED5A4C">
      <w:pPr>
        <w:pStyle w:val="85"/>
        <w:ind w:firstLine="480"/>
        <w:rPr>
          <w:kern w:val="0"/>
        </w:rPr>
      </w:pPr>
      <w:r>
        <w:rPr>
          <w:rFonts w:hint="eastAsia"/>
          <w:kern w:val="0"/>
        </w:rPr>
        <w:t>（2）运营期</w:t>
      </w:r>
    </w:p>
    <w:p w14:paraId="0EADF812">
      <w:pPr>
        <w:pStyle w:val="85"/>
        <w:ind w:firstLine="480"/>
        <w:rPr>
          <w:kern w:val="0"/>
        </w:rPr>
      </w:pPr>
      <w:r>
        <w:rPr>
          <w:rFonts w:hint="eastAsia"/>
          <w:kern w:val="0"/>
        </w:rPr>
        <w:t>经治理后，潮河河道内仍然保持原有流水生境及水文特征，但加强了河道的水文联系，恢复水源涵养功能；通过生态缓冲带的建设，减少了进入水体的面源污染，改善了河段水质，结合陆生植被、挺水植被等种植，逐渐恢复水生植被，恢复底栖动物的良好生境。整体水文情势保持原有状态，底栖动物生物量总体将保持原有水平。</w:t>
      </w:r>
    </w:p>
    <w:p w14:paraId="43127194">
      <w:pPr>
        <w:pStyle w:val="5"/>
        <w:rPr>
          <w:kern w:val="0"/>
        </w:rPr>
      </w:pPr>
      <w:r>
        <w:rPr>
          <w:rFonts w:hint="eastAsia"/>
          <w:kern w:val="0"/>
        </w:rPr>
        <w:t>对</w:t>
      </w:r>
      <w:r>
        <w:rPr>
          <w:kern w:val="0"/>
        </w:rPr>
        <w:t>鱼类的影响</w:t>
      </w:r>
    </w:p>
    <w:p w14:paraId="359C0698">
      <w:pPr>
        <w:pStyle w:val="85"/>
        <w:ind w:firstLine="480"/>
        <w:rPr>
          <w:kern w:val="0"/>
        </w:rPr>
      </w:pPr>
      <w:r>
        <w:rPr>
          <w:rFonts w:hint="eastAsia"/>
          <w:kern w:val="0"/>
        </w:rPr>
        <w:t>（1）施工</w:t>
      </w:r>
      <w:r>
        <w:rPr>
          <w:kern w:val="0"/>
        </w:rPr>
        <w:t>期</w:t>
      </w:r>
    </w:p>
    <w:p w14:paraId="3DB5C82A">
      <w:pPr>
        <w:pStyle w:val="85"/>
        <w:ind w:firstLine="480"/>
        <w:rPr>
          <w:kern w:val="0"/>
        </w:rPr>
      </w:pPr>
      <w:r>
        <w:rPr>
          <w:rFonts w:hint="eastAsia"/>
          <w:kern w:val="0"/>
        </w:rPr>
        <w:t>1）对鱼类区系组成和种群结构的影响</w:t>
      </w:r>
    </w:p>
    <w:p w14:paraId="01CCD006">
      <w:pPr>
        <w:pStyle w:val="85"/>
        <w:ind w:firstLine="480"/>
        <w:rPr>
          <w:kern w:val="0"/>
        </w:rPr>
      </w:pPr>
      <w:r>
        <w:rPr>
          <w:rFonts w:hint="eastAsia"/>
          <w:kern w:val="0"/>
        </w:rPr>
        <w:t>涉及河道主槽基地修复清淤工程施工时，将产生底层悬浮物扩散场，悬浮颗粒将直接对生物幼体造成伤害；施工噪音将对施工区鱼类产生惊吓效果，导致一些鱼类个体行为紊乱，从而妨碍其正常索饵；水下施工作业还有可能致死、致伤水下栖息活动的鱼类。施工选择枯水季施工，影响是短暂的、局部的。工程结束后，水面面积增大，鱼类生存环境得到极大改善，通过上游来水，随着时间推移，鱼类区系组成和种群结构将得到恢复。</w:t>
      </w:r>
    </w:p>
    <w:p w14:paraId="295524B6">
      <w:pPr>
        <w:pStyle w:val="85"/>
        <w:ind w:firstLine="480"/>
        <w:rPr>
          <w:kern w:val="0"/>
        </w:rPr>
      </w:pPr>
      <w:r>
        <w:rPr>
          <w:rFonts w:hint="eastAsia"/>
          <w:kern w:val="0"/>
        </w:rPr>
        <w:t>2）对鱼类资源的影响</w:t>
      </w:r>
    </w:p>
    <w:p w14:paraId="426E2C3E">
      <w:pPr>
        <w:pStyle w:val="85"/>
        <w:ind w:firstLine="480"/>
        <w:rPr>
          <w:kern w:val="0"/>
        </w:rPr>
      </w:pPr>
      <w:r>
        <w:rPr>
          <w:rFonts w:hint="eastAsia"/>
          <w:kern w:val="0"/>
        </w:rPr>
        <w:t>工程对鱼类资源的影响主要表现在施工期间形成的底层悬浮物沉积物扩散场以及水下施工噪音。</w:t>
      </w:r>
    </w:p>
    <w:p w14:paraId="17A41401">
      <w:pPr>
        <w:pStyle w:val="85"/>
        <w:ind w:firstLine="480"/>
        <w:rPr>
          <w:kern w:val="0"/>
        </w:rPr>
      </w:pPr>
      <w:r>
        <w:rPr>
          <w:rFonts w:hint="eastAsia"/>
          <w:kern w:val="0"/>
        </w:rPr>
        <w:t>悬浮物颗粒将直接对鱼类仔幼体造成伤害，影响胚胎发育。工程对环境的影响主要是清淤工程施工期间引起的水体悬浮物浓度间歇性上升，其影响距离在50m之内。悬浮颗粒物的存在，会阻碍光在水下的透射，减弱真光层厚度，影响光合作用，进而影响浮游植物初级生产力，以浮游植物为饵料的浮游动物的生物量下降，以捕食浮游动物为生的鱼类，由于饵料减少，鱼类丰度可能下降，但是这种影响是局部的、有限的、暂时的。待工程结束后，影响会逐渐消失，在自然恢复条件下可基本弥补施工造成的资源损失。</w:t>
      </w:r>
    </w:p>
    <w:p w14:paraId="0CA016CD">
      <w:pPr>
        <w:pStyle w:val="85"/>
        <w:ind w:firstLine="480"/>
        <w:rPr>
          <w:kern w:val="0"/>
        </w:rPr>
      </w:pPr>
      <w:r>
        <w:rPr>
          <w:rFonts w:hint="eastAsia"/>
          <w:kern w:val="0"/>
        </w:rPr>
        <w:t>一般工程机械作业时的噪音都在 90dB 以上，施工产生的噪音在水下传播较快，并且能量耗散较小，噪音传播区域较大，施工噪音将对施工区鱼类产生惊吓效果，但只要环境噪音声强不超过一定的阈值范围，则不会对鱼类造成明显的伤害或导致其死亡。但在持续噪音刺激下，一些鱼类个体行为紊乱，从而妨碍其正常索饵现象将不可避免。但这种影响是有限的、暂时的，施工结束后，这种影响也会随之消失。</w:t>
      </w:r>
    </w:p>
    <w:p w14:paraId="74975EEE">
      <w:pPr>
        <w:pStyle w:val="85"/>
        <w:ind w:firstLine="480"/>
        <w:rPr>
          <w:kern w:val="0"/>
        </w:rPr>
      </w:pPr>
      <w:r>
        <w:rPr>
          <w:rFonts w:hint="eastAsia"/>
          <w:kern w:val="0"/>
        </w:rPr>
        <w:t>（2）运营期</w:t>
      </w:r>
    </w:p>
    <w:p w14:paraId="6E21D3F5">
      <w:pPr>
        <w:pStyle w:val="85"/>
        <w:ind w:firstLine="480"/>
        <w:rPr>
          <w:kern w:val="0"/>
        </w:rPr>
      </w:pPr>
      <w:r>
        <w:rPr>
          <w:rFonts w:hint="eastAsia"/>
          <w:kern w:val="0"/>
        </w:rPr>
        <w:t>本工程的实施后，将恢复潮河水域面积，河道内水质有所改善。生态缓冲带的建设有利于修复及完善湿地生态系统，改造及修复河流水生生态系统，增强水体的自净能力。工程结束后，水质逐渐改善，更有利于鱼类生长繁殖。</w:t>
      </w:r>
    </w:p>
    <w:p w14:paraId="22CD55D1">
      <w:pPr>
        <w:pStyle w:val="5"/>
        <w:rPr>
          <w:kern w:val="0"/>
        </w:rPr>
      </w:pPr>
      <w:r>
        <w:rPr>
          <w:rFonts w:hint="eastAsia"/>
          <w:kern w:val="0"/>
        </w:rPr>
        <w:t>对</w:t>
      </w:r>
      <w:r>
        <w:rPr>
          <w:kern w:val="0"/>
        </w:rPr>
        <w:t>水生维管束植物的影响</w:t>
      </w:r>
    </w:p>
    <w:p w14:paraId="3A61F77C">
      <w:pPr>
        <w:pStyle w:val="85"/>
        <w:ind w:firstLine="480"/>
        <w:rPr>
          <w:kern w:val="0"/>
        </w:rPr>
      </w:pPr>
      <w:r>
        <w:rPr>
          <w:rFonts w:hint="eastAsia"/>
          <w:kern w:val="0"/>
        </w:rPr>
        <w:t>（1）施工期</w:t>
      </w:r>
    </w:p>
    <w:p w14:paraId="5B60319A">
      <w:pPr>
        <w:pStyle w:val="85"/>
        <w:ind w:firstLine="480"/>
        <w:rPr>
          <w:kern w:val="0"/>
        </w:rPr>
      </w:pPr>
      <w:r>
        <w:rPr>
          <w:rFonts w:hint="eastAsia"/>
          <w:kern w:val="0"/>
        </w:rPr>
        <w:t>工程建设阶段，对主河槽内的水生植物有一定的影响。由于工程河段为行洪河段，主河槽内基本无大规模的水生植物的存在，仅在靠近河滩地的河槽边可能零星分布自然生长的水生植物，主要包括芦苇、香蒲、菹草等，均为常见植物，无国家及河北省重点保护野生植物。</w:t>
      </w:r>
    </w:p>
    <w:p w14:paraId="145BCDD2">
      <w:pPr>
        <w:pStyle w:val="85"/>
        <w:ind w:firstLine="480"/>
        <w:rPr>
          <w:kern w:val="0"/>
        </w:rPr>
      </w:pPr>
      <w:r>
        <w:rPr>
          <w:rFonts w:hint="eastAsia"/>
          <w:kern w:val="0"/>
        </w:rPr>
        <w:t>工程建设会占用水生植物生长基质，对水生维管束植物特别是沉水植物也具有破坏作用。另外，工程建设区面积有限，且这些水生植物种类为评价区广泛分布种类，工程施工不会导致这些物种的消亡。施工结束后随着水生生境的恢复，水生植物将得到一定的恢复。因此，工程建设对水生植物影响有限。</w:t>
      </w:r>
    </w:p>
    <w:p w14:paraId="20F3A1D8">
      <w:pPr>
        <w:pStyle w:val="85"/>
        <w:ind w:firstLine="480"/>
        <w:rPr>
          <w:kern w:val="0"/>
        </w:rPr>
      </w:pPr>
      <w:r>
        <w:rPr>
          <w:rFonts w:hint="eastAsia"/>
          <w:kern w:val="0"/>
        </w:rPr>
        <w:t>（2）运营期</w:t>
      </w:r>
    </w:p>
    <w:p w14:paraId="3D94A9EB">
      <w:pPr>
        <w:pStyle w:val="85"/>
        <w:ind w:firstLine="480"/>
        <w:rPr>
          <w:kern w:val="0"/>
        </w:rPr>
      </w:pPr>
      <w:r>
        <w:rPr>
          <w:rFonts w:hint="eastAsia"/>
          <w:kern w:val="0"/>
        </w:rPr>
        <w:t>工程建设完成后，评价区水体水质提升，水系连通加强，有利于水生维管束植物生长繁殖。</w:t>
      </w:r>
    </w:p>
    <w:p w14:paraId="0B477D08">
      <w:pPr>
        <w:pStyle w:val="4"/>
        <w:rPr>
          <w:kern w:val="0"/>
        </w:rPr>
      </w:pPr>
      <w:r>
        <w:rPr>
          <w:rFonts w:hint="eastAsia"/>
          <w:kern w:val="0"/>
        </w:rPr>
        <w:t>对生态敏感区影响分析</w:t>
      </w:r>
    </w:p>
    <w:p w14:paraId="50945B85">
      <w:pPr>
        <w:pStyle w:val="85"/>
        <w:ind w:firstLine="480"/>
        <w:rPr>
          <w:kern w:val="0"/>
        </w:rPr>
      </w:pPr>
      <w:r>
        <w:rPr>
          <w:rFonts w:hint="eastAsia"/>
          <w:kern w:val="0"/>
        </w:rPr>
        <w:t>1、对河北滦平潮河国家湿地公园影响分析</w:t>
      </w:r>
    </w:p>
    <w:p w14:paraId="45F19FBE">
      <w:pPr>
        <w:pStyle w:val="85"/>
        <w:ind w:firstLine="480"/>
        <w:rPr>
          <w:kern w:val="0"/>
        </w:rPr>
      </w:pPr>
      <w:bookmarkStart w:id="135" w:name="_Hlk198195278"/>
      <w:r>
        <w:rPr>
          <w:rFonts w:hint="eastAsia"/>
          <w:kern w:val="0"/>
        </w:rPr>
        <w:t>河北滦平潮河国家湿地公园位于河北省滦平县西部，主要保护对象为潮河流域湿地保护的重要站点；京津冀地区生态安全维护的重要屏障和“水塔”；滦平县重要的鸟类停歇点及栖息地。</w:t>
      </w:r>
    </w:p>
    <w:p w14:paraId="618A1BB5">
      <w:pPr>
        <w:pStyle w:val="85"/>
        <w:ind w:firstLine="480"/>
        <w:rPr>
          <w:kern w:val="0"/>
        </w:rPr>
      </w:pPr>
      <w:r>
        <w:rPr>
          <w:rFonts w:hint="eastAsia"/>
          <w:kern w:val="0"/>
        </w:rPr>
        <w:t>工程的建设施工，会占用工程河段的湿地公园，对湿地公园内的植物造成一定程度的碾压，对动物活动造成一定程度的不利影响，可能破坏一定范围的湿地资源，工程在建设施工期，对湿地公园会造成不利环境影响。拟建项目的实施，对潮河两岸防洪安全具有较大的意义，同时，更好的防洪标准，反过来有利于湿地公园内的相关设施和受保护的动植物更好的栖息与生活，在一定程度上降低可能受洪水灾害而造成的鸟类等栖息地的损坏等程度，工程的实施是对河北滦平国家湿地公园的完善与补充。同时，工程建设阶段，尽量减少临时占地，尽量避让鸟类的小范围活动区，缩短工期，减缓对动物的临时栖息影响，且工程分段施工，施工段长度均较短，且随着建设阶段结束后，工程对动物的影响也随着结束，工程建设施工结束后构建了生态缓冲带，可补偿建设阶段对湿地公园动物的临时栖息影响，对破坏的植被进行重建，同时，加强湿地公园保护宣教活动，因此，工程通过采取相应的“避让、减缓、修复和补偿”措施后，对河北滦平潮河国家湿地公园的影响较小。</w:t>
      </w:r>
    </w:p>
    <w:bookmarkEnd w:id="135"/>
    <w:p w14:paraId="0847C194">
      <w:pPr>
        <w:pStyle w:val="85"/>
        <w:ind w:firstLine="482"/>
        <w:rPr>
          <w:b/>
          <w:bCs/>
          <w:kern w:val="0"/>
        </w:rPr>
      </w:pPr>
      <w:r>
        <w:rPr>
          <w:rFonts w:hint="eastAsia"/>
          <w:b/>
          <w:bCs/>
          <w:kern w:val="0"/>
        </w:rPr>
        <w:t>2、对生态保护红线影响分析</w:t>
      </w:r>
    </w:p>
    <w:p w14:paraId="43DA01D7">
      <w:pPr>
        <w:pStyle w:val="85"/>
        <w:ind w:firstLine="480"/>
        <w:rPr>
          <w:kern w:val="0"/>
        </w:rPr>
      </w:pPr>
      <w:r>
        <w:rPr>
          <w:rFonts w:hint="eastAsia"/>
          <w:kern w:val="0"/>
        </w:rPr>
        <w:t>工程建设内容包括：基地修复及微地形梳理、构建修复生态缓冲带、陆域植被恢复、水生态构建及水生植物恢复等工程。通过上述工程，使工程区河道达到20年一遇的防洪标准，确保区域的防洪安全。</w:t>
      </w:r>
    </w:p>
    <w:p w14:paraId="1D855BFD">
      <w:pPr>
        <w:pStyle w:val="85"/>
        <w:ind w:firstLine="480"/>
        <w:rPr>
          <w:kern w:val="0"/>
        </w:rPr>
      </w:pPr>
      <w:r>
        <w:rPr>
          <w:rFonts w:hint="eastAsia"/>
          <w:kern w:val="0"/>
        </w:rPr>
        <w:t>潮河河道内部分范围为生态保护红线，项目涉及生态保护红线面积约2</w:t>
      </w:r>
      <w:r>
        <w:rPr>
          <w:kern w:val="0"/>
        </w:rPr>
        <w:t>8.72</w:t>
      </w:r>
      <w:r>
        <w:rPr>
          <w:rFonts w:hint="eastAsia"/>
          <w:kern w:val="0"/>
        </w:rPr>
        <w:t>hm</w:t>
      </w:r>
      <w:r>
        <w:rPr>
          <w:kern w:val="0"/>
          <w:vertAlign w:val="superscript"/>
        </w:rPr>
        <w:t>2</w:t>
      </w:r>
      <w:r>
        <w:rPr>
          <w:rFonts w:hint="eastAsia"/>
          <w:kern w:val="0"/>
        </w:rPr>
        <w:t>，主要是主河槽及主河槽两侧的河滩地区域。工程属于河道综合治理类工程，位于河道内的河道疏浚工工程，属于必须且无法避让，符合县级以上国土空间规划的防洪设施建设与运营维护。且工程仅在河道内开展基底清理、微地形梳理及植被恢复等内容，并按照设计施工，避免较大的生态破坏，不会损坏其生态功能，工程的实施符合潮河主导功能定位。严格限定在已批复的工程范围进行施工，不占用施工范围外的区域，对生态保护红线范围内的河道影响较小。项目建成后不改变河道功能，并且可以明显改善该河段生态环境质量，可以满足“功能不降低、面积不减少、性质不改变”的要求，符合生态保护红线的管控要求。工程在建设阶段对生态保护红线的影响较小，随着建设期的结束，上述不利影响也将随之消除。</w:t>
      </w:r>
    </w:p>
    <w:p w14:paraId="2026CC4F">
      <w:pPr>
        <w:pStyle w:val="4"/>
      </w:pPr>
      <w:r>
        <w:rPr>
          <w:rFonts w:hint="eastAsia"/>
        </w:rPr>
        <w:t>湿地生态风险影响分析</w:t>
      </w:r>
    </w:p>
    <w:p w14:paraId="0B78AC8C">
      <w:pPr>
        <w:pStyle w:val="85"/>
        <w:ind w:firstLine="480"/>
      </w:pPr>
      <w:r>
        <w:rPr>
          <w:rFonts w:hint="eastAsia"/>
        </w:rPr>
        <w:t>参照《湿地生态风险评估技术规范》（GB</w:t>
      </w:r>
      <w:r>
        <w:t>/</w:t>
      </w:r>
      <w:r>
        <w:rPr>
          <w:rFonts w:hint="eastAsia"/>
        </w:rPr>
        <w:t>T 27647-2024）中建设项目生态风险分析与监测方法，对项目在潮河国家湿地公园内实施的生态风险影响进行分析。</w:t>
      </w:r>
    </w:p>
    <w:p w14:paraId="2F803307">
      <w:pPr>
        <w:pStyle w:val="85"/>
        <w:ind w:firstLine="480"/>
      </w:pPr>
      <w:r>
        <w:rPr>
          <w:rFonts w:hint="eastAsia"/>
        </w:rPr>
        <w:t>（1）受威胁因子类型及确定</w:t>
      </w:r>
    </w:p>
    <w:p w14:paraId="643267E9">
      <w:pPr>
        <w:pStyle w:val="85"/>
        <w:ind w:firstLine="480"/>
      </w:pPr>
      <w:r>
        <w:rPr>
          <w:rFonts w:hint="eastAsia"/>
        </w:rPr>
        <w:t>本项目实施内容包括基底修复及微地形梳理、构建修复生态缓冲带、陆域植被恢复、水生态构建及水生植物恢复。</w:t>
      </w:r>
    </w:p>
    <w:p w14:paraId="7CC943B6">
      <w:pPr>
        <w:pStyle w:val="85"/>
        <w:ind w:firstLine="480"/>
      </w:pPr>
      <w:r>
        <w:rPr>
          <w:rFonts w:hint="eastAsia"/>
        </w:rPr>
        <w:t>项目基底修复及微地形梳理施工期会对湿地水体进行扰动，导致泥沙悬浮物增加，对水体存在一定污染影响；设置防护时会占用部分自然湿地；施工期间存在外来有害生物进入湿地的可能性。因此，本项目实施给潮河湿地带来的生态风险类型主要包括污染、占用、生物危害等。</w:t>
      </w:r>
    </w:p>
    <w:p w14:paraId="503796CD">
      <w:pPr>
        <w:pStyle w:val="85"/>
        <w:ind w:firstLine="480"/>
      </w:pPr>
      <w:r>
        <w:rPr>
          <w:rFonts w:hint="eastAsia"/>
        </w:rPr>
        <w:t>（2）生态风险分析</w:t>
      </w:r>
    </w:p>
    <w:p w14:paraId="7FA10FB5">
      <w:pPr>
        <w:pStyle w:val="85"/>
        <w:ind w:firstLine="480"/>
      </w:pPr>
      <w:r>
        <w:rPr>
          <w:rFonts w:hint="eastAsia"/>
        </w:rPr>
        <w:t>根据项目对湿地可能存在的生态风险类型，本次评价针对污染、占用、生物危害分别采取水质、自然湿地率、有害生物成灾面积比例进行分析。</w:t>
      </w:r>
    </w:p>
    <w:p w14:paraId="60E49FC4">
      <w:pPr>
        <w:pStyle w:val="85"/>
        <w:ind w:firstLine="48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污染</w:t>
      </w:r>
    </w:p>
    <w:p w14:paraId="3DD21CB6">
      <w:pPr>
        <w:pStyle w:val="85"/>
        <w:ind w:firstLine="480"/>
      </w:pPr>
      <w:r>
        <w:rPr>
          <w:rFonts w:hint="eastAsia"/>
        </w:rPr>
        <w:t>施工期水污染源主要为施工人员生活污水和围堰建设过程中引起的泥沙悬浮。施工区域设2座流动式厕所，粪便经流动式厕所收集后用作农肥，生活污水不外排。施工扰动引起的悬浮物污染源主要来自围堰建设过程中引起的泥沙悬浮，使施工区域水体内悬浮物含量升高，对河道水质造成一定影响，但影响是短期的，围堰建设完成，停止一段时间后即可恢复。因此项目实施对湿地水质影响较小。</w:t>
      </w:r>
    </w:p>
    <w:p w14:paraId="40A44B48">
      <w:pPr>
        <w:pStyle w:val="85"/>
        <w:ind w:firstLine="48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占用</w:t>
      </w:r>
    </w:p>
    <w:p w14:paraId="79E8E8D6">
      <w:pPr>
        <w:pStyle w:val="85"/>
        <w:ind w:firstLine="480"/>
      </w:pPr>
      <w:r>
        <w:rPr>
          <w:rFonts w:hint="eastAsia"/>
        </w:rPr>
        <w:t>项目对河道内已开垦侵占的土地进行退出，恢复湿地，项目建成后对区域湿地面积及湿地质量均有改善作用，对潮河湿地公园自然湿地率影响很小。</w:t>
      </w:r>
    </w:p>
    <w:p w14:paraId="77395838">
      <w:pPr>
        <w:pStyle w:val="85"/>
        <w:ind w:firstLine="480"/>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生物危害</w:t>
      </w:r>
    </w:p>
    <w:p w14:paraId="6DFA4D8F">
      <w:pPr>
        <w:pStyle w:val="85"/>
        <w:ind w:firstLine="480"/>
      </w:pPr>
      <w:r>
        <w:rPr>
          <w:rFonts w:hint="eastAsia"/>
        </w:rPr>
        <w:t>施工期间，大量施工车辆和施工人员进入施工区，评价区与外界的交流突然增大，增大了发生生物入侵事件的风险。这些入侵种会排挤了许多群落中的原有物种，破坏了当地原有生物群落的结构。工程施工期人员活动加剧，入侵物种进行传播并且产生威胁的可能性增加，因此施工期及恢复期植被选种应选择本土物种，加强施工人员、车辆管理，加强生物安全意识，防范于未然，尽可能避免携带外来物种或有害生物进入，来避免外来物种入侵风险。采取防范措施后，项目实施生物危害风险影响较小。</w:t>
      </w:r>
    </w:p>
    <w:p w14:paraId="3A47E423">
      <w:pPr>
        <w:pStyle w:val="85"/>
        <w:ind w:firstLine="480"/>
        <w:rPr>
          <w:kern w:val="0"/>
        </w:rPr>
      </w:pPr>
      <w:r>
        <w:rPr>
          <w:rFonts w:hint="eastAsia"/>
          <w:kern w:val="0"/>
        </w:rPr>
        <w:t>工程建设期间因施工占地会造成工程区内部分植被类型发生改变，地表植被被清除，区域活动的野生动物生境面积发生一定缩减。因地表裸露，容易造成水土流失问题。施工期严格控制施工边界，尽量减少对植被和土地的占用；通过施工前教育和施工期严格管理，约束施工人员行为，避免对区域野生动物造成伤害。采取一系列措施后，施工期带来的不良影响能够大大减缓，施工结束后对临时占地采取植被恢复、复垦或绿化措施，能够进一步减轻施工期影响。项目建设完成后，有利于滦河干流河道水生态环境的恢复，有利于水土保持，有利于改善区域生境质量，提高河北滦平潮河国家湿地公园及周边地区生物多样性水平。</w:t>
      </w:r>
    </w:p>
    <w:p w14:paraId="367E5279">
      <w:pPr>
        <w:pStyle w:val="85"/>
        <w:ind w:firstLine="480"/>
        <w:rPr>
          <w:kern w:val="0"/>
        </w:rPr>
      </w:pPr>
    </w:p>
    <w:p w14:paraId="3AD16DF5">
      <w:pPr>
        <w:pStyle w:val="85"/>
        <w:ind w:firstLine="480"/>
        <w:rPr>
          <w:kern w:val="0"/>
        </w:rPr>
        <w:sectPr>
          <w:pgSz w:w="11906" w:h="16838"/>
          <w:pgMar w:top="2007" w:right="1797" w:bottom="1724" w:left="1797" w:header="1417" w:footer="1162" w:gutter="0"/>
          <w:pgNumType w:fmt="numberInDash"/>
          <w:cols w:space="425" w:num="1"/>
          <w:docGrid w:type="lines" w:linePitch="312" w:charSpace="0"/>
        </w:sectPr>
      </w:pPr>
    </w:p>
    <w:p w14:paraId="466D0B8B">
      <w:pPr>
        <w:jc w:val="center"/>
        <w:rPr>
          <w:rFonts w:eastAsia="黑体"/>
          <w:kern w:val="0"/>
          <w:sz w:val="24"/>
          <w:szCs w:val="21"/>
        </w:rPr>
      </w:pPr>
      <w:r>
        <w:rPr>
          <w:rFonts w:hint="eastAsia" w:eastAsia="黑体"/>
          <w:bCs/>
          <w:spacing w:val="-8"/>
          <w:kern w:val="0"/>
          <w:sz w:val="24"/>
        </w:rPr>
        <w:t>表</w:t>
      </w:r>
      <w:r>
        <w:rPr>
          <w:rFonts w:eastAsia="黑体"/>
          <w:bCs/>
          <w:spacing w:val="-8"/>
          <w:kern w:val="0"/>
          <w:sz w:val="24"/>
        </w:rPr>
        <w:fldChar w:fldCharType="begin"/>
      </w:r>
      <w:r>
        <w:rPr>
          <w:rFonts w:eastAsia="黑体"/>
          <w:bCs/>
          <w:spacing w:val="-8"/>
          <w:kern w:val="0"/>
          <w:sz w:val="24"/>
        </w:rPr>
        <w:instrText xml:space="preserve"> </w:instrText>
      </w:r>
      <w:r>
        <w:rPr>
          <w:rFonts w:hint="eastAsia" w:eastAsia="黑体"/>
          <w:bCs/>
          <w:spacing w:val="-8"/>
          <w:kern w:val="0"/>
          <w:sz w:val="24"/>
        </w:rPr>
        <w:instrText xml:space="preserve">STYLEREF 1 \s</w:instrText>
      </w:r>
      <w:r>
        <w:rPr>
          <w:rFonts w:eastAsia="黑体"/>
          <w:bCs/>
          <w:spacing w:val="-8"/>
          <w:kern w:val="0"/>
          <w:sz w:val="24"/>
        </w:rPr>
        <w:instrText xml:space="preserve"> </w:instrText>
      </w:r>
      <w:r>
        <w:rPr>
          <w:rFonts w:eastAsia="黑体"/>
          <w:bCs/>
          <w:spacing w:val="-8"/>
          <w:kern w:val="0"/>
          <w:sz w:val="24"/>
        </w:rPr>
        <w:fldChar w:fldCharType="separate"/>
      </w:r>
      <w:r>
        <w:rPr>
          <w:rFonts w:eastAsia="黑体"/>
          <w:bCs/>
          <w:spacing w:val="-8"/>
          <w:kern w:val="0"/>
          <w:sz w:val="24"/>
        </w:rPr>
        <w:t>4</w:t>
      </w:r>
      <w:r>
        <w:rPr>
          <w:rFonts w:eastAsia="黑体"/>
          <w:bCs/>
          <w:spacing w:val="-8"/>
          <w:kern w:val="0"/>
          <w:sz w:val="24"/>
        </w:rPr>
        <w:fldChar w:fldCharType="end"/>
      </w:r>
      <w:r>
        <w:rPr>
          <w:rFonts w:eastAsia="黑体"/>
          <w:bCs/>
          <w:spacing w:val="-8"/>
          <w:kern w:val="0"/>
          <w:sz w:val="24"/>
        </w:rPr>
        <w:noBreakHyphen/>
      </w:r>
      <w:r>
        <w:rPr>
          <w:rFonts w:eastAsia="黑体"/>
          <w:bCs/>
          <w:spacing w:val="-8"/>
          <w:kern w:val="0"/>
          <w:sz w:val="24"/>
        </w:rPr>
        <w:fldChar w:fldCharType="begin"/>
      </w:r>
      <w:r>
        <w:rPr>
          <w:rFonts w:eastAsia="黑体"/>
          <w:bCs/>
          <w:spacing w:val="-8"/>
          <w:kern w:val="0"/>
          <w:sz w:val="24"/>
        </w:rPr>
        <w:instrText xml:space="preserve"> </w:instrText>
      </w:r>
      <w:r>
        <w:rPr>
          <w:rFonts w:hint="eastAsia" w:eastAsia="黑体"/>
          <w:bCs/>
          <w:spacing w:val="-8"/>
          <w:kern w:val="0"/>
          <w:sz w:val="24"/>
        </w:rPr>
        <w:instrText xml:space="preserve">SEQ 表 \* ARABIC \s 1</w:instrText>
      </w:r>
      <w:r>
        <w:rPr>
          <w:rFonts w:eastAsia="黑体"/>
          <w:bCs/>
          <w:spacing w:val="-8"/>
          <w:kern w:val="0"/>
          <w:sz w:val="24"/>
        </w:rPr>
        <w:instrText xml:space="preserve"> </w:instrText>
      </w:r>
      <w:r>
        <w:rPr>
          <w:rFonts w:eastAsia="黑体"/>
          <w:bCs/>
          <w:spacing w:val="-8"/>
          <w:kern w:val="0"/>
          <w:sz w:val="24"/>
        </w:rPr>
        <w:fldChar w:fldCharType="separate"/>
      </w:r>
      <w:r>
        <w:rPr>
          <w:rFonts w:eastAsia="黑体"/>
          <w:bCs/>
          <w:spacing w:val="-8"/>
          <w:kern w:val="0"/>
          <w:sz w:val="24"/>
        </w:rPr>
        <w:t>4</w:t>
      </w:r>
      <w:r>
        <w:rPr>
          <w:rFonts w:eastAsia="黑体"/>
          <w:bCs/>
          <w:spacing w:val="-8"/>
          <w:kern w:val="0"/>
          <w:sz w:val="24"/>
        </w:rPr>
        <w:fldChar w:fldCharType="end"/>
      </w:r>
      <w:r>
        <w:rPr>
          <w:rFonts w:eastAsia="黑体"/>
          <w:bCs/>
          <w:spacing w:val="-8"/>
          <w:kern w:val="0"/>
          <w:sz w:val="24"/>
        </w:rPr>
        <w:t xml:space="preserve">  </w:t>
      </w:r>
      <w:r>
        <w:rPr>
          <w:rFonts w:hint="eastAsia" w:eastAsia="黑体"/>
          <w:kern w:val="0"/>
          <w:sz w:val="24"/>
          <w:szCs w:val="21"/>
        </w:rPr>
        <w:t>生态影响评价自查表</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915"/>
        <w:gridCol w:w="6541"/>
      </w:tblGrid>
      <w:tr w14:paraId="2004C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1" w:type="dxa"/>
            <w:gridSpan w:val="2"/>
            <w:shd w:val="clear" w:color="auto" w:fill="auto"/>
            <w:noWrap/>
          </w:tcPr>
          <w:p w14:paraId="6060A94A">
            <w:pPr>
              <w:rPr>
                <w:bCs/>
                <w:kern w:val="0"/>
                <w:szCs w:val="21"/>
              </w:rPr>
            </w:pPr>
            <w:r>
              <w:rPr>
                <w:rFonts w:hint="eastAsia"/>
                <w:bCs/>
                <w:kern w:val="0"/>
                <w:szCs w:val="21"/>
              </w:rPr>
              <w:t>工作内容</w:t>
            </w:r>
          </w:p>
        </w:tc>
        <w:tc>
          <w:tcPr>
            <w:tcW w:w="6541" w:type="dxa"/>
            <w:shd w:val="clear" w:color="auto" w:fill="auto"/>
            <w:noWrap/>
          </w:tcPr>
          <w:p w14:paraId="774B54E5">
            <w:pPr>
              <w:rPr>
                <w:bCs/>
                <w:kern w:val="0"/>
                <w:szCs w:val="21"/>
              </w:rPr>
            </w:pPr>
            <w:r>
              <w:rPr>
                <w:rFonts w:hint="eastAsia"/>
                <w:bCs/>
                <w:kern w:val="0"/>
                <w:szCs w:val="21"/>
              </w:rPr>
              <w:t>自查项目</w:t>
            </w:r>
          </w:p>
        </w:tc>
      </w:tr>
      <w:tr w14:paraId="44B95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shd w:val="clear" w:color="auto" w:fill="auto"/>
            <w:vAlign w:val="center"/>
          </w:tcPr>
          <w:p w14:paraId="7344E367">
            <w:pPr>
              <w:rPr>
                <w:bCs/>
                <w:kern w:val="0"/>
                <w:szCs w:val="21"/>
              </w:rPr>
            </w:pPr>
            <w:r>
              <w:rPr>
                <w:rFonts w:hint="eastAsia"/>
                <w:bCs/>
                <w:kern w:val="0"/>
                <w:szCs w:val="21"/>
              </w:rPr>
              <w:t>生态影响识别</w:t>
            </w:r>
          </w:p>
        </w:tc>
        <w:tc>
          <w:tcPr>
            <w:tcW w:w="915" w:type="dxa"/>
            <w:shd w:val="clear" w:color="auto" w:fill="auto"/>
            <w:noWrap/>
            <w:vAlign w:val="center"/>
          </w:tcPr>
          <w:p w14:paraId="34D4DDDB">
            <w:pPr>
              <w:rPr>
                <w:bCs/>
                <w:kern w:val="0"/>
                <w:szCs w:val="21"/>
              </w:rPr>
            </w:pPr>
            <w:r>
              <w:rPr>
                <w:rFonts w:hint="eastAsia"/>
                <w:bCs/>
                <w:kern w:val="0"/>
                <w:szCs w:val="21"/>
              </w:rPr>
              <w:t>生态保护目标</w:t>
            </w:r>
          </w:p>
        </w:tc>
        <w:tc>
          <w:tcPr>
            <w:tcW w:w="6541" w:type="dxa"/>
            <w:shd w:val="clear" w:color="auto" w:fill="auto"/>
            <w:vAlign w:val="center"/>
          </w:tcPr>
          <w:p w14:paraId="654FE2B6">
            <w:pPr>
              <w:rPr>
                <w:bCs/>
                <w:kern w:val="0"/>
                <w:szCs w:val="21"/>
              </w:rPr>
            </w:pPr>
            <w:r>
              <w:rPr>
                <w:rFonts w:hint="eastAsia"/>
                <w:bCs/>
                <w:kern w:val="0"/>
                <w:szCs w:val="21"/>
              </w:rPr>
              <w:t>重要物种</w:t>
            </w:r>
            <w:r>
              <w:rPr>
                <w:rFonts w:hint="eastAsia"/>
                <w:bCs/>
                <w:kern w:val="0"/>
                <w:szCs w:val="21"/>
              </w:rPr>
              <w:sym w:font="Wingdings 2" w:char="F052"/>
            </w:r>
            <w:r>
              <w:rPr>
                <w:rFonts w:hint="eastAsia"/>
                <w:bCs/>
                <w:kern w:val="0"/>
                <w:szCs w:val="21"/>
              </w:rPr>
              <w:t>；国家公园□；自然保护区□；自然公园</w:t>
            </w:r>
            <w:r>
              <w:rPr>
                <w:rFonts w:hint="eastAsia"/>
                <w:bCs/>
                <w:kern w:val="0"/>
                <w:szCs w:val="21"/>
              </w:rPr>
              <w:sym w:font="Wingdings 2" w:char="F052"/>
            </w:r>
            <w:r>
              <w:rPr>
                <w:rFonts w:hint="eastAsia"/>
                <w:bCs/>
                <w:kern w:val="0"/>
                <w:szCs w:val="21"/>
              </w:rPr>
              <w:t>；世界自然遗产□；生态保护红线</w:t>
            </w:r>
            <w:r>
              <w:rPr>
                <w:rFonts w:hint="eastAsia"/>
                <w:bCs/>
                <w:kern w:val="0"/>
                <w:szCs w:val="21"/>
              </w:rPr>
              <w:sym w:font="Wingdings 2" w:char="F052"/>
            </w:r>
            <w:r>
              <w:rPr>
                <w:rFonts w:hint="eastAsia"/>
                <w:bCs/>
                <w:kern w:val="0"/>
                <w:szCs w:val="21"/>
              </w:rPr>
              <w:t>；重要生境□；其他具有重要生态功能、对保护生物多样性具有重要意义的区域□；其他</w:t>
            </w:r>
            <w:r>
              <w:rPr>
                <w:rFonts w:hint="eastAsia"/>
                <w:bCs/>
                <w:kern w:val="0"/>
                <w:szCs w:val="21"/>
              </w:rPr>
              <w:sym w:font="Wingdings 2" w:char="F052"/>
            </w:r>
          </w:p>
        </w:tc>
      </w:tr>
      <w:tr w14:paraId="24EA7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shd w:val="clear" w:color="auto" w:fill="auto"/>
            <w:vAlign w:val="center"/>
          </w:tcPr>
          <w:p w14:paraId="163B20C4">
            <w:pPr>
              <w:rPr>
                <w:bCs/>
                <w:kern w:val="0"/>
                <w:szCs w:val="21"/>
              </w:rPr>
            </w:pPr>
          </w:p>
        </w:tc>
        <w:tc>
          <w:tcPr>
            <w:tcW w:w="915" w:type="dxa"/>
            <w:shd w:val="clear" w:color="auto" w:fill="auto"/>
            <w:noWrap/>
            <w:vAlign w:val="center"/>
          </w:tcPr>
          <w:p w14:paraId="7564C1BD">
            <w:pPr>
              <w:rPr>
                <w:bCs/>
                <w:kern w:val="0"/>
                <w:szCs w:val="21"/>
              </w:rPr>
            </w:pPr>
            <w:r>
              <w:rPr>
                <w:rFonts w:hint="eastAsia"/>
                <w:bCs/>
                <w:kern w:val="0"/>
                <w:szCs w:val="21"/>
              </w:rPr>
              <w:t>影响方式</w:t>
            </w:r>
          </w:p>
        </w:tc>
        <w:tc>
          <w:tcPr>
            <w:tcW w:w="6541" w:type="dxa"/>
            <w:shd w:val="clear" w:color="auto" w:fill="auto"/>
            <w:noWrap/>
            <w:vAlign w:val="center"/>
          </w:tcPr>
          <w:p w14:paraId="356954E4">
            <w:pPr>
              <w:rPr>
                <w:bCs/>
                <w:kern w:val="0"/>
                <w:szCs w:val="21"/>
              </w:rPr>
            </w:pPr>
            <w:r>
              <w:rPr>
                <w:rFonts w:hint="eastAsia"/>
                <w:bCs/>
                <w:kern w:val="0"/>
                <w:szCs w:val="21"/>
              </w:rPr>
              <w:t>工程占用</w:t>
            </w:r>
            <w:r>
              <w:rPr>
                <w:rFonts w:hint="eastAsia"/>
                <w:bCs/>
                <w:kern w:val="0"/>
                <w:szCs w:val="21"/>
              </w:rPr>
              <w:sym w:font="Wingdings 2" w:char="F052"/>
            </w:r>
            <w:r>
              <w:rPr>
                <w:rFonts w:hint="eastAsia"/>
                <w:bCs/>
                <w:kern w:val="0"/>
                <w:szCs w:val="21"/>
              </w:rPr>
              <w:t>；施工活动干扰</w:t>
            </w:r>
            <w:r>
              <w:rPr>
                <w:rFonts w:hint="eastAsia"/>
                <w:bCs/>
                <w:kern w:val="0"/>
                <w:szCs w:val="21"/>
              </w:rPr>
              <w:sym w:font="Wingdings 2" w:char="F052"/>
            </w:r>
            <w:r>
              <w:rPr>
                <w:rFonts w:hint="eastAsia"/>
                <w:bCs/>
                <w:kern w:val="0"/>
                <w:szCs w:val="21"/>
              </w:rPr>
              <w:t>；改变环境条件</w:t>
            </w:r>
            <w:r>
              <w:rPr>
                <w:rFonts w:hint="eastAsia"/>
                <w:bCs/>
                <w:kern w:val="0"/>
                <w:szCs w:val="21"/>
              </w:rPr>
              <w:sym w:font="Wingdings 2" w:char="F052"/>
            </w:r>
            <w:r>
              <w:rPr>
                <w:rFonts w:hint="eastAsia"/>
                <w:bCs/>
                <w:kern w:val="0"/>
                <w:szCs w:val="21"/>
              </w:rPr>
              <w:t>；其他□</w:t>
            </w:r>
          </w:p>
        </w:tc>
      </w:tr>
      <w:tr w14:paraId="1A279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shd w:val="clear" w:color="auto" w:fill="auto"/>
            <w:vAlign w:val="center"/>
          </w:tcPr>
          <w:p w14:paraId="511481A0">
            <w:pPr>
              <w:rPr>
                <w:bCs/>
                <w:kern w:val="0"/>
                <w:szCs w:val="21"/>
              </w:rPr>
            </w:pPr>
          </w:p>
        </w:tc>
        <w:tc>
          <w:tcPr>
            <w:tcW w:w="915" w:type="dxa"/>
            <w:vMerge w:val="restart"/>
            <w:shd w:val="clear" w:color="auto" w:fill="auto"/>
            <w:noWrap/>
            <w:vAlign w:val="center"/>
          </w:tcPr>
          <w:p w14:paraId="1ABDB3D0">
            <w:pPr>
              <w:rPr>
                <w:bCs/>
                <w:kern w:val="0"/>
                <w:szCs w:val="21"/>
              </w:rPr>
            </w:pPr>
            <w:r>
              <w:rPr>
                <w:rFonts w:hint="eastAsia"/>
                <w:bCs/>
                <w:kern w:val="0"/>
                <w:szCs w:val="21"/>
              </w:rPr>
              <w:t>评价因子</w:t>
            </w:r>
          </w:p>
        </w:tc>
        <w:tc>
          <w:tcPr>
            <w:tcW w:w="6541" w:type="dxa"/>
            <w:shd w:val="clear" w:color="auto" w:fill="auto"/>
            <w:noWrap/>
            <w:vAlign w:val="center"/>
          </w:tcPr>
          <w:p w14:paraId="7AA8007C">
            <w:pPr>
              <w:rPr>
                <w:bCs/>
                <w:kern w:val="0"/>
                <w:szCs w:val="21"/>
              </w:rPr>
            </w:pPr>
            <w:r>
              <w:rPr>
                <w:rFonts w:hint="eastAsia"/>
                <w:bCs/>
                <w:kern w:val="0"/>
                <w:szCs w:val="21"/>
              </w:rPr>
              <w:t>物种</w:t>
            </w:r>
            <w:r>
              <w:rPr>
                <w:rFonts w:hint="eastAsia"/>
                <w:bCs/>
                <w:kern w:val="0"/>
                <w:szCs w:val="21"/>
              </w:rPr>
              <w:sym w:font="Wingdings 2" w:char="F052"/>
            </w:r>
            <w:r>
              <w:rPr>
                <w:rFonts w:hint="eastAsia"/>
                <w:bCs/>
                <w:kern w:val="0"/>
                <w:szCs w:val="21"/>
              </w:rPr>
              <w:t>（分布范围、种群数量、行为）</w:t>
            </w:r>
          </w:p>
        </w:tc>
      </w:tr>
      <w:tr w14:paraId="74DB9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shd w:val="clear" w:color="auto" w:fill="auto"/>
            <w:vAlign w:val="center"/>
          </w:tcPr>
          <w:p w14:paraId="7B0B9033">
            <w:pPr>
              <w:rPr>
                <w:bCs/>
                <w:kern w:val="0"/>
                <w:szCs w:val="21"/>
              </w:rPr>
            </w:pPr>
          </w:p>
        </w:tc>
        <w:tc>
          <w:tcPr>
            <w:tcW w:w="915" w:type="dxa"/>
            <w:vMerge w:val="continue"/>
            <w:shd w:val="clear" w:color="auto" w:fill="auto"/>
            <w:vAlign w:val="center"/>
          </w:tcPr>
          <w:p w14:paraId="05A8013F">
            <w:pPr>
              <w:rPr>
                <w:bCs/>
                <w:kern w:val="0"/>
                <w:szCs w:val="21"/>
              </w:rPr>
            </w:pPr>
          </w:p>
        </w:tc>
        <w:tc>
          <w:tcPr>
            <w:tcW w:w="6541" w:type="dxa"/>
            <w:shd w:val="clear" w:color="auto" w:fill="auto"/>
            <w:noWrap/>
            <w:vAlign w:val="center"/>
          </w:tcPr>
          <w:p w14:paraId="19448629">
            <w:pPr>
              <w:rPr>
                <w:bCs/>
                <w:kern w:val="0"/>
                <w:szCs w:val="21"/>
              </w:rPr>
            </w:pPr>
            <w:r>
              <w:rPr>
                <w:rFonts w:hint="eastAsia"/>
                <w:bCs/>
                <w:kern w:val="0"/>
                <w:szCs w:val="21"/>
              </w:rPr>
              <w:t>生境</w:t>
            </w:r>
            <w:r>
              <w:rPr>
                <w:rFonts w:hint="eastAsia"/>
                <w:bCs/>
                <w:kern w:val="0"/>
                <w:szCs w:val="21"/>
              </w:rPr>
              <w:sym w:font="Wingdings 2" w:char="F052"/>
            </w:r>
            <w:r>
              <w:rPr>
                <w:rFonts w:hint="eastAsia"/>
                <w:bCs/>
                <w:kern w:val="0"/>
                <w:szCs w:val="21"/>
              </w:rPr>
              <w:t>（沼泽湿地、农田）</w:t>
            </w:r>
          </w:p>
        </w:tc>
      </w:tr>
      <w:tr w14:paraId="22D52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shd w:val="clear" w:color="auto" w:fill="auto"/>
            <w:vAlign w:val="center"/>
          </w:tcPr>
          <w:p w14:paraId="271D40E6">
            <w:pPr>
              <w:rPr>
                <w:bCs/>
                <w:kern w:val="0"/>
                <w:szCs w:val="21"/>
              </w:rPr>
            </w:pPr>
          </w:p>
        </w:tc>
        <w:tc>
          <w:tcPr>
            <w:tcW w:w="915" w:type="dxa"/>
            <w:vMerge w:val="continue"/>
            <w:shd w:val="clear" w:color="auto" w:fill="auto"/>
            <w:vAlign w:val="center"/>
          </w:tcPr>
          <w:p w14:paraId="284F7778">
            <w:pPr>
              <w:rPr>
                <w:bCs/>
                <w:kern w:val="0"/>
                <w:szCs w:val="21"/>
              </w:rPr>
            </w:pPr>
          </w:p>
        </w:tc>
        <w:tc>
          <w:tcPr>
            <w:tcW w:w="6541" w:type="dxa"/>
            <w:shd w:val="clear" w:color="auto" w:fill="auto"/>
            <w:noWrap/>
            <w:vAlign w:val="center"/>
          </w:tcPr>
          <w:p w14:paraId="0BA70E1D">
            <w:pPr>
              <w:rPr>
                <w:bCs/>
                <w:kern w:val="0"/>
                <w:szCs w:val="21"/>
              </w:rPr>
            </w:pPr>
            <w:r>
              <w:rPr>
                <w:rFonts w:hint="eastAsia"/>
                <w:bCs/>
                <w:kern w:val="0"/>
                <w:szCs w:val="21"/>
              </w:rPr>
              <w:t>生物群落</w:t>
            </w:r>
            <w:r>
              <w:rPr>
                <w:rFonts w:hint="eastAsia"/>
                <w:bCs/>
                <w:kern w:val="0"/>
                <w:szCs w:val="21"/>
              </w:rPr>
              <w:sym w:font="Wingdings 2" w:char="F052"/>
            </w:r>
            <w:r>
              <w:rPr>
                <w:rFonts w:hint="eastAsia"/>
                <w:bCs/>
                <w:kern w:val="0"/>
                <w:szCs w:val="21"/>
              </w:rPr>
              <w:t>（</w:t>
            </w:r>
            <w:r>
              <w:rPr>
                <w:rFonts w:hint="eastAsia"/>
                <w:kern w:val="0"/>
                <w:szCs w:val="21"/>
              </w:rPr>
              <w:t>物种组成、群落结构</w:t>
            </w:r>
            <w:r>
              <w:rPr>
                <w:rFonts w:hint="eastAsia"/>
                <w:bCs/>
                <w:kern w:val="0"/>
                <w:szCs w:val="21"/>
              </w:rPr>
              <w:t>）</w:t>
            </w:r>
          </w:p>
        </w:tc>
      </w:tr>
      <w:tr w14:paraId="6D279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shd w:val="clear" w:color="auto" w:fill="auto"/>
            <w:vAlign w:val="center"/>
          </w:tcPr>
          <w:p w14:paraId="666C946A">
            <w:pPr>
              <w:rPr>
                <w:bCs/>
                <w:kern w:val="0"/>
                <w:szCs w:val="21"/>
              </w:rPr>
            </w:pPr>
          </w:p>
        </w:tc>
        <w:tc>
          <w:tcPr>
            <w:tcW w:w="915" w:type="dxa"/>
            <w:vMerge w:val="continue"/>
            <w:shd w:val="clear" w:color="auto" w:fill="auto"/>
            <w:vAlign w:val="center"/>
          </w:tcPr>
          <w:p w14:paraId="6E868F7B">
            <w:pPr>
              <w:rPr>
                <w:bCs/>
                <w:kern w:val="0"/>
                <w:szCs w:val="21"/>
              </w:rPr>
            </w:pPr>
          </w:p>
        </w:tc>
        <w:tc>
          <w:tcPr>
            <w:tcW w:w="6541" w:type="dxa"/>
            <w:shd w:val="clear" w:color="auto" w:fill="auto"/>
            <w:noWrap/>
            <w:vAlign w:val="center"/>
          </w:tcPr>
          <w:p w14:paraId="3B3B4DE1">
            <w:pPr>
              <w:rPr>
                <w:bCs/>
                <w:kern w:val="0"/>
                <w:szCs w:val="21"/>
              </w:rPr>
            </w:pPr>
            <w:r>
              <w:rPr>
                <w:rFonts w:hint="eastAsia"/>
                <w:bCs/>
                <w:kern w:val="0"/>
                <w:szCs w:val="21"/>
              </w:rPr>
              <w:t>生态系统</w:t>
            </w:r>
            <w:r>
              <w:rPr>
                <w:rFonts w:hint="eastAsia"/>
                <w:bCs/>
                <w:kern w:val="0"/>
                <w:szCs w:val="21"/>
              </w:rPr>
              <w:sym w:font="Wingdings 2" w:char="F052"/>
            </w:r>
            <w:r>
              <w:rPr>
                <w:rFonts w:hint="eastAsia"/>
                <w:bCs/>
                <w:kern w:val="0"/>
                <w:szCs w:val="21"/>
              </w:rPr>
              <w:t>（生物量、植被覆盖度）</w:t>
            </w:r>
          </w:p>
        </w:tc>
      </w:tr>
      <w:tr w14:paraId="54675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shd w:val="clear" w:color="auto" w:fill="auto"/>
            <w:vAlign w:val="center"/>
          </w:tcPr>
          <w:p w14:paraId="22A58E4D">
            <w:pPr>
              <w:rPr>
                <w:bCs/>
                <w:kern w:val="0"/>
                <w:szCs w:val="21"/>
              </w:rPr>
            </w:pPr>
          </w:p>
        </w:tc>
        <w:tc>
          <w:tcPr>
            <w:tcW w:w="915" w:type="dxa"/>
            <w:vMerge w:val="continue"/>
            <w:shd w:val="clear" w:color="auto" w:fill="auto"/>
            <w:vAlign w:val="center"/>
          </w:tcPr>
          <w:p w14:paraId="4450D70C">
            <w:pPr>
              <w:rPr>
                <w:bCs/>
                <w:kern w:val="0"/>
                <w:szCs w:val="21"/>
              </w:rPr>
            </w:pPr>
          </w:p>
        </w:tc>
        <w:tc>
          <w:tcPr>
            <w:tcW w:w="6541" w:type="dxa"/>
            <w:shd w:val="clear" w:color="auto" w:fill="auto"/>
            <w:noWrap/>
            <w:vAlign w:val="center"/>
          </w:tcPr>
          <w:p w14:paraId="6C56AE3D">
            <w:pPr>
              <w:rPr>
                <w:bCs/>
                <w:kern w:val="0"/>
                <w:szCs w:val="21"/>
              </w:rPr>
            </w:pPr>
            <w:r>
              <w:rPr>
                <w:rFonts w:hint="eastAsia"/>
                <w:bCs/>
                <w:kern w:val="0"/>
                <w:szCs w:val="21"/>
              </w:rPr>
              <w:t>生物多样性</w:t>
            </w:r>
            <w:r>
              <w:rPr>
                <w:rFonts w:hint="eastAsia"/>
                <w:bCs/>
                <w:kern w:val="0"/>
                <w:szCs w:val="21"/>
              </w:rPr>
              <w:sym w:font="Wingdings 2" w:char="F052"/>
            </w:r>
            <w:r>
              <w:rPr>
                <w:rFonts w:hint="eastAsia"/>
                <w:bCs/>
                <w:kern w:val="0"/>
                <w:szCs w:val="21"/>
              </w:rPr>
              <w:t>（多样性指数、</w:t>
            </w:r>
            <w:r>
              <w:rPr>
                <w:rFonts w:hint="eastAsia"/>
                <w:kern w:val="0"/>
                <w:szCs w:val="21"/>
              </w:rPr>
              <w:t>丰富度、优势度等</w:t>
            </w:r>
            <w:r>
              <w:rPr>
                <w:rFonts w:hint="eastAsia"/>
                <w:bCs/>
                <w:kern w:val="0"/>
                <w:szCs w:val="21"/>
              </w:rPr>
              <w:t>）</w:t>
            </w:r>
          </w:p>
        </w:tc>
      </w:tr>
      <w:tr w14:paraId="19747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shd w:val="clear" w:color="auto" w:fill="auto"/>
            <w:vAlign w:val="center"/>
          </w:tcPr>
          <w:p w14:paraId="1B0B3EA8">
            <w:pPr>
              <w:rPr>
                <w:bCs/>
                <w:kern w:val="0"/>
                <w:szCs w:val="21"/>
              </w:rPr>
            </w:pPr>
          </w:p>
        </w:tc>
        <w:tc>
          <w:tcPr>
            <w:tcW w:w="915" w:type="dxa"/>
            <w:vMerge w:val="continue"/>
            <w:shd w:val="clear" w:color="auto" w:fill="auto"/>
            <w:vAlign w:val="center"/>
          </w:tcPr>
          <w:p w14:paraId="196F762B">
            <w:pPr>
              <w:rPr>
                <w:bCs/>
                <w:kern w:val="0"/>
                <w:szCs w:val="21"/>
              </w:rPr>
            </w:pPr>
          </w:p>
        </w:tc>
        <w:tc>
          <w:tcPr>
            <w:tcW w:w="6541" w:type="dxa"/>
            <w:shd w:val="clear" w:color="auto" w:fill="auto"/>
            <w:noWrap/>
            <w:vAlign w:val="center"/>
          </w:tcPr>
          <w:p w14:paraId="64151FDE">
            <w:pPr>
              <w:rPr>
                <w:bCs/>
                <w:kern w:val="0"/>
                <w:szCs w:val="21"/>
              </w:rPr>
            </w:pPr>
            <w:r>
              <w:rPr>
                <w:rFonts w:hint="eastAsia"/>
                <w:bCs/>
                <w:kern w:val="0"/>
                <w:szCs w:val="21"/>
              </w:rPr>
              <w:t>生态敏感区</w:t>
            </w:r>
            <w:r>
              <w:rPr>
                <w:rFonts w:hint="eastAsia"/>
                <w:bCs/>
                <w:kern w:val="0"/>
                <w:szCs w:val="21"/>
              </w:rPr>
              <w:sym w:font="Wingdings 2" w:char="F052"/>
            </w:r>
            <w:r>
              <w:rPr>
                <w:rFonts w:hint="eastAsia"/>
                <w:bCs/>
                <w:kern w:val="0"/>
                <w:szCs w:val="21"/>
              </w:rPr>
              <w:t>（河北滦平潮河国家湿地公园、生态保护红线）</w:t>
            </w:r>
          </w:p>
        </w:tc>
      </w:tr>
      <w:tr w14:paraId="00788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shd w:val="clear" w:color="auto" w:fill="auto"/>
            <w:vAlign w:val="center"/>
          </w:tcPr>
          <w:p w14:paraId="23E34685">
            <w:pPr>
              <w:rPr>
                <w:bCs/>
                <w:kern w:val="0"/>
                <w:szCs w:val="21"/>
              </w:rPr>
            </w:pPr>
          </w:p>
        </w:tc>
        <w:tc>
          <w:tcPr>
            <w:tcW w:w="915" w:type="dxa"/>
            <w:vMerge w:val="continue"/>
            <w:shd w:val="clear" w:color="auto" w:fill="auto"/>
            <w:vAlign w:val="center"/>
          </w:tcPr>
          <w:p w14:paraId="611520F3">
            <w:pPr>
              <w:rPr>
                <w:bCs/>
                <w:kern w:val="0"/>
                <w:szCs w:val="21"/>
              </w:rPr>
            </w:pPr>
          </w:p>
        </w:tc>
        <w:tc>
          <w:tcPr>
            <w:tcW w:w="6541" w:type="dxa"/>
            <w:shd w:val="clear" w:color="auto" w:fill="auto"/>
            <w:noWrap/>
            <w:vAlign w:val="center"/>
          </w:tcPr>
          <w:p w14:paraId="029DF2CE">
            <w:pPr>
              <w:rPr>
                <w:bCs/>
                <w:kern w:val="0"/>
                <w:szCs w:val="21"/>
              </w:rPr>
            </w:pPr>
            <w:r>
              <w:rPr>
                <w:rFonts w:hint="eastAsia"/>
                <w:bCs/>
                <w:kern w:val="0"/>
                <w:szCs w:val="21"/>
              </w:rPr>
              <w:t>自然景观</w:t>
            </w:r>
            <w:r>
              <w:rPr>
                <w:rFonts w:hint="eastAsia"/>
                <w:bCs/>
                <w:kern w:val="0"/>
                <w:szCs w:val="21"/>
              </w:rPr>
              <w:sym w:font="Wingdings 2" w:char="F052"/>
            </w:r>
            <w:r>
              <w:rPr>
                <w:rFonts w:hint="eastAsia"/>
                <w:bCs/>
                <w:kern w:val="0"/>
                <w:szCs w:val="21"/>
              </w:rPr>
              <w:t>（景观完整性）</w:t>
            </w:r>
          </w:p>
        </w:tc>
      </w:tr>
      <w:tr w14:paraId="0B903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shd w:val="clear" w:color="auto" w:fill="auto"/>
            <w:vAlign w:val="center"/>
          </w:tcPr>
          <w:p w14:paraId="2B81E101">
            <w:pPr>
              <w:rPr>
                <w:bCs/>
                <w:kern w:val="0"/>
                <w:szCs w:val="21"/>
              </w:rPr>
            </w:pPr>
          </w:p>
        </w:tc>
        <w:tc>
          <w:tcPr>
            <w:tcW w:w="915" w:type="dxa"/>
            <w:vMerge w:val="continue"/>
            <w:shd w:val="clear" w:color="auto" w:fill="auto"/>
            <w:vAlign w:val="center"/>
          </w:tcPr>
          <w:p w14:paraId="30A19EED">
            <w:pPr>
              <w:rPr>
                <w:bCs/>
                <w:kern w:val="0"/>
                <w:szCs w:val="21"/>
              </w:rPr>
            </w:pPr>
          </w:p>
        </w:tc>
        <w:tc>
          <w:tcPr>
            <w:tcW w:w="6541" w:type="dxa"/>
            <w:shd w:val="clear" w:color="auto" w:fill="auto"/>
            <w:noWrap/>
            <w:vAlign w:val="center"/>
          </w:tcPr>
          <w:p w14:paraId="435AC04E">
            <w:pPr>
              <w:rPr>
                <w:bCs/>
                <w:kern w:val="0"/>
                <w:szCs w:val="21"/>
              </w:rPr>
            </w:pPr>
            <w:r>
              <w:rPr>
                <w:rFonts w:hint="eastAsia"/>
                <w:bCs/>
                <w:kern w:val="0"/>
                <w:szCs w:val="21"/>
              </w:rPr>
              <w:t>自然遗迹□（                        ）</w:t>
            </w:r>
          </w:p>
        </w:tc>
      </w:tr>
      <w:tr w14:paraId="0461C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shd w:val="clear" w:color="auto" w:fill="auto"/>
            <w:vAlign w:val="center"/>
          </w:tcPr>
          <w:p w14:paraId="36798494">
            <w:pPr>
              <w:rPr>
                <w:bCs/>
                <w:kern w:val="0"/>
                <w:szCs w:val="21"/>
              </w:rPr>
            </w:pPr>
          </w:p>
        </w:tc>
        <w:tc>
          <w:tcPr>
            <w:tcW w:w="915" w:type="dxa"/>
            <w:vMerge w:val="continue"/>
            <w:shd w:val="clear" w:color="auto" w:fill="auto"/>
            <w:vAlign w:val="center"/>
          </w:tcPr>
          <w:p w14:paraId="6EDFED84">
            <w:pPr>
              <w:rPr>
                <w:bCs/>
                <w:kern w:val="0"/>
                <w:szCs w:val="21"/>
              </w:rPr>
            </w:pPr>
          </w:p>
        </w:tc>
        <w:tc>
          <w:tcPr>
            <w:tcW w:w="6541" w:type="dxa"/>
            <w:shd w:val="clear" w:color="auto" w:fill="auto"/>
            <w:noWrap/>
            <w:vAlign w:val="center"/>
          </w:tcPr>
          <w:p w14:paraId="1FA7D34C">
            <w:pPr>
              <w:rPr>
                <w:bCs/>
                <w:kern w:val="0"/>
                <w:szCs w:val="21"/>
              </w:rPr>
            </w:pPr>
            <w:r>
              <w:rPr>
                <w:rFonts w:hint="eastAsia"/>
                <w:bCs/>
                <w:kern w:val="0"/>
                <w:szCs w:val="21"/>
              </w:rPr>
              <w:t xml:space="preserve">其他□（                      </w:t>
            </w:r>
            <w:r>
              <w:rPr>
                <w:bCs/>
                <w:kern w:val="0"/>
                <w:szCs w:val="21"/>
              </w:rPr>
              <w:t xml:space="preserve"> </w:t>
            </w:r>
            <w:r>
              <w:rPr>
                <w:rFonts w:hint="eastAsia"/>
                <w:bCs/>
                <w:kern w:val="0"/>
                <w:szCs w:val="21"/>
              </w:rPr>
              <w:t xml:space="preserve">     ）</w:t>
            </w:r>
          </w:p>
        </w:tc>
      </w:tr>
      <w:tr w14:paraId="39573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1" w:type="dxa"/>
            <w:gridSpan w:val="2"/>
            <w:shd w:val="clear" w:color="auto" w:fill="auto"/>
            <w:noWrap/>
            <w:vAlign w:val="center"/>
          </w:tcPr>
          <w:p w14:paraId="35DA1740">
            <w:pPr>
              <w:rPr>
                <w:bCs/>
                <w:kern w:val="0"/>
                <w:szCs w:val="21"/>
              </w:rPr>
            </w:pPr>
            <w:r>
              <w:rPr>
                <w:rFonts w:hint="eastAsia"/>
                <w:bCs/>
                <w:kern w:val="0"/>
                <w:szCs w:val="21"/>
              </w:rPr>
              <w:t>评价等级</w:t>
            </w:r>
          </w:p>
        </w:tc>
        <w:tc>
          <w:tcPr>
            <w:tcW w:w="6541" w:type="dxa"/>
            <w:shd w:val="clear" w:color="auto" w:fill="auto"/>
            <w:noWrap/>
            <w:vAlign w:val="center"/>
          </w:tcPr>
          <w:p w14:paraId="0ABABFA8">
            <w:pPr>
              <w:rPr>
                <w:bCs/>
                <w:kern w:val="0"/>
                <w:szCs w:val="21"/>
              </w:rPr>
            </w:pPr>
            <w:r>
              <w:rPr>
                <w:rFonts w:hint="eastAsia"/>
                <w:bCs/>
                <w:kern w:val="0"/>
                <w:szCs w:val="21"/>
              </w:rPr>
              <w:t>一级□  二级</w:t>
            </w:r>
            <w:r>
              <w:rPr>
                <w:rFonts w:hint="eastAsia"/>
                <w:bCs/>
                <w:kern w:val="0"/>
                <w:szCs w:val="21"/>
              </w:rPr>
              <w:sym w:font="Wingdings 2" w:char="F052"/>
            </w:r>
            <w:r>
              <w:rPr>
                <w:rFonts w:hint="eastAsia"/>
                <w:bCs/>
                <w:kern w:val="0"/>
                <w:szCs w:val="21"/>
              </w:rPr>
              <w:t xml:space="preserve">  三级□  生态影响简单分析□</w:t>
            </w:r>
          </w:p>
        </w:tc>
      </w:tr>
      <w:tr w14:paraId="75068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1" w:type="dxa"/>
            <w:gridSpan w:val="2"/>
            <w:shd w:val="clear" w:color="auto" w:fill="auto"/>
            <w:noWrap/>
            <w:vAlign w:val="center"/>
          </w:tcPr>
          <w:p w14:paraId="61AC1C15">
            <w:pPr>
              <w:rPr>
                <w:bCs/>
                <w:kern w:val="0"/>
                <w:szCs w:val="21"/>
              </w:rPr>
            </w:pPr>
            <w:r>
              <w:rPr>
                <w:rFonts w:hint="eastAsia"/>
                <w:bCs/>
                <w:kern w:val="0"/>
                <w:szCs w:val="21"/>
              </w:rPr>
              <w:t>评价范围</w:t>
            </w:r>
          </w:p>
        </w:tc>
        <w:tc>
          <w:tcPr>
            <w:tcW w:w="6541" w:type="dxa"/>
            <w:shd w:val="clear" w:color="auto" w:fill="auto"/>
            <w:noWrap/>
            <w:vAlign w:val="center"/>
          </w:tcPr>
          <w:p w14:paraId="22BE2E64">
            <w:pPr>
              <w:rPr>
                <w:bCs/>
                <w:kern w:val="0"/>
                <w:szCs w:val="21"/>
              </w:rPr>
            </w:pPr>
            <w:r>
              <w:rPr>
                <w:bCs/>
                <w:kern w:val="0"/>
                <w:szCs w:val="21"/>
              </w:rPr>
              <w:t>25.3212</w:t>
            </w:r>
            <w:r>
              <w:rPr>
                <w:rFonts w:hint="eastAsia"/>
                <w:bCs/>
                <w:kern w:val="0"/>
                <w:szCs w:val="21"/>
              </w:rPr>
              <w:t>km</w:t>
            </w:r>
            <w:r>
              <w:rPr>
                <w:rFonts w:hint="eastAsia"/>
                <w:bCs/>
                <w:kern w:val="0"/>
                <w:szCs w:val="21"/>
                <w:vertAlign w:val="superscript"/>
              </w:rPr>
              <w:t>2</w:t>
            </w:r>
          </w:p>
        </w:tc>
      </w:tr>
      <w:tr w14:paraId="3A7A8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shd w:val="clear" w:color="auto" w:fill="auto"/>
            <w:vAlign w:val="center"/>
          </w:tcPr>
          <w:p w14:paraId="167E67D5">
            <w:pPr>
              <w:rPr>
                <w:bCs/>
                <w:kern w:val="0"/>
                <w:szCs w:val="21"/>
              </w:rPr>
            </w:pPr>
            <w:r>
              <w:rPr>
                <w:rFonts w:hint="eastAsia"/>
                <w:bCs/>
                <w:kern w:val="0"/>
                <w:szCs w:val="21"/>
              </w:rPr>
              <w:t>生态现状调查与评价</w:t>
            </w:r>
          </w:p>
        </w:tc>
        <w:tc>
          <w:tcPr>
            <w:tcW w:w="915" w:type="dxa"/>
            <w:shd w:val="clear" w:color="auto" w:fill="auto"/>
            <w:noWrap/>
            <w:vAlign w:val="center"/>
          </w:tcPr>
          <w:p w14:paraId="0A620CDB">
            <w:pPr>
              <w:rPr>
                <w:bCs/>
                <w:kern w:val="0"/>
                <w:szCs w:val="21"/>
              </w:rPr>
            </w:pPr>
            <w:r>
              <w:rPr>
                <w:rFonts w:hint="eastAsia"/>
                <w:bCs/>
                <w:kern w:val="0"/>
                <w:szCs w:val="21"/>
              </w:rPr>
              <w:t>调查方法</w:t>
            </w:r>
          </w:p>
        </w:tc>
        <w:tc>
          <w:tcPr>
            <w:tcW w:w="6541" w:type="dxa"/>
            <w:shd w:val="clear" w:color="auto" w:fill="auto"/>
            <w:noWrap/>
            <w:vAlign w:val="center"/>
          </w:tcPr>
          <w:p w14:paraId="6E93E30E">
            <w:pPr>
              <w:rPr>
                <w:bCs/>
                <w:kern w:val="0"/>
                <w:szCs w:val="21"/>
              </w:rPr>
            </w:pPr>
            <w:r>
              <w:rPr>
                <w:rFonts w:hint="eastAsia"/>
                <w:bCs/>
                <w:kern w:val="0"/>
                <w:szCs w:val="21"/>
              </w:rPr>
              <w:t>资料收集</w:t>
            </w:r>
            <w:r>
              <w:rPr>
                <w:rFonts w:hint="eastAsia"/>
                <w:bCs/>
                <w:kern w:val="0"/>
                <w:szCs w:val="21"/>
              </w:rPr>
              <w:sym w:font="Wingdings 2" w:char="F052"/>
            </w:r>
            <w:r>
              <w:rPr>
                <w:rFonts w:hint="eastAsia"/>
                <w:bCs/>
                <w:kern w:val="0"/>
                <w:szCs w:val="21"/>
              </w:rPr>
              <w:t>；遥感调查</w:t>
            </w:r>
            <w:r>
              <w:rPr>
                <w:rFonts w:hint="eastAsia"/>
                <w:bCs/>
                <w:kern w:val="0"/>
                <w:szCs w:val="21"/>
              </w:rPr>
              <w:sym w:font="Wingdings 2" w:char="F052"/>
            </w:r>
            <w:r>
              <w:rPr>
                <w:rFonts w:hint="eastAsia"/>
                <w:bCs/>
                <w:kern w:val="0"/>
                <w:szCs w:val="21"/>
              </w:rPr>
              <w:t>；调查样方、样线</w:t>
            </w:r>
            <w:r>
              <w:rPr>
                <w:rFonts w:hint="eastAsia"/>
                <w:bCs/>
                <w:kern w:val="0"/>
                <w:szCs w:val="21"/>
              </w:rPr>
              <w:sym w:font="Wingdings 2" w:char="F052"/>
            </w:r>
            <w:r>
              <w:rPr>
                <w:rFonts w:hint="eastAsia"/>
                <w:bCs/>
                <w:kern w:val="0"/>
                <w:szCs w:val="21"/>
              </w:rPr>
              <w:t>；调查点位、断面</w:t>
            </w:r>
            <w:r>
              <w:rPr>
                <w:rFonts w:hint="eastAsia"/>
                <w:bCs/>
                <w:kern w:val="0"/>
                <w:szCs w:val="21"/>
              </w:rPr>
              <w:sym w:font="Wingdings 2" w:char="F052"/>
            </w:r>
            <w:r>
              <w:rPr>
                <w:rFonts w:hint="eastAsia"/>
                <w:bCs/>
                <w:kern w:val="0"/>
                <w:szCs w:val="21"/>
              </w:rPr>
              <w:t>；专家和公众咨询法</w:t>
            </w:r>
            <w:r>
              <w:rPr>
                <w:rFonts w:hint="eastAsia"/>
                <w:bCs/>
                <w:kern w:val="0"/>
                <w:szCs w:val="21"/>
              </w:rPr>
              <w:sym w:font="Wingdings 2" w:char="F052"/>
            </w:r>
            <w:r>
              <w:rPr>
                <w:rFonts w:hint="eastAsia"/>
                <w:bCs/>
                <w:kern w:val="0"/>
                <w:szCs w:val="21"/>
              </w:rPr>
              <w:t>；其他□</w:t>
            </w:r>
          </w:p>
        </w:tc>
      </w:tr>
      <w:tr w14:paraId="38B94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shd w:val="clear" w:color="auto" w:fill="auto"/>
            <w:vAlign w:val="center"/>
          </w:tcPr>
          <w:p w14:paraId="09380D11">
            <w:pPr>
              <w:rPr>
                <w:bCs/>
                <w:kern w:val="0"/>
                <w:szCs w:val="21"/>
              </w:rPr>
            </w:pPr>
          </w:p>
        </w:tc>
        <w:tc>
          <w:tcPr>
            <w:tcW w:w="915" w:type="dxa"/>
            <w:shd w:val="clear" w:color="auto" w:fill="auto"/>
            <w:noWrap/>
            <w:vAlign w:val="center"/>
          </w:tcPr>
          <w:p w14:paraId="4659FE1F">
            <w:pPr>
              <w:rPr>
                <w:bCs/>
                <w:kern w:val="0"/>
                <w:szCs w:val="21"/>
              </w:rPr>
            </w:pPr>
            <w:r>
              <w:rPr>
                <w:rFonts w:hint="eastAsia"/>
                <w:bCs/>
                <w:kern w:val="0"/>
                <w:szCs w:val="21"/>
              </w:rPr>
              <w:t>调查时间</w:t>
            </w:r>
          </w:p>
        </w:tc>
        <w:tc>
          <w:tcPr>
            <w:tcW w:w="6541" w:type="dxa"/>
            <w:shd w:val="clear" w:color="auto" w:fill="auto"/>
            <w:noWrap/>
            <w:vAlign w:val="center"/>
          </w:tcPr>
          <w:p w14:paraId="0576C6E7">
            <w:pPr>
              <w:rPr>
                <w:bCs/>
                <w:kern w:val="0"/>
                <w:szCs w:val="21"/>
              </w:rPr>
            </w:pPr>
            <w:r>
              <w:rPr>
                <w:rFonts w:hint="eastAsia"/>
                <w:bCs/>
                <w:kern w:val="0"/>
                <w:szCs w:val="21"/>
              </w:rPr>
              <w:t>春季</w:t>
            </w:r>
            <w:r>
              <w:rPr>
                <w:rFonts w:hint="eastAsia"/>
                <w:bCs/>
                <w:kern w:val="0"/>
                <w:szCs w:val="21"/>
              </w:rPr>
              <w:sym w:font="Wingdings 2" w:char="F052"/>
            </w:r>
            <w:r>
              <w:rPr>
                <w:rFonts w:hint="eastAsia"/>
                <w:bCs/>
                <w:kern w:val="0"/>
                <w:szCs w:val="21"/>
              </w:rPr>
              <w:t>；夏季</w:t>
            </w:r>
            <w:r>
              <w:rPr>
                <w:rFonts w:hint="eastAsia"/>
                <w:bCs/>
                <w:kern w:val="0"/>
                <w:szCs w:val="21"/>
              </w:rPr>
              <w:sym w:font="Wingdings 2" w:char="F052"/>
            </w:r>
            <w:r>
              <w:rPr>
                <w:rFonts w:hint="eastAsia"/>
                <w:bCs/>
                <w:kern w:val="0"/>
                <w:szCs w:val="21"/>
              </w:rPr>
              <w:t>；秋季</w:t>
            </w:r>
            <w:r>
              <w:rPr>
                <w:rFonts w:hint="eastAsia"/>
                <w:bCs/>
                <w:kern w:val="0"/>
                <w:szCs w:val="21"/>
              </w:rPr>
              <w:sym w:font="Wingdings 2" w:char="F052"/>
            </w:r>
            <w:r>
              <w:rPr>
                <w:rFonts w:hint="eastAsia"/>
                <w:bCs/>
                <w:kern w:val="0"/>
                <w:szCs w:val="21"/>
              </w:rPr>
              <w:t>；冬季</w:t>
            </w:r>
            <w:r>
              <w:rPr>
                <w:rFonts w:hint="eastAsia"/>
                <w:bCs/>
                <w:kern w:val="0"/>
                <w:szCs w:val="21"/>
              </w:rPr>
              <w:sym w:font="Wingdings 2" w:char="F052"/>
            </w:r>
            <w:r>
              <w:rPr>
                <w:rFonts w:hint="eastAsia"/>
                <w:bCs/>
                <w:kern w:val="0"/>
                <w:szCs w:val="21"/>
              </w:rPr>
              <w:t>；丰水期</w:t>
            </w:r>
            <w:r>
              <w:rPr>
                <w:rFonts w:hint="eastAsia"/>
                <w:bCs/>
                <w:kern w:val="0"/>
                <w:szCs w:val="21"/>
              </w:rPr>
              <w:sym w:font="Wingdings 2" w:char="F052"/>
            </w:r>
            <w:r>
              <w:rPr>
                <w:rFonts w:hint="eastAsia"/>
                <w:bCs/>
                <w:kern w:val="0"/>
                <w:szCs w:val="21"/>
              </w:rPr>
              <w:t>；枯水期</w:t>
            </w:r>
            <w:r>
              <w:rPr>
                <w:rFonts w:hint="eastAsia"/>
                <w:bCs/>
                <w:kern w:val="0"/>
                <w:szCs w:val="21"/>
              </w:rPr>
              <w:sym w:font="Wingdings 2" w:char="F052"/>
            </w:r>
            <w:r>
              <w:rPr>
                <w:rFonts w:hint="eastAsia"/>
                <w:bCs/>
                <w:kern w:val="0"/>
                <w:szCs w:val="21"/>
              </w:rPr>
              <w:t>；平水期□</w:t>
            </w:r>
          </w:p>
        </w:tc>
      </w:tr>
      <w:tr w14:paraId="0051C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shd w:val="clear" w:color="auto" w:fill="auto"/>
            <w:vAlign w:val="center"/>
          </w:tcPr>
          <w:p w14:paraId="36996DAA">
            <w:pPr>
              <w:rPr>
                <w:bCs/>
                <w:kern w:val="0"/>
                <w:szCs w:val="21"/>
              </w:rPr>
            </w:pPr>
          </w:p>
        </w:tc>
        <w:tc>
          <w:tcPr>
            <w:tcW w:w="915" w:type="dxa"/>
            <w:shd w:val="clear" w:color="auto" w:fill="auto"/>
            <w:noWrap/>
            <w:vAlign w:val="center"/>
          </w:tcPr>
          <w:p w14:paraId="3710E9FA">
            <w:pPr>
              <w:rPr>
                <w:bCs/>
                <w:kern w:val="0"/>
                <w:szCs w:val="21"/>
              </w:rPr>
            </w:pPr>
            <w:r>
              <w:rPr>
                <w:rFonts w:hint="eastAsia"/>
                <w:bCs/>
                <w:kern w:val="0"/>
                <w:szCs w:val="21"/>
              </w:rPr>
              <w:t>所在区域的生态问题</w:t>
            </w:r>
          </w:p>
        </w:tc>
        <w:tc>
          <w:tcPr>
            <w:tcW w:w="6541" w:type="dxa"/>
            <w:shd w:val="clear" w:color="auto" w:fill="auto"/>
            <w:noWrap/>
            <w:vAlign w:val="center"/>
          </w:tcPr>
          <w:p w14:paraId="1EECDFC8">
            <w:pPr>
              <w:rPr>
                <w:bCs/>
                <w:kern w:val="0"/>
                <w:szCs w:val="21"/>
              </w:rPr>
            </w:pPr>
            <w:r>
              <w:rPr>
                <w:rFonts w:hint="eastAsia"/>
                <w:bCs/>
                <w:kern w:val="0"/>
                <w:szCs w:val="21"/>
              </w:rPr>
              <w:t>水土流失</w:t>
            </w:r>
            <w:r>
              <w:rPr>
                <w:rFonts w:hint="eastAsia"/>
                <w:bCs/>
                <w:kern w:val="0"/>
                <w:szCs w:val="21"/>
              </w:rPr>
              <w:sym w:font="Wingdings 2" w:char="F052"/>
            </w:r>
            <w:r>
              <w:rPr>
                <w:rFonts w:hint="eastAsia"/>
                <w:bCs/>
                <w:kern w:val="0"/>
                <w:szCs w:val="21"/>
              </w:rPr>
              <w:t>；沙漠化□；石漠化□；盐渍化□；生物入侵</w:t>
            </w:r>
            <w:r>
              <w:rPr>
                <w:rFonts w:hint="eastAsia"/>
                <w:bCs/>
                <w:kern w:val="0"/>
                <w:szCs w:val="21"/>
              </w:rPr>
              <w:sym w:font="Wingdings 2" w:char="F052"/>
            </w:r>
            <w:r>
              <w:rPr>
                <w:rFonts w:hint="eastAsia"/>
                <w:bCs/>
                <w:kern w:val="0"/>
                <w:szCs w:val="21"/>
              </w:rPr>
              <w:t>；污染危害</w:t>
            </w:r>
            <w:r>
              <w:rPr>
                <w:rFonts w:hint="eastAsia"/>
                <w:bCs/>
                <w:kern w:val="0"/>
                <w:szCs w:val="21"/>
              </w:rPr>
              <w:sym w:font="Wingdings 2" w:char="F052"/>
            </w:r>
            <w:r>
              <w:rPr>
                <w:rFonts w:hint="eastAsia"/>
                <w:bCs/>
                <w:kern w:val="0"/>
                <w:szCs w:val="21"/>
              </w:rPr>
              <w:t>；其他</w:t>
            </w:r>
            <w:r>
              <w:rPr>
                <w:rFonts w:hint="eastAsia"/>
                <w:bCs/>
                <w:kern w:val="0"/>
                <w:szCs w:val="21"/>
              </w:rPr>
              <w:sym w:font="Wingdings 2" w:char="F052"/>
            </w:r>
          </w:p>
        </w:tc>
      </w:tr>
      <w:tr w14:paraId="52851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shd w:val="clear" w:color="auto" w:fill="auto"/>
            <w:vAlign w:val="center"/>
          </w:tcPr>
          <w:p w14:paraId="5D056B7D">
            <w:pPr>
              <w:rPr>
                <w:bCs/>
                <w:kern w:val="0"/>
                <w:szCs w:val="21"/>
              </w:rPr>
            </w:pPr>
          </w:p>
        </w:tc>
        <w:tc>
          <w:tcPr>
            <w:tcW w:w="915" w:type="dxa"/>
            <w:shd w:val="clear" w:color="auto" w:fill="auto"/>
            <w:noWrap/>
            <w:vAlign w:val="center"/>
          </w:tcPr>
          <w:p w14:paraId="33F994B2">
            <w:pPr>
              <w:rPr>
                <w:bCs/>
                <w:kern w:val="0"/>
                <w:szCs w:val="21"/>
              </w:rPr>
            </w:pPr>
            <w:r>
              <w:rPr>
                <w:rFonts w:hint="eastAsia"/>
                <w:bCs/>
                <w:kern w:val="0"/>
                <w:szCs w:val="21"/>
              </w:rPr>
              <w:t>评价内容</w:t>
            </w:r>
          </w:p>
        </w:tc>
        <w:tc>
          <w:tcPr>
            <w:tcW w:w="6541" w:type="dxa"/>
            <w:shd w:val="clear" w:color="auto" w:fill="auto"/>
            <w:noWrap/>
            <w:vAlign w:val="center"/>
          </w:tcPr>
          <w:p w14:paraId="08CA4350">
            <w:pPr>
              <w:rPr>
                <w:bCs/>
                <w:kern w:val="0"/>
                <w:szCs w:val="21"/>
              </w:rPr>
            </w:pPr>
            <w:r>
              <w:rPr>
                <w:rFonts w:hint="eastAsia"/>
                <w:bCs/>
                <w:kern w:val="0"/>
                <w:szCs w:val="21"/>
              </w:rPr>
              <w:t>植被/植物群落</w:t>
            </w:r>
            <w:r>
              <w:rPr>
                <w:rFonts w:hint="eastAsia"/>
                <w:bCs/>
                <w:kern w:val="0"/>
                <w:szCs w:val="21"/>
              </w:rPr>
              <w:sym w:font="Wingdings 2" w:char="F052"/>
            </w:r>
            <w:r>
              <w:rPr>
                <w:rFonts w:hint="eastAsia"/>
                <w:bCs/>
                <w:kern w:val="0"/>
                <w:szCs w:val="21"/>
              </w:rPr>
              <w:t>；土地利用</w:t>
            </w:r>
            <w:r>
              <w:rPr>
                <w:rFonts w:hint="eastAsia"/>
                <w:bCs/>
                <w:kern w:val="0"/>
                <w:szCs w:val="21"/>
              </w:rPr>
              <w:sym w:font="Wingdings 2" w:char="F052"/>
            </w:r>
            <w:r>
              <w:rPr>
                <w:rFonts w:hint="eastAsia"/>
                <w:bCs/>
                <w:kern w:val="0"/>
                <w:szCs w:val="21"/>
              </w:rPr>
              <w:t>；生态系统</w:t>
            </w:r>
            <w:r>
              <w:rPr>
                <w:rFonts w:hint="eastAsia"/>
                <w:bCs/>
                <w:kern w:val="0"/>
                <w:szCs w:val="21"/>
              </w:rPr>
              <w:sym w:font="Wingdings 2" w:char="F052"/>
            </w:r>
            <w:r>
              <w:rPr>
                <w:rFonts w:hint="eastAsia"/>
                <w:bCs/>
                <w:kern w:val="0"/>
                <w:szCs w:val="21"/>
              </w:rPr>
              <w:t>；生物多样性</w:t>
            </w:r>
            <w:r>
              <w:rPr>
                <w:rFonts w:hint="eastAsia"/>
                <w:bCs/>
                <w:kern w:val="0"/>
                <w:szCs w:val="21"/>
              </w:rPr>
              <w:sym w:font="Wingdings 2" w:char="F052"/>
            </w:r>
            <w:r>
              <w:rPr>
                <w:rFonts w:hint="eastAsia"/>
                <w:bCs/>
                <w:kern w:val="0"/>
                <w:szCs w:val="21"/>
              </w:rPr>
              <w:t>；重要物种</w:t>
            </w:r>
            <w:r>
              <w:rPr>
                <w:rFonts w:hint="eastAsia"/>
                <w:bCs/>
                <w:kern w:val="0"/>
                <w:szCs w:val="21"/>
              </w:rPr>
              <w:sym w:font="Wingdings 2" w:char="F052"/>
            </w:r>
            <w:r>
              <w:rPr>
                <w:rFonts w:hint="eastAsia"/>
                <w:bCs/>
                <w:kern w:val="0"/>
                <w:szCs w:val="21"/>
              </w:rPr>
              <w:t>；生态敏感区</w:t>
            </w:r>
            <w:r>
              <w:rPr>
                <w:rFonts w:hint="eastAsia"/>
                <w:bCs/>
                <w:kern w:val="0"/>
                <w:szCs w:val="21"/>
              </w:rPr>
              <w:sym w:font="Wingdings 2" w:char="F052"/>
            </w:r>
            <w:r>
              <w:rPr>
                <w:rFonts w:hint="eastAsia"/>
                <w:bCs/>
                <w:kern w:val="0"/>
                <w:szCs w:val="21"/>
              </w:rPr>
              <w:t>；其他□</w:t>
            </w:r>
          </w:p>
        </w:tc>
      </w:tr>
      <w:tr w14:paraId="4DAE9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shd w:val="clear" w:color="auto" w:fill="auto"/>
            <w:vAlign w:val="center"/>
          </w:tcPr>
          <w:p w14:paraId="568193A7">
            <w:pPr>
              <w:rPr>
                <w:bCs/>
                <w:kern w:val="0"/>
                <w:szCs w:val="21"/>
              </w:rPr>
            </w:pPr>
            <w:r>
              <w:rPr>
                <w:rFonts w:hint="eastAsia"/>
                <w:bCs/>
                <w:kern w:val="0"/>
                <w:szCs w:val="21"/>
              </w:rPr>
              <w:t>生态影响预测与评价</w:t>
            </w:r>
          </w:p>
        </w:tc>
        <w:tc>
          <w:tcPr>
            <w:tcW w:w="915" w:type="dxa"/>
            <w:shd w:val="clear" w:color="auto" w:fill="auto"/>
            <w:noWrap/>
            <w:vAlign w:val="center"/>
          </w:tcPr>
          <w:p w14:paraId="440A64A7">
            <w:pPr>
              <w:rPr>
                <w:bCs/>
                <w:kern w:val="0"/>
                <w:szCs w:val="21"/>
              </w:rPr>
            </w:pPr>
            <w:r>
              <w:rPr>
                <w:rFonts w:hint="eastAsia"/>
                <w:bCs/>
                <w:kern w:val="0"/>
                <w:szCs w:val="21"/>
              </w:rPr>
              <w:t>评价方法</w:t>
            </w:r>
          </w:p>
        </w:tc>
        <w:tc>
          <w:tcPr>
            <w:tcW w:w="6541" w:type="dxa"/>
            <w:shd w:val="clear" w:color="auto" w:fill="auto"/>
            <w:noWrap/>
            <w:vAlign w:val="center"/>
          </w:tcPr>
          <w:p w14:paraId="5DC44597">
            <w:pPr>
              <w:rPr>
                <w:bCs/>
                <w:kern w:val="0"/>
                <w:szCs w:val="21"/>
              </w:rPr>
            </w:pPr>
            <w:r>
              <w:rPr>
                <w:rFonts w:hint="eastAsia"/>
                <w:bCs/>
                <w:kern w:val="0"/>
                <w:szCs w:val="21"/>
              </w:rPr>
              <w:t>定性□；定性和定量</w:t>
            </w:r>
            <w:r>
              <w:rPr>
                <w:rFonts w:hint="eastAsia"/>
                <w:bCs/>
                <w:kern w:val="0"/>
                <w:szCs w:val="21"/>
              </w:rPr>
              <w:sym w:font="Wingdings 2" w:char="F052"/>
            </w:r>
          </w:p>
        </w:tc>
      </w:tr>
      <w:tr w14:paraId="6FFFA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shd w:val="clear" w:color="auto" w:fill="auto"/>
            <w:vAlign w:val="center"/>
          </w:tcPr>
          <w:p w14:paraId="3D5A1004">
            <w:pPr>
              <w:rPr>
                <w:bCs/>
                <w:kern w:val="0"/>
                <w:szCs w:val="21"/>
              </w:rPr>
            </w:pPr>
          </w:p>
        </w:tc>
        <w:tc>
          <w:tcPr>
            <w:tcW w:w="915" w:type="dxa"/>
            <w:shd w:val="clear" w:color="auto" w:fill="auto"/>
            <w:noWrap/>
            <w:vAlign w:val="center"/>
          </w:tcPr>
          <w:p w14:paraId="4325405F">
            <w:pPr>
              <w:rPr>
                <w:bCs/>
                <w:kern w:val="0"/>
                <w:szCs w:val="21"/>
              </w:rPr>
            </w:pPr>
            <w:r>
              <w:rPr>
                <w:rFonts w:hint="eastAsia"/>
                <w:bCs/>
                <w:kern w:val="0"/>
                <w:szCs w:val="21"/>
              </w:rPr>
              <w:t>评价内容</w:t>
            </w:r>
          </w:p>
        </w:tc>
        <w:tc>
          <w:tcPr>
            <w:tcW w:w="6541" w:type="dxa"/>
            <w:shd w:val="clear" w:color="auto" w:fill="auto"/>
            <w:vAlign w:val="center"/>
          </w:tcPr>
          <w:p w14:paraId="07234AF7">
            <w:pPr>
              <w:rPr>
                <w:bCs/>
                <w:kern w:val="0"/>
                <w:szCs w:val="21"/>
              </w:rPr>
            </w:pPr>
            <w:r>
              <w:rPr>
                <w:rFonts w:hint="eastAsia"/>
                <w:bCs/>
                <w:kern w:val="0"/>
                <w:szCs w:val="21"/>
              </w:rPr>
              <w:t>植被/植物群落</w:t>
            </w:r>
            <w:r>
              <w:rPr>
                <w:rFonts w:hint="eastAsia"/>
                <w:bCs/>
                <w:kern w:val="0"/>
                <w:szCs w:val="21"/>
              </w:rPr>
              <w:sym w:font="Wingdings 2" w:char="F052"/>
            </w:r>
            <w:r>
              <w:rPr>
                <w:rFonts w:hint="eastAsia"/>
                <w:bCs/>
                <w:kern w:val="0"/>
                <w:szCs w:val="21"/>
              </w:rPr>
              <w:t>；土地利用</w:t>
            </w:r>
            <w:r>
              <w:rPr>
                <w:rFonts w:hint="eastAsia"/>
                <w:bCs/>
                <w:kern w:val="0"/>
                <w:szCs w:val="21"/>
              </w:rPr>
              <w:sym w:font="Wingdings 2" w:char="F052"/>
            </w:r>
            <w:r>
              <w:rPr>
                <w:rFonts w:hint="eastAsia"/>
                <w:bCs/>
                <w:kern w:val="0"/>
                <w:szCs w:val="21"/>
              </w:rPr>
              <w:t>；生态系统</w:t>
            </w:r>
            <w:r>
              <w:rPr>
                <w:rFonts w:hint="eastAsia"/>
                <w:bCs/>
                <w:kern w:val="0"/>
                <w:szCs w:val="21"/>
              </w:rPr>
              <w:sym w:font="Wingdings 2" w:char="F052"/>
            </w:r>
            <w:r>
              <w:rPr>
                <w:rFonts w:hint="eastAsia"/>
                <w:bCs/>
                <w:kern w:val="0"/>
                <w:szCs w:val="21"/>
              </w:rPr>
              <w:t>；生物多样性</w:t>
            </w:r>
            <w:r>
              <w:rPr>
                <w:rFonts w:hint="eastAsia"/>
                <w:bCs/>
                <w:kern w:val="0"/>
                <w:szCs w:val="21"/>
              </w:rPr>
              <w:sym w:font="Wingdings 2" w:char="F052"/>
            </w:r>
            <w:r>
              <w:rPr>
                <w:rFonts w:hint="eastAsia"/>
                <w:bCs/>
                <w:kern w:val="0"/>
                <w:szCs w:val="21"/>
              </w:rPr>
              <w:t>；重要物种</w:t>
            </w:r>
            <w:r>
              <w:rPr>
                <w:rFonts w:hint="eastAsia"/>
                <w:bCs/>
                <w:kern w:val="0"/>
                <w:szCs w:val="21"/>
              </w:rPr>
              <w:sym w:font="Wingdings 2" w:char="F052"/>
            </w:r>
            <w:r>
              <w:rPr>
                <w:rFonts w:hint="eastAsia"/>
                <w:bCs/>
                <w:kern w:val="0"/>
                <w:szCs w:val="21"/>
              </w:rPr>
              <w:t>；生态敏感区</w:t>
            </w:r>
            <w:r>
              <w:rPr>
                <w:rFonts w:hint="eastAsia"/>
                <w:bCs/>
                <w:kern w:val="0"/>
                <w:szCs w:val="21"/>
              </w:rPr>
              <w:sym w:font="Wingdings 2" w:char="F052"/>
            </w:r>
            <w:r>
              <w:rPr>
                <w:rFonts w:hint="eastAsia"/>
                <w:bCs/>
                <w:kern w:val="0"/>
                <w:szCs w:val="21"/>
              </w:rPr>
              <w:t>；生物入侵风险</w:t>
            </w:r>
            <w:r>
              <w:rPr>
                <w:rFonts w:hint="eastAsia"/>
                <w:bCs/>
                <w:kern w:val="0"/>
                <w:szCs w:val="21"/>
              </w:rPr>
              <w:sym w:font="Wingdings 2" w:char="F052"/>
            </w:r>
            <w:r>
              <w:rPr>
                <w:rFonts w:hint="eastAsia"/>
                <w:bCs/>
                <w:kern w:val="0"/>
                <w:szCs w:val="21"/>
              </w:rPr>
              <w:t>；其他□</w:t>
            </w:r>
          </w:p>
        </w:tc>
      </w:tr>
      <w:tr w14:paraId="6937A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shd w:val="clear" w:color="auto" w:fill="auto"/>
            <w:vAlign w:val="center"/>
          </w:tcPr>
          <w:p w14:paraId="3CAAEC28">
            <w:pPr>
              <w:rPr>
                <w:bCs/>
                <w:kern w:val="0"/>
                <w:szCs w:val="21"/>
              </w:rPr>
            </w:pPr>
            <w:r>
              <w:rPr>
                <w:rFonts w:hint="eastAsia"/>
                <w:bCs/>
                <w:kern w:val="0"/>
                <w:szCs w:val="21"/>
              </w:rPr>
              <w:t>生态保护对策措施</w:t>
            </w:r>
          </w:p>
        </w:tc>
        <w:tc>
          <w:tcPr>
            <w:tcW w:w="915" w:type="dxa"/>
            <w:shd w:val="clear" w:color="auto" w:fill="auto"/>
            <w:noWrap/>
            <w:vAlign w:val="center"/>
          </w:tcPr>
          <w:p w14:paraId="04329C9E">
            <w:pPr>
              <w:rPr>
                <w:bCs/>
                <w:kern w:val="0"/>
                <w:szCs w:val="21"/>
              </w:rPr>
            </w:pPr>
            <w:r>
              <w:rPr>
                <w:rFonts w:hint="eastAsia"/>
                <w:bCs/>
                <w:kern w:val="0"/>
                <w:szCs w:val="21"/>
              </w:rPr>
              <w:t>对策措施</w:t>
            </w:r>
          </w:p>
        </w:tc>
        <w:tc>
          <w:tcPr>
            <w:tcW w:w="6541" w:type="dxa"/>
            <w:shd w:val="clear" w:color="auto" w:fill="auto"/>
            <w:noWrap/>
            <w:vAlign w:val="center"/>
          </w:tcPr>
          <w:p w14:paraId="24AF03F6">
            <w:pPr>
              <w:rPr>
                <w:bCs/>
                <w:kern w:val="0"/>
                <w:szCs w:val="21"/>
              </w:rPr>
            </w:pPr>
            <w:r>
              <w:rPr>
                <w:rFonts w:hint="eastAsia"/>
                <w:bCs/>
                <w:kern w:val="0"/>
                <w:szCs w:val="21"/>
              </w:rPr>
              <w:t>避让</w:t>
            </w:r>
            <w:r>
              <w:rPr>
                <w:rFonts w:hint="eastAsia"/>
                <w:bCs/>
                <w:kern w:val="0"/>
                <w:szCs w:val="21"/>
              </w:rPr>
              <w:sym w:font="Wingdings 2" w:char="F052"/>
            </w:r>
            <w:r>
              <w:rPr>
                <w:rFonts w:hint="eastAsia"/>
                <w:bCs/>
                <w:kern w:val="0"/>
                <w:szCs w:val="21"/>
              </w:rPr>
              <w:t>；减缓</w:t>
            </w:r>
            <w:r>
              <w:rPr>
                <w:rFonts w:hint="eastAsia"/>
                <w:bCs/>
                <w:kern w:val="0"/>
                <w:szCs w:val="21"/>
              </w:rPr>
              <w:sym w:font="Wingdings 2" w:char="F052"/>
            </w:r>
            <w:r>
              <w:rPr>
                <w:rFonts w:hint="eastAsia"/>
                <w:bCs/>
                <w:kern w:val="0"/>
                <w:szCs w:val="21"/>
              </w:rPr>
              <w:t>；生态修复</w:t>
            </w:r>
            <w:r>
              <w:rPr>
                <w:rFonts w:hint="eastAsia"/>
                <w:bCs/>
                <w:kern w:val="0"/>
                <w:szCs w:val="21"/>
              </w:rPr>
              <w:sym w:font="Wingdings 2" w:char="F052"/>
            </w:r>
            <w:r>
              <w:rPr>
                <w:rFonts w:hint="eastAsia"/>
                <w:bCs/>
                <w:kern w:val="0"/>
                <w:szCs w:val="21"/>
              </w:rPr>
              <w:t>；生态补偿</w:t>
            </w:r>
            <w:r>
              <w:rPr>
                <w:rFonts w:hint="eastAsia"/>
                <w:bCs/>
                <w:kern w:val="0"/>
                <w:szCs w:val="21"/>
              </w:rPr>
              <w:sym w:font="Wingdings 2" w:char="F052"/>
            </w:r>
            <w:r>
              <w:rPr>
                <w:rFonts w:hint="eastAsia"/>
                <w:bCs/>
                <w:kern w:val="0"/>
                <w:szCs w:val="21"/>
              </w:rPr>
              <w:t>；科研□；其他□</w:t>
            </w:r>
          </w:p>
        </w:tc>
      </w:tr>
      <w:tr w14:paraId="59964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shd w:val="clear" w:color="auto" w:fill="auto"/>
            <w:vAlign w:val="center"/>
          </w:tcPr>
          <w:p w14:paraId="182BCFC3">
            <w:pPr>
              <w:rPr>
                <w:bCs/>
                <w:kern w:val="0"/>
                <w:szCs w:val="21"/>
              </w:rPr>
            </w:pPr>
          </w:p>
        </w:tc>
        <w:tc>
          <w:tcPr>
            <w:tcW w:w="915" w:type="dxa"/>
            <w:shd w:val="clear" w:color="auto" w:fill="auto"/>
            <w:noWrap/>
            <w:vAlign w:val="center"/>
          </w:tcPr>
          <w:p w14:paraId="63CE33D8">
            <w:pPr>
              <w:rPr>
                <w:bCs/>
                <w:kern w:val="0"/>
                <w:szCs w:val="21"/>
              </w:rPr>
            </w:pPr>
            <w:r>
              <w:rPr>
                <w:rFonts w:hint="eastAsia"/>
                <w:bCs/>
                <w:kern w:val="0"/>
                <w:szCs w:val="21"/>
              </w:rPr>
              <w:t>生态监测计划</w:t>
            </w:r>
          </w:p>
        </w:tc>
        <w:tc>
          <w:tcPr>
            <w:tcW w:w="6541" w:type="dxa"/>
            <w:shd w:val="clear" w:color="auto" w:fill="auto"/>
            <w:noWrap/>
            <w:vAlign w:val="center"/>
          </w:tcPr>
          <w:p w14:paraId="78A7D4A9">
            <w:pPr>
              <w:rPr>
                <w:bCs/>
                <w:kern w:val="0"/>
                <w:szCs w:val="21"/>
              </w:rPr>
            </w:pPr>
            <w:r>
              <w:rPr>
                <w:rFonts w:hint="eastAsia"/>
                <w:bCs/>
                <w:kern w:val="0"/>
                <w:szCs w:val="21"/>
              </w:rPr>
              <w:t>全生命周期□；长期跟踪</w:t>
            </w:r>
            <w:r>
              <w:rPr>
                <w:rFonts w:hint="eastAsia"/>
                <w:bCs/>
                <w:kern w:val="0"/>
                <w:szCs w:val="21"/>
              </w:rPr>
              <w:sym w:font="Wingdings 2" w:char="F052"/>
            </w:r>
            <w:r>
              <w:rPr>
                <w:rFonts w:hint="eastAsia"/>
                <w:bCs/>
                <w:kern w:val="0"/>
                <w:szCs w:val="21"/>
              </w:rPr>
              <w:t>；常规□；无□</w:t>
            </w:r>
          </w:p>
        </w:tc>
      </w:tr>
      <w:tr w14:paraId="7502A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shd w:val="clear" w:color="auto" w:fill="auto"/>
            <w:vAlign w:val="center"/>
          </w:tcPr>
          <w:p w14:paraId="751BF7D0">
            <w:pPr>
              <w:rPr>
                <w:bCs/>
                <w:kern w:val="0"/>
                <w:szCs w:val="21"/>
              </w:rPr>
            </w:pPr>
          </w:p>
        </w:tc>
        <w:tc>
          <w:tcPr>
            <w:tcW w:w="915" w:type="dxa"/>
            <w:shd w:val="clear" w:color="auto" w:fill="auto"/>
            <w:noWrap/>
            <w:vAlign w:val="center"/>
          </w:tcPr>
          <w:p w14:paraId="4CFED9CD">
            <w:pPr>
              <w:rPr>
                <w:bCs/>
                <w:kern w:val="0"/>
                <w:szCs w:val="21"/>
              </w:rPr>
            </w:pPr>
            <w:r>
              <w:rPr>
                <w:rFonts w:hint="eastAsia"/>
                <w:bCs/>
                <w:kern w:val="0"/>
                <w:szCs w:val="21"/>
              </w:rPr>
              <w:t>环境管理</w:t>
            </w:r>
          </w:p>
        </w:tc>
        <w:tc>
          <w:tcPr>
            <w:tcW w:w="6541" w:type="dxa"/>
            <w:shd w:val="clear" w:color="auto" w:fill="auto"/>
            <w:noWrap/>
            <w:vAlign w:val="center"/>
          </w:tcPr>
          <w:p w14:paraId="67F67565">
            <w:pPr>
              <w:rPr>
                <w:bCs/>
                <w:kern w:val="0"/>
                <w:szCs w:val="21"/>
              </w:rPr>
            </w:pPr>
            <w:r>
              <w:rPr>
                <w:rFonts w:hint="eastAsia"/>
                <w:bCs/>
                <w:kern w:val="0"/>
                <w:szCs w:val="21"/>
              </w:rPr>
              <w:t>环境监理</w:t>
            </w:r>
            <w:r>
              <w:rPr>
                <w:rFonts w:hint="eastAsia"/>
                <w:bCs/>
                <w:kern w:val="0"/>
                <w:szCs w:val="21"/>
              </w:rPr>
              <w:sym w:font="Wingdings 2" w:char="F052"/>
            </w:r>
            <w:r>
              <w:rPr>
                <w:rFonts w:hint="eastAsia"/>
                <w:bCs/>
                <w:kern w:val="0"/>
                <w:szCs w:val="21"/>
              </w:rPr>
              <w:t>；环境影响后评价□；其他</w:t>
            </w:r>
            <w:r>
              <w:rPr>
                <w:rFonts w:hint="eastAsia"/>
                <w:bCs/>
                <w:kern w:val="0"/>
                <w:szCs w:val="21"/>
              </w:rPr>
              <w:sym w:font="Wingdings 2" w:char="F052"/>
            </w:r>
          </w:p>
        </w:tc>
      </w:tr>
      <w:tr w14:paraId="3217F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shd w:val="clear" w:color="auto" w:fill="auto"/>
            <w:noWrap/>
            <w:vAlign w:val="center"/>
          </w:tcPr>
          <w:p w14:paraId="00F77E23">
            <w:pPr>
              <w:rPr>
                <w:bCs/>
                <w:kern w:val="0"/>
                <w:szCs w:val="21"/>
              </w:rPr>
            </w:pPr>
            <w:r>
              <w:rPr>
                <w:rFonts w:hint="eastAsia"/>
                <w:bCs/>
                <w:kern w:val="0"/>
                <w:szCs w:val="21"/>
              </w:rPr>
              <w:t>评价结论</w:t>
            </w:r>
          </w:p>
        </w:tc>
        <w:tc>
          <w:tcPr>
            <w:tcW w:w="915" w:type="dxa"/>
            <w:shd w:val="clear" w:color="auto" w:fill="auto"/>
            <w:noWrap/>
            <w:vAlign w:val="center"/>
          </w:tcPr>
          <w:p w14:paraId="31AEA65C">
            <w:pPr>
              <w:rPr>
                <w:bCs/>
                <w:kern w:val="0"/>
                <w:szCs w:val="21"/>
              </w:rPr>
            </w:pPr>
            <w:r>
              <w:rPr>
                <w:rFonts w:hint="eastAsia"/>
                <w:bCs/>
                <w:kern w:val="0"/>
                <w:szCs w:val="21"/>
              </w:rPr>
              <w:t>生态影响</w:t>
            </w:r>
          </w:p>
        </w:tc>
        <w:tc>
          <w:tcPr>
            <w:tcW w:w="6541" w:type="dxa"/>
            <w:shd w:val="clear" w:color="auto" w:fill="auto"/>
            <w:noWrap/>
            <w:vAlign w:val="center"/>
          </w:tcPr>
          <w:p w14:paraId="1430E042">
            <w:pPr>
              <w:rPr>
                <w:bCs/>
                <w:kern w:val="0"/>
                <w:szCs w:val="21"/>
              </w:rPr>
            </w:pPr>
            <w:r>
              <w:rPr>
                <w:rFonts w:hint="eastAsia"/>
                <w:bCs/>
                <w:kern w:val="0"/>
                <w:szCs w:val="21"/>
              </w:rPr>
              <w:t>可行</w:t>
            </w:r>
            <w:r>
              <w:rPr>
                <w:rFonts w:hint="eastAsia"/>
                <w:bCs/>
                <w:kern w:val="0"/>
                <w:szCs w:val="21"/>
              </w:rPr>
              <w:sym w:font="Wingdings 2" w:char="F052"/>
            </w:r>
            <w:r>
              <w:rPr>
                <w:rFonts w:hint="eastAsia"/>
                <w:bCs/>
                <w:kern w:val="0"/>
                <w:szCs w:val="21"/>
              </w:rPr>
              <w:t>；不可行□</w:t>
            </w:r>
          </w:p>
        </w:tc>
      </w:tr>
    </w:tbl>
    <w:p w14:paraId="723CA75A">
      <w:pPr>
        <w:pStyle w:val="85"/>
        <w:ind w:firstLine="480"/>
        <w:rPr>
          <w:kern w:val="0"/>
        </w:rPr>
      </w:pPr>
    </w:p>
    <w:p w14:paraId="731C0937">
      <w:pPr>
        <w:pStyle w:val="85"/>
        <w:ind w:firstLine="480"/>
        <w:rPr>
          <w:color w:val="FF0000"/>
          <w:kern w:val="0"/>
        </w:rPr>
        <w:sectPr>
          <w:pgSz w:w="11906" w:h="16838"/>
          <w:pgMar w:top="2007" w:right="1797" w:bottom="1724" w:left="1797" w:header="1417" w:footer="1162" w:gutter="0"/>
          <w:pgNumType w:fmt="numberInDash"/>
          <w:cols w:space="425" w:num="1"/>
          <w:docGrid w:type="lines" w:linePitch="312" w:charSpace="0"/>
        </w:sectPr>
      </w:pPr>
    </w:p>
    <w:p w14:paraId="0EFA40BE">
      <w:pPr>
        <w:pStyle w:val="2"/>
        <w:rPr>
          <w:kern w:val="0"/>
        </w:rPr>
      </w:pPr>
      <w:bookmarkStart w:id="136" w:name="_Toc198733167"/>
      <w:r>
        <w:rPr>
          <w:rFonts w:hint="eastAsia"/>
          <w:kern w:val="0"/>
        </w:rPr>
        <w:t>环境保护措施及其可行性论证</w:t>
      </w:r>
      <w:bookmarkEnd w:id="136"/>
    </w:p>
    <w:p w14:paraId="31926382">
      <w:pPr>
        <w:pStyle w:val="3"/>
        <w:rPr>
          <w:kern w:val="0"/>
        </w:rPr>
      </w:pPr>
      <w:bookmarkStart w:id="137" w:name="_Toc198733168"/>
      <w:r>
        <w:rPr>
          <w:rFonts w:hint="eastAsia"/>
          <w:kern w:val="0"/>
        </w:rPr>
        <w:t>施工期环境保护措施</w:t>
      </w:r>
      <w:r>
        <w:rPr>
          <w:kern w:val="0"/>
        </w:rPr>
        <w:t>可行性论证</w:t>
      </w:r>
      <w:bookmarkEnd w:id="137"/>
    </w:p>
    <w:p w14:paraId="4B77B0DE">
      <w:pPr>
        <w:pStyle w:val="4"/>
        <w:rPr>
          <w:kern w:val="0"/>
        </w:rPr>
      </w:pPr>
      <w:r>
        <w:rPr>
          <w:rFonts w:hint="eastAsia"/>
          <w:kern w:val="0"/>
        </w:rPr>
        <w:t>废气</w:t>
      </w:r>
      <w:r>
        <w:rPr>
          <w:kern w:val="0"/>
        </w:rPr>
        <w:t>治理</w:t>
      </w:r>
      <w:r>
        <w:rPr>
          <w:rFonts w:hint="eastAsia"/>
          <w:kern w:val="0"/>
        </w:rPr>
        <w:t>措施</w:t>
      </w:r>
    </w:p>
    <w:p w14:paraId="58004BB1">
      <w:pPr>
        <w:pStyle w:val="5"/>
        <w:rPr>
          <w:kern w:val="0"/>
        </w:rPr>
      </w:pPr>
      <w:r>
        <w:rPr>
          <w:rFonts w:hint="eastAsia"/>
          <w:kern w:val="0"/>
        </w:rPr>
        <w:t>扬尘治理</w:t>
      </w:r>
      <w:r>
        <w:rPr>
          <w:kern w:val="0"/>
        </w:rPr>
        <w:t>措施</w:t>
      </w:r>
    </w:p>
    <w:p w14:paraId="560FF925">
      <w:pPr>
        <w:pStyle w:val="85"/>
        <w:ind w:firstLine="480"/>
        <w:rPr>
          <w:kern w:val="0"/>
        </w:rPr>
      </w:pPr>
      <w:r>
        <w:rPr>
          <w:kern w:val="0"/>
        </w:rPr>
        <w:t>为有效控制周围环境空气质量，施工过程建设单位和施工单位应严格执行</w:t>
      </w:r>
      <w:r>
        <w:rPr>
          <w:rFonts w:hint="eastAsia"/>
          <w:kern w:val="0"/>
        </w:rPr>
        <w:t>《河北省大气污染防治条例》</w:t>
      </w:r>
      <w:r>
        <w:rPr>
          <w:kern w:val="0"/>
        </w:rPr>
        <w:t xml:space="preserve">(2016 </w:t>
      </w:r>
      <w:r>
        <w:rPr>
          <w:rFonts w:hint="eastAsia"/>
          <w:kern w:val="0"/>
        </w:rPr>
        <w:t>年</w:t>
      </w:r>
      <w:r>
        <w:rPr>
          <w:kern w:val="0"/>
        </w:rPr>
        <w:t>1</w:t>
      </w:r>
      <w:r>
        <w:rPr>
          <w:rFonts w:hint="eastAsia"/>
          <w:kern w:val="0"/>
        </w:rPr>
        <w:t>月</w:t>
      </w:r>
      <w:r>
        <w:rPr>
          <w:kern w:val="0"/>
        </w:rPr>
        <w:t>13</w:t>
      </w:r>
      <w:r>
        <w:rPr>
          <w:rFonts w:hint="eastAsia"/>
          <w:kern w:val="0"/>
        </w:rPr>
        <w:t>日</w:t>
      </w:r>
      <w:r>
        <w:rPr>
          <w:kern w:val="0"/>
        </w:rPr>
        <w:t>)</w:t>
      </w:r>
      <w:r>
        <w:rPr>
          <w:rFonts w:hint="eastAsia"/>
          <w:kern w:val="0"/>
        </w:rPr>
        <w:t>、《中共河北省委河北省人民政府关于强化推进大气污染综合治理的意见》</w:t>
      </w:r>
      <w:r>
        <w:rPr>
          <w:kern w:val="0"/>
        </w:rPr>
        <w:t>(</w:t>
      </w:r>
      <w:r>
        <w:rPr>
          <w:rFonts w:hint="eastAsia"/>
          <w:kern w:val="0"/>
        </w:rPr>
        <w:t>冀发</w:t>
      </w:r>
      <w:r>
        <w:rPr>
          <w:kern w:val="0"/>
        </w:rPr>
        <w:t>[2017]7</w:t>
      </w:r>
      <w:r>
        <w:rPr>
          <w:rFonts w:hint="eastAsia"/>
          <w:kern w:val="0"/>
        </w:rPr>
        <w:t>号</w:t>
      </w:r>
      <w:r>
        <w:rPr>
          <w:kern w:val="0"/>
        </w:rPr>
        <w:t>)</w:t>
      </w:r>
      <w:r>
        <w:rPr>
          <w:rFonts w:hint="eastAsia"/>
          <w:kern w:val="0"/>
        </w:rPr>
        <w:t>、《关于印发&lt;河北省2024年建筑施工扬尘污染防治工作方案&gt;的通知》（冀建质安函﹝2024﹞115号）、《河北省人民代表大会常务委员会关于加强扬尘污染防治的决定》、《扬尘在线监测系统建设及运行技术规范》的要求</w:t>
      </w:r>
      <w:r>
        <w:rPr>
          <w:kern w:val="0"/>
        </w:rPr>
        <w:t>，将施工扬尘对环境的影响降至最低程度。同时结合本工程的具体情况，建设单位应做好以下施工扬尘防治工作：</w:t>
      </w:r>
    </w:p>
    <w:p w14:paraId="544B5DFA">
      <w:pPr>
        <w:pStyle w:val="85"/>
        <w:ind w:firstLine="480"/>
        <w:rPr>
          <w:kern w:val="0"/>
        </w:rPr>
      </w:pPr>
      <w:r>
        <w:rPr>
          <w:rFonts w:hint="eastAsia"/>
          <w:kern w:val="0"/>
        </w:rPr>
        <w:t>1、土石方</w:t>
      </w:r>
      <w:r>
        <w:rPr>
          <w:kern w:val="0"/>
        </w:rPr>
        <w:t>作业：</w:t>
      </w:r>
      <w:r>
        <w:rPr>
          <w:rFonts w:hint="eastAsia"/>
          <w:kern w:val="0"/>
        </w:rPr>
        <w:t>①土石方作业过程中要洒水、喷淋、喷雾降尘，控制尘土飞扬，避免扬尘污染。出现重污染天气状况时，施工单位应当停止土石方作业以及其他可能产生扬尘污染的施工建设行为。②对于土方工程，开挖完毕的裸露地面应及时覆盖，其他裸露的地面必须采取绿化、洒水或其他防扬尘措施。</w:t>
      </w:r>
    </w:p>
    <w:p w14:paraId="3EDBE8F2">
      <w:pPr>
        <w:pStyle w:val="85"/>
        <w:ind w:firstLine="480"/>
        <w:rPr>
          <w:kern w:val="0"/>
        </w:rPr>
      </w:pPr>
      <w:r>
        <w:rPr>
          <w:kern w:val="0"/>
        </w:rPr>
        <w:t>2</w:t>
      </w:r>
      <w:r>
        <w:rPr>
          <w:rFonts w:hint="eastAsia"/>
          <w:kern w:val="0"/>
        </w:rPr>
        <w:t>、运输</w:t>
      </w:r>
      <w:r>
        <w:rPr>
          <w:kern w:val="0"/>
        </w:rPr>
        <w:t>扬尘：</w:t>
      </w:r>
      <w:r>
        <w:rPr>
          <w:rFonts w:hint="eastAsia"/>
          <w:kern w:val="0"/>
        </w:rPr>
        <w:t>①应尽可能采用密闭车斗，并保证物料不遗撒外漏。若无密闭车斗，物料、垃圾、渣土的装载高度不得超过车辆罐帮上沿，车斗应用苫布遮盖严实；②装卸和运输易产生扬尘污染物料的，应当采取完全密闭措施③配备洒水车，运输线路定期用洒水车洒水抑尘，每天不低于2 次。</w:t>
      </w:r>
    </w:p>
    <w:p w14:paraId="6A6122F3">
      <w:pPr>
        <w:pStyle w:val="85"/>
        <w:ind w:firstLine="480"/>
        <w:rPr>
          <w:kern w:val="0"/>
        </w:rPr>
      </w:pPr>
      <w:r>
        <w:rPr>
          <w:kern w:val="0"/>
        </w:rPr>
        <w:t>3</w:t>
      </w:r>
      <w:r>
        <w:rPr>
          <w:rFonts w:hint="eastAsia"/>
          <w:kern w:val="0"/>
        </w:rPr>
        <w:t>、洒水抑尘</w:t>
      </w:r>
      <w:r>
        <w:rPr>
          <w:kern w:val="0"/>
        </w:rPr>
        <w:t>：</w:t>
      </w:r>
      <w:r>
        <w:rPr>
          <w:rFonts w:hint="eastAsia"/>
          <w:kern w:val="0"/>
        </w:rPr>
        <w:t>①遇到干燥、易起尘的土方工程作业时，应辅以洒水压尘，尽量缩短起尘操作时间，遇到四级及四级以上大风天气，应停止土方作业，同时作业处覆以防尘网；②施工现场必须建立洒水清扫抑尘制度，配备喷淋喷雾等洒水设备。非冰冻期每天洒水不少于2 次，并有专人负责。重污染天气时相应增加洒水频次。</w:t>
      </w:r>
    </w:p>
    <w:p w14:paraId="209E759E">
      <w:pPr>
        <w:pStyle w:val="85"/>
        <w:ind w:firstLine="480"/>
        <w:rPr>
          <w:kern w:val="0"/>
        </w:rPr>
      </w:pPr>
      <w:r>
        <w:rPr>
          <w:rFonts w:hint="eastAsia"/>
          <w:kern w:val="0"/>
        </w:rPr>
        <w:t>通过采取以上抑尘措施后，可以满足《施工场地扬尘排放标准》</w:t>
      </w:r>
      <w:r>
        <w:rPr>
          <w:kern w:val="0"/>
        </w:rPr>
        <w:t>(DB13/2934-2019)</w:t>
      </w:r>
      <w:r>
        <w:rPr>
          <w:rFonts w:hint="eastAsia"/>
          <w:kern w:val="0"/>
        </w:rPr>
        <w:t>中的要求，本工程扬尘</w:t>
      </w:r>
      <w:r>
        <w:rPr>
          <w:kern w:val="0"/>
        </w:rPr>
        <w:t>污染</w:t>
      </w:r>
      <w:r>
        <w:rPr>
          <w:rFonts w:hint="eastAsia"/>
          <w:kern w:val="0"/>
        </w:rPr>
        <w:t>治理</w:t>
      </w:r>
      <w:r>
        <w:rPr>
          <w:kern w:val="0"/>
        </w:rPr>
        <w:t>措施</w:t>
      </w:r>
      <w:r>
        <w:rPr>
          <w:rFonts w:hint="eastAsia"/>
          <w:kern w:val="0"/>
        </w:rPr>
        <w:t>可行。</w:t>
      </w:r>
    </w:p>
    <w:p w14:paraId="49EA2989">
      <w:pPr>
        <w:pStyle w:val="5"/>
        <w:rPr>
          <w:kern w:val="0"/>
        </w:rPr>
      </w:pPr>
      <w:r>
        <w:rPr>
          <w:rFonts w:hint="eastAsia"/>
          <w:kern w:val="0"/>
        </w:rPr>
        <w:t>机械</w:t>
      </w:r>
      <w:r>
        <w:rPr>
          <w:kern w:val="0"/>
        </w:rPr>
        <w:t>燃油废气防治措施</w:t>
      </w:r>
    </w:p>
    <w:p w14:paraId="2626171F">
      <w:pPr>
        <w:pStyle w:val="85"/>
        <w:ind w:firstLine="480"/>
        <w:rPr>
          <w:kern w:val="0"/>
        </w:rPr>
      </w:pPr>
      <w:r>
        <w:rPr>
          <w:rFonts w:hint="eastAsia"/>
          <w:kern w:val="0"/>
        </w:rPr>
        <w:t>（1）施工现场非道路移动机械，应符合国家第四阶段排放标准；</w:t>
      </w:r>
    </w:p>
    <w:p w14:paraId="42E1635F">
      <w:pPr>
        <w:pStyle w:val="85"/>
        <w:ind w:firstLine="480"/>
        <w:rPr>
          <w:kern w:val="0"/>
        </w:rPr>
      </w:pPr>
      <w:r>
        <w:rPr>
          <w:rFonts w:hint="eastAsia"/>
          <w:kern w:val="0"/>
        </w:rPr>
        <w:t>（2）施工现场在用非道路移动机械燃料必须使用符合国Ⅵ标准及以上油品，不得采购、加注、使用非法渠道燃油。</w:t>
      </w:r>
    </w:p>
    <w:p w14:paraId="3E1534F2">
      <w:pPr>
        <w:pStyle w:val="85"/>
        <w:ind w:firstLine="480"/>
        <w:rPr>
          <w:kern w:val="0"/>
        </w:rPr>
      </w:pPr>
      <w:r>
        <w:rPr>
          <w:rFonts w:hint="eastAsia"/>
          <w:kern w:val="0"/>
        </w:rPr>
        <w:t>（3）应定期对施工机械、施工运输车辆进行维修保养，确保其运行正常，使动力燃料充分燃烧，降低废气排放量。</w:t>
      </w:r>
    </w:p>
    <w:p w14:paraId="79E2E910">
      <w:pPr>
        <w:pStyle w:val="85"/>
        <w:ind w:firstLine="480"/>
        <w:rPr>
          <w:kern w:val="0"/>
        </w:rPr>
      </w:pPr>
      <w:r>
        <w:rPr>
          <w:rFonts w:hint="eastAsia"/>
          <w:kern w:val="0"/>
        </w:rPr>
        <w:t>（4）同时严禁在施工现场焚烧任何废弃物和会产生有毒有害气体、烟尘、臭气的物质；</w:t>
      </w:r>
    </w:p>
    <w:p w14:paraId="6CD4C8CE">
      <w:pPr>
        <w:pStyle w:val="85"/>
        <w:ind w:firstLine="480"/>
        <w:rPr>
          <w:kern w:val="0"/>
        </w:rPr>
      </w:pPr>
      <w:r>
        <w:rPr>
          <w:rFonts w:hint="eastAsia"/>
          <w:kern w:val="0"/>
        </w:rPr>
        <w:t>（5）分区施工结束时，应及时对施工占用场地恢复植被；</w:t>
      </w:r>
    </w:p>
    <w:p w14:paraId="3A287176">
      <w:pPr>
        <w:pStyle w:val="85"/>
        <w:ind w:firstLine="480"/>
        <w:rPr>
          <w:kern w:val="0"/>
        </w:rPr>
      </w:pPr>
      <w:r>
        <w:rPr>
          <w:rFonts w:hint="eastAsia"/>
          <w:kern w:val="0"/>
        </w:rPr>
        <w:t>（6）运输汽车</w:t>
      </w:r>
      <w:r>
        <w:rPr>
          <w:kern w:val="0"/>
        </w:rPr>
        <w:t>尾气</w:t>
      </w:r>
      <w:r>
        <w:rPr>
          <w:rFonts w:hint="eastAsia"/>
          <w:kern w:val="0"/>
        </w:rPr>
        <w:t>达标排放；</w:t>
      </w:r>
    </w:p>
    <w:p w14:paraId="452F7CA5">
      <w:pPr>
        <w:pStyle w:val="85"/>
        <w:ind w:firstLine="480"/>
        <w:rPr>
          <w:kern w:val="0"/>
        </w:rPr>
      </w:pPr>
      <w:r>
        <w:rPr>
          <w:rFonts w:hint="eastAsia"/>
          <w:kern w:val="0"/>
        </w:rPr>
        <w:t>施工区地形开阔，大气扩散条件较好，施工废气对当地环境空气质量影响较小。燃油废气</w:t>
      </w:r>
      <w:r>
        <w:rPr>
          <w:kern w:val="0"/>
        </w:rPr>
        <w:t>防治措施可行。</w:t>
      </w:r>
    </w:p>
    <w:p w14:paraId="08438B9D">
      <w:pPr>
        <w:pStyle w:val="4"/>
        <w:rPr>
          <w:kern w:val="0"/>
        </w:rPr>
      </w:pPr>
      <w:r>
        <w:rPr>
          <w:rFonts w:hint="eastAsia"/>
          <w:kern w:val="0"/>
        </w:rPr>
        <w:t>废水</w:t>
      </w:r>
      <w:r>
        <w:rPr>
          <w:kern w:val="0"/>
        </w:rPr>
        <w:t>处理措施可行性论证</w:t>
      </w:r>
    </w:p>
    <w:p w14:paraId="63D87050">
      <w:pPr>
        <w:pStyle w:val="85"/>
        <w:ind w:firstLine="480"/>
        <w:rPr>
          <w:kern w:val="0"/>
        </w:rPr>
      </w:pPr>
      <w:r>
        <w:rPr>
          <w:rFonts w:hint="eastAsia"/>
          <w:kern w:val="0"/>
        </w:rPr>
        <w:t>项目实施后，施工期</w:t>
      </w:r>
      <w:r>
        <w:rPr>
          <w:kern w:val="0"/>
        </w:rPr>
        <w:t>水污染源主要为施工人员生活污水。</w:t>
      </w:r>
    </w:p>
    <w:p w14:paraId="224FB372">
      <w:pPr>
        <w:pStyle w:val="85"/>
        <w:ind w:firstLine="480"/>
        <w:rPr>
          <w:kern w:val="0"/>
        </w:rPr>
      </w:pPr>
      <w:r>
        <w:rPr>
          <w:rFonts w:hint="eastAsia"/>
          <w:kern w:val="0"/>
        </w:rPr>
        <w:t>本工程在施工</w:t>
      </w:r>
      <w:r>
        <w:rPr>
          <w:kern w:val="0"/>
        </w:rPr>
        <w:t>区域</w:t>
      </w:r>
      <w:r>
        <w:rPr>
          <w:rFonts w:hint="eastAsia"/>
          <w:kern w:val="0"/>
        </w:rPr>
        <w:t>设</w:t>
      </w:r>
      <w:r>
        <w:rPr>
          <w:kern w:val="0"/>
        </w:rPr>
        <w:t>2</w:t>
      </w:r>
      <w:r>
        <w:rPr>
          <w:rFonts w:hint="eastAsia"/>
          <w:kern w:val="0"/>
        </w:rPr>
        <w:t>座流动式厕所，粪便经流动式厕所收集后用作农肥，生活污水不外排。</w:t>
      </w:r>
    </w:p>
    <w:p w14:paraId="4E32190D">
      <w:pPr>
        <w:pStyle w:val="4"/>
        <w:rPr>
          <w:kern w:val="0"/>
        </w:rPr>
      </w:pPr>
      <w:r>
        <w:rPr>
          <w:rFonts w:hint="eastAsia"/>
          <w:kern w:val="0"/>
        </w:rPr>
        <w:t>声环境保护</w:t>
      </w:r>
      <w:r>
        <w:rPr>
          <w:kern w:val="0"/>
        </w:rPr>
        <w:t>措施可行性论证</w:t>
      </w:r>
    </w:p>
    <w:p w14:paraId="4170DBB5">
      <w:pPr>
        <w:pStyle w:val="85"/>
        <w:ind w:firstLine="480"/>
        <w:rPr>
          <w:kern w:val="0"/>
        </w:rPr>
      </w:pPr>
      <w:r>
        <w:rPr>
          <w:kern w:val="0"/>
        </w:rPr>
        <w:t>（1）合理布局施工现场</w:t>
      </w:r>
    </w:p>
    <w:p w14:paraId="24149BE2">
      <w:pPr>
        <w:pStyle w:val="85"/>
        <w:ind w:firstLine="480"/>
        <w:rPr>
          <w:kern w:val="0"/>
        </w:rPr>
      </w:pPr>
      <w:r>
        <w:rPr>
          <w:kern w:val="0"/>
        </w:rPr>
        <w:t>合理确定工程施工场界，由于</w:t>
      </w:r>
      <w:r>
        <w:rPr>
          <w:rFonts w:hint="eastAsia"/>
          <w:kern w:val="0"/>
        </w:rPr>
        <w:t>本工程距离</w:t>
      </w:r>
      <w:bookmarkStart w:id="138" w:name="_Hlk196383540"/>
      <w:r>
        <w:rPr>
          <w:rFonts w:hint="eastAsia"/>
          <w:kern w:val="0"/>
        </w:rPr>
        <w:t>大河北小学、大河北村、西红旗村</w:t>
      </w:r>
      <w:bookmarkEnd w:id="138"/>
      <w:r>
        <w:rPr>
          <w:kern w:val="0"/>
        </w:rPr>
        <w:t>较近</w:t>
      </w:r>
      <w:r>
        <w:rPr>
          <w:rFonts w:hint="eastAsia"/>
          <w:kern w:val="0"/>
        </w:rPr>
        <w:t>，上述</w:t>
      </w:r>
      <w:r>
        <w:rPr>
          <w:kern w:val="0"/>
        </w:rPr>
        <w:t>施工区施工应合理安排</w:t>
      </w:r>
      <w:r>
        <w:rPr>
          <w:rFonts w:hint="eastAsia"/>
          <w:kern w:val="0"/>
        </w:rPr>
        <w:t>施工</w:t>
      </w:r>
      <w:r>
        <w:rPr>
          <w:kern w:val="0"/>
        </w:rPr>
        <w:t>机械</w:t>
      </w:r>
      <w:r>
        <w:rPr>
          <w:rFonts w:hint="eastAsia"/>
          <w:kern w:val="0"/>
        </w:rPr>
        <w:t>位置</w:t>
      </w:r>
      <w:r>
        <w:rPr>
          <w:kern w:val="0"/>
        </w:rPr>
        <w:t>、运输路线等，</w:t>
      </w:r>
      <w:r>
        <w:rPr>
          <w:rFonts w:hint="eastAsia"/>
          <w:kern w:val="0"/>
        </w:rPr>
        <w:t>尽可能远离</w:t>
      </w:r>
      <w:r>
        <w:rPr>
          <w:kern w:val="0"/>
        </w:rPr>
        <w:t>声环境保护目标。</w:t>
      </w:r>
    </w:p>
    <w:p w14:paraId="7F203ED8">
      <w:pPr>
        <w:pStyle w:val="85"/>
        <w:ind w:firstLine="480"/>
        <w:rPr>
          <w:kern w:val="0"/>
        </w:rPr>
      </w:pPr>
      <w:r>
        <w:rPr>
          <w:rFonts w:hint="eastAsia"/>
          <w:kern w:val="0"/>
        </w:rPr>
        <w:t>（2）合理选择施工机械设备</w:t>
      </w:r>
    </w:p>
    <w:p w14:paraId="1317E3C6">
      <w:pPr>
        <w:pStyle w:val="85"/>
        <w:ind w:firstLine="480"/>
        <w:rPr>
          <w:kern w:val="0"/>
        </w:rPr>
      </w:pPr>
      <w:r>
        <w:rPr>
          <w:kern w:val="0"/>
        </w:rPr>
        <w:t>施工单位应选用低噪声、低振动的施工机械设备；避免多台高噪声的机械设备在同一场地和同一时间使用；施工过程中还应经常对设备进行维修保养，避免由于设备性能差而使噪声增强现象的发生；对排放高强度噪音的施工机械设备，应设置隔声挡板或吸声屏障，减少施工噪声对环境的</w:t>
      </w:r>
      <w:r>
        <w:rPr>
          <w:rFonts w:hint="eastAsia"/>
          <w:kern w:val="0"/>
        </w:rPr>
        <w:t>影响。</w:t>
      </w:r>
    </w:p>
    <w:p w14:paraId="494F1859">
      <w:pPr>
        <w:pStyle w:val="85"/>
        <w:ind w:firstLine="480"/>
        <w:rPr>
          <w:kern w:val="0"/>
        </w:rPr>
      </w:pPr>
      <w:r>
        <w:rPr>
          <w:rFonts w:hint="eastAsia"/>
          <w:kern w:val="0"/>
        </w:rPr>
        <w:t>（3）合理</w:t>
      </w:r>
      <w:r>
        <w:rPr>
          <w:kern w:val="0"/>
        </w:rPr>
        <w:t>安排施工时间</w:t>
      </w:r>
    </w:p>
    <w:p w14:paraId="7A65F069">
      <w:pPr>
        <w:pStyle w:val="85"/>
        <w:ind w:firstLine="480"/>
        <w:rPr>
          <w:kern w:val="0"/>
        </w:rPr>
      </w:pPr>
      <w:r>
        <w:rPr>
          <w:kern w:val="0"/>
        </w:rPr>
        <w:t>合理安排作业时间；禁止夜间（22:00-6:00）施工。</w:t>
      </w:r>
    </w:p>
    <w:p w14:paraId="33C4E36E">
      <w:pPr>
        <w:pStyle w:val="85"/>
        <w:ind w:firstLine="480"/>
        <w:rPr>
          <w:kern w:val="0"/>
        </w:rPr>
      </w:pPr>
      <w:r>
        <w:rPr>
          <w:rFonts w:hint="eastAsia"/>
          <w:kern w:val="0"/>
        </w:rPr>
        <w:t>（4）做好宣传工作，倡导科学管理和文明施工</w:t>
      </w:r>
    </w:p>
    <w:p w14:paraId="2355D365">
      <w:pPr>
        <w:pStyle w:val="85"/>
        <w:ind w:firstLine="480"/>
        <w:rPr>
          <w:kern w:val="0"/>
        </w:rPr>
      </w:pPr>
      <w:r>
        <w:rPr>
          <w:kern w:val="0"/>
        </w:rPr>
        <w:t>由于技术条件、施工现场客观环境限制，即使采用了相应的控制对策和措施，施工噪声、振动仍可能对周围环境产生一定的影响，为此要加强施工现场的科学管理，做好施工人员的环境保护意识的教育</w:t>
      </w:r>
      <w:r>
        <w:rPr>
          <w:rFonts w:hint="eastAsia"/>
          <w:kern w:val="0"/>
        </w:rPr>
        <w:t>。</w:t>
      </w:r>
    </w:p>
    <w:p w14:paraId="480B3BD7">
      <w:pPr>
        <w:pStyle w:val="85"/>
        <w:ind w:firstLine="480"/>
        <w:rPr>
          <w:kern w:val="0"/>
        </w:rPr>
      </w:pPr>
      <w:r>
        <w:rPr>
          <w:rFonts w:hint="eastAsia"/>
          <w:kern w:val="0"/>
        </w:rPr>
        <w:t>（5）合理选择运输路线</w:t>
      </w:r>
    </w:p>
    <w:p w14:paraId="720384B0">
      <w:pPr>
        <w:pStyle w:val="85"/>
        <w:ind w:firstLine="480"/>
        <w:rPr>
          <w:kern w:val="0"/>
        </w:rPr>
      </w:pPr>
      <w:r>
        <w:rPr>
          <w:rFonts w:hint="eastAsia"/>
          <w:kern w:val="0"/>
        </w:rPr>
        <w:t>距本工程施工区域较近敏感点为大河北小学、大河北村、西红旗村，工程应</w:t>
      </w:r>
      <w:r>
        <w:rPr>
          <w:kern w:val="0"/>
        </w:rPr>
        <w:t>合理选择运输路线，尽量远离</w:t>
      </w:r>
      <w:r>
        <w:rPr>
          <w:rFonts w:hint="eastAsia"/>
          <w:kern w:val="0"/>
        </w:rPr>
        <w:t>上述声环境保护目标，确实无法避让的，运输车辆经过声环境保护目标路段应当减速慢行，禁止鸣笛。</w:t>
      </w:r>
    </w:p>
    <w:p w14:paraId="06C1293D">
      <w:pPr>
        <w:pStyle w:val="4"/>
        <w:rPr>
          <w:kern w:val="0"/>
        </w:rPr>
      </w:pPr>
      <w:r>
        <w:rPr>
          <w:rFonts w:hint="eastAsia"/>
          <w:kern w:val="0"/>
        </w:rPr>
        <w:t>固体废物处理措施可行性论证</w:t>
      </w:r>
    </w:p>
    <w:p w14:paraId="01CE1BC5">
      <w:pPr>
        <w:pStyle w:val="85"/>
        <w:ind w:firstLine="480"/>
        <w:rPr>
          <w:kern w:val="0"/>
        </w:rPr>
      </w:pPr>
      <w:r>
        <w:rPr>
          <w:rFonts w:hint="eastAsia"/>
          <w:kern w:val="0"/>
        </w:rPr>
        <w:t>工程开挖土方、淤泥全部就近利用。工程固体废物主要为施工人员的生活垃圾。</w:t>
      </w:r>
    </w:p>
    <w:p w14:paraId="5B0BFEAD">
      <w:pPr>
        <w:pStyle w:val="85"/>
        <w:ind w:firstLine="480"/>
        <w:rPr>
          <w:kern w:val="0"/>
        </w:rPr>
      </w:pPr>
      <w:r>
        <w:rPr>
          <w:rFonts w:hint="eastAsia"/>
          <w:kern w:val="0"/>
        </w:rPr>
        <w:t>根据工程规模和施工进度安排，高峰期的施工人数为</w:t>
      </w:r>
      <w:r>
        <w:rPr>
          <w:kern w:val="0"/>
        </w:rPr>
        <w:t>3</w:t>
      </w:r>
      <w:r>
        <w:rPr>
          <w:rFonts w:hint="eastAsia"/>
          <w:kern w:val="0"/>
        </w:rPr>
        <w:t>0人均0.5kg/d 的生活垃圾量估算，施工高峰期的生活垃圾量为</w:t>
      </w:r>
      <w:r>
        <w:rPr>
          <w:kern w:val="0"/>
        </w:rPr>
        <w:t>15</w:t>
      </w:r>
      <w:r>
        <w:rPr>
          <w:rFonts w:hint="eastAsia"/>
          <w:kern w:val="0"/>
        </w:rPr>
        <w:t>kg/d。工程施工期间产生的生活垃圾严禁乱抛乱丢，随地倾倒，生活垃圾统一收集后由地方环卫部门定期清运进行无害化处理。</w:t>
      </w:r>
    </w:p>
    <w:p w14:paraId="5CBA4119">
      <w:pPr>
        <w:pStyle w:val="85"/>
        <w:ind w:firstLine="480"/>
        <w:rPr>
          <w:kern w:val="0"/>
        </w:rPr>
      </w:pPr>
      <w:r>
        <w:rPr>
          <w:rFonts w:hint="eastAsia"/>
          <w:kern w:val="0"/>
        </w:rPr>
        <w:t>综上所述，施工期产生的固体废物全部得到妥善处置，不会对周围环境产生明显影响。本工程采取的固废处置措施可行。</w:t>
      </w:r>
    </w:p>
    <w:p w14:paraId="3E4102A6">
      <w:pPr>
        <w:pStyle w:val="3"/>
        <w:rPr>
          <w:kern w:val="0"/>
        </w:rPr>
      </w:pPr>
      <w:bookmarkStart w:id="139" w:name="_Toc198733169"/>
      <w:r>
        <w:rPr>
          <w:rFonts w:hint="eastAsia"/>
          <w:kern w:val="0"/>
        </w:rPr>
        <w:t>运营期环境保护措施</w:t>
      </w:r>
      <w:r>
        <w:rPr>
          <w:kern w:val="0"/>
        </w:rPr>
        <w:t>可行性论证</w:t>
      </w:r>
      <w:bookmarkEnd w:id="139"/>
    </w:p>
    <w:p w14:paraId="2B4CC128">
      <w:pPr>
        <w:pStyle w:val="85"/>
        <w:ind w:firstLine="480"/>
        <w:rPr>
          <w:kern w:val="0"/>
        </w:rPr>
      </w:pPr>
      <w:r>
        <w:rPr>
          <w:rFonts w:hint="eastAsia"/>
          <w:kern w:val="0"/>
        </w:rPr>
        <w:t>本工程运营期不产生和排放</w:t>
      </w:r>
      <w:r>
        <w:rPr>
          <w:kern w:val="0"/>
        </w:rPr>
        <w:t>废水</w:t>
      </w:r>
      <w:r>
        <w:rPr>
          <w:rFonts w:hint="eastAsia"/>
          <w:kern w:val="0"/>
        </w:rPr>
        <w:t>污染物、废气污染物和噪声，也不</w:t>
      </w:r>
      <w:r>
        <w:rPr>
          <w:kern w:val="0"/>
        </w:rPr>
        <w:t>产生固体废物，</w:t>
      </w:r>
      <w:r>
        <w:rPr>
          <w:rFonts w:hint="eastAsia"/>
          <w:kern w:val="0"/>
        </w:rPr>
        <w:t>不会对地表水环境、地下水环境、大气环境和声环境产生影响。</w:t>
      </w:r>
    </w:p>
    <w:p w14:paraId="083CB443">
      <w:pPr>
        <w:pStyle w:val="3"/>
        <w:rPr>
          <w:kern w:val="0"/>
        </w:rPr>
      </w:pPr>
      <w:bookmarkStart w:id="140" w:name="_Toc198733170"/>
      <w:r>
        <w:rPr>
          <w:rFonts w:hint="eastAsia"/>
          <w:kern w:val="0"/>
        </w:rPr>
        <w:t>生态</w:t>
      </w:r>
      <w:r>
        <w:rPr>
          <w:kern w:val="0"/>
        </w:rPr>
        <w:t>保护措施</w:t>
      </w:r>
      <w:bookmarkEnd w:id="140"/>
    </w:p>
    <w:p w14:paraId="0A09B172">
      <w:pPr>
        <w:pStyle w:val="4"/>
        <w:rPr>
          <w:kern w:val="0"/>
        </w:rPr>
      </w:pPr>
      <w:r>
        <w:rPr>
          <w:rFonts w:hint="eastAsia"/>
          <w:kern w:val="0"/>
        </w:rPr>
        <w:t>陆生生态</w:t>
      </w:r>
      <w:r>
        <w:rPr>
          <w:kern w:val="0"/>
        </w:rPr>
        <w:t>保护措施</w:t>
      </w:r>
    </w:p>
    <w:p w14:paraId="30E927B9">
      <w:pPr>
        <w:pStyle w:val="85"/>
        <w:ind w:firstLine="482"/>
        <w:rPr>
          <w:b/>
        </w:rPr>
      </w:pPr>
      <w:r>
        <w:rPr>
          <w:rFonts w:hint="eastAsia"/>
          <w:b/>
        </w:rPr>
        <w:t>（一）植物保护措施</w:t>
      </w:r>
    </w:p>
    <w:p w14:paraId="7BA5BEB8">
      <w:pPr>
        <w:pStyle w:val="85"/>
        <w:ind w:firstLine="480"/>
        <w:rPr>
          <w:bCs/>
        </w:rPr>
      </w:pPr>
      <w:r>
        <w:rPr>
          <w:rFonts w:hint="eastAsia"/>
          <w:bCs/>
        </w:rPr>
        <w:t>1</w:t>
      </w:r>
      <w:r>
        <w:rPr>
          <w:bCs/>
        </w:rPr>
        <w:t>.</w:t>
      </w:r>
      <w:r>
        <w:rPr>
          <w:rFonts w:hint="eastAsia"/>
          <w:bCs/>
        </w:rPr>
        <w:t>避让和减缓措施</w:t>
      </w:r>
    </w:p>
    <w:p w14:paraId="209282DF">
      <w:pPr>
        <w:pStyle w:val="85"/>
        <w:ind w:firstLine="480"/>
        <w:rPr>
          <w:bCs/>
        </w:rPr>
      </w:pPr>
      <w:r>
        <w:rPr>
          <w:rFonts w:hint="eastAsia"/>
          <w:bCs/>
        </w:rPr>
        <w:t>（</w:t>
      </w:r>
      <w:r>
        <w:rPr>
          <w:bCs/>
        </w:rPr>
        <w:t>1</w:t>
      </w:r>
      <w:r>
        <w:rPr>
          <w:rFonts w:hint="eastAsia"/>
          <w:bCs/>
        </w:rPr>
        <w:t>）加强生态环境保护宣传教育</w:t>
      </w:r>
    </w:p>
    <w:p w14:paraId="2FB35963">
      <w:pPr>
        <w:pStyle w:val="85"/>
        <w:ind w:firstLine="480"/>
        <w:rPr>
          <w:bCs/>
        </w:rPr>
      </w:pPr>
      <w:r>
        <w:rPr>
          <w:rFonts w:hint="eastAsia"/>
          <w:bCs/>
        </w:rPr>
        <w:t>施工期间，在各主要工程区主要进出口（含湿地公园边界）设置生态保护警示牌共</w:t>
      </w:r>
      <w:r>
        <w:rPr>
          <w:bCs/>
        </w:rPr>
        <w:t>5</w:t>
      </w:r>
      <w:r>
        <w:rPr>
          <w:rFonts w:hint="eastAsia"/>
          <w:bCs/>
        </w:rPr>
        <w:t>个。警示牌上标明工程施工区范围，禁止越界施工占地或砍伐林木，尽量减少占地造成的植被损失。</w:t>
      </w:r>
    </w:p>
    <w:p w14:paraId="0E790389">
      <w:pPr>
        <w:pStyle w:val="85"/>
        <w:ind w:firstLine="480"/>
        <w:rPr>
          <w:bCs/>
        </w:rPr>
      </w:pPr>
      <w:r>
        <w:rPr>
          <w:rFonts w:hint="eastAsia"/>
          <w:bCs/>
        </w:rPr>
        <w:t>（</w:t>
      </w:r>
      <w:r>
        <w:rPr>
          <w:bCs/>
        </w:rPr>
        <w:t>2</w:t>
      </w:r>
      <w:r>
        <w:rPr>
          <w:rFonts w:hint="eastAsia"/>
          <w:bCs/>
        </w:rPr>
        <w:t>）加强施工管理</w:t>
      </w:r>
    </w:p>
    <w:p w14:paraId="538946B5">
      <w:pPr>
        <w:pStyle w:val="85"/>
        <w:ind w:firstLine="480"/>
        <w:rPr>
          <w:bCs/>
        </w:rPr>
      </w:pPr>
      <w:r>
        <w:rPr>
          <w:bCs/>
        </w:rPr>
        <w:fldChar w:fldCharType="begin"/>
      </w:r>
      <w:r>
        <w:rPr>
          <w:bCs/>
        </w:rPr>
        <w:instrText xml:space="preserve">= 1 \* GB3</w:instrText>
      </w:r>
      <w:r>
        <w:rPr>
          <w:bCs/>
        </w:rPr>
        <w:fldChar w:fldCharType="separate"/>
      </w:r>
      <w:r>
        <w:rPr>
          <w:rFonts w:hint="eastAsia"/>
          <w:bCs/>
        </w:rPr>
        <w:t>①</w:t>
      </w:r>
      <w:r>
        <w:fldChar w:fldCharType="end"/>
      </w:r>
      <w:r>
        <w:rPr>
          <w:rFonts w:hint="eastAsia"/>
          <w:bCs/>
        </w:rPr>
        <w:t>进一步优化施工场地的选址，避免和减少占用林地和农田，减小对植物及其生境占用的影响。严格控制施工人员活动范围，不得越界施工，禁止施工人员对植被滥砍滥伐，施工道路等临时用地尽量采取“永临结合”的方式，尽量减少工程占地面积。</w:t>
      </w:r>
    </w:p>
    <w:p w14:paraId="546A6079">
      <w:pPr>
        <w:pStyle w:val="85"/>
        <w:ind w:firstLine="480"/>
        <w:rPr>
          <w:bCs/>
        </w:rPr>
      </w:pPr>
      <w:r>
        <w:rPr>
          <w:bCs/>
        </w:rPr>
        <w:fldChar w:fldCharType="begin"/>
      </w:r>
      <w:r>
        <w:rPr>
          <w:bCs/>
        </w:rPr>
        <w:instrText xml:space="preserve">= 2 \* GB3</w:instrText>
      </w:r>
      <w:r>
        <w:rPr>
          <w:bCs/>
        </w:rPr>
        <w:fldChar w:fldCharType="separate"/>
      </w:r>
      <w:r>
        <w:rPr>
          <w:rFonts w:hint="eastAsia"/>
          <w:bCs/>
        </w:rPr>
        <w:t>②</w:t>
      </w:r>
      <w:r>
        <w:fldChar w:fldCharType="end"/>
      </w:r>
      <w:r>
        <w:rPr>
          <w:rFonts w:hint="eastAsia"/>
          <w:bCs/>
        </w:rPr>
        <w:t>明确施工工序，杜绝超挖、乱挖等不规范施工方式。在施工过程中，开挖回填土方均按设计要求进行施工，土方大部分就近利用，用于微地形梳理，多余土方直接运至小辽东段和大河北段用于微地形整理，并及时绿化，避免受到地表径流的冲刷引发水土流失。</w:t>
      </w:r>
    </w:p>
    <w:p w14:paraId="1003F02E">
      <w:pPr>
        <w:pStyle w:val="85"/>
        <w:ind w:firstLine="480"/>
        <w:rPr>
          <w:bCs/>
        </w:rPr>
      </w:pPr>
      <w:r>
        <w:rPr>
          <w:bCs/>
        </w:rPr>
        <w:fldChar w:fldCharType="begin"/>
      </w:r>
      <w:r>
        <w:rPr>
          <w:bCs/>
        </w:rPr>
        <w:instrText xml:space="preserve">= 3 \* GB3</w:instrText>
      </w:r>
      <w:r>
        <w:rPr>
          <w:bCs/>
        </w:rPr>
        <w:fldChar w:fldCharType="separate"/>
      </w:r>
      <w:r>
        <w:rPr>
          <w:rFonts w:hint="eastAsia"/>
          <w:bCs/>
        </w:rPr>
        <w:t>③</w:t>
      </w:r>
      <w:r>
        <w:fldChar w:fldCharType="end"/>
      </w:r>
      <w:r>
        <w:rPr>
          <w:rFonts w:hint="eastAsia"/>
          <w:bCs/>
        </w:rPr>
        <w:t>避免车辆在运输过程中对当地植被的碾压，尽量减少对区域植被的破坏，同时要注意避免扬尘、施工废水及生活污水对区域土壤的污染，保证施工对区域植物生境的破坏最小化。</w:t>
      </w:r>
    </w:p>
    <w:p w14:paraId="0221CF9C">
      <w:pPr>
        <w:pStyle w:val="85"/>
        <w:ind w:firstLine="480"/>
        <w:rPr>
          <w:bCs/>
        </w:rPr>
      </w:pPr>
      <w:r>
        <w:rPr>
          <w:rFonts w:hint="eastAsia"/>
          <w:bCs/>
        </w:rPr>
        <w:t>（</w:t>
      </w:r>
      <w:r>
        <w:rPr>
          <w:bCs/>
        </w:rPr>
        <w:t>3</w:t>
      </w:r>
      <w:r>
        <w:rPr>
          <w:rFonts w:hint="eastAsia"/>
          <w:bCs/>
        </w:rPr>
        <w:t>）防止外来入侵种的扩散</w:t>
      </w:r>
    </w:p>
    <w:p w14:paraId="66263E4E">
      <w:pPr>
        <w:pStyle w:val="85"/>
        <w:ind w:firstLine="480"/>
        <w:rPr>
          <w:bCs/>
        </w:rPr>
      </w:pPr>
      <w:r>
        <w:rPr>
          <w:rFonts w:hint="eastAsia"/>
          <w:bCs/>
        </w:rPr>
        <w:t>在开展施工迹地生态恢复、生态护坡播种草种时，应选取适宜的土著物种，避免使用外来入侵物种。</w:t>
      </w:r>
    </w:p>
    <w:p w14:paraId="64311DBD">
      <w:pPr>
        <w:pStyle w:val="85"/>
        <w:ind w:firstLine="480"/>
        <w:rPr>
          <w:bCs/>
        </w:rPr>
      </w:pPr>
      <w:r>
        <w:rPr>
          <w:rFonts w:hint="eastAsia"/>
          <w:bCs/>
        </w:rPr>
        <w:t>2</w:t>
      </w:r>
      <w:r>
        <w:rPr>
          <w:bCs/>
        </w:rPr>
        <w:t>.</w:t>
      </w:r>
      <w:r>
        <w:rPr>
          <w:rFonts w:hint="eastAsia"/>
          <w:bCs/>
        </w:rPr>
        <w:t>恢复和补偿措施</w:t>
      </w:r>
    </w:p>
    <w:p w14:paraId="4B4EBF9D">
      <w:pPr>
        <w:pStyle w:val="85"/>
        <w:ind w:firstLine="480"/>
        <w:rPr>
          <w:bCs/>
        </w:rPr>
      </w:pPr>
      <w:r>
        <w:rPr>
          <w:rFonts w:hint="eastAsia"/>
          <w:bCs/>
        </w:rPr>
        <w:t>建议在坡面种植适宜的植物，如芦苇、白茅等，待固坡植物生长后，将护坡砖覆盖，既能达到固坡防冲的目的，又能绿化岸坡，使岸坡保持原来的植被形态。</w:t>
      </w:r>
    </w:p>
    <w:p w14:paraId="2719CFB7">
      <w:pPr>
        <w:pStyle w:val="85"/>
        <w:ind w:firstLine="480"/>
      </w:pPr>
      <w:r>
        <w:rPr>
          <w:rFonts w:hint="eastAsia"/>
        </w:rPr>
        <w:t>3</w:t>
      </w:r>
      <w:r>
        <w:t>.</w:t>
      </w:r>
      <w:r>
        <w:rPr>
          <w:rFonts w:hint="eastAsia"/>
        </w:rPr>
        <w:t>管理措施</w:t>
      </w:r>
    </w:p>
    <w:p w14:paraId="2442659E">
      <w:pPr>
        <w:pStyle w:val="85"/>
        <w:ind w:firstLine="480"/>
      </w:pPr>
      <w:r>
        <w:rPr>
          <w:rFonts w:hint="eastAsia"/>
        </w:rPr>
        <w:t>工程施工期、运行期应进行生态影响的监测或调查，主要是生境、陆生动植物、重点保护动植物的变化，通过动态监测和完善管理，使生态向良性或有利方向发展。</w:t>
      </w:r>
    </w:p>
    <w:p w14:paraId="2241127A">
      <w:pPr>
        <w:pStyle w:val="85"/>
        <w:ind w:firstLine="480"/>
      </w:pPr>
      <w:r>
        <w:rPr>
          <w:rFonts w:hint="eastAsia"/>
        </w:rPr>
        <w:t>在工程管理机构应设置生态环境管理人员，建立各种管理及报告制度，加强相关生态环境保护教育工作，提高施工人员和管理人员环境意识。</w:t>
      </w:r>
    </w:p>
    <w:p w14:paraId="356E8F03">
      <w:pPr>
        <w:pStyle w:val="85"/>
        <w:ind w:firstLine="482"/>
        <w:rPr>
          <w:b/>
          <w:bCs/>
        </w:rPr>
      </w:pPr>
      <w:r>
        <w:rPr>
          <w:rFonts w:hint="eastAsia"/>
          <w:b/>
          <w:bCs/>
        </w:rPr>
        <w:t>（二）野生动物保护措施</w:t>
      </w:r>
    </w:p>
    <w:p w14:paraId="6D7144DF">
      <w:pPr>
        <w:pStyle w:val="85"/>
        <w:ind w:firstLine="480"/>
      </w:pPr>
      <w:r>
        <w:rPr>
          <w:rFonts w:hint="eastAsia"/>
        </w:rPr>
        <w:t>1</w:t>
      </w:r>
      <w:r>
        <w:t>.</w:t>
      </w:r>
      <w:r>
        <w:rPr>
          <w:rFonts w:hint="eastAsia"/>
        </w:rPr>
        <w:t>避免和减缓措施</w:t>
      </w:r>
    </w:p>
    <w:p w14:paraId="2D6C1699">
      <w:pPr>
        <w:pStyle w:val="85"/>
        <w:ind w:firstLine="480"/>
      </w:pPr>
      <w:r>
        <w:rPr>
          <w:rFonts w:hint="eastAsia"/>
        </w:rPr>
        <w:t>（1）施工期间，以公告、宣传单、板报和会议等形式，加强对施工人员的环境保护宣传教育和保护野生动物常识的宣传，提高施工人员的环境保护意识，使其在施工中自觉保护生态环境及野生动物，特别是重点保护野生动物，并遵守相关的生态环境及野生动物保护规定。</w:t>
      </w:r>
    </w:p>
    <w:p w14:paraId="26ABC187">
      <w:pPr>
        <w:pStyle w:val="85"/>
        <w:ind w:firstLine="480"/>
      </w:pPr>
      <w:r>
        <w:rPr>
          <w:rFonts w:hint="eastAsia"/>
        </w:rPr>
        <w:t>（2）施工季节包含枯水期，要重点保护鸭科、鸻科等冬候鸟，严禁在施工河段及施工场地等惊扰或猎捕鸟类或从事其它有碍生态环境保护的活动。为了减少工程施工噪声对野生动物的惊扰，应做好施工方式和时间的计划，并力求避免在晨昏、正午进行高噪声作业等。</w:t>
      </w:r>
    </w:p>
    <w:p w14:paraId="262C18A2">
      <w:pPr>
        <w:pStyle w:val="85"/>
        <w:ind w:firstLine="480"/>
      </w:pPr>
      <w:r>
        <w:rPr>
          <w:rFonts w:hint="eastAsia"/>
        </w:rPr>
        <w:t>（3）合理安排施工时序，优化施工组织。错开施工高峰期，加强施工人员的各类卫生管理，施工产生的废水、施工人员的生活污水等要妥善处置。</w:t>
      </w:r>
    </w:p>
    <w:p w14:paraId="04B9C85C">
      <w:pPr>
        <w:pStyle w:val="85"/>
        <w:ind w:firstLine="480"/>
      </w:pPr>
      <w:r>
        <w:rPr>
          <w:rFonts w:hint="eastAsia"/>
        </w:rPr>
        <w:t>（4）施工期间，在临时占地区及各主要施工作业区（如治理施工区等区域）设置生态保护警示牌共不少于5个。警示牌上标明工程施工区范围，禁止施工人员越界施工或砍伐林木、禁止捕猎野生动物，尽量减少占地造成的植被损失对野生动物的伤害。</w:t>
      </w:r>
    </w:p>
    <w:p w14:paraId="01DDABE6">
      <w:pPr>
        <w:pStyle w:val="85"/>
        <w:ind w:firstLine="480"/>
      </w:pPr>
      <w:r>
        <w:rPr>
          <w:rFonts w:hint="eastAsia"/>
        </w:rPr>
        <w:t>（5）施工选择枯水期施工，尽量避开鱼类、鸟类繁殖期。</w:t>
      </w:r>
    </w:p>
    <w:p w14:paraId="66482C2A">
      <w:pPr>
        <w:pStyle w:val="85"/>
        <w:ind w:firstLine="480"/>
      </w:pPr>
      <w:r>
        <w:rPr>
          <w:rFonts w:hint="eastAsia"/>
        </w:rPr>
        <w:t>2</w:t>
      </w:r>
      <w:r>
        <w:t>.</w:t>
      </w:r>
      <w:r>
        <w:rPr>
          <w:rFonts w:hint="eastAsia"/>
        </w:rPr>
        <w:t>恢复和补偿措施</w:t>
      </w:r>
    </w:p>
    <w:p w14:paraId="79D330AE">
      <w:pPr>
        <w:pStyle w:val="85"/>
        <w:ind w:firstLine="480"/>
      </w:pPr>
      <w:r>
        <w:rPr>
          <w:rFonts w:hint="eastAsia"/>
        </w:rPr>
        <w:t>工程完工后尽快做好生态环境的恢复工作，对施工场地、营地等施工迹地及时加盖覆土，种植本地土著植物品种，以乔、灌、草结合的方式，尽快恢复临时占地区的植被，以尽量减少生境破坏对动物的不利影响。</w:t>
      </w:r>
    </w:p>
    <w:p w14:paraId="35FF72DB">
      <w:pPr>
        <w:pStyle w:val="85"/>
        <w:ind w:firstLine="480"/>
      </w:pPr>
      <w:r>
        <w:rPr>
          <w:rFonts w:hint="eastAsia"/>
        </w:rPr>
        <w:t>3</w:t>
      </w:r>
      <w:r>
        <w:t>.</w:t>
      </w:r>
      <w:r>
        <w:rPr>
          <w:rFonts w:hint="eastAsia"/>
        </w:rPr>
        <w:t>管理措施</w:t>
      </w:r>
    </w:p>
    <w:p w14:paraId="23E607EA">
      <w:pPr>
        <w:pStyle w:val="85"/>
        <w:ind w:firstLine="480"/>
      </w:pPr>
      <w:r>
        <w:rPr>
          <w:rFonts w:hint="eastAsia"/>
        </w:rPr>
        <w:t>（1）编制珍稀野生动物保护手册，在施工期间对施工人员和附近居民进行生态保护的宣传教育，了解工程区可能分布的珍稀保护动物种类，说明国家法律对其的保护要求和保护意义，介绍其生活习性、栖息环境、种群分布以及在工程区域出没情况，并制定各物种的常规保护方法和应急保护办法。</w:t>
      </w:r>
    </w:p>
    <w:p w14:paraId="4ACA5301">
      <w:pPr>
        <w:pStyle w:val="85"/>
        <w:ind w:firstLine="480"/>
      </w:pPr>
      <w:r>
        <w:rPr>
          <w:rFonts w:hint="eastAsia"/>
        </w:rPr>
        <w:t>（2）在施工和运行期均要制定严格的规章制度，规范工作人员的行为，坚决禁止偷猎、伤害、袭击鸟类和其他动物的行为发生。从保护生态与环境的角度出发，施工期间加强堆存物料防护，加强施工人员生活污水排放管理，减少水体污染，做好工程完工后生态的恢复工作，以尽量减少植被破坏及对水土流失、水质和傍水生物的不利影响。</w:t>
      </w:r>
    </w:p>
    <w:p w14:paraId="4EDF33A4">
      <w:pPr>
        <w:pStyle w:val="4"/>
      </w:pPr>
      <w:r>
        <w:rPr>
          <w:rFonts w:hint="eastAsia"/>
        </w:rPr>
        <w:t>水生生态保护措施</w:t>
      </w:r>
    </w:p>
    <w:p w14:paraId="597DE677">
      <w:pPr>
        <w:pStyle w:val="85"/>
        <w:ind w:firstLine="480"/>
        <w:rPr>
          <w:kern w:val="0"/>
        </w:rPr>
      </w:pPr>
      <w:r>
        <w:rPr>
          <w:rFonts w:hint="eastAsia"/>
          <w:kern w:val="0"/>
        </w:rPr>
        <w:t>该工程属于非污染工程，对水体扰动相对较小，但仍需针对该工程对河段的水生生物的影响方式、影响范围等，通过优化施工时间、减小施工作业面和施工时间、采取必要的管理措施等降低其影响。</w:t>
      </w:r>
    </w:p>
    <w:p w14:paraId="26718DE0">
      <w:pPr>
        <w:pStyle w:val="85"/>
        <w:ind w:firstLine="480"/>
        <w:rPr>
          <w:kern w:val="0"/>
        </w:rPr>
      </w:pPr>
      <w:r>
        <w:rPr>
          <w:rFonts w:hint="eastAsia"/>
          <w:kern w:val="0"/>
        </w:rPr>
        <w:t>（1）生态影响的避免措施</w:t>
      </w:r>
    </w:p>
    <w:p w14:paraId="6D5C9021">
      <w:pPr>
        <w:pStyle w:val="85"/>
        <w:ind w:firstLine="480"/>
        <w:rPr>
          <w:kern w:val="0"/>
        </w:rPr>
      </w:pPr>
      <w:r>
        <w:rPr>
          <w:rFonts w:hint="eastAsia"/>
          <w:kern w:val="0"/>
        </w:rPr>
        <w:t>为减少工程的实施对水生生物，尤其是鱼类资源的影响，建议本工程开发建设前，尽量做好施工规划前期工作，水上工程的实施应避开水生生物繁殖季节。加强宣传，设置水生生物保护警示牌，增强施工人员的生态环保意识。</w:t>
      </w:r>
    </w:p>
    <w:p w14:paraId="13124651">
      <w:pPr>
        <w:pStyle w:val="85"/>
        <w:ind w:firstLine="480"/>
        <w:rPr>
          <w:kern w:val="0"/>
        </w:rPr>
      </w:pPr>
      <w:r>
        <w:rPr>
          <w:rFonts w:hint="eastAsia"/>
          <w:kern w:val="0"/>
        </w:rPr>
        <w:t>（2）生态影响的消减措施</w:t>
      </w:r>
    </w:p>
    <w:p w14:paraId="3F203C83">
      <w:pPr>
        <w:pStyle w:val="85"/>
        <w:ind w:firstLine="480"/>
        <w:rPr>
          <w:kern w:val="0"/>
        </w:rPr>
      </w:pPr>
      <w:r>
        <w:rPr>
          <w:rFonts w:hint="eastAsia"/>
          <w:kern w:val="0"/>
        </w:rPr>
        <w:t>①清淤应严格按施工要求分区进行。</w:t>
      </w:r>
    </w:p>
    <w:p w14:paraId="52BE3213">
      <w:pPr>
        <w:pStyle w:val="85"/>
        <w:ind w:firstLine="480"/>
        <w:rPr>
          <w:kern w:val="0"/>
        </w:rPr>
      </w:pPr>
      <w:r>
        <w:rPr>
          <w:rFonts w:hint="eastAsia"/>
          <w:kern w:val="0"/>
        </w:rPr>
        <w:t>②建议在枯水期施工，减缓对水生生态的影响。</w:t>
      </w:r>
    </w:p>
    <w:p w14:paraId="6593DD7D">
      <w:pPr>
        <w:pStyle w:val="85"/>
        <w:ind w:firstLine="480"/>
        <w:rPr>
          <w:kern w:val="0"/>
        </w:rPr>
      </w:pPr>
      <w:r>
        <w:rPr>
          <w:rFonts w:hint="eastAsia"/>
          <w:kern w:val="0"/>
        </w:rPr>
        <w:t>③鸟类栖息地营造可以根据水体环境种植一些适合生长的乡土水生植物，以尽快恢复原来的生态面貌，并为鸟类动物群落的恢复和水质净化创造条件。</w:t>
      </w:r>
    </w:p>
    <w:p w14:paraId="74A4F566">
      <w:pPr>
        <w:pStyle w:val="85"/>
        <w:ind w:firstLine="480"/>
        <w:rPr>
          <w:kern w:val="0"/>
        </w:rPr>
      </w:pPr>
      <w:r>
        <w:rPr>
          <w:rFonts w:hint="eastAsia"/>
          <w:kern w:val="0"/>
        </w:rPr>
        <w:t>④施工期间，应严禁施工人员随意将各类废弃物，如生活垃圾等抛入水体之中。</w:t>
      </w:r>
    </w:p>
    <w:p w14:paraId="776746F5">
      <w:pPr>
        <w:pStyle w:val="85"/>
        <w:ind w:firstLine="480"/>
        <w:rPr>
          <w:kern w:val="0"/>
        </w:rPr>
      </w:pPr>
      <w:r>
        <w:rPr>
          <w:rFonts w:hint="eastAsia"/>
          <w:kern w:val="0"/>
        </w:rPr>
        <w:t>（3）生态管理等措施</w:t>
      </w:r>
    </w:p>
    <w:p w14:paraId="501A1D6A">
      <w:pPr>
        <w:pStyle w:val="85"/>
        <w:ind w:firstLine="480"/>
        <w:rPr>
          <w:kern w:val="0"/>
        </w:rPr>
      </w:pPr>
      <w:r>
        <w:rPr>
          <w:rFonts w:hint="eastAsia"/>
          <w:kern w:val="0"/>
        </w:rPr>
        <w:t>①加强工程建设施工期、运行期的生态影响的监测或调查。在施工期主要是对与施工有关的区域进行监测；运行期主要是监测生境的变化，保护物种种类和数量变化以及生态系统整体性变化。</w:t>
      </w:r>
    </w:p>
    <w:p w14:paraId="14E74174">
      <w:pPr>
        <w:pStyle w:val="85"/>
        <w:ind w:firstLine="480"/>
        <w:rPr>
          <w:kern w:val="0"/>
        </w:rPr>
      </w:pPr>
      <w:r>
        <w:rPr>
          <w:rFonts w:hint="eastAsia"/>
          <w:kern w:val="0"/>
        </w:rPr>
        <w:t>②开展湿地生态系统长期监测。结合监测内容，实时掌控湿地（尤其是湿地修复区域）生境和生物多样性的动态变化情况，对修复效果不持续和发生二次退化的区域及时向主管部门反映，提出修复建议。</w:t>
      </w:r>
    </w:p>
    <w:p w14:paraId="06C6BFBC">
      <w:pPr>
        <w:pStyle w:val="85"/>
        <w:ind w:firstLine="480"/>
        <w:rPr>
          <w:kern w:val="0"/>
        </w:rPr>
      </w:pPr>
      <w:r>
        <w:rPr>
          <w:rFonts w:hint="eastAsia"/>
          <w:kern w:val="0"/>
        </w:rPr>
        <w:t>③加强水生生物保护宣传。开展对工程影响区的环境教育，提高施工人员和管理人员的水生生物保护意识。严禁在施工区域附近进行捕鱼或从事其它有碍生态环境保护的活动，一旦发现珍稀濒危水生生物种类，应及时采取保护措施。</w:t>
      </w:r>
    </w:p>
    <w:p w14:paraId="11B63271">
      <w:pPr>
        <w:pStyle w:val="85"/>
        <w:ind w:firstLine="480"/>
        <w:rPr>
          <w:kern w:val="0"/>
        </w:rPr>
      </w:pPr>
      <w:r>
        <w:rPr>
          <w:rFonts w:hint="eastAsia"/>
          <w:kern w:val="0"/>
        </w:rPr>
        <w:t>④建立水生生物保护应急机制和应急预案，减少水生生物的损失。</w:t>
      </w:r>
    </w:p>
    <w:p w14:paraId="15B9D3CC">
      <w:pPr>
        <w:pStyle w:val="85"/>
        <w:ind w:firstLine="480"/>
        <w:rPr>
          <w:kern w:val="0"/>
        </w:rPr>
      </w:pPr>
      <w:r>
        <w:rPr>
          <w:rFonts w:hint="eastAsia"/>
          <w:kern w:val="0"/>
        </w:rPr>
        <w:t>项目拟采取的生态环保措施见下表。</w:t>
      </w:r>
    </w:p>
    <w:p w14:paraId="14FEFC2C">
      <w:pPr>
        <w:jc w:val="center"/>
        <w:rPr>
          <w:rFonts w:eastAsia="黑体"/>
          <w:kern w:val="0"/>
          <w:sz w:val="24"/>
          <w:szCs w:val="21"/>
        </w:rPr>
      </w:pPr>
      <w:r>
        <w:rPr>
          <w:rFonts w:hint="eastAsia" w:eastAsia="黑体"/>
          <w:bCs/>
          <w:spacing w:val="-8"/>
          <w:kern w:val="0"/>
          <w:sz w:val="24"/>
        </w:rPr>
        <w:t>表</w:t>
      </w:r>
      <w:r>
        <w:rPr>
          <w:rFonts w:eastAsia="黑体"/>
          <w:bCs/>
          <w:spacing w:val="-8"/>
          <w:kern w:val="0"/>
          <w:sz w:val="24"/>
        </w:rPr>
        <w:fldChar w:fldCharType="begin"/>
      </w:r>
      <w:r>
        <w:rPr>
          <w:rFonts w:eastAsia="黑体"/>
          <w:bCs/>
          <w:spacing w:val="-8"/>
          <w:kern w:val="0"/>
          <w:sz w:val="24"/>
        </w:rPr>
        <w:instrText xml:space="preserve"> </w:instrText>
      </w:r>
      <w:r>
        <w:rPr>
          <w:rFonts w:hint="eastAsia" w:eastAsia="黑体"/>
          <w:bCs/>
          <w:spacing w:val="-8"/>
          <w:kern w:val="0"/>
          <w:sz w:val="24"/>
        </w:rPr>
        <w:instrText xml:space="preserve">STYLEREF 1 \s</w:instrText>
      </w:r>
      <w:r>
        <w:rPr>
          <w:rFonts w:eastAsia="黑体"/>
          <w:bCs/>
          <w:spacing w:val="-8"/>
          <w:kern w:val="0"/>
          <w:sz w:val="24"/>
        </w:rPr>
        <w:instrText xml:space="preserve"> </w:instrText>
      </w:r>
      <w:r>
        <w:rPr>
          <w:rFonts w:eastAsia="黑体"/>
          <w:bCs/>
          <w:spacing w:val="-8"/>
          <w:kern w:val="0"/>
          <w:sz w:val="24"/>
        </w:rPr>
        <w:fldChar w:fldCharType="separate"/>
      </w:r>
      <w:r>
        <w:rPr>
          <w:rFonts w:eastAsia="黑体"/>
          <w:bCs/>
          <w:spacing w:val="-8"/>
          <w:kern w:val="0"/>
          <w:sz w:val="24"/>
        </w:rPr>
        <w:t>5</w:t>
      </w:r>
      <w:r>
        <w:rPr>
          <w:rFonts w:eastAsia="黑体"/>
          <w:bCs/>
          <w:spacing w:val="-8"/>
          <w:kern w:val="0"/>
          <w:sz w:val="24"/>
        </w:rPr>
        <w:fldChar w:fldCharType="end"/>
      </w:r>
      <w:r>
        <w:rPr>
          <w:rFonts w:eastAsia="黑体"/>
          <w:bCs/>
          <w:spacing w:val="-8"/>
          <w:kern w:val="0"/>
          <w:sz w:val="24"/>
        </w:rPr>
        <w:noBreakHyphen/>
      </w:r>
      <w:r>
        <w:rPr>
          <w:rFonts w:eastAsia="黑体"/>
          <w:bCs/>
          <w:spacing w:val="-8"/>
          <w:kern w:val="0"/>
          <w:sz w:val="24"/>
        </w:rPr>
        <w:fldChar w:fldCharType="begin"/>
      </w:r>
      <w:r>
        <w:rPr>
          <w:rFonts w:eastAsia="黑体"/>
          <w:bCs/>
          <w:spacing w:val="-8"/>
          <w:kern w:val="0"/>
          <w:sz w:val="24"/>
        </w:rPr>
        <w:instrText xml:space="preserve"> </w:instrText>
      </w:r>
      <w:r>
        <w:rPr>
          <w:rFonts w:hint="eastAsia" w:eastAsia="黑体"/>
          <w:bCs/>
          <w:spacing w:val="-8"/>
          <w:kern w:val="0"/>
          <w:sz w:val="24"/>
        </w:rPr>
        <w:instrText xml:space="preserve">SEQ 表 \* ARABIC \s 1</w:instrText>
      </w:r>
      <w:r>
        <w:rPr>
          <w:rFonts w:eastAsia="黑体"/>
          <w:bCs/>
          <w:spacing w:val="-8"/>
          <w:kern w:val="0"/>
          <w:sz w:val="24"/>
        </w:rPr>
        <w:instrText xml:space="preserve"> </w:instrText>
      </w:r>
      <w:r>
        <w:rPr>
          <w:rFonts w:eastAsia="黑体"/>
          <w:bCs/>
          <w:spacing w:val="-8"/>
          <w:kern w:val="0"/>
          <w:sz w:val="24"/>
        </w:rPr>
        <w:fldChar w:fldCharType="separate"/>
      </w:r>
      <w:r>
        <w:rPr>
          <w:rFonts w:eastAsia="黑体"/>
          <w:bCs/>
          <w:spacing w:val="-8"/>
          <w:kern w:val="0"/>
          <w:sz w:val="24"/>
        </w:rPr>
        <w:t>1</w:t>
      </w:r>
      <w:r>
        <w:rPr>
          <w:rFonts w:eastAsia="黑体"/>
          <w:bCs/>
          <w:spacing w:val="-8"/>
          <w:kern w:val="0"/>
          <w:sz w:val="24"/>
        </w:rPr>
        <w:fldChar w:fldCharType="end"/>
      </w:r>
      <w:r>
        <w:rPr>
          <w:rFonts w:eastAsia="黑体"/>
          <w:bCs/>
          <w:spacing w:val="-8"/>
          <w:kern w:val="0"/>
          <w:sz w:val="24"/>
        </w:rPr>
        <w:t xml:space="preserve">  </w:t>
      </w:r>
      <w:r>
        <w:rPr>
          <w:rFonts w:hint="eastAsia" w:eastAsia="黑体"/>
          <w:kern w:val="0"/>
          <w:sz w:val="24"/>
          <w:szCs w:val="21"/>
        </w:rPr>
        <w:t>项目生态保护措施及对策一览表</w:t>
      </w:r>
    </w:p>
    <w:tbl>
      <w:tblPr>
        <w:tblStyle w:val="30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5976"/>
        <w:gridCol w:w="1247"/>
      </w:tblGrid>
      <w:tr w14:paraId="2612C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Pr>
          <w:p w14:paraId="151CED44">
            <w:pPr>
              <w:spacing w:line="276" w:lineRule="auto"/>
              <w:jc w:val="center"/>
              <w:rPr>
                <w:kern w:val="0"/>
                <w:sz w:val="21"/>
                <w:szCs w:val="21"/>
              </w:rPr>
            </w:pPr>
            <w:r>
              <w:rPr>
                <w:rFonts w:hint="eastAsia"/>
                <w:kern w:val="0"/>
                <w:sz w:val="21"/>
                <w:szCs w:val="21"/>
              </w:rPr>
              <w:t>实施时间</w:t>
            </w:r>
          </w:p>
        </w:tc>
        <w:tc>
          <w:tcPr>
            <w:tcW w:w="3504" w:type="pct"/>
          </w:tcPr>
          <w:p w14:paraId="11C715E9">
            <w:pPr>
              <w:spacing w:line="276" w:lineRule="auto"/>
              <w:jc w:val="center"/>
              <w:rPr>
                <w:kern w:val="0"/>
                <w:sz w:val="21"/>
                <w:szCs w:val="21"/>
              </w:rPr>
            </w:pPr>
            <w:r>
              <w:rPr>
                <w:rFonts w:hint="eastAsia"/>
                <w:kern w:val="0"/>
                <w:sz w:val="21"/>
                <w:szCs w:val="21"/>
              </w:rPr>
              <w:t>措施及对策</w:t>
            </w:r>
          </w:p>
        </w:tc>
        <w:tc>
          <w:tcPr>
            <w:tcW w:w="731" w:type="pct"/>
          </w:tcPr>
          <w:p w14:paraId="1DA034B5">
            <w:pPr>
              <w:spacing w:line="276" w:lineRule="auto"/>
              <w:jc w:val="center"/>
              <w:rPr>
                <w:kern w:val="0"/>
                <w:sz w:val="21"/>
                <w:szCs w:val="21"/>
              </w:rPr>
            </w:pPr>
            <w:r>
              <w:rPr>
                <w:rFonts w:hint="eastAsia"/>
                <w:kern w:val="0"/>
                <w:sz w:val="21"/>
                <w:szCs w:val="21"/>
              </w:rPr>
              <w:t>责任主体</w:t>
            </w:r>
          </w:p>
        </w:tc>
      </w:tr>
      <w:tr w14:paraId="6F9CD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Align w:val="center"/>
          </w:tcPr>
          <w:p w14:paraId="3A25806A">
            <w:pPr>
              <w:spacing w:line="276" w:lineRule="auto"/>
              <w:jc w:val="center"/>
              <w:rPr>
                <w:kern w:val="0"/>
                <w:sz w:val="21"/>
                <w:szCs w:val="21"/>
              </w:rPr>
            </w:pPr>
            <w:r>
              <w:rPr>
                <w:rFonts w:hint="eastAsia"/>
                <w:kern w:val="0"/>
                <w:sz w:val="21"/>
                <w:szCs w:val="21"/>
              </w:rPr>
              <w:t>施工期、运营期</w:t>
            </w:r>
          </w:p>
        </w:tc>
        <w:tc>
          <w:tcPr>
            <w:tcW w:w="3504" w:type="pct"/>
            <w:vAlign w:val="center"/>
          </w:tcPr>
          <w:p w14:paraId="4BBC2305">
            <w:pPr>
              <w:spacing w:line="276" w:lineRule="auto"/>
              <w:ind w:firstLine="420" w:firstLineChars="200"/>
              <w:jc w:val="left"/>
              <w:rPr>
                <w:kern w:val="0"/>
                <w:sz w:val="21"/>
                <w:szCs w:val="21"/>
              </w:rPr>
            </w:pPr>
            <w:r>
              <w:rPr>
                <w:rFonts w:hint="eastAsia"/>
                <w:kern w:val="0"/>
                <w:sz w:val="21"/>
                <w:szCs w:val="21"/>
              </w:rPr>
              <w:t>①治理潮河干流长度10.81km，基底修复及微地形梳理10.81km；②构建修复生态缓冲带13.83km，陆域植被恢复16.31公顷、水生态构建及水生植物恢复16.49公顷</w:t>
            </w:r>
          </w:p>
        </w:tc>
        <w:tc>
          <w:tcPr>
            <w:tcW w:w="731" w:type="pct"/>
            <w:vAlign w:val="center"/>
          </w:tcPr>
          <w:p w14:paraId="0B985FB8">
            <w:pPr>
              <w:spacing w:line="276" w:lineRule="auto"/>
              <w:jc w:val="center"/>
              <w:rPr>
                <w:kern w:val="0"/>
                <w:sz w:val="21"/>
                <w:szCs w:val="21"/>
              </w:rPr>
            </w:pPr>
            <w:r>
              <w:rPr>
                <w:rFonts w:hint="eastAsia"/>
                <w:kern w:val="0"/>
                <w:sz w:val="21"/>
                <w:szCs w:val="21"/>
              </w:rPr>
              <w:t>建设单位</w:t>
            </w:r>
          </w:p>
        </w:tc>
      </w:tr>
      <w:tr w14:paraId="23A43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Align w:val="center"/>
          </w:tcPr>
          <w:p w14:paraId="6E990CCD">
            <w:pPr>
              <w:spacing w:line="276" w:lineRule="auto"/>
              <w:jc w:val="center"/>
              <w:rPr>
                <w:kern w:val="0"/>
                <w:sz w:val="21"/>
                <w:szCs w:val="21"/>
              </w:rPr>
            </w:pPr>
            <w:r>
              <w:rPr>
                <w:rFonts w:hint="eastAsia"/>
                <w:kern w:val="0"/>
                <w:sz w:val="21"/>
                <w:szCs w:val="21"/>
              </w:rPr>
              <w:t>施工期、运营期</w:t>
            </w:r>
          </w:p>
        </w:tc>
        <w:tc>
          <w:tcPr>
            <w:tcW w:w="3504" w:type="pct"/>
            <w:vAlign w:val="center"/>
          </w:tcPr>
          <w:p w14:paraId="008D07CB">
            <w:pPr>
              <w:spacing w:line="276" w:lineRule="auto"/>
              <w:jc w:val="center"/>
              <w:rPr>
                <w:kern w:val="0"/>
                <w:sz w:val="21"/>
                <w:szCs w:val="21"/>
              </w:rPr>
            </w:pPr>
            <w:r>
              <w:rPr>
                <w:rFonts w:hint="eastAsia"/>
                <w:kern w:val="0"/>
                <w:sz w:val="21"/>
                <w:szCs w:val="21"/>
              </w:rPr>
              <w:t>开展施工期及运营期长期生态监测（具体见生态监测计划）</w:t>
            </w:r>
          </w:p>
        </w:tc>
        <w:tc>
          <w:tcPr>
            <w:tcW w:w="731" w:type="pct"/>
            <w:vAlign w:val="center"/>
          </w:tcPr>
          <w:p w14:paraId="3D7098D7">
            <w:pPr>
              <w:spacing w:line="276" w:lineRule="auto"/>
              <w:jc w:val="center"/>
              <w:rPr>
                <w:kern w:val="0"/>
                <w:sz w:val="21"/>
                <w:szCs w:val="21"/>
              </w:rPr>
            </w:pPr>
            <w:r>
              <w:rPr>
                <w:rFonts w:hint="eastAsia"/>
                <w:kern w:val="0"/>
                <w:sz w:val="21"/>
                <w:szCs w:val="21"/>
              </w:rPr>
              <w:t>建设单位</w:t>
            </w:r>
          </w:p>
        </w:tc>
      </w:tr>
    </w:tbl>
    <w:p w14:paraId="6B57F553">
      <w:pPr>
        <w:pStyle w:val="4"/>
      </w:pPr>
      <w:r>
        <w:rPr>
          <w:rFonts w:hint="eastAsia"/>
        </w:rPr>
        <w:t>水土保持措施</w:t>
      </w:r>
    </w:p>
    <w:p w14:paraId="1311170E">
      <w:pPr>
        <w:pStyle w:val="85"/>
        <w:ind w:firstLine="480"/>
        <w:rPr>
          <w:kern w:val="0"/>
        </w:rPr>
      </w:pPr>
      <w:r>
        <w:rPr>
          <w:rFonts w:hint="eastAsia"/>
          <w:kern w:val="0"/>
        </w:rPr>
        <w:t>本工程为生态修复工程，水土流失主要可能发生于河道地形整理、边坡防护等区域，工程设计中充分考虑利用现状地形，减少开挖土石方，并用开挖区弃土修筑边坡、堤岸等。</w:t>
      </w:r>
    </w:p>
    <w:p w14:paraId="11AE3A39">
      <w:pPr>
        <w:pStyle w:val="85"/>
        <w:ind w:firstLine="480"/>
        <w:rPr>
          <w:kern w:val="0"/>
        </w:rPr>
      </w:pPr>
      <w:r>
        <w:rPr>
          <w:rFonts w:hint="eastAsia"/>
          <w:kern w:val="0"/>
        </w:rPr>
        <w:t>根据设计文件，本项目开挖土方全部就近用于基底修复及微地形梳理工程。因此，本项目水保措施以预防和治理项目湿地修复及生态补水等施工建设中导致的新增水土流失为重点，提出施工管理及水土保持措施两方面的要求。</w:t>
      </w:r>
    </w:p>
    <w:p w14:paraId="63FC5E9B">
      <w:pPr>
        <w:pStyle w:val="85"/>
        <w:ind w:firstLine="480"/>
        <w:rPr>
          <w:kern w:val="0"/>
        </w:rPr>
      </w:pPr>
      <w:r>
        <w:rPr>
          <w:rFonts w:hint="eastAsia"/>
          <w:kern w:val="0"/>
        </w:rPr>
        <w:t>（1）施工管理</w:t>
      </w:r>
    </w:p>
    <w:p w14:paraId="63C643D9">
      <w:pPr>
        <w:pStyle w:val="85"/>
        <w:ind w:firstLine="480"/>
        <w:rPr>
          <w:kern w:val="0"/>
        </w:rPr>
      </w:pPr>
      <w:r>
        <w:rPr>
          <w:rFonts w:hint="eastAsia"/>
          <w:kern w:val="0"/>
        </w:rPr>
        <w:t>护岸开挖区域应自上而下进行开挖，并控制开挖坡度和开挖量，防止超挖或因开挖坡度太大而造成失稳。</w:t>
      </w:r>
    </w:p>
    <w:p w14:paraId="4825D4C4">
      <w:pPr>
        <w:pStyle w:val="85"/>
        <w:ind w:firstLine="480"/>
        <w:rPr>
          <w:kern w:val="0"/>
        </w:rPr>
      </w:pPr>
      <w:r>
        <w:rPr>
          <w:rFonts w:hint="eastAsia"/>
          <w:kern w:val="0"/>
        </w:rPr>
        <w:t>岸坡填筑区域采用水平分层填筑，边坡坡比取值合理。</w:t>
      </w:r>
    </w:p>
    <w:p w14:paraId="6E60437C">
      <w:pPr>
        <w:pStyle w:val="85"/>
        <w:ind w:firstLine="480"/>
        <w:rPr>
          <w:kern w:val="0"/>
        </w:rPr>
      </w:pPr>
      <w:r>
        <w:rPr>
          <w:rFonts w:hint="eastAsia"/>
          <w:kern w:val="0"/>
        </w:rPr>
        <w:t>开挖、填筑等施工活动尽量避开雨日，严禁裸露边坡处于无防护状态。</w:t>
      </w:r>
    </w:p>
    <w:p w14:paraId="7E09D58B">
      <w:pPr>
        <w:pStyle w:val="85"/>
        <w:ind w:firstLine="480"/>
        <w:rPr>
          <w:kern w:val="0"/>
        </w:rPr>
      </w:pPr>
      <w:r>
        <w:rPr>
          <w:rFonts w:hint="eastAsia"/>
          <w:kern w:val="0"/>
        </w:rPr>
        <w:t>土石方运输要严格遵守作业制度，避免过量装车，以防运输过程中散落，减少水土流失。</w:t>
      </w:r>
    </w:p>
    <w:p w14:paraId="5A522C1B">
      <w:pPr>
        <w:pStyle w:val="85"/>
        <w:ind w:firstLine="480"/>
        <w:rPr>
          <w:kern w:val="0"/>
        </w:rPr>
      </w:pPr>
      <w:r>
        <w:rPr>
          <w:rFonts w:hint="eastAsia"/>
          <w:kern w:val="0"/>
        </w:rPr>
        <w:t>施工单位严格按照施工方案规定的施工时序进行施工，合理安排施工组织，力求各工点施工顺利进行，保证土石方调运的交通畅通，同时建设单位和监理单位要加强现场施工组织管理，切实做到文明施工。</w:t>
      </w:r>
    </w:p>
    <w:p w14:paraId="1D72F655">
      <w:pPr>
        <w:pStyle w:val="85"/>
        <w:ind w:firstLine="480"/>
        <w:rPr>
          <w:kern w:val="0"/>
        </w:rPr>
      </w:pPr>
      <w:r>
        <w:rPr>
          <w:rFonts w:hint="eastAsia"/>
          <w:kern w:val="0"/>
        </w:rPr>
        <w:t>（2）水土保持措施</w:t>
      </w:r>
    </w:p>
    <w:p w14:paraId="5E60CB48">
      <w:pPr>
        <w:pStyle w:val="85"/>
        <w:ind w:firstLine="480"/>
        <w:rPr>
          <w:kern w:val="0"/>
        </w:rPr>
      </w:pPr>
      <w:r>
        <w:rPr>
          <w:rFonts w:hint="eastAsia"/>
          <w:kern w:val="0"/>
        </w:rPr>
        <w:t>工程施工区内临时堆土区域，施工前实施表土剥离措施，剥离表土采用填土编织袋挡土墙进行临时拦挡，顶端采用防尘网覆盖。</w:t>
      </w:r>
    </w:p>
    <w:p w14:paraId="42637008">
      <w:pPr>
        <w:pStyle w:val="85"/>
        <w:ind w:firstLine="480"/>
        <w:rPr>
          <w:kern w:val="0"/>
        </w:rPr>
      </w:pPr>
      <w:r>
        <w:rPr>
          <w:rFonts w:hint="eastAsia"/>
          <w:kern w:val="0"/>
        </w:rPr>
        <w:t>对工程建设过程中裸露地面及临时堆土采取临时遮盖等措施，以减轻项目建设过程中的水土流失。</w:t>
      </w:r>
    </w:p>
    <w:p w14:paraId="7BCDCBCD">
      <w:pPr>
        <w:pStyle w:val="85"/>
        <w:ind w:firstLine="480"/>
        <w:rPr>
          <w:kern w:val="0"/>
        </w:rPr>
      </w:pPr>
      <w:r>
        <w:rPr>
          <w:rFonts w:hint="eastAsia"/>
          <w:kern w:val="0"/>
        </w:rPr>
        <w:t>干燥和大风天气保证施工道路每天定时洒水，以减少水土流失。</w:t>
      </w:r>
    </w:p>
    <w:p w14:paraId="21108311">
      <w:pPr>
        <w:pStyle w:val="4"/>
      </w:pPr>
      <w:r>
        <w:rPr>
          <w:rFonts w:hint="eastAsia"/>
        </w:rPr>
        <w:t>湿地公园及生态保护红线内保护措施</w:t>
      </w:r>
    </w:p>
    <w:p w14:paraId="1180E5F1">
      <w:pPr>
        <w:pStyle w:val="85"/>
        <w:ind w:firstLine="480"/>
        <w:rPr>
          <w:kern w:val="0"/>
        </w:rPr>
      </w:pPr>
      <w:r>
        <w:rPr>
          <w:rFonts w:hint="eastAsia"/>
          <w:kern w:val="0"/>
        </w:rPr>
        <w:t>工程建设阶段拟采取的针对湿地公园及生态保护红线的生态保护措施，简述如下：</w:t>
      </w:r>
    </w:p>
    <w:p w14:paraId="1901FBF6">
      <w:pPr>
        <w:pStyle w:val="85"/>
        <w:ind w:firstLine="482"/>
        <w:rPr>
          <w:b/>
          <w:bCs/>
          <w:kern w:val="0"/>
        </w:rPr>
      </w:pPr>
      <w:r>
        <w:rPr>
          <w:rFonts w:hint="eastAsia"/>
          <w:b/>
          <w:bCs/>
          <w:kern w:val="0"/>
        </w:rPr>
        <w:t>1、避让措施</w:t>
      </w:r>
    </w:p>
    <w:p w14:paraId="7C2BC2B0">
      <w:pPr>
        <w:pStyle w:val="85"/>
        <w:ind w:firstLine="480"/>
        <w:rPr>
          <w:kern w:val="0"/>
        </w:rPr>
      </w:pPr>
      <w:r>
        <w:rPr>
          <w:rFonts w:hint="eastAsia"/>
          <w:kern w:val="0"/>
        </w:rPr>
        <w:t>工程除临时占地外，不占用多余的土地，避免对湿地公园的过多扰动。</w:t>
      </w:r>
    </w:p>
    <w:p w14:paraId="35D8CE3A">
      <w:pPr>
        <w:pStyle w:val="85"/>
        <w:ind w:firstLine="482"/>
        <w:rPr>
          <w:b/>
          <w:bCs/>
          <w:kern w:val="0"/>
        </w:rPr>
      </w:pPr>
      <w:r>
        <w:rPr>
          <w:rFonts w:hint="eastAsia"/>
          <w:b/>
          <w:bCs/>
          <w:kern w:val="0"/>
        </w:rPr>
        <w:t>2、减缓措施</w:t>
      </w:r>
    </w:p>
    <w:p w14:paraId="596C5D50">
      <w:pPr>
        <w:pStyle w:val="85"/>
        <w:ind w:firstLine="480"/>
        <w:rPr>
          <w:kern w:val="0"/>
        </w:rPr>
      </w:pPr>
      <w:r>
        <w:rPr>
          <w:rFonts w:hint="eastAsia"/>
          <w:kern w:val="0"/>
        </w:rPr>
        <w:t>（1）工程采用分段施工工艺。严格控制施工范围，禁止越线施工。</w:t>
      </w:r>
    </w:p>
    <w:p w14:paraId="2D44A287">
      <w:pPr>
        <w:pStyle w:val="85"/>
        <w:ind w:firstLine="480"/>
        <w:rPr>
          <w:kern w:val="0"/>
        </w:rPr>
      </w:pPr>
      <w:r>
        <w:rPr>
          <w:rFonts w:hint="eastAsia"/>
          <w:kern w:val="0"/>
        </w:rPr>
        <w:t>（2）标明施工活动区，施工车辆、人员必须在作业带内活动，禁止在非施工区点火、狩猎、捕鱼，不得破坏区域湿地资源。</w:t>
      </w:r>
    </w:p>
    <w:p w14:paraId="3D1BCE10">
      <w:pPr>
        <w:pStyle w:val="85"/>
        <w:ind w:firstLine="480"/>
        <w:rPr>
          <w:kern w:val="0"/>
        </w:rPr>
      </w:pPr>
      <w:r>
        <w:rPr>
          <w:rFonts w:hint="eastAsia"/>
          <w:kern w:val="0"/>
        </w:rPr>
        <w:t>（3）加强宣传教育，施工人员应保护区域湿地资源。</w:t>
      </w:r>
    </w:p>
    <w:p w14:paraId="6EBD1E6A">
      <w:pPr>
        <w:pStyle w:val="85"/>
        <w:ind w:firstLine="482"/>
        <w:rPr>
          <w:b/>
          <w:bCs/>
          <w:kern w:val="0"/>
        </w:rPr>
      </w:pPr>
      <w:r>
        <w:rPr>
          <w:rFonts w:hint="eastAsia"/>
          <w:b/>
          <w:bCs/>
          <w:kern w:val="0"/>
        </w:rPr>
        <w:t>3、修复措施</w:t>
      </w:r>
    </w:p>
    <w:p w14:paraId="6844CA35">
      <w:pPr>
        <w:pStyle w:val="85"/>
        <w:ind w:firstLine="480"/>
        <w:rPr>
          <w:kern w:val="0"/>
        </w:rPr>
      </w:pPr>
      <w:r>
        <w:rPr>
          <w:rFonts w:hint="eastAsia"/>
          <w:kern w:val="0"/>
        </w:rPr>
        <w:t>工程占压包括永久占压和临时占压。工程应严格按照水土保持方案及时恢复植被。在工程施工完毕后对临时用地根据占地类型采取相应的生态恢复措施。</w:t>
      </w:r>
    </w:p>
    <w:p w14:paraId="320E3D47">
      <w:pPr>
        <w:pStyle w:val="85"/>
        <w:ind w:firstLine="482"/>
        <w:rPr>
          <w:b/>
          <w:bCs/>
          <w:kern w:val="0"/>
        </w:rPr>
      </w:pPr>
      <w:r>
        <w:rPr>
          <w:rFonts w:hint="eastAsia"/>
          <w:b/>
          <w:bCs/>
          <w:kern w:val="0"/>
        </w:rPr>
        <w:t>4、补偿措施</w:t>
      </w:r>
    </w:p>
    <w:p w14:paraId="6751A774">
      <w:pPr>
        <w:pStyle w:val="85"/>
        <w:ind w:firstLine="480"/>
        <w:rPr>
          <w:kern w:val="0"/>
        </w:rPr>
      </w:pPr>
      <w:r>
        <w:rPr>
          <w:rFonts w:hint="eastAsia"/>
          <w:kern w:val="0"/>
        </w:rPr>
        <w:t>（1）进行必要的湿地恢复。开展基底修复、生态缓冲带构建、水生生态构建等工程。建议在适合构建湿地公园生境分布的区域，根据需要适当疏挖，形成适合挺水植被分布的洼地，保证在冬季有50cm左右的积水，从而为可能偶有的越冬鸟类提供栖息地。</w:t>
      </w:r>
    </w:p>
    <w:p w14:paraId="4292051A">
      <w:pPr>
        <w:pStyle w:val="85"/>
        <w:ind w:firstLine="480"/>
        <w:rPr>
          <w:kern w:val="0"/>
        </w:rPr>
      </w:pPr>
      <w:r>
        <w:rPr>
          <w:rFonts w:hint="eastAsia"/>
          <w:kern w:val="0"/>
        </w:rPr>
        <w:t>（2）自然恢复为主，可适当开展辅助增殖放流。可投放所在河段常见鱼类，同时进行螺、蚌资源放流以加速恢复河流底质生境。</w:t>
      </w:r>
    </w:p>
    <w:p w14:paraId="76DA88DD">
      <w:pPr>
        <w:pStyle w:val="85"/>
        <w:ind w:firstLine="480"/>
        <w:rPr>
          <w:kern w:val="0"/>
        </w:rPr>
      </w:pPr>
      <w:r>
        <w:rPr>
          <w:rFonts w:hint="eastAsia"/>
          <w:kern w:val="0"/>
        </w:rPr>
        <w:t>（3）生态监测。湿地公园范围内设2个陆生生物调查点，建设阶段开始前和建设施工结束前，分别开展1次生态监测（6-8月监测植物及陆生脊椎动物，12-1月监测越冬鸟类）。监测项目包括植物种类、生物量等，兽类、两栖类、鸟类的种类等。河道设置2个水生生物调查点，建设阶段开始前和建设施工结束前，分别开展1次生态监测。监测项目：浮游植物、浮游动物种群数量、密度、生物量等，底栖动物、水生维管束植物种类和生物量，鱼类种类等。</w:t>
      </w:r>
    </w:p>
    <w:p w14:paraId="38C17EFF">
      <w:pPr>
        <w:pStyle w:val="85"/>
        <w:ind w:firstLine="480"/>
        <w:rPr>
          <w:kern w:val="0"/>
        </w:rPr>
      </w:pPr>
      <w:r>
        <w:rPr>
          <w:rFonts w:hint="eastAsia"/>
          <w:kern w:val="0"/>
        </w:rPr>
        <w:t>（4）加强宣传教育培训、加强建设阶段的环境管理等。</w:t>
      </w:r>
    </w:p>
    <w:p w14:paraId="7231C816">
      <w:pPr>
        <w:pStyle w:val="85"/>
        <w:ind w:firstLine="482"/>
        <w:rPr>
          <w:b/>
          <w:bCs/>
          <w:kern w:val="0"/>
        </w:rPr>
      </w:pPr>
      <w:r>
        <w:rPr>
          <w:rFonts w:hint="eastAsia"/>
          <w:b/>
          <w:bCs/>
          <w:kern w:val="0"/>
        </w:rPr>
        <w:t>5、管理措施</w:t>
      </w:r>
    </w:p>
    <w:p w14:paraId="7AD5F0D2">
      <w:pPr>
        <w:pStyle w:val="85"/>
        <w:ind w:firstLine="480"/>
        <w:rPr>
          <w:kern w:val="0"/>
        </w:rPr>
      </w:pPr>
      <w:r>
        <w:rPr>
          <w:rFonts w:hint="eastAsia"/>
          <w:kern w:val="0"/>
        </w:rPr>
        <w:t>工程涉及国家湿地公园和生态保护红线的在开工建设前需征求相应主管意见，并办理相应手续，接受管理部门监督、指导。</w:t>
      </w:r>
    </w:p>
    <w:p w14:paraId="1F40BCCE">
      <w:pPr>
        <w:pStyle w:val="85"/>
        <w:ind w:firstLine="480"/>
        <w:rPr>
          <w:kern w:val="0"/>
        </w:rPr>
      </w:pPr>
    </w:p>
    <w:p w14:paraId="57A4D435">
      <w:pPr>
        <w:pStyle w:val="85"/>
        <w:ind w:firstLine="480"/>
        <w:rPr>
          <w:kern w:val="0"/>
        </w:rPr>
        <w:sectPr>
          <w:pgSz w:w="11906" w:h="16838"/>
          <w:pgMar w:top="2007" w:right="1797" w:bottom="1724" w:left="1797" w:header="1417" w:footer="1162" w:gutter="0"/>
          <w:pgNumType w:fmt="numberInDash"/>
          <w:cols w:space="425" w:num="1"/>
          <w:docGrid w:type="lines" w:linePitch="312" w:charSpace="0"/>
        </w:sectPr>
      </w:pPr>
    </w:p>
    <w:p w14:paraId="29F307FC">
      <w:pPr>
        <w:pStyle w:val="2"/>
        <w:rPr>
          <w:kern w:val="0"/>
        </w:rPr>
      </w:pPr>
      <w:bookmarkStart w:id="141" w:name="_Toc198733171"/>
      <w:r>
        <w:rPr>
          <w:rFonts w:hint="eastAsia"/>
          <w:kern w:val="0"/>
        </w:rPr>
        <w:t>环境影响经济损益分析</w:t>
      </w:r>
      <w:bookmarkEnd w:id="141"/>
    </w:p>
    <w:p w14:paraId="571D4252">
      <w:pPr>
        <w:pStyle w:val="3"/>
        <w:rPr>
          <w:kern w:val="0"/>
        </w:rPr>
      </w:pPr>
      <w:bookmarkStart w:id="142" w:name="_Toc198733172"/>
      <w:r>
        <w:rPr>
          <w:rFonts w:hint="eastAsia"/>
          <w:kern w:val="0"/>
        </w:rPr>
        <w:t>环保</w:t>
      </w:r>
      <w:r>
        <w:rPr>
          <w:kern w:val="0"/>
        </w:rPr>
        <w:t>投资估算</w:t>
      </w:r>
      <w:bookmarkEnd w:id="142"/>
    </w:p>
    <w:p w14:paraId="787B4271">
      <w:pPr>
        <w:pStyle w:val="85"/>
        <w:ind w:firstLine="480"/>
        <w:rPr>
          <w:kern w:val="0"/>
        </w:rPr>
      </w:pPr>
      <w:r>
        <w:rPr>
          <w:kern w:val="0"/>
        </w:rPr>
        <w:t>根据</w:t>
      </w:r>
      <w:r>
        <w:rPr>
          <w:rFonts w:hint="eastAsia"/>
          <w:kern w:val="0"/>
        </w:rPr>
        <w:t>工程可研文件和</w:t>
      </w:r>
      <w:r>
        <w:rPr>
          <w:kern w:val="0"/>
        </w:rPr>
        <w:t>工程</w:t>
      </w:r>
      <w:r>
        <w:rPr>
          <w:rFonts w:hint="eastAsia"/>
          <w:kern w:val="0"/>
        </w:rPr>
        <w:t>特点</w:t>
      </w:r>
      <w:r>
        <w:rPr>
          <w:kern w:val="0"/>
        </w:rPr>
        <w:t>情况，</w:t>
      </w:r>
      <w:r>
        <w:rPr>
          <w:rFonts w:hint="eastAsia"/>
          <w:kern w:val="0"/>
        </w:rPr>
        <w:t>本</w:t>
      </w:r>
      <w:r>
        <w:rPr>
          <w:kern w:val="0"/>
        </w:rPr>
        <w:t>工程整体为生态修复工程。</w:t>
      </w:r>
      <w:r>
        <w:rPr>
          <w:rFonts w:hint="eastAsia"/>
          <w:kern w:val="0"/>
        </w:rPr>
        <w:t>本工程建设内容为河道基底修复及微地形梳理；构建恢复生态缓冲带、水生态构建及水生植物恢复。主要内容包括①治理潮河干流长度10.81km，基底修复及微地形梳理10.81km。②构建修复生态缓冲带13.83km，陆域植被恢复16.31公顷、水生态构建及水生植物恢复16.49公顷。</w:t>
      </w:r>
      <w:r>
        <w:rPr>
          <w:kern w:val="0"/>
        </w:rPr>
        <w:t>工程总投资为5190.57万元，</w:t>
      </w:r>
      <w:r>
        <w:rPr>
          <w:rFonts w:hint="eastAsia"/>
          <w:kern w:val="0"/>
        </w:rPr>
        <w:t>全部为</w:t>
      </w:r>
      <w:r>
        <w:rPr>
          <w:kern w:val="0"/>
        </w:rPr>
        <w:t>环保投资，</w:t>
      </w:r>
      <w:r>
        <w:rPr>
          <w:rFonts w:hint="eastAsia"/>
          <w:kern w:val="0"/>
        </w:rPr>
        <w:t>即环保投资</w:t>
      </w:r>
      <w:r>
        <w:rPr>
          <w:kern w:val="0"/>
        </w:rPr>
        <w:t>比例为</w:t>
      </w:r>
      <w:r>
        <w:rPr>
          <w:rFonts w:hint="eastAsia"/>
          <w:kern w:val="0"/>
        </w:rPr>
        <w:t>100</w:t>
      </w:r>
      <w:r>
        <w:rPr>
          <w:kern w:val="0"/>
        </w:rPr>
        <w:t>%。</w:t>
      </w:r>
    </w:p>
    <w:p w14:paraId="4D9AE231">
      <w:pPr>
        <w:pStyle w:val="3"/>
        <w:rPr>
          <w:kern w:val="0"/>
        </w:rPr>
      </w:pPr>
      <w:bookmarkStart w:id="143" w:name="_Toc198733173"/>
      <w:r>
        <w:rPr>
          <w:rFonts w:hint="eastAsia"/>
          <w:kern w:val="0"/>
        </w:rPr>
        <w:t>环境</w:t>
      </w:r>
      <w:r>
        <w:rPr>
          <w:kern w:val="0"/>
        </w:rPr>
        <w:t>经济损益分析</w:t>
      </w:r>
      <w:bookmarkEnd w:id="143"/>
    </w:p>
    <w:p w14:paraId="49E4553B">
      <w:pPr>
        <w:pStyle w:val="4"/>
        <w:rPr>
          <w:kern w:val="0"/>
        </w:rPr>
      </w:pPr>
      <w:r>
        <w:rPr>
          <w:rFonts w:hint="eastAsia"/>
          <w:kern w:val="0"/>
        </w:rPr>
        <w:t>环境负效益</w:t>
      </w:r>
      <w:r>
        <w:rPr>
          <w:kern w:val="0"/>
        </w:rPr>
        <w:t>分析</w:t>
      </w:r>
    </w:p>
    <w:p w14:paraId="410F8693">
      <w:pPr>
        <w:pStyle w:val="85"/>
        <w:ind w:firstLine="480"/>
        <w:rPr>
          <w:kern w:val="0"/>
        </w:rPr>
      </w:pPr>
      <w:r>
        <w:rPr>
          <w:kern w:val="0"/>
        </w:rPr>
        <w:t>本项目的环境经济损失主要包括生态破坏经济损失、水体污染经济损失、噪声影响经济损失、大气污染经济损失和固体废物影响经济损失等。</w:t>
      </w:r>
    </w:p>
    <w:p w14:paraId="2B0C3AC3">
      <w:pPr>
        <w:pStyle w:val="85"/>
        <w:ind w:firstLine="480"/>
        <w:rPr>
          <w:kern w:val="0"/>
        </w:rPr>
      </w:pPr>
      <w:r>
        <w:rPr>
          <w:kern w:val="0"/>
        </w:rPr>
        <w:t>（1）施工占地及水土流失</w:t>
      </w:r>
    </w:p>
    <w:p w14:paraId="3C3308CA">
      <w:pPr>
        <w:pStyle w:val="85"/>
        <w:ind w:firstLine="480"/>
        <w:rPr>
          <w:kern w:val="0"/>
        </w:rPr>
      </w:pPr>
      <w:r>
        <w:rPr>
          <w:kern w:val="0"/>
        </w:rPr>
        <w:t>工程在建设过程中，由于土石方开挖以及</w:t>
      </w:r>
      <w:r>
        <w:rPr>
          <w:rFonts w:hint="eastAsia"/>
          <w:kern w:val="0"/>
        </w:rPr>
        <w:t>土方运输</w:t>
      </w:r>
      <w:r>
        <w:rPr>
          <w:kern w:val="0"/>
        </w:rPr>
        <w:t>等，不可避免地破坏了原地貌、各类地表植被等水土保持措施，加剧了土壤侵蚀，产生了新的水土流失，带来新的环境问题。项目在采用工程措施和生物措施结合的条件下，施工期水土流失造成的影响将较小。项目施工期虽会造成一定的生物量损失，但通过本项目的绿化建设，可使植被生物量得到一定的恢复。</w:t>
      </w:r>
    </w:p>
    <w:p w14:paraId="48DD0CAE">
      <w:pPr>
        <w:pStyle w:val="85"/>
        <w:ind w:firstLine="480"/>
        <w:rPr>
          <w:kern w:val="0"/>
        </w:rPr>
      </w:pPr>
      <w:r>
        <w:rPr>
          <w:kern w:val="0"/>
        </w:rPr>
        <w:t>（2）施工期废水</w:t>
      </w:r>
    </w:p>
    <w:p w14:paraId="313D4FF5">
      <w:pPr>
        <w:pStyle w:val="85"/>
        <w:ind w:firstLine="480"/>
        <w:rPr>
          <w:kern w:val="0"/>
        </w:rPr>
      </w:pPr>
      <w:r>
        <w:rPr>
          <w:kern w:val="0"/>
        </w:rPr>
        <w:t>工程施工期间，施工人员产生一定量的</w:t>
      </w:r>
      <w:r>
        <w:rPr>
          <w:rFonts w:hint="eastAsia"/>
          <w:kern w:val="0"/>
        </w:rPr>
        <w:t>生活污水</w:t>
      </w:r>
      <w:r>
        <w:rPr>
          <w:kern w:val="0"/>
        </w:rPr>
        <w:t>。</w:t>
      </w:r>
      <w:r>
        <w:rPr>
          <w:rFonts w:hint="eastAsia"/>
          <w:kern w:val="0"/>
        </w:rPr>
        <w:t>施工区域设</w:t>
      </w:r>
      <w:r>
        <w:rPr>
          <w:kern w:val="0"/>
        </w:rPr>
        <w:t>2</w:t>
      </w:r>
      <w:r>
        <w:rPr>
          <w:rFonts w:hint="eastAsia"/>
          <w:kern w:val="0"/>
        </w:rPr>
        <w:t>座流动式厕所，粪便经流动式厕所收集后用作农肥，生活污水不外排</w:t>
      </w:r>
      <w:r>
        <w:rPr>
          <w:kern w:val="0"/>
        </w:rPr>
        <w:t>，本工程施工期</w:t>
      </w:r>
      <w:r>
        <w:rPr>
          <w:rFonts w:hint="eastAsia"/>
          <w:kern w:val="0"/>
        </w:rPr>
        <w:t>生活污水</w:t>
      </w:r>
      <w:r>
        <w:rPr>
          <w:kern w:val="0"/>
        </w:rPr>
        <w:t>在严格执行水污染</w:t>
      </w:r>
      <w:r>
        <w:rPr>
          <w:rFonts w:hint="eastAsia"/>
          <w:kern w:val="0"/>
        </w:rPr>
        <w:t>防治</w:t>
      </w:r>
      <w:r>
        <w:rPr>
          <w:kern w:val="0"/>
        </w:rPr>
        <w:t>措施之后，对区域水环境影响不大，造成的水环境影响经济损失不大。</w:t>
      </w:r>
    </w:p>
    <w:p w14:paraId="23F03B95">
      <w:pPr>
        <w:pStyle w:val="85"/>
        <w:ind w:firstLine="480"/>
        <w:rPr>
          <w:kern w:val="0"/>
        </w:rPr>
      </w:pPr>
      <w:r>
        <w:rPr>
          <w:kern w:val="0"/>
        </w:rPr>
        <w:t>（3）施工期噪声</w:t>
      </w:r>
    </w:p>
    <w:p w14:paraId="43249E58">
      <w:pPr>
        <w:pStyle w:val="85"/>
        <w:ind w:firstLine="480"/>
        <w:rPr>
          <w:kern w:val="0"/>
        </w:rPr>
      </w:pPr>
      <w:r>
        <w:rPr>
          <w:kern w:val="0"/>
        </w:rPr>
        <w:t>本工程在施工期施工区施工</w:t>
      </w:r>
      <w:r>
        <w:rPr>
          <w:rFonts w:hint="eastAsia"/>
          <w:kern w:val="0"/>
        </w:rPr>
        <w:t>机械</w:t>
      </w:r>
      <w:r>
        <w:rPr>
          <w:kern w:val="0"/>
        </w:rPr>
        <w:t>、运输车辆等会造成噪声影响，但采取适</w:t>
      </w:r>
      <w:r>
        <w:rPr>
          <w:rFonts w:hint="eastAsia"/>
          <w:kern w:val="0"/>
        </w:rPr>
        <w:t>当防护措施后危害不大，其造成的噪声影响经济损失不大。</w:t>
      </w:r>
    </w:p>
    <w:p w14:paraId="1629F1C7">
      <w:pPr>
        <w:pStyle w:val="85"/>
        <w:ind w:firstLine="480"/>
        <w:rPr>
          <w:kern w:val="0"/>
        </w:rPr>
      </w:pPr>
      <w:r>
        <w:rPr>
          <w:rFonts w:hint="eastAsia"/>
          <w:kern w:val="0"/>
        </w:rPr>
        <w:t>（4）施工废气</w:t>
      </w:r>
    </w:p>
    <w:p w14:paraId="6A827264">
      <w:pPr>
        <w:pStyle w:val="85"/>
        <w:ind w:firstLine="480"/>
        <w:rPr>
          <w:kern w:val="0"/>
        </w:rPr>
      </w:pPr>
      <w:r>
        <w:rPr>
          <w:rFonts w:hint="eastAsia"/>
          <w:kern w:val="0"/>
        </w:rPr>
        <w:t>项目施工过程中，大气污染主要为施工场地的扬尘污染、施工机械废气等。根据工程分析，在采取适当防护措施的情况下，其造成的污染程度不大。因此，本项目大气污染经济损失不大。</w:t>
      </w:r>
    </w:p>
    <w:p w14:paraId="2C72D3B9">
      <w:pPr>
        <w:pStyle w:val="85"/>
        <w:ind w:firstLine="480"/>
        <w:rPr>
          <w:kern w:val="0"/>
        </w:rPr>
      </w:pPr>
      <w:r>
        <w:rPr>
          <w:rFonts w:hint="eastAsia"/>
          <w:kern w:val="0"/>
        </w:rPr>
        <w:t>（5）固体废物</w:t>
      </w:r>
    </w:p>
    <w:p w14:paraId="12C42721">
      <w:pPr>
        <w:pStyle w:val="85"/>
        <w:ind w:firstLine="480"/>
        <w:rPr>
          <w:kern w:val="0"/>
        </w:rPr>
      </w:pPr>
      <w:r>
        <w:rPr>
          <w:rFonts w:hint="eastAsia"/>
          <w:kern w:val="0"/>
        </w:rPr>
        <w:t>本项目施工过程产生的生活垃圾</w:t>
      </w:r>
      <w:r>
        <w:rPr>
          <w:kern w:val="0"/>
        </w:rPr>
        <w:t>由环卫部门及时清运</w:t>
      </w:r>
      <w:r>
        <w:rPr>
          <w:rFonts w:hint="eastAsia"/>
          <w:kern w:val="0"/>
        </w:rPr>
        <w:t>，不会对周围环境产生明显的影响。工程开挖土方、淤泥全部就近利用。</w:t>
      </w:r>
    </w:p>
    <w:p w14:paraId="208C0EA9">
      <w:pPr>
        <w:pStyle w:val="85"/>
        <w:ind w:firstLine="480"/>
        <w:rPr>
          <w:kern w:val="0"/>
        </w:rPr>
      </w:pPr>
      <w:r>
        <w:rPr>
          <w:rFonts w:hint="eastAsia"/>
          <w:kern w:val="0"/>
        </w:rPr>
        <w:t>综上所述，在采取有效的污染防治措施的情况下，本项目的生态、水体、噪声、大气和固体废物影响所造成的经济损失较小。</w:t>
      </w:r>
    </w:p>
    <w:p w14:paraId="6B4AD8E2">
      <w:pPr>
        <w:pStyle w:val="4"/>
        <w:rPr>
          <w:kern w:val="0"/>
        </w:rPr>
      </w:pPr>
      <w:r>
        <w:rPr>
          <w:rFonts w:hint="eastAsia"/>
          <w:kern w:val="0"/>
        </w:rPr>
        <w:t>环境正效益分析</w:t>
      </w:r>
    </w:p>
    <w:p w14:paraId="104EBD52">
      <w:pPr>
        <w:pStyle w:val="85"/>
        <w:ind w:firstLine="480"/>
        <w:rPr>
          <w:kern w:val="0"/>
        </w:rPr>
      </w:pPr>
      <w:r>
        <w:rPr>
          <w:kern w:val="0"/>
        </w:rPr>
        <w:t>本项目通过开展</w:t>
      </w:r>
      <w:r>
        <w:rPr>
          <w:rFonts w:hint="eastAsia"/>
          <w:kern w:val="0"/>
        </w:rPr>
        <w:t>河道基底修复及微地形梳理；构建恢复生态缓冲带、水生态构建及水生植物恢复等</w:t>
      </w:r>
      <w:r>
        <w:rPr>
          <w:kern w:val="0"/>
        </w:rPr>
        <w:t>工程，</w:t>
      </w:r>
      <w:r>
        <w:rPr>
          <w:rFonts w:hint="eastAsia"/>
          <w:kern w:val="0"/>
        </w:rPr>
        <w:t>能够</w:t>
      </w:r>
      <w:bookmarkStart w:id="144" w:name="OLE_LINK20"/>
      <w:r>
        <w:rPr>
          <w:rFonts w:hint="eastAsia"/>
          <w:kern w:val="0"/>
        </w:rPr>
        <w:t>改善河水环境质量，恢复河流生态廊道功能，降低入潮河污染物，改善河道生态环境状况</w:t>
      </w:r>
      <w:bookmarkEnd w:id="144"/>
      <w:r>
        <w:rPr>
          <w:rFonts w:hint="eastAsia"/>
          <w:kern w:val="0"/>
        </w:rPr>
        <w:t>；对周边的气温会起到一定的调节作用，周围干燥的气候条件也将会得到一定程度的改善。</w:t>
      </w:r>
    </w:p>
    <w:p w14:paraId="30EA13E0">
      <w:pPr>
        <w:pStyle w:val="3"/>
        <w:rPr>
          <w:kern w:val="0"/>
        </w:rPr>
      </w:pPr>
      <w:bookmarkStart w:id="145" w:name="_Toc198733174"/>
      <w:r>
        <w:rPr>
          <w:rFonts w:hint="eastAsia"/>
          <w:kern w:val="0"/>
        </w:rPr>
        <w:t>小结</w:t>
      </w:r>
      <w:bookmarkEnd w:id="145"/>
    </w:p>
    <w:p w14:paraId="4EC0F512">
      <w:pPr>
        <w:pStyle w:val="85"/>
        <w:spacing w:line="500" w:lineRule="exact"/>
        <w:ind w:firstLine="480"/>
        <w:rPr>
          <w:kern w:val="0"/>
        </w:rPr>
      </w:pPr>
      <w:r>
        <w:rPr>
          <w:rFonts w:hint="eastAsia"/>
          <w:kern w:val="0"/>
        </w:rPr>
        <w:t>本工程为非污染生态型项目，属公益性项目，具有显著的社会效益和环境效益，虽然在工程施工期存在一定的生态影响和污染影响，但在采取相应的环境保护措施后，对环境的影响可得到有效减缓。项目建成后，将</w:t>
      </w:r>
      <w:r>
        <w:rPr>
          <w:kern w:val="0"/>
        </w:rPr>
        <w:t>改善</w:t>
      </w:r>
      <w:r>
        <w:rPr>
          <w:rFonts w:hint="eastAsia"/>
          <w:kern w:val="0"/>
        </w:rPr>
        <w:t>潮河干流水质和河道生态环境状况。本项目的实施，具有良好的环境效益和社会效益，难以用货币量化。综上所述，本工程采取了完善的环保治理措施和生态保护及恢复措施，不会对当地环境产生明显影响，从环境经济损益分析角度分析，项目建设可行。</w:t>
      </w:r>
    </w:p>
    <w:p w14:paraId="421FF9B1">
      <w:pPr>
        <w:pStyle w:val="85"/>
        <w:ind w:firstLine="480"/>
        <w:rPr>
          <w:kern w:val="0"/>
        </w:rPr>
        <w:sectPr>
          <w:pgSz w:w="11906" w:h="16838"/>
          <w:pgMar w:top="2007" w:right="1797" w:bottom="1724" w:left="1797" w:header="1417" w:footer="1162" w:gutter="0"/>
          <w:pgNumType w:fmt="numberInDash"/>
          <w:cols w:space="425" w:num="1"/>
          <w:docGrid w:type="lines" w:linePitch="312" w:charSpace="0"/>
        </w:sectPr>
      </w:pPr>
    </w:p>
    <w:p w14:paraId="54D6494E">
      <w:pPr>
        <w:pStyle w:val="2"/>
        <w:rPr>
          <w:kern w:val="0"/>
        </w:rPr>
      </w:pPr>
      <w:bookmarkStart w:id="146" w:name="_Toc198733175"/>
      <w:r>
        <w:rPr>
          <w:rFonts w:hint="eastAsia"/>
          <w:kern w:val="0"/>
        </w:rPr>
        <w:t>环境</w:t>
      </w:r>
      <w:r>
        <w:rPr>
          <w:kern w:val="0"/>
        </w:rPr>
        <w:t>管理与监测计划</w:t>
      </w:r>
      <w:bookmarkEnd w:id="146"/>
    </w:p>
    <w:p w14:paraId="3BC71612">
      <w:pPr>
        <w:pStyle w:val="85"/>
        <w:ind w:firstLine="480"/>
        <w:rPr>
          <w:kern w:val="0"/>
        </w:rPr>
      </w:pPr>
      <w:r>
        <w:rPr>
          <w:rFonts w:hint="eastAsia"/>
          <w:kern w:val="0"/>
        </w:rPr>
        <w:t>环境管理是以环境科学理论为基础，运用经济、法律、技术、行政、教育等手段对经济、社会发展过程中施加给环境的污染和破坏影响进行调节控制，实现经济、社会和环境效益的和谐统一。</w:t>
      </w:r>
    </w:p>
    <w:p w14:paraId="5FA6771F">
      <w:pPr>
        <w:pStyle w:val="85"/>
        <w:ind w:firstLine="480"/>
        <w:rPr>
          <w:kern w:val="0"/>
        </w:rPr>
      </w:pPr>
      <w:r>
        <w:rPr>
          <w:rFonts w:hint="eastAsia"/>
          <w:kern w:val="0"/>
        </w:rPr>
        <w:t>本项目对环境的影响主要来自施工期各种作业活动，该活动都将会给自然生态环境带来一定的影响。为最大限度地减轻施工作业对环境的影响，建立科学有效的环境管理体制，落实各项环保措施显得尤为重要。通过建立环境管理体系，提高施工人员环保意识、规范施工管理、最终实现污染预防、提高综合效益。</w:t>
      </w:r>
    </w:p>
    <w:p w14:paraId="1034BE26">
      <w:pPr>
        <w:pStyle w:val="3"/>
        <w:rPr>
          <w:kern w:val="0"/>
        </w:rPr>
      </w:pPr>
      <w:bookmarkStart w:id="147" w:name="_Toc198733176"/>
      <w:r>
        <w:rPr>
          <w:rFonts w:hint="eastAsia"/>
          <w:kern w:val="0"/>
        </w:rPr>
        <w:t>环境</w:t>
      </w:r>
      <w:r>
        <w:rPr>
          <w:kern w:val="0"/>
        </w:rPr>
        <w:t>管理</w:t>
      </w:r>
      <w:bookmarkEnd w:id="147"/>
    </w:p>
    <w:p w14:paraId="526F8222">
      <w:pPr>
        <w:pStyle w:val="4"/>
        <w:rPr>
          <w:kern w:val="0"/>
        </w:rPr>
      </w:pPr>
      <w:r>
        <w:rPr>
          <w:rFonts w:hint="eastAsia"/>
          <w:kern w:val="0"/>
        </w:rPr>
        <w:t>施工期</w:t>
      </w:r>
      <w:r>
        <w:rPr>
          <w:kern w:val="0"/>
        </w:rPr>
        <w:t>环境管理</w:t>
      </w:r>
    </w:p>
    <w:p w14:paraId="1AE03363">
      <w:pPr>
        <w:pStyle w:val="85"/>
        <w:ind w:firstLine="480"/>
        <w:rPr>
          <w:kern w:val="0"/>
        </w:rPr>
      </w:pPr>
      <w:r>
        <w:rPr>
          <w:rFonts w:hint="eastAsia"/>
          <w:kern w:val="0"/>
        </w:rPr>
        <w:t>（1）管理</w:t>
      </w:r>
      <w:r>
        <w:rPr>
          <w:kern w:val="0"/>
        </w:rPr>
        <w:t>机构</w:t>
      </w:r>
    </w:p>
    <w:p w14:paraId="2620190F">
      <w:pPr>
        <w:pStyle w:val="85"/>
        <w:ind w:firstLine="480"/>
        <w:rPr>
          <w:kern w:val="0"/>
        </w:rPr>
      </w:pPr>
      <w:r>
        <w:rPr>
          <w:rFonts w:hint="eastAsia"/>
          <w:kern w:val="0"/>
        </w:rPr>
        <w:t>施工期环境管理体系组成包括建设单位和施工单位在内的两级管理体制。</w:t>
      </w:r>
    </w:p>
    <w:p w14:paraId="386E21DA">
      <w:pPr>
        <w:pStyle w:val="85"/>
        <w:ind w:firstLine="480"/>
        <w:rPr>
          <w:kern w:val="0"/>
        </w:rPr>
      </w:pPr>
      <w:r>
        <w:rPr>
          <w:rFonts w:hint="eastAsia"/>
          <w:kern w:val="0"/>
        </w:rPr>
        <w:t>①施工单位：施工单位首先应强化施工单位自身的环境意识和环境管理。各施工单位应配备专职人员负责施工期的环境保护工作，该人员应为经过培训，并具有一定能力和资质的工程技术人员，并赋予相关的职责和权利，使其充分发挥一线环保监管职责。实行环境管理责任制和生态环境保护考核制。</w:t>
      </w:r>
    </w:p>
    <w:p w14:paraId="74157405">
      <w:pPr>
        <w:pStyle w:val="85"/>
        <w:ind w:firstLine="480"/>
        <w:rPr>
          <w:kern w:val="0"/>
        </w:rPr>
      </w:pPr>
      <w:r>
        <w:rPr>
          <w:rFonts w:hint="eastAsia"/>
          <w:kern w:val="0"/>
        </w:rPr>
        <w:t>②建设单位：建设单位施工期环境管理的主要职能在于及时掌握施工环保动态，当出现环境问题或纠纷时，积极组织力量解决，并协助施工单位处理好与地方环保部门、公众等相关各方的关系。施工期除接受当地环保主管部门监督外，施工单位还应配备专、兼职环保人员，对施工场地的扬尘、污水、水土流失、噪声等环保事宜进行自我监督管理。</w:t>
      </w:r>
    </w:p>
    <w:p w14:paraId="7610DD1F">
      <w:pPr>
        <w:pStyle w:val="85"/>
        <w:ind w:firstLine="480"/>
        <w:rPr>
          <w:kern w:val="0"/>
        </w:rPr>
      </w:pPr>
      <w:r>
        <w:rPr>
          <w:rFonts w:hint="eastAsia"/>
          <w:kern w:val="0"/>
        </w:rPr>
        <w:t>（2）施工期</w:t>
      </w:r>
      <w:r>
        <w:rPr>
          <w:kern w:val="0"/>
        </w:rPr>
        <w:t>环境管理重点</w:t>
      </w:r>
    </w:p>
    <w:p w14:paraId="7B5427F7">
      <w:pPr>
        <w:pStyle w:val="85"/>
        <w:ind w:firstLine="480"/>
        <w:rPr>
          <w:kern w:val="0"/>
        </w:rPr>
      </w:pPr>
      <w:r>
        <w:rPr>
          <w:kern w:val="0"/>
        </w:rPr>
        <w:t>应根据国家环境保护管理相关规定，设置工程环境保护管理机构。根据国家和河北省有关施工环境保护的法律、法规以及本工程施工期环境影响分析结果，本工程施工期环境管理的主要内容如下：</w:t>
      </w:r>
    </w:p>
    <w:p w14:paraId="62127A0D">
      <w:pPr>
        <w:pStyle w:val="85"/>
        <w:ind w:firstLine="480"/>
        <w:rPr>
          <w:kern w:val="0"/>
        </w:rPr>
      </w:pPr>
      <w:r>
        <w:rPr>
          <w:kern w:val="0"/>
        </w:rPr>
        <w:t>（1）</w:t>
      </w:r>
      <w:r>
        <w:rPr>
          <w:rFonts w:hint="eastAsia"/>
          <w:kern w:val="0"/>
        </w:rPr>
        <w:t>合理安排施工组织，加强现场施工组织管理，确保各施工点施工顺利进行，尽可能缩短施工期。</w:t>
      </w:r>
    </w:p>
    <w:p w14:paraId="1A1890D3">
      <w:pPr>
        <w:pStyle w:val="85"/>
        <w:ind w:firstLine="480"/>
        <w:rPr>
          <w:kern w:val="0"/>
        </w:rPr>
      </w:pPr>
      <w:r>
        <w:rPr>
          <w:kern w:val="0"/>
        </w:rPr>
        <w:t>（2）</w:t>
      </w:r>
      <w:r>
        <w:rPr>
          <w:rFonts w:hint="eastAsia"/>
          <w:kern w:val="0"/>
        </w:rPr>
        <w:t>加强施工人员科普教育，自觉保护潮河干流水体和野生动植物。施工过程工程区如有野生动物进入，应及时联系水务局或野保部门进行救助或采取其他保护措施。</w:t>
      </w:r>
    </w:p>
    <w:p w14:paraId="7FFFF175">
      <w:pPr>
        <w:pStyle w:val="85"/>
        <w:ind w:firstLine="480"/>
        <w:rPr>
          <w:kern w:val="0"/>
        </w:rPr>
      </w:pPr>
      <w:r>
        <w:rPr>
          <w:rFonts w:hint="eastAsia"/>
          <w:kern w:val="0"/>
        </w:rPr>
        <w:t>（3）施工噪声控制：使用低噪设备，强化管理，避免夜间施工。</w:t>
      </w:r>
    </w:p>
    <w:p w14:paraId="18DF17CF">
      <w:pPr>
        <w:pStyle w:val="85"/>
        <w:ind w:firstLine="480"/>
        <w:rPr>
          <w:kern w:val="0"/>
        </w:rPr>
      </w:pPr>
      <w:r>
        <w:rPr>
          <w:rFonts w:hint="eastAsia"/>
          <w:kern w:val="0"/>
        </w:rPr>
        <w:t>（4）车辆运输：土石方运输杜绝超载，以减少散落，运输线路定时洒水抑尘。</w:t>
      </w:r>
    </w:p>
    <w:p w14:paraId="30DDC8ED">
      <w:pPr>
        <w:pStyle w:val="85"/>
        <w:ind w:firstLine="480"/>
        <w:rPr>
          <w:kern w:val="0"/>
        </w:rPr>
      </w:pPr>
      <w:r>
        <w:rPr>
          <w:rFonts w:hint="eastAsia"/>
          <w:kern w:val="0"/>
        </w:rPr>
        <w:t>（5）加强施工期施工废水、生活污水及固体废物、生活垃圾的收集和处置，不得随意排入潮河河道。雨季施工加强对土方管理，以防流失。施工完毕及时进行绿化，恢复施工现场。</w:t>
      </w:r>
    </w:p>
    <w:p w14:paraId="70C949FC">
      <w:pPr>
        <w:pStyle w:val="85"/>
        <w:ind w:firstLine="480"/>
        <w:rPr>
          <w:kern w:val="0"/>
        </w:rPr>
      </w:pPr>
      <w:r>
        <w:rPr>
          <w:rFonts w:hint="eastAsia"/>
          <w:kern w:val="0"/>
        </w:rPr>
        <w:t>本项目</w:t>
      </w:r>
      <w:r>
        <w:rPr>
          <w:kern w:val="0"/>
        </w:rPr>
        <w:t>施工期环境管理计划见下表。</w:t>
      </w:r>
    </w:p>
    <w:p w14:paraId="3B70DCE2">
      <w:pPr>
        <w:pStyle w:val="85"/>
        <w:ind w:firstLine="448"/>
        <w:jc w:val="center"/>
        <w:rPr>
          <w:kern w:val="0"/>
          <w:sz w:val="21"/>
          <w:szCs w:val="21"/>
        </w:rPr>
      </w:pPr>
      <w:r>
        <w:rPr>
          <w:rFonts w:hint="eastAsia" w:eastAsia="黑体"/>
          <w:bCs/>
          <w:spacing w:val="-8"/>
          <w:kern w:val="0"/>
        </w:rPr>
        <w:t>表</w:t>
      </w:r>
      <w:r>
        <w:rPr>
          <w:rFonts w:eastAsia="黑体"/>
          <w:bCs/>
          <w:spacing w:val="-8"/>
          <w:kern w:val="0"/>
        </w:rPr>
        <w:fldChar w:fldCharType="begin"/>
      </w:r>
      <w:r>
        <w:rPr>
          <w:rFonts w:eastAsia="黑体"/>
          <w:bCs/>
          <w:spacing w:val="-8"/>
          <w:kern w:val="0"/>
        </w:rPr>
        <w:instrText xml:space="preserve"> </w:instrText>
      </w:r>
      <w:r>
        <w:rPr>
          <w:rFonts w:hint="eastAsia" w:eastAsia="黑体"/>
          <w:bCs/>
          <w:spacing w:val="-8"/>
          <w:kern w:val="0"/>
        </w:rPr>
        <w:instrText xml:space="preserve">STYLEREF 1 \s</w:instrText>
      </w:r>
      <w:r>
        <w:rPr>
          <w:rFonts w:eastAsia="黑体"/>
          <w:bCs/>
          <w:spacing w:val="-8"/>
          <w:kern w:val="0"/>
        </w:rPr>
        <w:instrText xml:space="preserve"> </w:instrText>
      </w:r>
      <w:r>
        <w:rPr>
          <w:rFonts w:eastAsia="黑体"/>
          <w:bCs/>
          <w:spacing w:val="-8"/>
          <w:kern w:val="0"/>
        </w:rPr>
        <w:fldChar w:fldCharType="separate"/>
      </w:r>
      <w:r>
        <w:rPr>
          <w:rFonts w:eastAsia="黑体"/>
          <w:bCs/>
          <w:spacing w:val="-8"/>
          <w:kern w:val="0"/>
        </w:rPr>
        <w:t>7</w:t>
      </w:r>
      <w:r>
        <w:rPr>
          <w:rFonts w:eastAsia="黑体"/>
          <w:bCs/>
          <w:spacing w:val="-8"/>
          <w:kern w:val="0"/>
        </w:rPr>
        <w:fldChar w:fldCharType="end"/>
      </w:r>
      <w:r>
        <w:rPr>
          <w:rFonts w:eastAsia="黑体"/>
          <w:bCs/>
          <w:spacing w:val="-8"/>
          <w:kern w:val="0"/>
        </w:rPr>
        <w:noBreakHyphen/>
      </w:r>
      <w:r>
        <w:rPr>
          <w:rFonts w:eastAsia="黑体"/>
          <w:bCs/>
          <w:spacing w:val="-8"/>
          <w:kern w:val="0"/>
        </w:rPr>
        <w:fldChar w:fldCharType="begin"/>
      </w:r>
      <w:r>
        <w:rPr>
          <w:rFonts w:eastAsia="黑体"/>
          <w:bCs/>
          <w:spacing w:val="-8"/>
          <w:kern w:val="0"/>
        </w:rPr>
        <w:instrText xml:space="preserve"> </w:instrText>
      </w:r>
      <w:r>
        <w:rPr>
          <w:rFonts w:hint="eastAsia" w:eastAsia="黑体"/>
          <w:bCs/>
          <w:spacing w:val="-8"/>
          <w:kern w:val="0"/>
        </w:rPr>
        <w:instrText xml:space="preserve">SEQ 表 \* ARABIC \s 1</w:instrText>
      </w:r>
      <w:r>
        <w:rPr>
          <w:rFonts w:eastAsia="黑体"/>
          <w:bCs/>
          <w:spacing w:val="-8"/>
          <w:kern w:val="0"/>
        </w:rPr>
        <w:instrText xml:space="preserve"> </w:instrText>
      </w:r>
      <w:r>
        <w:rPr>
          <w:rFonts w:eastAsia="黑体"/>
          <w:bCs/>
          <w:spacing w:val="-8"/>
          <w:kern w:val="0"/>
        </w:rPr>
        <w:fldChar w:fldCharType="separate"/>
      </w:r>
      <w:r>
        <w:rPr>
          <w:rFonts w:eastAsia="黑体"/>
          <w:bCs/>
          <w:spacing w:val="-8"/>
          <w:kern w:val="0"/>
        </w:rPr>
        <w:t>1</w:t>
      </w:r>
      <w:r>
        <w:rPr>
          <w:rFonts w:eastAsia="黑体"/>
          <w:bCs/>
          <w:spacing w:val="-8"/>
          <w:kern w:val="0"/>
        </w:rPr>
        <w:fldChar w:fldCharType="end"/>
      </w:r>
      <w:r>
        <w:rPr>
          <w:rFonts w:eastAsia="黑体"/>
          <w:bCs/>
          <w:spacing w:val="-8"/>
          <w:kern w:val="0"/>
        </w:rPr>
        <w:t xml:space="preserve">  </w:t>
      </w:r>
      <w:r>
        <w:rPr>
          <w:rFonts w:hint="eastAsia" w:eastAsia="黑体"/>
          <w:bCs/>
          <w:spacing w:val="-8"/>
          <w:kern w:val="0"/>
        </w:rPr>
        <w:t>施工期环境管理计划</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656"/>
        <w:gridCol w:w="7173"/>
      </w:tblGrid>
      <w:tr w14:paraId="3AAD9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0D1895B">
            <w:pPr>
              <w:widowControl/>
              <w:jc w:val="center"/>
              <w:rPr>
                <w:kern w:val="0"/>
                <w:szCs w:val="21"/>
              </w:rPr>
            </w:pPr>
            <w:r>
              <w:rPr>
                <w:rFonts w:hint="eastAsia"/>
                <w:kern w:val="0"/>
                <w:szCs w:val="21"/>
              </w:rPr>
              <w:t>序号</w:t>
            </w:r>
          </w:p>
        </w:tc>
        <w:tc>
          <w:tcPr>
            <w:tcW w:w="656" w:type="dxa"/>
            <w:vAlign w:val="center"/>
          </w:tcPr>
          <w:p w14:paraId="718F3408">
            <w:pPr>
              <w:widowControl/>
              <w:jc w:val="center"/>
              <w:rPr>
                <w:kern w:val="0"/>
                <w:szCs w:val="21"/>
              </w:rPr>
            </w:pPr>
            <w:r>
              <w:rPr>
                <w:rFonts w:hint="eastAsia"/>
                <w:kern w:val="0"/>
                <w:szCs w:val="21"/>
              </w:rPr>
              <w:t>环境</w:t>
            </w:r>
            <w:r>
              <w:rPr>
                <w:kern w:val="0"/>
                <w:szCs w:val="21"/>
              </w:rPr>
              <w:t>问题</w:t>
            </w:r>
          </w:p>
        </w:tc>
        <w:tc>
          <w:tcPr>
            <w:tcW w:w="7173" w:type="dxa"/>
            <w:vAlign w:val="center"/>
          </w:tcPr>
          <w:p w14:paraId="1DCC1E27">
            <w:pPr>
              <w:widowControl/>
              <w:jc w:val="center"/>
              <w:rPr>
                <w:kern w:val="0"/>
                <w:szCs w:val="21"/>
              </w:rPr>
            </w:pPr>
            <w:r>
              <w:rPr>
                <w:rFonts w:hint="eastAsia"/>
                <w:kern w:val="0"/>
                <w:szCs w:val="21"/>
              </w:rPr>
              <w:t>管理</w:t>
            </w:r>
            <w:r>
              <w:rPr>
                <w:kern w:val="0"/>
                <w:szCs w:val="21"/>
              </w:rPr>
              <w:t>内容</w:t>
            </w:r>
          </w:p>
        </w:tc>
      </w:tr>
      <w:tr w14:paraId="417B5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FE41F74">
            <w:pPr>
              <w:widowControl/>
              <w:jc w:val="center"/>
              <w:rPr>
                <w:kern w:val="0"/>
                <w:szCs w:val="21"/>
              </w:rPr>
            </w:pPr>
            <w:r>
              <w:rPr>
                <w:rFonts w:hint="eastAsia"/>
                <w:kern w:val="0"/>
                <w:szCs w:val="21"/>
              </w:rPr>
              <w:t>1</w:t>
            </w:r>
          </w:p>
        </w:tc>
        <w:tc>
          <w:tcPr>
            <w:tcW w:w="656" w:type="dxa"/>
            <w:vAlign w:val="center"/>
          </w:tcPr>
          <w:p w14:paraId="5D976C19">
            <w:pPr>
              <w:widowControl/>
              <w:jc w:val="center"/>
              <w:rPr>
                <w:kern w:val="0"/>
                <w:szCs w:val="21"/>
              </w:rPr>
            </w:pPr>
            <w:r>
              <w:rPr>
                <w:rFonts w:hint="eastAsia"/>
                <w:kern w:val="0"/>
                <w:szCs w:val="21"/>
              </w:rPr>
              <w:t>施工</w:t>
            </w:r>
            <w:r>
              <w:rPr>
                <w:kern w:val="0"/>
                <w:szCs w:val="21"/>
              </w:rPr>
              <w:t>扬尘</w:t>
            </w:r>
          </w:p>
        </w:tc>
        <w:tc>
          <w:tcPr>
            <w:tcW w:w="7173" w:type="dxa"/>
            <w:vAlign w:val="center"/>
          </w:tcPr>
          <w:p w14:paraId="0FD66CC1">
            <w:pPr>
              <w:widowControl/>
              <w:rPr>
                <w:kern w:val="0"/>
                <w:szCs w:val="21"/>
              </w:rPr>
            </w:pPr>
            <w:r>
              <w:rPr>
                <w:kern w:val="0"/>
                <w:szCs w:val="21"/>
              </w:rPr>
              <w:t>1</w:t>
            </w:r>
            <w:r>
              <w:rPr>
                <w:rFonts w:hint="eastAsia"/>
                <w:kern w:val="0"/>
                <w:szCs w:val="21"/>
              </w:rPr>
              <w:t>、土石方</w:t>
            </w:r>
            <w:r>
              <w:rPr>
                <w:kern w:val="0"/>
                <w:szCs w:val="21"/>
              </w:rPr>
              <w:t>作业：</w:t>
            </w:r>
            <w:r>
              <w:rPr>
                <w:rFonts w:hint="eastAsia"/>
                <w:kern w:val="0"/>
                <w:szCs w:val="21"/>
              </w:rPr>
              <w:t>①土石方作业过程中要洒水、喷淋、喷雾降尘，控制尘土飞扬，避免扬尘污染。出现重污染天气状况时，施工单位应当停止土石方作业以及其他可能产生扬尘污染的施工建设行为。②对于土方工程，开挖完毕的裸露地面应及时覆盖，其他裸露的地面必须采取绿化、洒水或其他防扬尘措施。</w:t>
            </w:r>
          </w:p>
          <w:p w14:paraId="3016F4C4">
            <w:pPr>
              <w:widowControl/>
              <w:rPr>
                <w:kern w:val="0"/>
                <w:szCs w:val="21"/>
              </w:rPr>
            </w:pPr>
            <w:r>
              <w:rPr>
                <w:kern w:val="0"/>
                <w:szCs w:val="21"/>
              </w:rPr>
              <w:t>2</w:t>
            </w:r>
            <w:r>
              <w:rPr>
                <w:rFonts w:hint="eastAsia"/>
                <w:kern w:val="0"/>
                <w:szCs w:val="21"/>
              </w:rPr>
              <w:t>、运输</w:t>
            </w:r>
            <w:r>
              <w:rPr>
                <w:kern w:val="0"/>
                <w:szCs w:val="21"/>
              </w:rPr>
              <w:t>扬尘：</w:t>
            </w:r>
            <w:r>
              <w:rPr>
                <w:rFonts w:hint="eastAsia"/>
                <w:kern w:val="0"/>
                <w:szCs w:val="21"/>
              </w:rPr>
              <w:t>①应尽可能采用密闭车斗，并保证物料不遗撒外漏。若无密闭车斗，物料、垃圾、渣土的装载高度不得超过车辆罐帮上沿，车斗应用苫布遮盖严实；②装卸和运输易产生扬尘污染物料的，应当采取完全密闭措施③配备洒水车，运输线路定期用洒水车洒水抑尘，每天不低于2 次。</w:t>
            </w:r>
          </w:p>
          <w:p w14:paraId="151AD573">
            <w:pPr>
              <w:widowControl/>
              <w:rPr>
                <w:kern w:val="0"/>
                <w:szCs w:val="21"/>
              </w:rPr>
            </w:pPr>
            <w:r>
              <w:rPr>
                <w:kern w:val="0"/>
                <w:szCs w:val="21"/>
              </w:rPr>
              <w:t>3</w:t>
            </w:r>
            <w:r>
              <w:rPr>
                <w:rFonts w:hint="eastAsia"/>
                <w:kern w:val="0"/>
                <w:szCs w:val="21"/>
              </w:rPr>
              <w:t>、洒水抑尘</w:t>
            </w:r>
            <w:r>
              <w:rPr>
                <w:kern w:val="0"/>
                <w:szCs w:val="21"/>
              </w:rPr>
              <w:t>：</w:t>
            </w:r>
            <w:r>
              <w:rPr>
                <w:rFonts w:hint="eastAsia"/>
                <w:kern w:val="0"/>
                <w:szCs w:val="21"/>
              </w:rPr>
              <w:t>①遇到干燥、易起尘的土方工程作业时，应辅以洒水压尘，尽量缩短起尘操作时间，遇到四级及四级以上大风天气，应停止土方作业，同时作业处覆以防尘网；②施工现场必须建立洒水清扫抑尘制度，配备喷淋喷雾等洒水设备。非冰冻期每天洒水不少于2 次，并有专人负责。重污染天气时相应增加洒水频次。</w:t>
            </w:r>
          </w:p>
        </w:tc>
      </w:tr>
      <w:tr w14:paraId="3AC43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318DB68">
            <w:pPr>
              <w:widowControl/>
              <w:jc w:val="center"/>
              <w:rPr>
                <w:kern w:val="0"/>
                <w:szCs w:val="21"/>
              </w:rPr>
            </w:pPr>
            <w:r>
              <w:rPr>
                <w:rFonts w:hint="eastAsia"/>
                <w:kern w:val="0"/>
                <w:szCs w:val="21"/>
              </w:rPr>
              <w:t>2</w:t>
            </w:r>
          </w:p>
        </w:tc>
        <w:tc>
          <w:tcPr>
            <w:tcW w:w="656" w:type="dxa"/>
            <w:vAlign w:val="center"/>
          </w:tcPr>
          <w:p w14:paraId="5BA5F5A1">
            <w:pPr>
              <w:widowControl/>
              <w:jc w:val="center"/>
              <w:rPr>
                <w:kern w:val="0"/>
                <w:szCs w:val="21"/>
              </w:rPr>
            </w:pPr>
            <w:r>
              <w:rPr>
                <w:rFonts w:hint="eastAsia"/>
                <w:kern w:val="0"/>
                <w:szCs w:val="21"/>
              </w:rPr>
              <w:t>燃油</w:t>
            </w:r>
            <w:r>
              <w:rPr>
                <w:kern w:val="0"/>
                <w:szCs w:val="21"/>
              </w:rPr>
              <w:t>废气</w:t>
            </w:r>
          </w:p>
        </w:tc>
        <w:tc>
          <w:tcPr>
            <w:tcW w:w="7173" w:type="dxa"/>
            <w:vAlign w:val="center"/>
          </w:tcPr>
          <w:p w14:paraId="0BC0EA10">
            <w:pPr>
              <w:widowControl/>
              <w:rPr>
                <w:kern w:val="0"/>
                <w:szCs w:val="21"/>
              </w:rPr>
            </w:pPr>
            <w:r>
              <w:rPr>
                <w:rFonts w:hint="eastAsia"/>
                <w:kern w:val="0"/>
                <w:szCs w:val="21"/>
              </w:rPr>
              <w:t>1、施工现场非道路移动机械，应符合国家第四阶段排放标准；</w:t>
            </w:r>
          </w:p>
          <w:p w14:paraId="02E02A47">
            <w:pPr>
              <w:widowControl/>
              <w:rPr>
                <w:kern w:val="0"/>
                <w:szCs w:val="21"/>
              </w:rPr>
            </w:pPr>
            <w:r>
              <w:rPr>
                <w:rFonts w:hint="eastAsia"/>
                <w:kern w:val="0"/>
                <w:szCs w:val="21"/>
              </w:rPr>
              <w:t>2、施工现场在用非道路移动机械燃料必须使用符合国Ⅵ标准及以上油品，不得采购、加注、使用非法渠道燃油。</w:t>
            </w:r>
          </w:p>
          <w:p w14:paraId="6CC29DB0">
            <w:pPr>
              <w:widowControl/>
              <w:rPr>
                <w:kern w:val="0"/>
                <w:szCs w:val="21"/>
              </w:rPr>
            </w:pPr>
            <w:r>
              <w:rPr>
                <w:rFonts w:hint="eastAsia"/>
                <w:kern w:val="0"/>
                <w:szCs w:val="21"/>
              </w:rPr>
              <w:t>3、应定期对施工机械、施工运输车辆进行维修保养，确保其运行正常，使动力燃料充分燃烧，降低废气排放量。</w:t>
            </w:r>
          </w:p>
          <w:p w14:paraId="0128561D">
            <w:pPr>
              <w:widowControl/>
              <w:rPr>
                <w:kern w:val="0"/>
                <w:szCs w:val="21"/>
              </w:rPr>
            </w:pPr>
            <w:r>
              <w:rPr>
                <w:rFonts w:hint="eastAsia"/>
                <w:kern w:val="0"/>
                <w:szCs w:val="21"/>
              </w:rPr>
              <w:t>4、同时严禁在施工现场焚烧任何废弃物和会产生有毒有害气体、烟尘、臭气的物质；</w:t>
            </w:r>
          </w:p>
          <w:p w14:paraId="037C539B">
            <w:pPr>
              <w:widowControl/>
              <w:rPr>
                <w:kern w:val="0"/>
                <w:szCs w:val="21"/>
              </w:rPr>
            </w:pPr>
            <w:r>
              <w:rPr>
                <w:rFonts w:hint="eastAsia"/>
                <w:kern w:val="0"/>
                <w:szCs w:val="21"/>
              </w:rPr>
              <w:t>5、分区施工结束时，应及时对施工占用场地恢复植被；</w:t>
            </w:r>
          </w:p>
          <w:p w14:paraId="08CCFAF5">
            <w:pPr>
              <w:widowControl/>
              <w:rPr>
                <w:kern w:val="0"/>
                <w:szCs w:val="21"/>
              </w:rPr>
            </w:pPr>
            <w:r>
              <w:rPr>
                <w:rFonts w:hint="eastAsia"/>
                <w:kern w:val="0"/>
                <w:szCs w:val="21"/>
              </w:rPr>
              <w:t>6、运输汽车</w:t>
            </w:r>
            <w:r>
              <w:rPr>
                <w:kern w:val="0"/>
                <w:szCs w:val="21"/>
              </w:rPr>
              <w:t>尾气</w:t>
            </w:r>
            <w:r>
              <w:rPr>
                <w:rFonts w:hint="eastAsia"/>
                <w:kern w:val="0"/>
                <w:szCs w:val="21"/>
              </w:rPr>
              <w:t>达标排放；</w:t>
            </w:r>
          </w:p>
        </w:tc>
      </w:tr>
      <w:tr w14:paraId="48CB0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49ED460">
            <w:pPr>
              <w:widowControl/>
              <w:jc w:val="center"/>
              <w:rPr>
                <w:kern w:val="0"/>
                <w:szCs w:val="21"/>
              </w:rPr>
            </w:pPr>
            <w:r>
              <w:rPr>
                <w:rFonts w:hint="eastAsia"/>
                <w:kern w:val="0"/>
                <w:szCs w:val="21"/>
              </w:rPr>
              <w:t>3</w:t>
            </w:r>
          </w:p>
        </w:tc>
        <w:tc>
          <w:tcPr>
            <w:tcW w:w="656" w:type="dxa"/>
            <w:vAlign w:val="center"/>
          </w:tcPr>
          <w:p w14:paraId="2C46333A">
            <w:pPr>
              <w:widowControl/>
              <w:jc w:val="center"/>
              <w:rPr>
                <w:kern w:val="0"/>
                <w:szCs w:val="21"/>
              </w:rPr>
            </w:pPr>
            <w:r>
              <w:rPr>
                <w:rFonts w:hint="eastAsia"/>
                <w:kern w:val="0"/>
                <w:szCs w:val="21"/>
              </w:rPr>
              <w:t>废水</w:t>
            </w:r>
          </w:p>
        </w:tc>
        <w:tc>
          <w:tcPr>
            <w:tcW w:w="7173" w:type="dxa"/>
            <w:vAlign w:val="center"/>
          </w:tcPr>
          <w:p w14:paraId="1C28156F">
            <w:pPr>
              <w:widowControl/>
              <w:rPr>
                <w:kern w:val="0"/>
                <w:szCs w:val="21"/>
              </w:rPr>
            </w:pPr>
            <w:r>
              <w:rPr>
                <w:rFonts w:hint="eastAsia"/>
                <w:kern w:val="0"/>
                <w:szCs w:val="21"/>
              </w:rPr>
              <w:t>在施工</w:t>
            </w:r>
            <w:r>
              <w:rPr>
                <w:kern w:val="0"/>
                <w:szCs w:val="21"/>
              </w:rPr>
              <w:t>区域</w:t>
            </w:r>
            <w:r>
              <w:rPr>
                <w:rFonts w:hint="eastAsia"/>
                <w:kern w:val="0"/>
                <w:szCs w:val="21"/>
              </w:rPr>
              <w:t>设</w:t>
            </w:r>
            <w:r>
              <w:rPr>
                <w:kern w:val="0"/>
                <w:szCs w:val="21"/>
              </w:rPr>
              <w:t>2</w:t>
            </w:r>
            <w:r>
              <w:rPr>
                <w:rFonts w:hint="eastAsia"/>
                <w:kern w:val="0"/>
                <w:szCs w:val="21"/>
              </w:rPr>
              <w:t>座流动式厕所，粪便经流动式厕所收集后用作农肥，生活污水不外排。</w:t>
            </w:r>
          </w:p>
        </w:tc>
      </w:tr>
      <w:tr w14:paraId="7BBFE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F4812AE">
            <w:pPr>
              <w:widowControl/>
              <w:jc w:val="center"/>
              <w:rPr>
                <w:kern w:val="0"/>
                <w:szCs w:val="21"/>
              </w:rPr>
            </w:pPr>
            <w:r>
              <w:rPr>
                <w:rFonts w:hint="eastAsia"/>
                <w:kern w:val="0"/>
                <w:szCs w:val="21"/>
              </w:rPr>
              <w:t>4</w:t>
            </w:r>
          </w:p>
        </w:tc>
        <w:tc>
          <w:tcPr>
            <w:tcW w:w="656" w:type="dxa"/>
            <w:vAlign w:val="center"/>
          </w:tcPr>
          <w:p w14:paraId="7B0156AD">
            <w:pPr>
              <w:widowControl/>
              <w:jc w:val="center"/>
              <w:rPr>
                <w:kern w:val="0"/>
                <w:szCs w:val="21"/>
              </w:rPr>
            </w:pPr>
            <w:r>
              <w:rPr>
                <w:rFonts w:hint="eastAsia"/>
                <w:kern w:val="0"/>
                <w:szCs w:val="21"/>
              </w:rPr>
              <w:t>噪声</w:t>
            </w:r>
          </w:p>
        </w:tc>
        <w:tc>
          <w:tcPr>
            <w:tcW w:w="7173" w:type="dxa"/>
            <w:vAlign w:val="center"/>
          </w:tcPr>
          <w:p w14:paraId="77274938">
            <w:pPr>
              <w:widowControl/>
              <w:rPr>
                <w:kern w:val="0"/>
                <w:szCs w:val="21"/>
              </w:rPr>
            </w:pPr>
            <w:r>
              <w:rPr>
                <w:rFonts w:hint="eastAsia"/>
                <w:kern w:val="0"/>
                <w:szCs w:val="21"/>
              </w:rPr>
              <w:t>1、</w:t>
            </w:r>
            <w:r>
              <w:rPr>
                <w:kern w:val="0"/>
                <w:szCs w:val="21"/>
              </w:rPr>
              <w:t>合理布局施工现场</w:t>
            </w:r>
          </w:p>
          <w:p w14:paraId="223D8B79">
            <w:pPr>
              <w:widowControl/>
              <w:rPr>
                <w:kern w:val="0"/>
                <w:szCs w:val="21"/>
              </w:rPr>
            </w:pPr>
            <w:r>
              <w:rPr>
                <w:rFonts w:hint="eastAsia"/>
                <w:kern w:val="0"/>
                <w:szCs w:val="21"/>
              </w:rPr>
              <w:t>2、合理选择施工机械设备</w:t>
            </w:r>
          </w:p>
          <w:p w14:paraId="13A2ECAD">
            <w:pPr>
              <w:widowControl/>
              <w:rPr>
                <w:kern w:val="0"/>
                <w:szCs w:val="21"/>
              </w:rPr>
            </w:pPr>
            <w:r>
              <w:rPr>
                <w:rFonts w:hint="eastAsia"/>
                <w:kern w:val="0"/>
                <w:szCs w:val="21"/>
              </w:rPr>
              <w:t>3、合理</w:t>
            </w:r>
            <w:r>
              <w:rPr>
                <w:kern w:val="0"/>
                <w:szCs w:val="21"/>
              </w:rPr>
              <w:t>安排施工时间</w:t>
            </w:r>
          </w:p>
          <w:p w14:paraId="7B0B8DB1">
            <w:pPr>
              <w:widowControl/>
              <w:rPr>
                <w:kern w:val="0"/>
                <w:szCs w:val="21"/>
              </w:rPr>
            </w:pPr>
            <w:r>
              <w:rPr>
                <w:rFonts w:hint="eastAsia"/>
                <w:kern w:val="0"/>
                <w:szCs w:val="21"/>
              </w:rPr>
              <w:t>4、做好宣传工作，倡导科学管理和文明施工</w:t>
            </w:r>
          </w:p>
          <w:p w14:paraId="7D673743">
            <w:pPr>
              <w:widowControl/>
              <w:rPr>
                <w:kern w:val="0"/>
                <w:szCs w:val="21"/>
              </w:rPr>
            </w:pPr>
            <w:r>
              <w:rPr>
                <w:rFonts w:hint="eastAsia"/>
                <w:kern w:val="0"/>
                <w:szCs w:val="21"/>
              </w:rPr>
              <w:t>5、合理选择运输路线。</w:t>
            </w:r>
          </w:p>
        </w:tc>
      </w:tr>
      <w:tr w14:paraId="61435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D2C1F14">
            <w:pPr>
              <w:widowControl/>
              <w:jc w:val="center"/>
              <w:rPr>
                <w:kern w:val="0"/>
                <w:szCs w:val="21"/>
              </w:rPr>
            </w:pPr>
            <w:r>
              <w:rPr>
                <w:rFonts w:hint="eastAsia"/>
                <w:kern w:val="0"/>
                <w:szCs w:val="21"/>
              </w:rPr>
              <w:t>5</w:t>
            </w:r>
          </w:p>
        </w:tc>
        <w:tc>
          <w:tcPr>
            <w:tcW w:w="656" w:type="dxa"/>
            <w:vAlign w:val="center"/>
          </w:tcPr>
          <w:p w14:paraId="70B0FFA1">
            <w:pPr>
              <w:widowControl/>
              <w:jc w:val="center"/>
              <w:rPr>
                <w:kern w:val="0"/>
                <w:szCs w:val="21"/>
              </w:rPr>
            </w:pPr>
            <w:r>
              <w:rPr>
                <w:rFonts w:hint="eastAsia"/>
                <w:kern w:val="0"/>
                <w:szCs w:val="21"/>
              </w:rPr>
              <w:t>固体废物</w:t>
            </w:r>
          </w:p>
        </w:tc>
        <w:tc>
          <w:tcPr>
            <w:tcW w:w="7173" w:type="dxa"/>
            <w:vAlign w:val="center"/>
          </w:tcPr>
          <w:p w14:paraId="514BBAA0">
            <w:pPr>
              <w:widowControl/>
              <w:rPr>
                <w:kern w:val="0"/>
                <w:szCs w:val="21"/>
              </w:rPr>
            </w:pPr>
            <w:r>
              <w:rPr>
                <w:rFonts w:hint="eastAsia"/>
                <w:kern w:val="0"/>
                <w:szCs w:val="21"/>
              </w:rPr>
              <w:t>1、生活垃圾统一收集后由地方环卫部门定期清运进行无害化处理。</w:t>
            </w:r>
          </w:p>
        </w:tc>
      </w:tr>
      <w:tr w14:paraId="0C730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09792D1">
            <w:pPr>
              <w:widowControl/>
              <w:jc w:val="center"/>
              <w:rPr>
                <w:kern w:val="0"/>
                <w:szCs w:val="21"/>
              </w:rPr>
            </w:pPr>
            <w:r>
              <w:rPr>
                <w:rFonts w:hint="eastAsia"/>
                <w:kern w:val="0"/>
                <w:szCs w:val="21"/>
              </w:rPr>
              <w:t>6</w:t>
            </w:r>
          </w:p>
        </w:tc>
        <w:tc>
          <w:tcPr>
            <w:tcW w:w="656" w:type="dxa"/>
            <w:vAlign w:val="center"/>
          </w:tcPr>
          <w:p w14:paraId="01E8414F">
            <w:pPr>
              <w:widowControl/>
              <w:jc w:val="center"/>
              <w:rPr>
                <w:kern w:val="0"/>
                <w:szCs w:val="21"/>
              </w:rPr>
            </w:pPr>
            <w:r>
              <w:rPr>
                <w:rFonts w:hint="eastAsia"/>
                <w:kern w:val="0"/>
                <w:szCs w:val="21"/>
              </w:rPr>
              <w:t>陆生</w:t>
            </w:r>
            <w:r>
              <w:rPr>
                <w:kern w:val="0"/>
                <w:szCs w:val="21"/>
              </w:rPr>
              <w:t>生态破坏</w:t>
            </w:r>
          </w:p>
        </w:tc>
        <w:tc>
          <w:tcPr>
            <w:tcW w:w="7173" w:type="dxa"/>
            <w:vAlign w:val="center"/>
          </w:tcPr>
          <w:p w14:paraId="3B63F94D">
            <w:pPr>
              <w:widowControl/>
              <w:rPr>
                <w:kern w:val="0"/>
                <w:szCs w:val="21"/>
              </w:rPr>
            </w:pPr>
            <w:r>
              <w:rPr>
                <w:rFonts w:hint="eastAsia"/>
                <w:kern w:val="0"/>
                <w:szCs w:val="21"/>
              </w:rPr>
              <w:t>1、合理优化施工场地的布置，尽量减少施工活动范围，科学施工；</w:t>
            </w:r>
          </w:p>
          <w:p w14:paraId="055FE04F">
            <w:pPr>
              <w:widowControl/>
              <w:rPr>
                <w:kern w:val="0"/>
                <w:szCs w:val="21"/>
              </w:rPr>
            </w:pPr>
            <w:r>
              <w:rPr>
                <w:rFonts w:hint="eastAsia"/>
                <w:kern w:val="0"/>
                <w:szCs w:val="21"/>
              </w:rPr>
              <w:t>2、施工所需土方，随挖随运，尽量少占地、少破坏植被；</w:t>
            </w:r>
          </w:p>
          <w:p w14:paraId="4A2CE84D">
            <w:pPr>
              <w:widowControl/>
              <w:rPr>
                <w:kern w:val="0"/>
                <w:szCs w:val="21"/>
              </w:rPr>
            </w:pPr>
            <w:r>
              <w:rPr>
                <w:rFonts w:hint="eastAsia"/>
                <w:kern w:val="0"/>
                <w:szCs w:val="21"/>
              </w:rPr>
              <w:t>3、最大限度地做到挖填平衡之后，减少土石方远距离纵向调运数量和缩短调运距离，尽可能地减轻扬尘污染；</w:t>
            </w:r>
          </w:p>
          <w:p w14:paraId="37D8B541">
            <w:pPr>
              <w:widowControl/>
              <w:rPr>
                <w:kern w:val="0"/>
                <w:szCs w:val="21"/>
              </w:rPr>
            </w:pPr>
            <w:r>
              <w:rPr>
                <w:rFonts w:hint="eastAsia"/>
                <w:kern w:val="0"/>
                <w:szCs w:val="21"/>
              </w:rPr>
              <w:t>4、施工过程中，严格控制施工场地范围，对回填的砂土料进行合理调配，严禁随意堆放造成水土流失；施工人员和施工机械禁止到非施工区活动，避免扰动施工管理区范围外的植被和动物，施工结束后及时恢复植被。</w:t>
            </w:r>
          </w:p>
          <w:p w14:paraId="0FAE4BF1">
            <w:pPr>
              <w:widowControl/>
              <w:rPr>
                <w:kern w:val="0"/>
                <w:szCs w:val="21"/>
              </w:rPr>
            </w:pPr>
            <w:r>
              <w:rPr>
                <w:rFonts w:hint="eastAsia"/>
                <w:kern w:val="0"/>
                <w:szCs w:val="21"/>
              </w:rPr>
              <w:t>5、在施工过程中如发现施工场地周边有保护植物和古树名木，应及时向建设单位和当地林业部门、环保部门汇报，并做好植物的保护工作，如采取就地保护、植物移植或工程调整等措施，以尽可能减小对保护植物的影响。</w:t>
            </w:r>
          </w:p>
          <w:p w14:paraId="461E1E09">
            <w:pPr>
              <w:widowControl/>
              <w:rPr>
                <w:kern w:val="0"/>
                <w:szCs w:val="21"/>
              </w:rPr>
            </w:pPr>
            <w:r>
              <w:rPr>
                <w:rFonts w:hint="eastAsia"/>
                <w:kern w:val="0"/>
                <w:szCs w:val="21"/>
              </w:rPr>
              <w:t>6、现场需加强施工人员的管理和教育，严禁捕杀野生保护动物、破坏植被的情况发生。组织施工人员学习有关国家法律和法规，必须遵守《中华人民共和国野生动物保护法》，严禁在施工区及其周围捕猎野生动物</w:t>
            </w:r>
          </w:p>
        </w:tc>
      </w:tr>
      <w:tr w14:paraId="6D699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472288D">
            <w:pPr>
              <w:widowControl/>
              <w:jc w:val="center"/>
              <w:rPr>
                <w:kern w:val="0"/>
                <w:szCs w:val="21"/>
              </w:rPr>
            </w:pPr>
            <w:r>
              <w:rPr>
                <w:rFonts w:hint="eastAsia"/>
                <w:kern w:val="0"/>
                <w:szCs w:val="21"/>
              </w:rPr>
              <w:t>7</w:t>
            </w:r>
          </w:p>
        </w:tc>
        <w:tc>
          <w:tcPr>
            <w:tcW w:w="656" w:type="dxa"/>
            <w:vAlign w:val="center"/>
          </w:tcPr>
          <w:p w14:paraId="1A8A670B">
            <w:pPr>
              <w:widowControl/>
              <w:jc w:val="center"/>
              <w:rPr>
                <w:kern w:val="0"/>
                <w:szCs w:val="21"/>
              </w:rPr>
            </w:pPr>
            <w:r>
              <w:rPr>
                <w:rFonts w:hint="eastAsia"/>
                <w:kern w:val="0"/>
                <w:szCs w:val="21"/>
              </w:rPr>
              <w:t>水生</w:t>
            </w:r>
            <w:r>
              <w:rPr>
                <w:kern w:val="0"/>
                <w:szCs w:val="21"/>
              </w:rPr>
              <w:t>生态破坏</w:t>
            </w:r>
          </w:p>
        </w:tc>
        <w:tc>
          <w:tcPr>
            <w:tcW w:w="7173" w:type="dxa"/>
            <w:vAlign w:val="center"/>
          </w:tcPr>
          <w:p w14:paraId="06FF5BB2">
            <w:pPr>
              <w:widowControl/>
              <w:rPr>
                <w:kern w:val="0"/>
                <w:szCs w:val="21"/>
              </w:rPr>
            </w:pPr>
            <w:r>
              <w:rPr>
                <w:rFonts w:hint="eastAsia"/>
                <w:kern w:val="0"/>
                <w:szCs w:val="21"/>
              </w:rPr>
              <w:t>1、清淤应严格按施工要求分区进行。</w:t>
            </w:r>
          </w:p>
          <w:p w14:paraId="0D6D7D28">
            <w:pPr>
              <w:widowControl/>
              <w:rPr>
                <w:kern w:val="0"/>
                <w:szCs w:val="21"/>
              </w:rPr>
            </w:pPr>
            <w:r>
              <w:rPr>
                <w:rFonts w:hint="eastAsia"/>
                <w:kern w:val="0"/>
                <w:szCs w:val="21"/>
              </w:rPr>
              <w:t>2、建议在枯水期施工，减缓对所水生生态的影响。</w:t>
            </w:r>
          </w:p>
          <w:p w14:paraId="3C671191">
            <w:pPr>
              <w:widowControl/>
              <w:rPr>
                <w:kern w:val="0"/>
                <w:szCs w:val="21"/>
              </w:rPr>
            </w:pPr>
            <w:r>
              <w:rPr>
                <w:kern w:val="0"/>
                <w:szCs w:val="21"/>
              </w:rPr>
              <w:t>3</w:t>
            </w:r>
            <w:r>
              <w:rPr>
                <w:rFonts w:hint="eastAsia"/>
                <w:kern w:val="0"/>
                <w:szCs w:val="21"/>
              </w:rPr>
              <w:t>、根据水体环境种植一些适合生长的乡土水生植物。</w:t>
            </w:r>
          </w:p>
          <w:p w14:paraId="4A9FBEDA">
            <w:pPr>
              <w:widowControl/>
              <w:rPr>
                <w:kern w:val="0"/>
                <w:szCs w:val="21"/>
              </w:rPr>
            </w:pPr>
            <w:r>
              <w:rPr>
                <w:rFonts w:hint="eastAsia"/>
                <w:kern w:val="0"/>
                <w:szCs w:val="21"/>
              </w:rPr>
              <w:t>4、施工期间，应严禁施工人员随意将各类废弃物，如生活垃圾等抛入水体之中。</w:t>
            </w:r>
          </w:p>
        </w:tc>
      </w:tr>
    </w:tbl>
    <w:p w14:paraId="5AC4ADCC">
      <w:pPr>
        <w:pStyle w:val="4"/>
        <w:rPr>
          <w:kern w:val="0"/>
        </w:rPr>
      </w:pPr>
      <w:r>
        <w:rPr>
          <w:rFonts w:hint="eastAsia"/>
          <w:kern w:val="0"/>
        </w:rPr>
        <w:t>运营期</w:t>
      </w:r>
      <w:r>
        <w:rPr>
          <w:kern w:val="0"/>
        </w:rPr>
        <w:t>环境管理</w:t>
      </w:r>
    </w:p>
    <w:p w14:paraId="7D962063">
      <w:pPr>
        <w:pStyle w:val="85"/>
        <w:ind w:firstLine="480"/>
        <w:rPr>
          <w:kern w:val="0"/>
        </w:rPr>
      </w:pPr>
      <w:r>
        <w:rPr>
          <w:rFonts w:hint="eastAsia"/>
          <w:kern w:val="0"/>
        </w:rPr>
        <w:t>工程运营期环境管理工作由工程管理单位负责，环境管理的内容为潮河地表水满足设计目标要求，加强生态缓冲带环境管理，对陆生生态、水生生态和生物入侵情况进行跟踪调查，维护沿岸生态环境，加强生态景观管理、固废妥善处置，确保环境保护总目标的实现。具体措施管理措施包括：①开展运营期生态监测，②对临时占地恢复区及生态缓冲带植被恢复效果进行跟踪养护，确保恢复效果。</w:t>
      </w:r>
    </w:p>
    <w:p w14:paraId="64879768">
      <w:pPr>
        <w:pStyle w:val="3"/>
        <w:rPr>
          <w:kern w:val="0"/>
        </w:rPr>
      </w:pPr>
      <w:bookmarkStart w:id="148" w:name="_Toc198733177"/>
      <w:r>
        <w:rPr>
          <w:rFonts w:hint="eastAsia"/>
          <w:kern w:val="0"/>
        </w:rPr>
        <w:t>企业环境信息公开</w:t>
      </w:r>
      <w:bookmarkEnd w:id="148"/>
    </w:p>
    <w:p w14:paraId="40C85855">
      <w:pPr>
        <w:pStyle w:val="4"/>
        <w:rPr>
          <w:kern w:val="0"/>
        </w:rPr>
      </w:pPr>
      <w:r>
        <w:rPr>
          <w:rFonts w:hint="eastAsia"/>
          <w:kern w:val="0"/>
        </w:rPr>
        <w:t>公开</w:t>
      </w:r>
      <w:r>
        <w:rPr>
          <w:kern w:val="0"/>
        </w:rPr>
        <w:t>内容</w:t>
      </w:r>
    </w:p>
    <w:p w14:paraId="60F18FC4">
      <w:pPr>
        <w:pStyle w:val="85"/>
        <w:spacing w:line="500" w:lineRule="exact"/>
        <w:ind w:firstLine="480"/>
        <w:rPr>
          <w:kern w:val="0"/>
        </w:rPr>
      </w:pPr>
      <w:r>
        <w:rPr>
          <w:rFonts w:hint="eastAsia"/>
          <w:kern w:val="0"/>
        </w:rPr>
        <w:t>（1）基础信息</w:t>
      </w:r>
    </w:p>
    <w:p w14:paraId="2E2538B5">
      <w:pPr>
        <w:pStyle w:val="85"/>
        <w:spacing w:line="500" w:lineRule="exact"/>
        <w:ind w:firstLine="480"/>
        <w:rPr>
          <w:kern w:val="0"/>
        </w:rPr>
      </w:pPr>
      <w:r>
        <w:rPr>
          <w:rFonts w:hint="eastAsia"/>
          <w:kern w:val="0"/>
        </w:rPr>
        <w:t>单位名称：滦平县水务局</w:t>
      </w:r>
    </w:p>
    <w:p w14:paraId="64FD3DCF">
      <w:pPr>
        <w:pStyle w:val="85"/>
        <w:spacing w:line="500" w:lineRule="exact"/>
        <w:ind w:firstLine="480"/>
        <w:rPr>
          <w:kern w:val="0"/>
        </w:rPr>
      </w:pPr>
      <w:r>
        <w:rPr>
          <w:rFonts w:hint="eastAsia"/>
          <w:kern w:val="0"/>
        </w:rPr>
        <w:t>负责人：</w:t>
      </w:r>
      <w:r>
        <w:rPr>
          <w:kern w:val="0"/>
        </w:rPr>
        <w:t xml:space="preserve"> </w:t>
      </w:r>
    </w:p>
    <w:p w14:paraId="62392808">
      <w:pPr>
        <w:pStyle w:val="85"/>
        <w:spacing w:line="500" w:lineRule="exact"/>
        <w:ind w:firstLine="480"/>
        <w:rPr>
          <w:kern w:val="0"/>
        </w:rPr>
      </w:pPr>
      <w:r>
        <w:rPr>
          <w:rFonts w:hint="eastAsia"/>
          <w:kern w:val="0"/>
        </w:rPr>
        <w:t>地址：河北省承德市滦平县行政办公区22号</w:t>
      </w:r>
    </w:p>
    <w:p w14:paraId="45C1A215">
      <w:pPr>
        <w:pStyle w:val="85"/>
        <w:spacing w:line="500" w:lineRule="exact"/>
        <w:ind w:firstLine="480"/>
        <w:rPr>
          <w:kern w:val="0"/>
        </w:rPr>
      </w:pPr>
      <w:r>
        <w:rPr>
          <w:rFonts w:hint="eastAsia"/>
          <w:kern w:val="0"/>
        </w:rPr>
        <w:t>联系方式：</w:t>
      </w:r>
      <w:r>
        <w:rPr>
          <w:kern w:val="0"/>
        </w:rPr>
        <w:t>0314-8582765</w:t>
      </w:r>
    </w:p>
    <w:p w14:paraId="3073DE0A">
      <w:pPr>
        <w:pStyle w:val="85"/>
        <w:spacing w:line="500" w:lineRule="exact"/>
        <w:ind w:firstLine="480"/>
        <w:rPr>
          <w:kern w:val="0"/>
        </w:rPr>
      </w:pPr>
      <w:r>
        <w:rPr>
          <w:rFonts w:hint="eastAsia"/>
          <w:kern w:val="0"/>
        </w:rPr>
        <w:t>工程</w:t>
      </w:r>
      <w:r>
        <w:rPr>
          <w:kern w:val="0"/>
        </w:rPr>
        <w:t>主要内容</w:t>
      </w:r>
      <w:r>
        <w:rPr>
          <w:rFonts w:hint="eastAsia"/>
          <w:kern w:val="0"/>
        </w:rPr>
        <w:t>：</w:t>
      </w:r>
      <w:r>
        <w:rPr>
          <w:kern w:val="0"/>
        </w:rPr>
        <w:t>河道基底修复及微地形梳理、构建恢复生态缓冲带、水生态构建及水生植物恢复等。治理潮河干流长度10.81km，基底修复及微地形梳理10.81km；构建修复生态缓冲带13.83km，陆域植被恢复16.31公顷、水生态构建及水生植物恢复16.49公顷</w:t>
      </w:r>
      <w:r>
        <w:rPr>
          <w:rFonts w:hint="eastAsia"/>
          <w:kern w:val="0"/>
        </w:rPr>
        <w:t>。</w:t>
      </w:r>
    </w:p>
    <w:p w14:paraId="771E8E62">
      <w:pPr>
        <w:pStyle w:val="85"/>
        <w:ind w:firstLine="480"/>
        <w:rPr>
          <w:kern w:val="0"/>
        </w:rPr>
      </w:pPr>
      <w:r>
        <w:rPr>
          <w:rFonts w:hint="eastAsia"/>
          <w:kern w:val="0"/>
        </w:rPr>
        <w:t>（</w:t>
      </w:r>
      <w:r>
        <w:rPr>
          <w:kern w:val="0"/>
        </w:rPr>
        <w:t>2</w:t>
      </w:r>
      <w:r>
        <w:rPr>
          <w:rFonts w:hint="eastAsia"/>
          <w:kern w:val="0"/>
        </w:rPr>
        <w:t>）环境监测计划</w:t>
      </w:r>
    </w:p>
    <w:p w14:paraId="6A49408E">
      <w:pPr>
        <w:pStyle w:val="85"/>
        <w:ind w:firstLine="480"/>
        <w:rPr>
          <w:kern w:val="0"/>
        </w:rPr>
      </w:pPr>
      <w:r>
        <w:rPr>
          <w:rFonts w:hint="eastAsia"/>
          <w:kern w:val="0"/>
        </w:rPr>
        <w:t>滦平县水务局为滦平县潮河干流河道水质改善与生态修复工程制定了监测计划，见</w:t>
      </w:r>
      <w:r>
        <w:rPr>
          <w:kern w:val="0"/>
        </w:rPr>
        <w:fldChar w:fldCharType="begin"/>
      </w:r>
      <w:r>
        <w:rPr>
          <w:kern w:val="0"/>
        </w:rPr>
        <w:instrText xml:space="preserve"> </w:instrText>
      </w:r>
      <w:r>
        <w:rPr>
          <w:rFonts w:hint="eastAsia"/>
          <w:kern w:val="0"/>
        </w:rPr>
        <w:instrText xml:space="preserve">REF _Ref76313315 \h</w:instrText>
      </w:r>
      <w:r>
        <w:rPr>
          <w:kern w:val="0"/>
        </w:rPr>
        <w:instrText xml:space="preserve">  \* MERGEFORMAT </w:instrText>
      </w:r>
      <w:r>
        <w:rPr>
          <w:kern w:val="0"/>
        </w:rPr>
        <w:fldChar w:fldCharType="separate"/>
      </w:r>
      <w:r>
        <w:rPr>
          <w:rFonts w:hint="eastAsia" w:eastAsia="黑体"/>
          <w:bCs/>
          <w:spacing w:val="-8"/>
          <w:kern w:val="0"/>
        </w:rPr>
        <w:t>表</w:t>
      </w:r>
      <w:r>
        <w:rPr>
          <w:rFonts w:eastAsia="黑体"/>
          <w:bCs/>
          <w:spacing w:val="-8"/>
          <w:kern w:val="0"/>
        </w:rPr>
        <w:t>7</w:t>
      </w:r>
      <w:r>
        <w:rPr>
          <w:rFonts w:eastAsia="黑体"/>
          <w:bCs/>
          <w:spacing w:val="-8"/>
          <w:kern w:val="0"/>
        </w:rPr>
        <w:noBreakHyphen/>
      </w:r>
      <w:r>
        <w:rPr>
          <w:rFonts w:eastAsia="黑体"/>
          <w:bCs/>
          <w:spacing w:val="-8"/>
          <w:kern w:val="0"/>
        </w:rPr>
        <w:t>2</w:t>
      </w:r>
      <w:r>
        <w:rPr>
          <w:kern w:val="0"/>
        </w:rPr>
        <w:fldChar w:fldCharType="end"/>
      </w:r>
      <w:r>
        <w:rPr>
          <w:rFonts w:hint="eastAsia"/>
          <w:kern w:val="0"/>
        </w:rPr>
        <w:t>。</w:t>
      </w:r>
    </w:p>
    <w:p w14:paraId="173E8AA3">
      <w:pPr>
        <w:pStyle w:val="4"/>
        <w:rPr>
          <w:kern w:val="0"/>
        </w:rPr>
      </w:pPr>
      <w:r>
        <w:rPr>
          <w:rFonts w:hint="eastAsia"/>
          <w:kern w:val="0"/>
        </w:rPr>
        <w:t>公开</w:t>
      </w:r>
      <w:r>
        <w:rPr>
          <w:kern w:val="0"/>
        </w:rPr>
        <w:t>方式及时间要求</w:t>
      </w:r>
    </w:p>
    <w:p w14:paraId="55595D24">
      <w:pPr>
        <w:pStyle w:val="85"/>
        <w:ind w:firstLine="480"/>
        <w:rPr>
          <w:kern w:val="0"/>
        </w:rPr>
      </w:pPr>
      <w:r>
        <w:rPr>
          <w:rFonts w:hint="eastAsia"/>
          <w:kern w:val="0"/>
        </w:rPr>
        <w:t>公示方式：通过公司网站、信息公开平台或当地报刊等便于公众知晓的方式公开。</w:t>
      </w:r>
    </w:p>
    <w:p w14:paraId="60570452">
      <w:pPr>
        <w:pStyle w:val="85"/>
        <w:ind w:firstLine="480"/>
        <w:rPr>
          <w:kern w:val="0"/>
        </w:rPr>
      </w:pPr>
      <w:r>
        <w:rPr>
          <w:rFonts w:hint="eastAsia"/>
          <w:kern w:val="0"/>
        </w:rPr>
        <w:t>公开时间要求：环境信息有新生成或者发生变更情形的，应当自环境信息生成或者变更之日起三十日内予以公开。法律、法规另有规定的，从其规定。</w:t>
      </w:r>
    </w:p>
    <w:p w14:paraId="054D9A41">
      <w:pPr>
        <w:pStyle w:val="3"/>
        <w:rPr>
          <w:kern w:val="0"/>
        </w:rPr>
      </w:pPr>
      <w:bookmarkStart w:id="149" w:name="_Toc198733178"/>
      <w:r>
        <w:rPr>
          <w:rFonts w:hint="eastAsia"/>
          <w:kern w:val="0"/>
        </w:rPr>
        <w:t>总量</w:t>
      </w:r>
      <w:r>
        <w:rPr>
          <w:kern w:val="0"/>
        </w:rPr>
        <w:t>控制分析</w:t>
      </w:r>
      <w:bookmarkEnd w:id="149"/>
    </w:p>
    <w:p w14:paraId="43005FBF">
      <w:pPr>
        <w:pStyle w:val="85"/>
        <w:ind w:firstLine="480"/>
        <w:rPr>
          <w:kern w:val="0"/>
        </w:rPr>
      </w:pPr>
      <w:r>
        <w:rPr>
          <w:rFonts w:hint="eastAsia"/>
          <w:kern w:val="0"/>
        </w:rPr>
        <w:t>项目实施后</w:t>
      </w:r>
      <w:r>
        <w:rPr>
          <w:kern w:val="0"/>
        </w:rPr>
        <w:t>，</w:t>
      </w:r>
      <w:r>
        <w:rPr>
          <w:rFonts w:hint="eastAsia"/>
          <w:kern w:val="0"/>
        </w:rPr>
        <w:t>除水文调控</w:t>
      </w:r>
      <w:r>
        <w:rPr>
          <w:kern w:val="0"/>
        </w:rPr>
        <w:t>期间</w:t>
      </w:r>
      <w:r>
        <w:rPr>
          <w:rFonts w:hint="eastAsia"/>
          <w:kern w:val="0"/>
        </w:rPr>
        <w:t>发电机组</w:t>
      </w:r>
      <w:r>
        <w:rPr>
          <w:kern w:val="0"/>
        </w:rPr>
        <w:t>排放</w:t>
      </w:r>
      <w:r>
        <w:rPr>
          <w:rFonts w:hint="eastAsia"/>
          <w:kern w:val="0"/>
        </w:rPr>
        <w:t>极少量废气</w:t>
      </w:r>
      <w:r>
        <w:rPr>
          <w:kern w:val="0"/>
        </w:rPr>
        <w:t>外</w:t>
      </w:r>
      <w:r>
        <w:rPr>
          <w:rFonts w:hint="eastAsia"/>
          <w:kern w:val="0"/>
        </w:rPr>
        <w:t>，</w:t>
      </w:r>
      <w:r>
        <w:rPr>
          <w:kern w:val="0"/>
        </w:rPr>
        <w:t>不排放</w:t>
      </w:r>
      <w:r>
        <w:rPr>
          <w:rFonts w:hint="eastAsia"/>
          <w:kern w:val="0"/>
        </w:rPr>
        <w:t>其它废气</w:t>
      </w:r>
      <w:r>
        <w:rPr>
          <w:kern w:val="0"/>
        </w:rPr>
        <w:t>、废水污染物</w:t>
      </w:r>
      <w:r>
        <w:rPr>
          <w:rFonts w:hint="eastAsia"/>
          <w:kern w:val="0"/>
        </w:rPr>
        <w:t>。</w:t>
      </w:r>
      <w:r>
        <w:rPr>
          <w:kern w:val="0"/>
        </w:rPr>
        <w:t>因此，本次评价建议本工程污染物总量控制指标为：COD：0t/a、NH</w:t>
      </w:r>
      <w:r>
        <w:rPr>
          <w:kern w:val="0"/>
          <w:vertAlign w:val="subscript"/>
        </w:rPr>
        <w:t>3</w:t>
      </w:r>
      <w:r>
        <w:rPr>
          <w:kern w:val="0"/>
        </w:rPr>
        <w:t>-N：0t/a、SO</w:t>
      </w:r>
      <w:r>
        <w:rPr>
          <w:kern w:val="0"/>
          <w:vertAlign w:val="subscript"/>
        </w:rPr>
        <w:t>2</w:t>
      </w:r>
      <w:r>
        <w:rPr>
          <w:kern w:val="0"/>
        </w:rPr>
        <w:t>：0t/a、NOx：0t/a</w:t>
      </w:r>
      <w:r>
        <w:rPr>
          <w:rFonts w:hint="eastAsia"/>
          <w:kern w:val="0"/>
        </w:rPr>
        <w:t>。</w:t>
      </w:r>
    </w:p>
    <w:p w14:paraId="5E624E11">
      <w:pPr>
        <w:pStyle w:val="3"/>
        <w:rPr>
          <w:kern w:val="0"/>
        </w:rPr>
      </w:pPr>
      <w:bookmarkStart w:id="150" w:name="_Toc198733179"/>
      <w:r>
        <w:rPr>
          <w:rFonts w:hint="eastAsia"/>
          <w:kern w:val="0"/>
        </w:rPr>
        <w:t>环境</w:t>
      </w:r>
      <w:r>
        <w:rPr>
          <w:kern w:val="0"/>
        </w:rPr>
        <w:t>监测计划</w:t>
      </w:r>
      <w:bookmarkEnd w:id="150"/>
    </w:p>
    <w:p w14:paraId="7C59CA19">
      <w:pPr>
        <w:pStyle w:val="4"/>
        <w:rPr>
          <w:kern w:val="0"/>
        </w:rPr>
      </w:pPr>
      <w:r>
        <w:rPr>
          <w:rFonts w:hint="eastAsia"/>
          <w:kern w:val="0"/>
        </w:rPr>
        <w:t>监测</w:t>
      </w:r>
      <w:r>
        <w:rPr>
          <w:kern w:val="0"/>
        </w:rPr>
        <w:t>目的</w:t>
      </w:r>
    </w:p>
    <w:p w14:paraId="1BAB1ED0">
      <w:pPr>
        <w:pStyle w:val="85"/>
        <w:ind w:firstLine="480"/>
        <w:rPr>
          <w:kern w:val="0"/>
        </w:rPr>
      </w:pPr>
      <w:r>
        <w:rPr>
          <w:rFonts w:hint="eastAsia"/>
          <w:kern w:val="0"/>
        </w:rPr>
        <w:t>本项目施工及运营过程中可能会引发一系列的环境问题：如水资源污染、噪声污染、环境空气污染等，这些均会对当地的环境产生一定影响，所以，进行环境监测是必须的。通过对工程运行中环保设施进行监控，掌握废气、废水、噪声等污染源是否符合国家或地方排放标准要求，同时对废气、废水、噪声防治设施进行监督检查，保证其正常运行。</w:t>
      </w:r>
    </w:p>
    <w:p w14:paraId="0EC9E39D">
      <w:pPr>
        <w:pStyle w:val="4"/>
        <w:rPr>
          <w:kern w:val="0"/>
        </w:rPr>
      </w:pPr>
      <w:r>
        <w:rPr>
          <w:rFonts w:hint="eastAsia"/>
          <w:kern w:val="0"/>
        </w:rPr>
        <w:t>监测</w:t>
      </w:r>
      <w:r>
        <w:rPr>
          <w:kern w:val="0"/>
        </w:rPr>
        <w:t>机构</w:t>
      </w:r>
    </w:p>
    <w:p w14:paraId="722DAD89">
      <w:pPr>
        <w:pStyle w:val="85"/>
        <w:ind w:firstLine="480"/>
        <w:rPr>
          <w:kern w:val="0"/>
        </w:rPr>
      </w:pPr>
      <w:r>
        <w:rPr>
          <w:rFonts w:hint="eastAsia"/>
          <w:kern w:val="0"/>
        </w:rPr>
        <w:t>环境监测是环境保护的基础，是进行污染治理和监督管理的依据，生态监测可委托科研院所</w:t>
      </w:r>
      <w:r>
        <w:rPr>
          <w:kern w:val="0"/>
        </w:rPr>
        <w:t>或生态</w:t>
      </w:r>
      <w:r>
        <w:rPr>
          <w:rFonts w:hint="eastAsia"/>
          <w:kern w:val="0"/>
        </w:rPr>
        <w:t>环境</w:t>
      </w:r>
      <w:r>
        <w:rPr>
          <w:kern w:val="0"/>
        </w:rPr>
        <w:t>保护咨询机构等</w:t>
      </w:r>
      <w:r>
        <w:rPr>
          <w:rFonts w:hint="eastAsia"/>
          <w:kern w:val="0"/>
        </w:rPr>
        <w:t>按有关规程定期监测；环境和污染源监测工作可委托有相应</w:t>
      </w:r>
      <w:r>
        <w:rPr>
          <w:kern w:val="0"/>
        </w:rPr>
        <w:t>监测资质的单位</w:t>
      </w:r>
      <w:r>
        <w:rPr>
          <w:rFonts w:hint="eastAsia"/>
          <w:kern w:val="0"/>
        </w:rPr>
        <w:t>承担。</w:t>
      </w:r>
    </w:p>
    <w:p w14:paraId="5D67671D">
      <w:pPr>
        <w:pStyle w:val="4"/>
        <w:rPr>
          <w:kern w:val="0"/>
        </w:rPr>
      </w:pPr>
      <w:r>
        <w:rPr>
          <w:rFonts w:hint="eastAsia"/>
          <w:kern w:val="0"/>
        </w:rPr>
        <w:t>监测</w:t>
      </w:r>
      <w:r>
        <w:rPr>
          <w:kern w:val="0"/>
        </w:rPr>
        <w:t>计划</w:t>
      </w:r>
    </w:p>
    <w:p w14:paraId="62EBB799">
      <w:pPr>
        <w:pStyle w:val="85"/>
        <w:ind w:firstLine="480"/>
        <w:rPr>
          <w:kern w:val="0"/>
        </w:rPr>
      </w:pPr>
      <w:r>
        <w:rPr>
          <w:rFonts w:hint="eastAsia"/>
          <w:kern w:val="0"/>
        </w:rPr>
        <w:t>参照关于印发《国家重点监控企业自行监测及信息公开办法(试行)》和《国家重点监控企业污染源监督性监测及信息公开办法</w:t>
      </w:r>
      <w:r>
        <w:rPr>
          <w:kern w:val="0"/>
        </w:rPr>
        <w:t>(</w:t>
      </w:r>
      <w:r>
        <w:rPr>
          <w:rFonts w:hint="eastAsia"/>
          <w:kern w:val="0"/>
        </w:rPr>
        <w:t>试行</w:t>
      </w:r>
      <w:r>
        <w:rPr>
          <w:kern w:val="0"/>
        </w:rPr>
        <w:t>)</w:t>
      </w:r>
      <w:r>
        <w:rPr>
          <w:rFonts w:hint="eastAsia"/>
          <w:kern w:val="0"/>
        </w:rPr>
        <w:t>》的通知</w:t>
      </w:r>
      <w:r>
        <w:rPr>
          <w:kern w:val="0"/>
        </w:rPr>
        <w:t>(</w:t>
      </w:r>
      <w:r>
        <w:rPr>
          <w:rFonts w:hint="eastAsia"/>
          <w:kern w:val="0"/>
        </w:rPr>
        <w:t>环发</w:t>
      </w:r>
      <w:r>
        <w:rPr>
          <w:kern w:val="0"/>
        </w:rPr>
        <w:t>[2013]81</w:t>
      </w:r>
      <w:r>
        <w:rPr>
          <w:rFonts w:hint="eastAsia"/>
          <w:kern w:val="0"/>
        </w:rPr>
        <w:t>号</w:t>
      </w:r>
      <w:r>
        <w:rPr>
          <w:kern w:val="0"/>
        </w:rPr>
        <w:t>)</w:t>
      </w:r>
      <w:r>
        <w:rPr>
          <w:rFonts w:hint="eastAsia"/>
          <w:kern w:val="0"/>
        </w:rPr>
        <w:t>，同时依据《排污单位自行监测技术指南总则》</w:t>
      </w:r>
      <w:r>
        <w:rPr>
          <w:kern w:val="0"/>
        </w:rPr>
        <w:t>(HJ819-2017)</w:t>
      </w:r>
      <w:r>
        <w:rPr>
          <w:rFonts w:hint="eastAsia"/>
          <w:kern w:val="0"/>
        </w:rPr>
        <w:t>中的有关规定，针对本项目产排污特点，制定本项目的监测计划，具体见</w:t>
      </w:r>
      <w:r>
        <w:rPr>
          <w:kern w:val="0"/>
        </w:rPr>
        <w:fldChar w:fldCharType="begin"/>
      </w:r>
      <w:r>
        <w:rPr>
          <w:kern w:val="0"/>
        </w:rPr>
        <w:instrText xml:space="preserve"> </w:instrText>
      </w:r>
      <w:r>
        <w:rPr>
          <w:rFonts w:hint="eastAsia"/>
          <w:kern w:val="0"/>
        </w:rPr>
        <w:instrText xml:space="preserve">REF _Ref76313315 \h</w:instrText>
      </w:r>
      <w:r>
        <w:rPr>
          <w:kern w:val="0"/>
        </w:rPr>
        <w:instrText xml:space="preserve">  \* MERGEFORMAT </w:instrText>
      </w:r>
      <w:r>
        <w:rPr>
          <w:kern w:val="0"/>
        </w:rPr>
        <w:fldChar w:fldCharType="separate"/>
      </w:r>
      <w:r>
        <w:rPr>
          <w:rFonts w:hint="eastAsia" w:eastAsia="黑体"/>
          <w:bCs/>
          <w:spacing w:val="-8"/>
          <w:kern w:val="0"/>
        </w:rPr>
        <w:t>表</w:t>
      </w:r>
      <w:r>
        <w:rPr>
          <w:rFonts w:eastAsia="黑体"/>
          <w:bCs/>
          <w:spacing w:val="-8"/>
          <w:kern w:val="0"/>
        </w:rPr>
        <w:t>7</w:t>
      </w:r>
      <w:r>
        <w:rPr>
          <w:rFonts w:eastAsia="黑体"/>
          <w:bCs/>
          <w:spacing w:val="-8"/>
          <w:kern w:val="0"/>
        </w:rPr>
        <w:noBreakHyphen/>
      </w:r>
      <w:r>
        <w:rPr>
          <w:rFonts w:eastAsia="黑体"/>
          <w:bCs/>
          <w:spacing w:val="-8"/>
          <w:kern w:val="0"/>
        </w:rPr>
        <w:t>2</w:t>
      </w:r>
      <w:r>
        <w:rPr>
          <w:kern w:val="0"/>
        </w:rPr>
        <w:fldChar w:fldCharType="end"/>
      </w:r>
      <w:r>
        <w:rPr>
          <w:rFonts w:hint="eastAsia"/>
          <w:kern w:val="0"/>
        </w:rPr>
        <w:t>。</w:t>
      </w:r>
    </w:p>
    <w:p w14:paraId="07EF5049">
      <w:pPr>
        <w:pStyle w:val="85"/>
        <w:ind w:firstLine="448"/>
        <w:jc w:val="center"/>
        <w:rPr>
          <w:kern w:val="0"/>
          <w:sz w:val="21"/>
          <w:szCs w:val="21"/>
        </w:rPr>
      </w:pPr>
      <w:bookmarkStart w:id="151" w:name="_Ref76313315"/>
      <w:r>
        <w:rPr>
          <w:rFonts w:hint="eastAsia" w:eastAsia="黑体"/>
          <w:bCs/>
          <w:spacing w:val="-8"/>
          <w:kern w:val="0"/>
        </w:rPr>
        <w:t>表</w:t>
      </w:r>
      <w:r>
        <w:rPr>
          <w:rFonts w:eastAsia="黑体"/>
          <w:bCs/>
          <w:spacing w:val="-8"/>
          <w:kern w:val="0"/>
        </w:rPr>
        <w:fldChar w:fldCharType="begin"/>
      </w:r>
      <w:r>
        <w:rPr>
          <w:rFonts w:eastAsia="黑体"/>
          <w:bCs/>
          <w:spacing w:val="-8"/>
          <w:kern w:val="0"/>
        </w:rPr>
        <w:instrText xml:space="preserve"> </w:instrText>
      </w:r>
      <w:r>
        <w:rPr>
          <w:rFonts w:hint="eastAsia" w:eastAsia="黑体"/>
          <w:bCs/>
          <w:spacing w:val="-8"/>
          <w:kern w:val="0"/>
        </w:rPr>
        <w:instrText xml:space="preserve">STYLEREF 1 \s</w:instrText>
      </w:r>
      <w:r>
        <w:rPr>
          <w:rFonts w:eastAsia="黑体"/>
          <w:bCs/>
          <w:spacing w:val="-8"/>
          <w:kern w:val="0"/>
        </w:rPr>
        <w:instrText xml:space="preserve"> </w:instrText>
      </w:r>
      <w:r>
        <w:rPr>
          <w:rFonts w:eastAsia="黑体"/>
          <w:bCs/>
          <w:spacing w:val="-8"/>
          <w:kern w:val="0"/>
        </w:rPr>
        <w:fldChar w:fldCharType="separate"/>
      </w:r>
      <w:r>
        <w:rPr>
          <w:rFonts w:eastAsia="黑体"/>
          <w:bCs/>
          <w:spacing w:val="-8"/>
          <w:kern w:val="0"/>
        </w:rPr>
        <w:t>7</w:t>
      </w:r>
      <w:r>
        <w:rPr>
          <w:rFonts w:eastAsia="黑体"/>
          <w:bCs/>
          <w:spacing w:val="-8"/>
          <w:kern w:val="0"/>
        </w:rPr>
        <w:fldChar w:fldCharType="end"/>
      </w:r>
      <w:r>
        <w:rPr>
          <w:rFonts w:eastAsia="黑体"/>
          <w:bCs/>
          <w:spacing w:val="-8"/>
          <w:kern w:val="0"/>
        </w:rPr>
        <w:noBreakHyphen/>
      </w:r>
      <w:r>
        <w:rPr>
          <w:rFonts w:eastAsia="黑体"/>
          <w:bCs/>
          <w:spacing w:val="-8"/>
          <w:kern w:val="0"/>
        </w:rPr>
        <w:fldChar w:fldCharType="begin"/>
      </w:r>
      <w:r>
        <w:rPr>
          <w:rFonts w:eastAsia="黑体"/>
          <w:bCs/>
          <w:spacing w:val="-8"/>
          <w:kern w:val="0"/>
        </w:rPr>
        <w:instrText xml:space="preserve"> </w:instrText>
      </w:r>
      <w:r>
        <w:rPr>
          <w:rFonts w:hint="eastAsia" w:eastAsia="黑体"/>
          <w:bCs/>
          <w:spacing w:val="-8"/>
          <w:kern w:val="0"/>
        </w:rPr>
        <w:instrText xml:space="preserve">SEQ 表 \* ARABIC \s 1</w:instrText>
      </w:r>
      <w:r>
        <w:rPr>
          <w:rFonts w:eastAsia="黑体"/>
          <w:bCs/>
          <w:spacing w:val="-8"/>
          <w:kern w:val="0"/>
        </w:rPr>
        <w:instrText xml:space="preserve"> </w:instrText>
      </w:r>
      <w:r>
        <w:rPr>
          <w:rFonts w:eastAsia="黑体"/>
          <w:bCs/>
          <w:spacing w:val="-8"/>
          <w:kern w:val="0"/>
        </w:rPr>
        <w:fldChar w:fldCharType="separate"/>
      </w:r>
      <w:r>
        <w:rPr>
          <w:rFonts w:eastAsia="黑体"/>
          <w:bCs/>
          <w:spacing w:val="-8"/>
          <w:kern w:val="0"/>
        </w:rPr>
        <w:t>2</w:t>
      </w:r>
      <w:r>
        <w:rPr>
          <w:rFonts w:eastAsia="黑体"/>
          <w:bCs/>
          <w:spacing w:val="-8"/>
          <w:kern w:val="0"/>
        </w:rPr>
        <w:fldChar w:fldCharType="end"/>
      </w:r>
      <w:bookmarkEnd w:id="151"/>
      <w:r>
        <w:rPr>
          <w:rFonts w:eastAsia="黑体"/>
          <w:bCs/>
          <w:spacing w:val="-8"/>
          <w:kern w:val="0"/>
        </w:rPr>
        <w:t xml:space="preserve">  </w:t>
      </w:r>
      <w:r>
        <w:rPr>
          <w:rFonts w:hint="eastAsia" w:eastAsia="黑体"/>
          <w:bCs/>
          <w:spacing w:val="-8"/>
          <w:kern w:val="0"/>
        </w:rPr>
        <w:t>监测计划一览表</w:t>
      </w:r>
    </w:p>
    <w:tbl>
      <w:tblPr>
        <w:tblStyle w:val="6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727"/>
        <w:gridCol w:w="1310"/>
        <w:gridCol w:w="1165"/>
        <w:gridCol w:w="3317"/>
        <w:gridCol w:w="1284"/>
      </w:tblGrid>
      <w:tr w14:paraId="0AE81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Align w:val="center"/>
          </w:tcPr>
          <w:p w14:paraId="02E7C2FC">
            <w:pPr>
              <w:widowControl/>
              <w:jc w:val="center"/>
              <w:rPr>
                <w:kern w:val="0"/>
                <w:szCs w:val="21"/>
              </w:rPr>
            </w:pPr>
            <w:r>
              <w:rPr>
                <w:rFonts w:hint="eastAsia"/>
                <w:kern w:val="0"/>
                <w:szCs w:val="21"/>
              </w:rPr>
              <w:t>序号</w:t>
            </w:r>
          </w:p>
        </w:tc>
        <w:tc>
          <w:tcPr>
            <w:tcW w:w="426" w:type="pct"/>
            <w:vAlign w:val="center"/>
          </w:tcPr>
          <w:p w14:paraId="102FF572">
            <w:pPr>
              <w:widowControl/>
              <w:jc w:val="center"/>
              <w:rPr>
                <w:kern w:val="0"/>
                <w:szCs w:val="21"/>
              </w:rPr>
            </w:pPr>
            <w:r>
              <w:rPr>
                <w:rFonts w:hint="eastAsia"/>
                <w:kern w:val="0"/>
                <w:szCs w:val="21"/>
              </w:rPr>
              <w:t>项目</w:t>
            </w:r>
          </w:p>
        </w:tc>
        <w:tc>
          <w:tcPr>
            <w:tcW w:w="768" w:type="pct"/>
            <w:vAlign w:val="center"/>
          </w:tcPr>
          <w:p w14:paraId="1AE7DD3A">
            <w:pPr>
              <w:widowControl/>
              <w:jc w:val="center"/>
              <w:rPr>
                <w:kern w:val="0"/>
                <w:szCs w:val="21"/>
              </w:rPr>
            </w:pPr>
            <w:r>
              <w:rPr>
                <w:rFonts w:hint="eastAsia"/>
                <w:kern w:val="0"/>
                <w:szCs w:val="21"/>
              </w:rPr>
              <w:t>监测</w:t>
            </w:r>
            <w:r>
              <w:rPr>
                <w:kern w:val="0"/>
                <w:szCs w:val="21"/>
              </w:rPr>
              <w:t>项目</w:t>
            </w:r>
          </w:p>
        </w:tc>
        <w:tc>
          <w:tcPr>
            <w:tcW w:w="683" w:type="pct"/>
            <w:vAlign w:val="center"/>
          </w:tcPr>
          <w:p w14:paraId="4C1EB723">
            <w:pPr>
              <w:widowControl/>
              <w:jc w:val="center"/>
              <w:rPr>
                <w:kern w:val="0"/>
                <w:szCs w:val="21"/>
              </w:rPr>
            </w:pPr>
            <w:r>
              <w:rPr>
                <w:rFonts w:hint="eastAsia"/>
                <w:kern w:val="0"/>
                <w:szCs w:val="21"/>
              </w:rPr>
              <w:t>监测</w:t>
            </w:r>
            <w:r>
              <w:rPr>
                <w:kern w:val="0"/>
                <w:szCs w:val="21"/>
              </w:rPr>
              <w:t>因子</w:t>
            </w:r>
          </w:p>
        </w:tc>
        <w:tc>
          <w:tcPr>
            <w:tcW w:w="1945" w:type="pct"/>
            <w:vAlign w:val="center"/>
          </w:tcPr>
          <w:p w14:paraId="516494FA">
            <w:pPr>
              <w:widowControl/>
              <w:jc w:val="center"/>
              <w:rPr>
                <w:kern w:val="0"/>
                <w:szCs w:val="21"/>
              </w:rPr>
            </w:pPr>
            <w:r>
              <w:rPr>
                <w:rFonts w:hint="eastAsia"/>
                <w:kern w:val="0"/>
                <w:szCs w:val="21"/>
              </w:rPr>
              <w:t>取样</w:t>
            </w:r>
            <w:r>
              <w:rPr>
                <w:kern w:val="0"/>
                <w:szCs w:val="21"/>
              </w:rPr>
              <w:t>位置</w:t>
            </w:r>
          </w:p>
        </w:tc>
        <w:tc>
          <w:tcPr>
            <w:tcW w:w="753" w:type="pct"/>
            <w:vAlign w:val="center"/>
          </w:tcPr>
          <w:p w14:paraId="1AB41DCE">
            <w:pPr>
              <w:widowControl/>
              <w:jc w:val="center"/>
              <w:rPr>
                <w:kern w:val="0"/>
                <w:szCs w:val="21"/>
              </w:rPr>
            </w:pPr>
            <w:r>
              <w:rPr>
                <w:rFonts w:hint="eastAsia"/>
                <w:kern w:val="0"/>
                <w:szCs w:val="21"/>
              </w:rPr>
              <w:t>监测</w:t>
            </w:r>
            <w:r>
              <w:rPr>
                <w:kern w:val="0"/>
                <w:szCs w:val="21"/>
              </w:rPr>
              <w:t>频率</w:t>
            </w:r>
          </w:p>
        </w:tc>
      </w:tr>
      <w:tr w14:paraId="48AC7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Align w:val="center"/>
          </w:tcPr>
          <w:p w14:paraId="3E133532">
            <w:pPr>
              <w:widowControl/>
              <w:jc w:val="center"/>
              <w:rPr>
                <w:kern w:val="0"/>
                <w:szCs w:val="21"/>
              </w:rPr>
            </w:pPr>
            <w:r>
              <w:rPr>
                <w:rFonts w:hint="eastAsia"/>
                <w:kern w:val="0"/>
                <w:szCs w:val="21"/>
              </w:rPr>
              <w:t>1</w:t>
            </w:r>
          </w:p>
        </w:tc>
        <w:tc>
          <w:tcPr>
            <w:tcW w:w="426" w:type="pct"/>
            <w:vAlign w:val="center"/>
          </w:tcPr>
          <w:p w14:paraId="01EC99E8">
            <w:pPr>
              <w:widowControl/>
              <w:jc w:val="center"/>
              <w:rPr>
                <w:kern w:val="0"/>
                <w:szCs w:val="21"/>
              </w:rPr>
            </w:pPr>
            <w:r>
              <w:rPr>
                <w:rFonts w:hint="eastAsia"/>
                <w:kern w:val="0"/>
                <w:szCs w:val="21"/>
              </w:rPr>
              <w:t>废气</w:t>
            </w:r>
          </w:p>
        </w:tc>
        <w:tc>
          <w:tcPr>
            <w:tcW w:w="768" w:type="pct"/>
            <w:vAlign w:val="center"/>
          </w:tcPr>
          <w:p w14:paraId="6CD90B7B">
            <w:pPr>
              <w:widowControl/>
              <w:jc w:val="center"/>
              <w:rPr>
                <w:kern w:val="0"/>
                <w:szCs w:val="21"/>
              </w:rPr>
            </w:pPr>
            <w:r>
              <w:rPr>
                <w:rFonts w:hint="eastAsia"/>
                <w:kern w:val="0"/>
                <w:szCs w:val="21"/>
              </w:rPr>
              <w:t>施工期扬尘</w:t>
            </w:r>
          </w:p>
        </w:tc>
        <w:tc>
          <w:tcPr>
            <w:tcW w:w="683" w:type="pct"/>
            <w:vAlign w:val="center"/>
          </w:tcPr>
          <w:p w14:paraId="5D9A6259">
            <w:pPr>
              <w:widowControl/>
              <w:jc w:val="center"/>
              <w:rPr>
                <w:kern w:val="0"/>
                <w:szCs w:val="21"/>
                <w:vertAlign w:val="subscript"/>
              </w:rPr>
            </w:pPr>
            <w:r>
              <w:rPr>
                <w:rFonts w:hint="eastAsia"/>
                <w:kern w:val="0"/>
                <w:szCs w:val="21"/>
              </w:rPr>
              <w:t>PM</w:t>
            </w:r>
            <w:r>
              <w:rPr>
                <w:kern w:val="0"/>
                <w:szCs w:val="21"/>
                <w:vertAlign w:val="subscript"/>
              </w:rPr>
              <w:t>10</w:t>
            </w:r>
          </w:p>
        </w:tc>
        <w:tc>
          <w:tcPr>
            <w:tcW w:w="2698" w:type="pct"/>
            <w:gridSpan w:val="2"/>
            <w:vAlign w:val="center"/>
          </w:tcPr>
          <w:p w14:paraId="6FA9303D">
            <w:pPr>
              <w:widowControl/>
              <w:jc w:val="center"/>
              <w:rPr>
                <w:kern w:val="0"/>
                <w:szCs w:val="21"/>
              </w:rPr>
            </w:pPr>
            <w:r>
              <w:rPr>
                <w:rFonts w:hint="eastAsia"/>
                <w:kern w:val="0"/>
                <w:szCs w:val="21"/>
              </w:rPr>
              <w:t>施工</w:t>
            </w:r>
            <w:r>
              <w:rPr>
                <w:kern w:val="0"/>
                <w:szCs w:val="21"/>
              </w:rPr>
              <w:t>区</w:t>
            </w:r>
            <w:r>
              <w:rPr>
                <w:rFonts w:hint="eastAsia"/>
                <w:kern w:val="0"/>
                <w:szCs w:val="21"/>
              </w:rPr>
              <w:t>参照</w:t>
            </w:r>
            <w:r>
              <w:rPr>
                <w:kern w:val="0"/>
                <w:szCs w:val="21"/>
              </w:rPr>
              <w:t>《施工场地扬尘排放标准》（D13/2934-2019）中表</w:t>
            </w:r>
            <w:r>
              <w:rPr>
                <w:rFonts w:hint="eastAsia"/>
                <w:kern w:val="0"/>
                <w:szCs w:val="21"/>
              </w:rPr>
              <w:t>2和表3要求进行施工扬尘监测</w:t>
            </w:r>
          </w:p>
        </w:tc>
      </w:tr>
      <w:tr w14:paraId="45931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Align w:val="center"/>
          </w:tcPr>
          <w:p w14:paraId="15256768">
            <w:pPr>
              <w:widowControl/>
              <w:jc w:val="center"/>
              <w:rPr>
                <w:kern w:val="0"/>
                <w:szCs w:val="21"/>
              </w:rPr>
            </w:pPr>
            <w:r>
              <w:rPr>
                <w:kern w:val="0"/>
                <w:szCs w:val="21"/>
              </w:rPr>
              <w:t>2</w:t>
            </w:r>
          </w:p>
        </w:tc>
        <w:tc>
          <w:tcPr>
            <w:tcW w:w="426" w:type="pct"/>
            <w:vAlign w:val="center"/>
          </w:tcPr>
          <w:p w14:paraId="56FCCBB5">
            <w:pPr>
              <w:widowControl/>
              <w:jc w:val="center"/>
              <w:rPr>
                <w:kern w:val="0"/>
                <w:szCs w:val="21"/>
              </w:rPr>
            </w:pPr>
            <w:r>
              <w:rPr>
                <w:rFonts w:hint="eastAsia"/>
                <w:kern w:val="0"/>
                <w:szCs w:val="21"/>
              </w:rPr>
              <w:t>噪声</w:t>
            </w:r>
          </w:p>
        </w:tc>
        <w:tc>
          <w:tcPr>
            <w:tcW w:w="768" w:type="pct"/>
            <w:vAlign w:val="center"/>
          </w:tcPr>
          <w:p w14:paraId="3B1FD12C">
            <w:pPr>
              <w:widowControl/>
              <w:jc w:val="center"/>
              <w:rPr>
                <w:kern w:val="0"/>
                <w:szCs w:val="21"/>
              </w:rPr>
            </w:pPr>
            <w:r>
              <w:rPr>
                <w:rFonts w:hint="eastAsia"/>
                <w:kern w:val="0"/>
                <w:szCs w:val="21"/>
              </w:rPr>
              <w:t>场界</w:t>
            </w:r>
            <w:r>
              <w:rPr>
                <w:kern w:val="0"/>
                <w:szCs w:val="21"/>
              </w:rPr>
              <w:t>噪声</w:t>
            </w:r>
          </w:p>
        </w:tc>
        <w:tc>
          <w:tcPr>
            <w:tcW w:w="683" w:type="pct"/>
            <w:vAlign w:val="center"/>
          </w:tcPr>
          <w:p w14:paraId="4EA84679">
            <w:pPr>
              <w:widowControl/>
              <w:jc w:val="center"/>
              <w:rPr>
                <w:kern w:val="0"/>
                <w:szCs w:val="21"/>
              </w:rPr>
            </w:pPr>
            <w:r>
              <w:rPr>
                <w:rFonts w:hint="eastAsia"/>
                <w:kern w:val="0"/>
                <w:szCs w:val="21"/>
              </w:rPr>
              <w:t>Le</w:t>
            </w:r>
            <w:r>
              <w:rPr>
                <w:kern w:val="0"/>
                <w:szCs w:val="21"/>
              </w:rPr>
              <w:t>q</w:t>
            </w:r>
          </w:p>
        </w:tc>
        <w:tc>
          <w:tcPr>
            <w:tcW w:w="1945" w:type="pct"/>
            <w:vAlign w:val="center"/>
          </w:tcPr>
          <w:p w14:paraId="28A4605B">
            <w:pPr>
              <w:widowControl/>
              <w:jc w:val="center"/>
              <w:rPr>
                <w:kern w:val="0"/>
                <w:szCs w:val="21"/>
              </w:rPr>
            </w:pPr>
            <w:r>
              <w:rPr>
                <w:rFonts w:hint="eastAsia"/>
                <w:kern w:val="0"/>
                <w:szCs w:val="21"/>
              </w:rPr>
              <w:t>施工涉及</w:t>
            </w:r>
            <w:r>
              <w:rPr>
                <w:kern w:val="0"/>
                <w:szCs w:val="21"/>
              </w:rPr>
              <w:t>区域</w:t>
            </w:r>
            <w:r>
              <w:rPr>
                <w:rFonts w:hint="eastAsia"/>
                <w:kern w:val="0"/>
                <w:szCs w:val="21"/>
              </w:rPr>
              <w:t>场地外1m 处</w:t>
            </w:r>
          </w:p>
        </w:tc>
        <w:tc>
          <w:tcPr>
            <w:tcW w:w="753" w:type="pct"/>
            <w:vAlign w:val="center"/>
          </w:tcPr>
          <w:p w14:paraId="45115914">
            <w:pPr>
              <w:widowControl/>
              <w:jc w:val="center"/>
              <w:rPr>
                <w:kern w:val="0"/>
                <w:szCs w:val="21"/>
              </w:rPr>
            </w:pPr>
            <w:r>
              <w:rPr>
                <w:rFonts w:hint="eastAsia"/>
                <w:kern w:val="0"/>
                <w:szCs w:val="21"/>
              </w:rPr>
              <w:t>每季一次</w:t>
            </w:r>
          </w:p>
        </w:tc>
      </w:tr>
      <w:tr w14:paraId="125E2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Align w:val="center"/>
          </w:tcPr>
          <w:p w14:paraId="08B872C3">
            <w:pPr>
              <w:widowControl/>
              <w:jc w:val="center"/>
              <w:rPr>
                <w:kern w:val="0"/>
                <w:szCs w:val="21"/>
              </w:rPr>
            </w:pPr>
            <w:r>
              <w:rPr>
                <w:kern w:val="0"/>
                <w:szCs w:val="21"/>
              </w:rPr>
              <w:t>3</w:t>
            </w:r>
          </w:p>
        </w:tc>
        <w:tc>
          <w:tcPr>
            <w:tcW w:w="426" w:type="pct"/>
            <w:vAlign w:val="center"/>
          </w:tcPr>
          <w:p w14:paraId="27174DED">
            <w:pPr>
              <w:widowControl/>
              <w:jc w:val="center"/>
              <w:rPr>
                <w:kern w:val="0"/>
                <w:szCs w:val="21"/>
              </w:rPr>
            </w:pPr>
            <w:r>
              <w:rPr>
                <w:rFonts w:hint="eastAsia"/>
                <w:kern w:val="0"/>
                <w:szCs w:val="21"/>
              </w:rPr>
              <w:t>生态</w:t>
            </w:r>
            <w:r>
              <w:rPr>
                <w:kern w:val="0"/>
                <w:szCs w:val="21"/>
              </w:rPr>
              <w:t>恢复</w:t>
            </w:r>
          </w:p>
        </w:tc>
        <w:tc>
          <w:tcPr>
            <w:tcW w:w="1451" w:type="pct"/>
            <w:gridSpan w:val="2"/>
            <w:vAlign w:val="center"/>
          </w:tcPr>
          <w:p w14:paraId="44154195">
            <w:pPr>
              <w:widowControl/>
              <w:jc w:val="center"/>
              <w:rPr>
                <w:kern w:val="0"/>
                <w:szCs w:val="21"/>
              </w:rPr>
            </w:pPr>
            <w:r>
              <w:rPr>
                <w:rFonts w:hint="eastAsia"/>
                <w:kern w:val="0"/>
                <w:szCs w:val="21"/>
              </w:rPr>
              <w:t>生态</w:t>
            </w:r>
            <w:r>
              <w:rPr>
                <w:kern w:val="0"/>
                <w:szCs w:val="21"/>
              </w:rPr>
              <w:t>恢复情况</w:t>
            </w:r>
          </w:p>
        </w:tc>
        <w:tc>
          <w:tcPr>
            <w:tcW w:w="2698" w:type="pct"/>
            <w:gridSpan w:val="2"/>
            <w:vAlign w:val="center"/>
          </w:tcPr>
          <w:p w14:paraId="54711C79">
            <w:pPr>
              <w:widowControl/>
              <w:jc w:val="center"/>
              <w:rPr>
                <w:kern w:val="0"/>
                <w:szCs w:val="21"/>
              </w:rPr>
            </w:pPr>
            <w:r>
              <w:rPr>
                <w:rFonts w:hint="eastAsia"/>
                <w:kern w:val="0"/>
                <w:szCs w:val="21"/>
              </w:rPr>
              <w:t>具体见7.4.4生态</w:t>
            </w:r>
            <w:r>
              <w:rPr>
                <w:kern w:val="0"/>
                <w:szCs w:val="21"/>
              </w:rPr>
              <w:t>监测计划</w:t>
            </w:r>
          </w:p>
        </w:tc>
      </w:tr>
    </w:tbl>
    <w:p w14:paraId="196A859D">
      <w:pPr>
        <w:pStyle w:val="4"/>
        <w:rPr>
          <w:kern w:val="0"/>
        </w:rPr>
      </w:pPr>
      <w:r>
        <w:rPr>
          <w:rFonts w:hint="eastAsia"/>
          <w:kern w:val="0"/>
        </w:rPr>
        <w:t>生态</w:t>
      </w:r>
      <w:r>
        <w:rPr>
          <w:kern w:val="0"/>
        </w:rPr>
        <w:t>监测计划</w:t>
      </w:r>
    </w:p>
    <w:p w14:paraId="654725E4">
      <w:pPr>
        <w:pStyle w:val="85"/>
        <w:ind w:firstLine="480"/>
        <w:rPr>
          <w:kern w:val="0"/>
        </w:rPr>
      </w:pPr>
      <w:r>
        <w:rPr>
          <w:rFonts w:hint="eastAsia"/>
          <w:kern w:val="0"/>
        </w:rPr>
        <w:t>根据《环境影响评价技术导则  生态影响》（HJ 19—2022）要求，新建50～100km的高速公路及铁路项目、新建码头项目、高等级航道项目、围填海项目以及占用或穿（跨）越生态敏感区的其他项目应开展长期跟踪生态监测（施工期并延续至正式投运后5～10年）。</w:t>
      </w:r>
    </w:p>
    <w:p w14:paraId="758581CD">
      <w:pPr>
        <w:pStyle w:val="85"/>
        <w:ind w:firstLine="480"/>
        <w:rPr>
          <w:kern w:val="0"/>
        </w:rPr>
      </w:pPr>
      <w:r>
        <w:rPr>
          <w:rFonts w:hint="eastAsia"/>
          <w:kern w:val="0"/>
        </w:rPr>
        <w:t>项目生态监测计划见下表，生态监测点位布设情况见附图（生态监测布点图）。</w:t>
      </w:r>
    </w:p>
    <w:p w14:paraId="1DD19DD8">
      <w:pPr>
        <w:jc w:val="center"/>
        <w:rPr>
          <w:rFonts w:eastAsia="黑体"/>
          <w:kern w:val="0"/>
          <w:sz w:val="24"/>
          <w:szCs w:val="21"/>
        </w:rPr>
      </w:pPr>
      <w:r>
        <w:rPr>
          <w:rFonts w:hint="eastAsia" w:eastAsia="黑体"/>
          <w:bCs/>
          <w:spacing w:val="-8"/>
          <w:kern w:val="0"/>
          <w:sz w:val="24"/>
        </w:rPr>
        <w:t>表</w:t>
      </w:r>
      <w:r>
        <w:rPr>
          <w:rFonts w:eastAsia="黑体"/>
          <w:bCs/>
          <w:spacing w:val="-8"/>
          <w:kern w:val="0"/>
          <w:sz w:val="24"/>
        </w:rPr>
        <w:fldChar w:fldCharType="begin"/>
      </w:r>
      <w:r>
        <w:rPr>
          <w:rFonts w:eastAsia="黑体"/>
          <w:bCs/>
          <w:spacing w:val="-8"/>
          <w:kern w:val="0"/>
          <w:sz w:val="24"/>
        </w:rPr>
        <w:instrText xml:space="preserve"> </w:instrText>
      </w:r>
      <w:r>
        <w:rPr>
          <w:rFonts w:hint="eastAsia" w:eastAsia="黑体"/>
          <w:bCs/>
          <w:spacing w:val="-8"/>
          <w:kern w:val="0"/>
          <w:sz w:val="24"/>
        </w:rPr>
        <w:instrText xml:space="preserve">STYLEREF 1 \s</w:instrText>
      </w:r>
      <w:r>
        <w:rPr>
          <w:rFonts w:eastAsia="黑体"/>
          <w:bCs/>
          <w:spacing w:val="-8"/>
          <w:kern w:val="0"/>
          <w:sz w:val="24"/>
        </w:rPr>
        <w:instrText xml:space="preserve"> </w:instrText>
      </w:r>
      <w:r>
        <w:rPr>
          <w:rFonts w:eastAsia="黑体"/>
          <w:bCs/>
          <w:spacing w:val="-8"/>
          <w:kern w:val="0"/>
          <w:sz w:val="24"/>
        </w:rPr>
        <w:fldChar w:fldCharType="separate"/>
      </w:r>
      <w:r>
        <w:rPr>
          <w:rFonts w:eastAsia="黑体"/>
          <w:bCs/>
          <w:spacing w:val="-8"/>
          <w:kern w:val="0"/>
          <w:sz w:val="24"/>
        </w:rPr>
        <w:t>7</w:t>
      </w:r>
      <w:r>
        <w:rPr>
          <w:rFonts w:eastAsia="黑体"/>
          <w:bCs/>
          <w:spacing w:val="-8"/>
          <w:kern w:val="0"/>
          <w:sz w:val="24"/>
        </w:rPr>
        <w:fldChar w:fldCharType="end"/>
      </w:r>
      <w:r>
        <w:rPr>
          <w:rFonts w:eastAsia="黑体"/>
          <w:bCs/>
          <w:spacing w:val="-8"/>
          <w:kern w:val="0"/>
          <w:sz w:val="24"/>
        </w:rPr>
        <w:noBreakHyphen/>
      </w:r>
      <w:r>
        <w:rPr>
          <w:rFonts w:eastAsia="黑体"/>
          <w:bCs/>
          <w:spacing w:val="-8"/>
          <w:kern w:val="0"/>
          <w:sz w:val="24"/>
        </w:rPr>
        <w:fldChar w:fldCharType="begin"/>
      </w:r>
      <w:r>
        <w:rPr>
          <w:rFonts w:eastAsia="黑体"/>
          <w:bCs/>
          <w:spacing w:val="-8"/>
          <w:kern w:val="0"/>
          <w:sz w:val="24"/>
        </w:rPr>
        <w:instrText xml:space="preserve"> </w:instrText>
      </w:r>
      <w:r>
        <w:rPr>
          <w:rFonts w:hint="eastAsia" w:eastAsia="黑体"/>
          <w:bCs/>
          <w:spacing w:val="-8"/>
          <w:kern w:val="0"/>
          <w:sz w:val="24"/>
        </w:rPr>
        <w:instrText xml:space="preserve">SEQ 表 \* ARABIC \s 1</w:instrText>
      </w:r>
      <w:r>
        <w:rPr>
          <w:rFonts w:eastAsia="黑体"/>
          <w:bCs/>
          <w:spacing w:val="-8"/>
          <w:kern w:val="0"/>
          <w:sz w:val="24"/>
        </w:rPr>
        <w:instrText xml:space="preserve"> </w:instrText>
      </w:r>
      <w:r>
        <w:rPr>
          <w:rFonts w:eastAsia="黑体"/>
          <w:bCs/>
          <w:spacing w:val="-8"/>
          <w:kern w:val="0"/>
          <w:sz w:val="24"/>
        </w:rPr>
        <w:fldChar w:fldCharType="separate"/>
      </w:r>
      <w:r>
        <w:rPr>
          <w:rFonts w:eastAsia="黑体"/>
          <w:bCs/>
          <w:spacing w:val="-8"/>
          <w:kern w:val="0"/>
          <w:sz w:val="24"/>
        </w:rPr>
        <w:t>3</w:t>
      </w:r>
      <w:r>
        <w:rPr>
          <w:rFonts w:eastAsia="黑体"/>
          <w:bCs/>
          <w:spacing w:val="-8"/>
          <w:kern w:val="0"/>
          <w:sz w:val="24"/>
        </w:rPr>
        <w:fldChar w:fldCharType="end"/>
      </w:r>
      <w:r>
        <w:rPr>
          <w:rFonts w:eastAsia="黑体"/>
          <w:bCs/>
          <w:spacing w:val="-8"/>
          <w:kern w:val="0"/>
          <w:sz w:val="24"/>
        </w:rPr>
        <w:t xml:space="preserve">  </w:t>
      </w:r>
      <w:r>
        <w:rPr>
          <w:rFonts w:hint="eastAsia" w:eastAsia="黑体"/>
          <w:kern w:val="0"/>
          <w:sz w:val="24"/>
          <w:szCs w:val="21"/>
        </w:rPr>
        <w:t>长期跟踪生态监测计划表</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5"/>
        <w:gridCol w:w="1094"/>
        <w:gridCol w:w="2459"/>
        <w:gridCol w:w="1296"/>
        <w:gridCol w:w="3064"/>
      </w:tblGrid>
      <w:tr w14:paraId="53E47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0DA1316D">
            <w:pPr>
              <w:jc w:val="center"/>
              <w:rPr>
                <w:kern w:val="0"/>
                <w:szCs w:val="21"/>
              </w:rPr>
            </w:pPr>
            <w:r>
              <w:rPr>
                <w:rFonts w:hint="eastAsia"/>
                <w:kern w:val="0"/>
                <w:szCs w:val="21"/>
              </w:rPr>
              <w:t>阶段</w:t>
            </w:r>
          </w:p>
        </w:tc>
        <w:tc>
          <w:tcPr>
            <w:tcW w:w="1094" w:type="dxa"/>
            <w:shd w:val="clear" w:color="auto" w:fill="auto"/>
            <w:vAlign w:val="center"/>
          </w:tcPr>
          <w:p w14:paraId="7BF1E0C9">
            <w:pPr>
              <w:jc w:val="center"/>
              <w:rPr>
                <w:kern w:val="0"/>
                <w:szCs w:val="21"/>
              </w:rPr>
            </w:pPr>
            <w:r>
              <w:rPr>
                <w:rFonts w:hint="eastAsia"/>
                <w:kern w:val="0"/>
                <w:szCs w:val="21"/>
              </w:rPr>
              <w:t>监测点位</w:t>
            </w:r>
          </w:p>
        </w:tc>
        <w:tc>
          <w:tcPr>
            <w:tcW w:w="2460" w:type="dxa"/>
            <w:shd w:val="clear" w:color="auto" w:fill="auto"/>
            <w:vAlign w:val="center"/>
          </w:tcPr>
          <w:p w14:paraId="09497616">
            <w:pPr>
              <w:jc w:val="center"/>
              <w:rPr>
                <w:kern w:val="0"/>
                <w:szCs w:val="21"/>
              </w:rPr>
            </w:pPr>
            <w:r>
              <w:rPr>
                <w:rFonts w:hint="eastAsia"/>
                <w:kern w:val="0"/>
                <w:szCs w:val="21"/>
              </w:rPr>
              <w:t>监测因子</w:t>
            </w:r>
          </w:p>
        </w:tc>
        <w:tc>
          <w:tcPr>
            <w:tcW w:w="0" w:type="auto"/>
            <w:shd w:val="clear" w:color="auto" w:fill="auto"/>
            <w:vAlign w:val="center"/>
          </w:tcPr>
          <w:p w14:paraId="6243CF3B">
            <w:pPr>
              <w:jc w:val="center"/>
              <w:rPr>
                <w:kern w:val="0"/>
                <w:szCs w:val="21"/>
              </w:rPr>
            </w:pPr>
            <w:r>
              <w:rPr>
                <w:rFonts w:hint="eastAsia"/>
                <w:kern w:val="0"/>
                <w:szCs w:val="21"/>
              </w:rPr>
              <w:t>方法</w:t>
            </w:r>
          </w:p>
        </w:tc>
        <w:tc>
          <w:tcPr>
            <w:tcW w:w="0" w:type="auto"/>
            <w:shd w:val="clear" w:color="auto" w:fill="auto"/>
            <w:vAlign w:val="center"/>
          </w:tcPr>
          <w:p w14:paraId="5E71EED6">
            <w:pPr>
              <w:jc w:val="center"/>
              <w:rPr>
                <w:kern w:val="0"/>
                <w:szCs w:val="21"/>
              </w:rPr>
            </w:pPr>
            <w:r>
              <w:rPr>
                <w:rFonts w:hint="eastAsia"/>
                <w:kern w:val="0"/>
                <w:szCs w:val="21"/>
              </w:rPr>
              <w:t>频次</w:t>
            </w:r>
          </w:p>
        </w:tc>
      </w:tr>
      <w:tr w14:paraId="72A80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shd w:val="clear" w:color="auto" w:fill="auto"/>
            <w:vAlign w:val="center"/>
          </w:tcPr>
          <w:p w14:paraId="7DCAC86A">
            <w:pPr>
              <w:jc w:val="center"/>
              <w:rPr>
                <w:kern w:val="0"/>
                <w:szCs w:val="21"/>
              </w:rPr>
            </w:pPr>
            <w:r>
              <w:rPr>
                <w:rFonts w:hint="eastAsia"/>
                <w:kern w:val="0"/>
                <w:szCs w:val="21"/>
              </w:rPr>
              <w:t>施工期</w:t>
            </w:r>
          </w:p>
        </w:tc>
        <w:tc>
          <w:tcPr>
            <w:tcW w:w="1094" w:type="dxa"/>
            <w:shd w:val="clear" w:color="auto" w:fill="auto"/>
            <w:vAlign w:val="center"/>
          </w:tcPr>
          <w:p w14:paraId="67778D8E">
            <w:pPr>
              <w:jc w:val="center"/>
              <w:rPr>
                <w:kern w:val="0"/>
                <w:szCs w:val="21"/>
              </w:rPr>
            </w:pPr>
            <w:r>
              <w:rPr>
                <w:kern w:val="0"/>
                <w:szCs w:val="21"/>
              </w:rPr>
              <w:t>3</w:t>
            </w:r>
            <w:r>
              <w:rPr>
                <w:rFonts w:hint="eastAsia"/>
                <w:kern w:val="0"/>
                <w:szCs w:val="21"/>
              </w:rPr>
              <w:t>个点位</w:t>
            </w:r>
          </w:p>
        </w:tc>
        <w:tc>
          <w:tcPr>
            <w:tcW w:w="2460" w:type="dxa"/>
            <w:shd w:val="clear" w:color="auto" w:fill="auto"/>
            <w:vAlign w:val="center"/>
          </w:tcPr>
          <w:p w14:paraId="707E74F2">
            <w:pPr>
              <w:jc w:val="center"/>
              <w:rPr>
                <w:kern w:val="0"/>
                <w:szCs w:val="21"/>
              </w:rPr>
            </w:pPr>
            <w:r>
              <w:rPr>
                <w:rFonts w:hint="eastAsia"/>
                <w:kern w:val="0"/>
                <w:szCs w:val="21"/>
              </w:rPr>
              <w:t>植被覆盖度、生境质量变化情况</w:t>
            </w:r>
          </w:p>
        </w:tc>
        <w:tc>
          <w:tcPr>
            <w:tcW w:w="0" w:type="auto"/>
            <w:shd w:val="clear" w:color="auto" w:fill="auto"/>
            <w:vAlign w:val="center"/>
          </w:tcPr>
          <w:p w14:paraId="3E596B7D">
            <w:pPr>
              <w:jc w:val="center"/>
              <w:rPr>
                <w:kern w:val="0"/>
                <w:szCs w:val="21"/>
              </w:rPr>
            </w:pPr>
            <w:r>
              <w:rPr>
                <w:rFonts w:hint="eastAsia"/>
                <w:kern w:val="0"/>
                <w:szCs w:val="21"/>
              </w:rPr>
              <w:t>现场调查、遥感调查</w:t>
            </w:r>
          </w:p>
        </w:tc>
        <w:tc>
          <w:tcPr>
            <w:tcW w:w="0" w:type="auto"/>
            <w:shd w:val="clear" w:color="auto" w:fill="auto"/>
            <w:vAlign w:val="center"/>
          </w:tcPr>
          <w:p w14:paraId="077D72C1">
            <w:pPr>
              <w:jc w:val="center"/>
              <w:rPr>
                <w:kern w:val="0"/>
                <w:szCs w:val="21"/>
              </w:rPr>
            </w:pPr>
            <w:r>
              <w:rPr>
                <w:rFonts w:hint="eastAsia"/>
                <w:kern w:val="0"/>
                <w:szCs w:val="21"/>
              </w:rPr>
              <w:t>施工期开展1次</w:t>
            </w:r>
          </w:p>
        </w:tc>
      </w:tr>
      <w:tr w14:paraId="3781C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shd w:val="clear" w:color="auto" w:fill="auto"/>
            <w:vAlign w:val="center"/>
          </w:tcPr>
          <w:p w14:paraId="3467CD50">
            <w:pPr>
              <w:jc w:val="center"/>
              <w:rPr>
                <w:kern w:val="0"/>
                <w:szCs w:val="21"/>
              </w:rPr>
            </w:pPr>
          </w:p>
        </w:tc>
        <w:tc>
          <w:tcPr>
            <w:tcW w:w="1094" w:type="dxa"/>
            <w:shd w:val="clear" w:color="auto" w:fill="auto"/>
            <w:vAlign w:val="center"/>
          </w:tcPr>
          <w:p w14:paraId="0D3C3CE0">
            <w:pPr>
              <w:jc w:val="center"/>
              <w:rPr>
                <w:kern w:val="0"/>
                <w:szCs w:val="21"/>
              </w:rPr>
            </w:pPr>
            <w:r>
              <w:rPr>
                <w:kern w:val="0"/>
                <w:szCs w:val="21"/>
              </w:rPr>
              <w:t>3</w:t>
            </w:r>
            <w:r>
              <w:rPr>
                <w:rFonts w:hint="eastAsia"/>
                <w:kern w:val="0"/>
                <w:szCs w:val="21"/>
              </w:rPr>
              <w:t>条样线</w:t>
            </w:r>
          </w:p>
        </w:tc>
        <w:tc>
          <w:tcPr>
            <w:tcW w:w="2460" w:type="dxa"/>
            <w:shd w:val="clear" w:color="auto" w:fill="auto"/>
            <w:vAlign w:val="center"/>
          </w:tcPr>
          <w:p w14:paraId="5AF80370">
            <w:pPr>
              <w:jc w:val="center"/>
              <w:rPr>
                <w:kern w:val="0"/>
                <w:szCs w:val="21"/>
              </w:rPr>
            </w:pPr>
            <w:r>
              <w:rPr>
                <w:rFonts w:hint="eastAsia"/>
                <w:kern w:val="0"/>
                <w:szCs w:val="21"/>
              </w:rPr>
              <w:t>鸟类种类、数量及分布</w:t>
            </w:r>
          </w:p>
        </w:tc>
        <w:tc>
          <w:tcPr>
            <w:tcW w:w="0" w:type="auto"/>
            <w:shd w:val="clear" w:color="auto" w:fill="auto"/>
            <w:vAlign w:val="center"/>
          </w:tcPr>
          <w:p w14:paraId="77A8C403">
            <w:pPr>
              <w:jc w:val="center"/>
              <w:rPr>
                <w:kern w:val="0"/>
                <w:szCs w:val="21"/>
              </w:rPr>
            </w:pPr>
            <w:r>
              <w:rPr>
                <w:rFonts w:hint="eastAsia"/>
                <w:kern w:val="0"/>
                <w:szCs w:val="21"/>
              </w:rPr>
              <w:t>现场调查</w:t>
            </w:r>
          </w:p>
        </w:tc>
        <w:tc>
          <w:tcPr>
            <w:tcW w:w="0" w:type="auto"/>
            <w:shd w:val="clear" w:color="auto" w:fill="auto"/>
            <w:vAlign w:val="center"/>
          </w:tcPr>
          <w:p w14:paraId="2074AF9D">
            <w:pPr>
              <w:jc w:val="center"/>
              <w:rPr>
                <w:kern w:val="0"/>
                <w:szCs w:val="21"/>
              </w:rPr>
            </w:pPr>
            <w:r>
              <w:rPr>
                <w:rFonts w:hint="eastAsia"/>
                <w:kern w:val="0"/>
                <w:szCs w:val="21"/>
              </w:rPr>
              <w:t>施工期开展1次，至少包括繁殖期和迁徙期</w:t>
            </w:r>
          </w:p>
        </w:tc>
      </w:tr>
      <w:tr w14:paraId="2D978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shd w:val="clear" w:color="auto" w:fill="auto"/>
            <w:vAlign w:val="center"/>
          </w:tcPr>
          <w:p w14:paraId="0970EF5F">
            <w:pPr>
              <w:jc w:val="center"/>
              <w:rPr>
                <w:kern w:val="0"/>
                <w:szCs w:val="21"/>
              </w:rPr>
            </w:pPr>
            <w:r>
              <w:rPr>
                <w:rFonts w:hint="eastAsia"/>
                <w:kern w:val="0"/>
                <w:szCs w:val="21"/>
              </w:rPr>
              <w:t>运营期</w:t>
            </w:r>
          </w:p>
        </w:tc>
        <w:tc>
          <w:tcPr>
            <w:tcW w:w="1094" w:type="dxa"/>
            <w:shd w:val="clear" w:color="auto" w:fill="auto"/>
            <w:vAlign w:val="center"/>
          </w:tcPr>
          <w:p w14:paraId="4C9BB25A">
            <w:pPr>
              <w:jc w:val="center"/>
              <w:rPr>
                <w:kern w:val="0"/>
                <w:szCs w:val="21"/>
              </w:rPr>
            </w:pPr>
            <w:r>
              <w:rPr>
                <w:kern w:val="0"/>
                <w:szCs w:val="21"/>
              </w:rPr>
              <w:t>3</w:t>
            </w:r>
            <w:r>
              <w:rPr>
                <w:rFonts w:hint="eastAsia"/>
                <w:kern w:val="0"/>
                <w:szCs w:val="21"/>
              </w:rPr>
              <w:t>个点位</w:t>
            </w:r>
          </w:p>
        </w:tc>
        <w:tc>
          <w:tcPr>
            <w:tcW w:w="2460" w:type="dxa"/>
            <w:shd w:val="clear" w:color="auto" w:fill="auto"/>
            <w:vAlign w:val="center"/>
          </w:tcPr>
          <w:p w14:paraId="0C16124C">
            <w:pPr>
              <w:jc w:val="center"/>
              <w:rPr>
                <w:kern w:val="0"/>
                <w:szCs w:val="21"/>
              </w:rPr>
            </w:pPr>
            <w:r>
              <w:rPr>
                <w:rFonts w:hint="eastAsia"/>
                <w:kern w:val="0"/>
                <w:szCs w:val="21"/>
              </w:rPr>
              <w:t>植被覆盖度、生境质量变化情况</w:t>
            </w:r>
          </w:p>
        </w:tc>
        <w:tc>
          <w:tcPr>
            <w:tcW w:w="0" w:type="auto"/>
            <w:shd w:val="clear" w:color="auto" w:fill="auto"/>
            <w:vAlign w:val="center"/>
          </w:tcPr>
          <w:p w14:paraId="45C89ACB">
            <w:pPr>
              <w:jc w:val="center"/>
              <w:rPr>
                <w:kern w:val="0"/>
                <w:szCs w:val="21"/>
              </w:rPr>
            </w:pPr>
            <w:r>
              <w:rPr>
                <w:rFonts w:hint="eastAsia"/>
                <w:kern w:val="0"/>
                <w:szCs w:val="21"/>
              </w:rPr>
              <w:t>现场调查、遥感调查</w:t>
            </w:r>
          </w:p>
        </w:tc>
        <w:tc>
          <w:tcPr>
            <w:tcW w:w="0" w:type="auto"/>
            <w:shd w:val="clear" w:color="auto" w:fill="auto"/>
            <w:vAlign w:val="center"/>
          </w:tcPr>
          <w:p w14:paraId="3BE72587">
            <w:pPr>
              <w:jc w:val="center"/>
              <w:rPr>
                <w:kern w:val="0"/>
                <w:szCs w:val="21"/>
              </w:rPr>
            </w:pPr>
            <w:r>
              <w:rPr>
                <w:rFonts w:hint="eastAsia"/>
                <w:kern w:val="0"/>
                <w:szCs w:val="21"/>
              </w:rPr>
              <w:t>项目建成后第1、第3年开展一次</w:t>
            </w:r>
          </w:p>
        </w:tc>
      </w:tr>
      <w:tr w14:paraId="454D3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shd w:val="clear" w:color="auto" w:fill="auto"/>
            <w:vAlign w:val="center"/>
          </w:tcPr>
          <w:p w14:paraId="29094000">
            <w:pPr>
              <w:jc w:val="center"/>
              <w:rPr>
                <w:kern w:val="0"/>
                <w:szCs w:val="21"/>
              </w:rPr>
            </w:pPr>
          </w:p>
        </w:tc>
        <w:tc>
          <w:tcPr>
            <w:tcW w:w="1094" w:type="dxa"/>
            <w:shd w:val="clear" w:color="auto" w:fill="auto"/>
            <w:vAlign w:val="center"/>
          </w:tcPr>
          <w:p w14:paraId="62E900A9">
            <w:pPr>
              <w:jc w:val="center"/>
              <w:rPr>
                <w:kern w:val="0"/>
                <w:szCs w:val="21"/>
              </w:rPr>
            </w:pPr>
            <w:r>
              <w:rPr>
                <w:kern w:val="0"/>
                <w:szCs w:val="21"/>
              </w:rPr>
              <w:t>3</w:t>
            </w:r>
            <w:r>
              <w:rPr>
                <w:rFonts w:hint="eastAsia"/>
                <w:kern w:val="0"/>
                <w:szCs w:val="21"/>
              </w:rPr>
              <w:t>条样线</w:t>
            </w:r>
          </w:p>
        </w:tc>
        <w:tc>
          <w:tcPr>
            <w:tcW w:w="2460" w:type="dxa"/>
            <w:shd w:val="clear" w:color="auto" w:fill="auto"/>
            <w:vAlign w:val="center"/>
          </w:tcPr>
          <w:p w14:paraId="1FCB4A3C">
            <w:pPr>
              <w:jc w:val="center"/>
              <w:rPr>
                <w:kern w:val="0"/>
                <w:szCs w:val="21"/>
              </w:rPr>
            </w:pPr>
            <w:r>
              <w:rPr>
                <w:rFonts w:hint="eastAsia"/>
                <w:kern w:val="0"/>
                <w:szCs w:val="21"/>
              </w:rPr>
              <w:t>鸟类种类、数量及分布</w:t>
            </w:r>
          </w:p>
        </w:tc>
        <w:tc>
          <w:tcPr>
            <w:tcW w:w="0" w:type="auto"/>
            <w:shd w:val="clear" w:color="auto" w:fill="auto"/>
            <w:vAlign w:val="center"/>
          </w:tcPr>
          <w:p w14:paraId="54EB966B">
            <w:pPr>
              <w:jc w:val="center"/>
              <w:rPr>
                <w:kern w:val="0"/>
                <w:szCs w:val="21"/>
              </w:rPr>
            </w:pPr>
            <w:r>
              <w:rPr>
                <w:rFonts w:hint="eastAsia"/>
                <w:kern w:val="0"/>
                <w:szCs w:val="21"/>
              </w:rPr>
              <w:t>现场调查</w:t>
            </w:r>
          </w:p>
        </w:tc>
        <w:tc>
          <w:tcPr>
            <w:tcW w:w="0" w:type="auto"/>
            <w:shd w:val="clear" w:color="auto" w:fill="auto"/>
            <w:vAlign w:val="center"/>
          </w:tcPr>
          <w:p w14:paraId="6CF670AB">
            <w:pPr>
              <w:jc w:val="center"/>
              <w:rPr>
                <w:kern w:val="0"/>
                <w:szCs w:val="21"/>
              </w:rPr>
            </w:pPr>
            <w:r>
              <w:rPr>
                <w:rFonts w:hint="eastAsia"/>
                <w:kern w:val="0"/>
                <w:szCs w:val="21"/>
              </w:rPr>
              <w:t>项目建成后第1、第3年开展一次（至少包括繁殖期和迁徙期）</w:t>
            </w:r>
          </w:p>
        </w:tc>
      </w:tr>
      <w:tr w14:paraId="7DB5D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shd w:val="clear" w:color="auto" w:fill="auto"/>
            <w:vAlign w:val="center"/>
          </w:tcPr>
          <w:p w14:paraId="3F0CF48F">
            <w:pPr>
              <w:jc w:val="center"/>
              <w:rPr>
                <w:kern w:val="0"/>
                <w:szCs w:val="21"/>
              </w:rPr>
            </w:pPr>
          </w:p>
        </w:tc>
        <w:tc>
          <w:tcPr>
            <w:tcW w:w="1094" w:type="dxa"/>
            <w:shd w:val="clear" w:color="auto" w:fill="auto"/>
            <w:vAlign w:val="center"/>
          </w:tcPr>
          <w:p w14:paraId="6F0EEA36">
            <w:pPr>
              <w:jc w:val="center"/>
              <w:rPr>
                <w:kern w:val="0"/>
                <w:szCs w:val="21"/>
              </w:rPr>
            </w:pPr>
            <w:r>
              <w:rPr>
                <w:rFonts w:hint="eastAsia"/>
                <w:kern w:val="0"/>
                <w:szCs w:val="21"/>
              </w:rPr>
              <w:t>生态缓冲带3个点</w:t>
            </w:r>
          </w:p>
        </w:tc>
        <w:tc>
          <w:tcPr>
            <w:tcW w:w="2460" w:type="dxa"/>
            <w:shd w:val="clear" w:color="auto" w:fill="auto"/>
            <w:vAlign w:val="center"/>
          </w:tcPr>
          <w:p w14:paraId="2A3C18C6">
            <w:pPr>
              <w:jc w:val="center"/>
              <w:rPr>
                <w:kern w:val="0"/>
                <w:szCs w:val="21"/>
              </w:rPr>
            </w:pPr>
            <w:r>
              <w:rPr>
                <w:rFonts w:hint="eastAsia"/>
                <w:kern w:val="0"/>
                <w:szCs w:val="21"/>
              </w:rPr>
              <w:t>植被恢复效果（覆盖度、长势、生物量等）</w:t>
            </w:r>
          </w:p>
        </w:tc>
        <w:tc>
          <w:tcPr>
            <w:tcW w:w="0" w:type="auto"/>
            <w:shd w:val="clear" w:color="auto" w:fill="auto"/>
            <w:vAlign w:val="center"/>
          </w:tcPr>
          <w:p w14:paraId="5E8F20D8">
            <w:pPr>
              <w:jc w:val="center"/>
              <w:rPr>
                <w:kern w:val="0"/>
                <w:szCs w:val="21"/>
              </w:rPr>
            </w:pPr>
            <w:r>
              <w:rPr>
                <w:rFonts w:hint="eastAsia"/>
                <w:kern w:val="0"/>
                <w:szCs w:val="21"/>
              </w:rPr>
              <w:t>现场调查、遥感调查</w:t>
            </w:r>
          </w:p>
        </w:tc>
        <w:tc>
          <w:tcPr>
            <w:tcW w:w="0" w:type="auto"/>
            <w:shd w:val="clear" w:color="auto" w:fill="auto"/>
            <w:vAlign w:val="center"/>
          </w:tcPr>
          <w:p w14:paraId="33EBF229">
            <w:pPr>
              <w:jc w:val="center"/>
              <w:rPr>
                <w:kern w:val="0"/>
                <w:szCs w:val="21"/>
              </w:rPr>
            </w:pPr>
            <w:r>
              <w:rPr>
                <w:rFonts w:hint="eastAsia"/>
                <w:kern w:val="0"/>
                <w:szCs w:val="21"/>
              </w:rPr>
              <w:t>项目建成后第1、第3年开展一次</w:t>
            </w:r>
          </w:p>
        </w:tc>
      </w:tr>
      <w:tr w14:paraId="09BB4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5"/>
            <w:shd w:val="clear" w:color="auto" w:fill="auto"/>
            <w:vAlign w:val="center"/>
          </w:tcPr>
          <w:p w14:paraId="43896A2E">
            <w:pPr>
              <w:jc w:val="left"/>
              <w:rPr>
                <w:kern w:val="0"/>
                <w:szCs w:val="21"/>
              </w:rPr>
            </w:pPr>
            <w:r>
              <w:rPr>
                <w:rFonts w:hint="eastAsia"/>
                <w:kern w:val="0"/>
                <w:szCs w:val="21"/>
              </w:rPr>
              <w:t>注：其中湿地公园内生态监测点位可依托湿地公园规划和管理工作现有监测点位或委托湿地公园管理机构开展。</w:t>
            </w:r>
          </w:p>
        </w:tc>
      </w:tr>
    </w:tbl>
    <w:p w14:paraId="0B2B64BE">
      <w:pPr>
        <w:pStyle w:val="3"/>
        <w:rPr>
          <w:kern w:val="0"/>
        </w:rPr>
      </w:pPr>
      <w:bookmarkStart w:id="152" w:name="_Toc198733180"/>
      <w:r>
        <w:rPr>
          <w:rFonts w:hint="eastAsia"/>
          <w:kern w:val="0"/>
        </w:rPr>
        <w:t>环保</w:t>
      </w:r>
      <w:r>
        <w:rPr>
          <w:kern w:val="0"/>
        </w:rPr>
        <w:t>设施“</w:t>
      </w:r>
      <w:r>
        <w:rPr>
          <w:rFonts w:hint="eastAsia"/>
          <w:kern w:val="0"/>
        </w:rPr>
        <w:t>三同时</w:t>
      </w:r>
      <w:r>
        <w:rPr>
          <w:kern w:val="0"/>
        </w:rPr>
        <w:t>”</w:t>
      </w:r>
      <w:r>
        <w:rPr>
          <w:rFonts w:hint="eastAsia"/>
          <w:kern w:val="0"/>
        </w:rPr>
        <w:t>验收</w:t>
      </w:r>
      <w:r>
        <w:rPr>
          <w:kern w:val="0"/>
        </w:rPr>
        <w:t>清单</w:t>
      </w:r>
      <w:bookmarkEnd w:id="152"/>
    </w:p>
    <w:p w14:paraId="6939D644">
      <w:pPr>
        <w:pStyle w:val="85"/>
        <w:ind w:firstLine="480"/>
        <w:rPr>
          <w:kern w:val="0"/>
        </w:rPr>
        <w:sectPr>
          <w:pgSz w:w="11906" w:h="16838"/>
          <w:pgMar w:top="2007" w:right="1797" w:bottom="1724" w:left="1797" w:header="1417" w:footer="1162" w:gutter="0"/>
          <w:pgNumType w:fmt="numberInDash"/>
          <w:cols w:space="425" w:num="1"/>
          <w:docGrid w:type="lines" w:linePitch="312" w:charSpace="0"/>
        </w:sectPr>
      </w:pPr>
      <w:r>
        <w:rPr>
          <w:rFonts w:hint="eastAsia"/>
          <w:kern w:val="0"/>
        </w:rPr>
        <w:t>本项目投产后环保设施“三同时”验收清单见</w:t>
      </w:r>
      <w:r>
        <w:rPr>
          <w:kern w:val="0"/>
        </w:rPr>
        <w:fldChar w:fldCharType="begin"/>
      </w:r>
      <w:r>
        <w:rPr>
          <w:kern w:val="0"/>
        </w:rPr>
        <w:instrText xml:space="preserve"> </w:instrText>
      </w:r>
      <w:r>
        <w:rPr>
          <w:rFonts w:hint="eastAsia"/>
          <w:kern w:val="0"/>
        </w:rPr>
        <w:instrText xml:space="preserve">REF _Ref77606876 \h</w:instrText>
      </w:r>
      <w:r>
        <w:rPr>
          <w:kern w:val="0"/>
        </w:rPr>
        <w:instrText xml:space="preserve">  \* MERGEFORMAT </w:instrText>
      </w:r>
      <w:r>
        <w:rPr>
          <w:kern w:val="0"/>
        </w:rPr>
        <w:fldChar w:fldCharType="separate"/>
      </w:r>
      <w:r>
        <w:rPr>
          <w:rFonts w:hint="eastAsia" w:eastAsia="黑体"/>
          <w:bCs/>
          <w:spacing w:val="-8"/>
          <w:kern w:val="0"/>
        </w:rPr>
        <w:t>表</w:t>
      </w:r>
      <w:r>
        <w:rPr>
          <w:rFonts w:eastAsia="黑体"/>
          <w:bCs/>
          <w:spacing w:val="-8"/>
          <w:kern w:val="0"/>
        </w:rPr>
        <w:t>7</w:t>
      </w:r>
      <w:r>
        <w:rPr>
          <w:rFonts w:eastAsia="黑体"/>
          <w:bCs/>
          <w:spacing w:val="-8"/>
          <w:kern w:val="0"/>
        </w:rPr>
        <w:noBreakHyphen/>
      </w:r>
      <w:r>
        <w:rPr>
          <w:rFonts w:eastAsia="黑体"/>
          <w:bCs/>
          <w:spacing w:val="-8"/>
          <w:kern w:val="0"/>
        </w:rPr>
        <w:t>4</w:t>
      </w:r>
      <w:r>
        <w:rPr>
          <w:kern w:val="0"/>
        </w:rPr>
        <w:fldChar w:fldCharType="end"/>
      </w:r>
      <w:r>
        <w:rPr>
          <w:rFonts w:hint="eastAsia"/>
          <w:kern w:val="0"/>
        </w:rPr>
        <w:t>。</w:t>
      </w:r>
    </w:p>
    <w:p w14:paraId="266BBC85">
      <w:pPr>
        <w:pStyle w:val="85"/>
        <w:ind w:firstLine="448"/>
        <w:jc w:val="center"/>
        <w:rPr>
          <w:kern w:val="0"/>
        </w:rPr>
      </w:pPr>
      <w:bookmarkStart w:id="153" w:name="_Ref77606876"/>
      <w:r>
        <w:rPr>
          <w:rFonts w:hint="eastAsia" w:eastAsia="黑体"/>
          <w:bCs/>
          <w:spacing w:val="-8"/>
          <w:kern w:val="0"/>
        </w:rPr>
        <w:t>表</w:t>
      </w:r>
      <w:r>
        <w:rPr>
          <w:rFonts w:eastAsia="黑体"/>
          <w:bCs/>
          <w:spacing w:val="-8"/>
          <w:kern w:val="0"/>
        </w:rPr>
        <w:fldChar w:fldCharType="begin"/>
      </w:r>
      <w:r>
        <w:rPr>
          <w:rFonts w:eastAsia="黑体"/>
          <w:bCs/>
          <w:spacing w:val="-8"/>
          <w:kern w:val="0"/>
        </w:rPr>
        <w:instrText xml:space="preserve"> </w:instrText>
      </w:r>
      <w:r>
        <w:rPr>
          <w:rFonts w:hint="eastAsia" w:eastAsia="黑体"/>
          <w:bCs/>
          <w:spacing w:val="-8"/>
          <w:kern w:val="0"/>
        </w:rPr>
        <w:instrText xml:space="preserve">STYLEREF 1 \s</w:instrText>
      </w:r>
      <w:r>
        <w:rPr>
          <w:rFonts w:eastAsia="黑体"/>
          <w:bCs/>
          <w:spacing w:val="-8"/>
          <w:kern w:val="0"/>
        </w:rPr>
        <w:instrText xml:space="preserve"> </w:instrText>
      </w:r>
      <w:r>
        <w:rPr>
          <w:rFonts w:eastAsia="黑体"/>
          <w:bCs/>
          <w:spacing w:val="-8"/>
          <w:kern w:val="0"/>
        </w:rPr>
        <w:fldChar w:fldCharType="separate"/>
      </w:r>
      <w:r>
        <w:rPr>
          <w:rFonts w:eastAsia="黑体"/>
          <w:bCs/>
          <w:spacing w:val="-8"/>
          <w:kern w:val="0"/>
        </w:rPr>
        <w:t>7</w:t>
      </w:r>
      <w:r>
        <w:rPr>
          <w:rFonts w:eastAsia="黑体"/>
          <w:bCs/>
          <w:spacing w:val="-8"/>
          <w:kern w:val="0"/>
        </w:rPr>
        <w:fldChar w:fldCharType="end"/>
      </w:r>
      <w:r>
        <w:rPr>
          <w:rFonts w:eastAsia="黑体"/>
          <w:bCs/>
          <w:spacing w:val="-8"/>
          <w:kern w:val="0"/>
        </w:rPr>
        <w:noBreakHyphen/>
      </w:r>
      <w:r>
        <w:rPr>
          <w:rFonts w:eastAsia="黑体"/>
          <w:bCs/>
          <w:spacing w:val="-8"/>
          <w:kern w:val="0"/>
        </w:rPr>
        <w:fldChar w:fldCharType="begin"/>
      </w:r>
      <w:r>
        <w:rPr>
          <w:rFonts w:eastAsia="黑体"/>
          <w:bCs/>
          <w:spacing w:val="-8"/>
          <w:kern w:val="0"/>
        </w:rPr>
        <w:instrText xml:space="preserve"> </w:instrText>
      </w:r>
      <w:r>
        <w:rPr>
          <w:rFonts w:hint="eastAsia" w:eastAsia="黑体"/>
          <w:bCs/>
          <w:spacing w:val="-8"/>
          <w:kern w:val="0"/>
        </w:rPr>
        <w:instrText xml:space="preserve">SEQ 表 \* ARABIC \s 1</w:instrText>
      </w:r>
      <w:r>
        <w:rPr>
          <w:rFonts w:eastAsia="黑体"/>
          <w:bCs/>
          <w:spacing w:val="-8"/>
          <w:kern w:val="0"/>
        </w:rPr>
        <w:instrText xml:space="preserve"> </w:instrText>
      </w:r>
      <w:r>
        <w:rPr>
          <w:rFonts w:eastAsia="黑体"/>
          <w:bCs/>
          <w:spacing w:val="-8"/>
          <w:kern w:val="0"/>
        </w:rPr>
        <w:fldChar w:fldCharType="separate"/>
      </w:r>
      <w:r>
        <w:rPr>
          <w:rFonts w:eastAsia="黑体"/>
          <w:bCs/>
          <w:spacing w:val="-8"/>
          <w:kern w:val="0"/>
        </w:rPr>
        <w:t>4</w:t>
      </w:r>
      <w:r>
        <w:rPr>
          <w:rFonts w:eastAsia="黑体"/>
          <w:bCs/>
          <w:spacing w:val="-8"/>
          <w:kern w:val="0"/>
        </w:rPr>
        <w:fldChar w:fldCharType="end"/>
      </w:r>
      <w:bookmarkEnd w:id="153"/>
      <w:r>
        <w:rPr>
          <w:rFonts w:eastAsia="黑体"/>
          <w:bCs/>
          <w:spacing w:val="-8"/>
          <w:kern w:val="0"/>
        </w:rPr>
        <w:t xml:space="preserve">  </w:t>
      </w:r>
      <w:r>
        <w:rPr>
          <w:rFonts w:hint="eastAsia" w:eastAsia="黑体"/>
          <w:bCs/>
          <w:spacing w:val="-8"/>
          <w:kern w:val="0"/>
        </w:rPr>
        <w:t>环保设施“三同时”验收一览表</w:t>
      </w:r>
    </w:p>
    <w:tbl>
      <w:tblPr>
        <w:tblStyle w:val="6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455"/>
        <w:gridCol w:w="549"/>
        <w:gridCol w:w="2342"/>
        <w:gridCol w:w="1289"/>
        <w:gridCol w:w="733"/>
        <w:gridCol w:w="1102"/>
        <w:gridCol w:w="1603"/>
      </w:tblGrid>
      <w:tr w14:paraId="39E98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Align w:val="center"/>
          </w:tcPr>
          <w:p w14:paraId="0E2BEFD2">
            <w:pPr>
              <w:widowControl/>
              <w:jc w:val="center"/>
              <w:rPr>
                <w:kern w:val="0"/>
                <w:szCs w:val="21"/>
              </w:rPr>
            </w:pPr>
            <w:r>
              <w:rPr>
                <w:rFonts w:hint="eastAsia"/>
                <w:kern w:val="0"/>
                <w:szCs w:val="21"/>
              </w:rPr>
              <w:t>类别</w:t>
            </w:r>
          </w:p>
        </w:tc>
        <w:tc>
          <w:tcPr>
            <w:tcW w:w="267" w:type="pct"/>
            <w:vAlign w:val="center"/>
          </w:tcPr>
          <w:p w14:paraId="469BF2ED">
            <w:pPr>
              <w:widowControl/>
              <w:jc w:val="center"/>
              <w:rPr>
                <w:kern w:val="0"/>
                <w:szCs w:val="21"/>
              </w:rPr>
            </w:pPr>
            <w:r>
              <w:rPr>
                <w:rFonts w:hint="eastAsia"/>
                <w:kern w:val="0"/>
                <w:szCs w:val="21"/>
              </w:rPr>
              <w:t>序号</w:t>
            </w:r>
          </w:p>
        </w:tc>
        <w:tc>
          <w:tcPr>
            <w:tcW w:w="322" w:type="pct"/>
            <w:vAlign w:val="center"/>
          </w:tcPr>
          <w:p w14:paraId="67C34B4E">
            <w:pPr>
              <w:widowControl/>
              <w:jc w:val="center"/>
              <w:rPr>
                <w:kern w:val="0"/>
                <w:szCs w:val="21"/>
              </w:rPr>
            </w:pPr>
            <w:r>
              <w:rPr>
                <w:rFonts w:hint="eastAsia"/>
                <w:kern w:val="0"/>
                <w:szCs w:val="21"/>
              </w:rPr>
              <w:t>污染源</w:t>
            </w:r>
          </w:p>
        </w:tc>
        <w:tc>
          <w:tcPr>
            <w:tcW w:w="1373" w:type="pct"/>
            <w:vAlign w:val="center"/>
          </w:tcPr>
          <w:p w14:paraId="38B4D564">
            <w:pPr>
              <w:widowControl/>
              <w:jc w:val="center"/>
              <w:rPr>
                <w:kern w:val="0"/>
                <w:szCs w:val="21"/>
              </w:rPr>
            </w:pPr>
            <w:r>
              <w:rPr>
                <w:rFonts w:hint="eastAsia"/>
                <w:kern w:val="0"/>
                <w:szCs w:val="21"/>
              </w:rPr>
              <w:t>环保设施</w:t>
            </w:r>
          </w:p>
        </w:tc>
        <w:tc>
          <w:tcPr>
            <w:tcW w:w="756" w:type="pct"/>
            <w:vAlign w:val="center"/>
          </w:tcPr>
          <w:p w14:paraId="0C6B3C6A">
            <w:pPr>
              <w:widowControl/>
              <w:jc w:val="center"/>
              <w:rPr>
                <w:kern w:val="0"/>
                <w:szCs w:val="21"/>
              </w:rPr>
            </w:pPr>
            <w:r>
              <w:rPr>
                <w:rFonts w:hint="eastAsia"/>
                <w:kern w:val="0"/>
                <w:szCs w:val="21"/>
              </w:rPr>
              <w:t>环保投资（万元）</w:t>
            </w:r>
          </w:p>
        </w:tc>
        <w:tc>
          <w:tcPr>
            <w:tcW w:w="430" w:type="pct"/>
            <w:vAlign w:val="center"/>
          </w:tcPr>
          <w:p w14:paraId="08F9753E">
            <w:pPr>
              <w:widowControl/>
              <w:jc w:val="center"/>
              <w:rPr>
                <w:kern w:val="0"/>
                <w:szCs w:val="21"/>
              </w:rPr>
            </w:pPr>
            <w:r>
              <w:rPr>
                <w:rFonts w:hint="eastAsia"/>
                <w:kern w:val="0"/>
                <w:szCs w:val="21"/>
              </w:rPr>
              <w:t>治理</w:t>
            </w:r>
            <w:r>
              <w:rPr>
                <w:kern w:val="0"/>
                <w:szCs w:val="21"/>
              </w:rPr>
              <w:t>对象</w:t>
            </w:r>
          </w:p>
        </w:tc>
        <w:tc>
          <w:tcPr>
            <w:tcW w:w="646" w:type="pct"/>
            <w:vAlign w:val="center"/>
          </w:tcPr>
          <w:p w14:paraId="651390FB">
            <w:pPr>
              <w:widowControl/>
              <w:jc w:val="center"/>
              <w:rPr>
                <w:kern w:val="0"/>
                <w:szCs w:val="21"/>
              </w:rPr>
            </w:pPr>
            <w:r>
              <w:rPr>
                <w:rFonts w:hint="eastAsia"/>
                <w:kern w:val="0"/>
                <w:szCs w:val="21"/>
              </w:rPr>
              <w:t>治理效果</w:t>
            </w:r>
          </w:p>
        </w:tc>
        <w:tc>
          <w:tcPr>
            <w:tcW w:w="940" w:type="pct"/>
            <w:vAlign w:val="center"/>
          </w:tcPr>
          <w:p w14:paraId="3AADD5A2">
            <w:pPr>
              <w:widowControl/>
              <w:jc w:val="center"/>
              <w:rPr>
                <w:kern w:val="0"/>
                <w:szCs w:val="21"/>
              </w:rPr>
            </w:pPr>
            <w:r>
              <w:rPr>
                <w:rFonts w:hint="eastAsia"/>
                <w:kern w:val="0"/>
                <w:szCs w:val="21"/>
              </w:rPr>
              <w:t>验收</w:t>
            </w:r>
            <w:r>
              <w:rPr>
                <w:kern w:val="0"/>
                <w:szCs w:val="21"/>
              </w:rPr>
              <w:t>标准</w:t>
            </w:r>
          </w:p>
        </w:tc>
      </w:tr>
      <w:tr w14:paraId="754D1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Align w:val="center"/>
          </w:tcPr>
          <w:p w14:paraId="7876D3E4">
            <w:pPr>
              <w:widowControl/>
              <w:jc w:val="center"/>
              <w:rPr>
                <w:kern w:val="0"/>
                <w:szCs w:val="21"/>
              </w:rPr>
            </w:pPr>
            <w:r>
              <w:rPr>
                <w:rFonts w:hint="eastAsia"/>
                <w:kern w:val="0"/>
                <w:szCs w:val="21"/>
              </w:rPr>
              <w:t>生态</w:t>
            </w:r>
          </w:p>
        </w:tc>
        <w:tc>
          <w:tcPr>
            <w:tcW w:w="267" w:type="pct"/>
            <w:vAlign w:val="center"/>
          </w:tcPr>
          <w:p w14:paraId="01ABDD33">
            <w:pPr>
              <w:widowControl/>
              <w:jc w:val="center"/>
              <w:rPr>
                <w:kern w:val="0"/>
                <w:szCs w:val="21"/>
              </w:rPr>
            </w:pPr>
            <w:r>
              <w:rPr>
                <w:rFonts w:hint="eastAsia"/>
                <w:kern w:val="0"/>
                <w:szCs w:val="21"/>
              </w:rPr>
              <w:t>1</w:t>
            </w:r>
          </w:p>
        </w:tc>
        <w:tc>
          <w:tcPr>
            <w:tcW w:w="322" w:type="pct"/>
            <w:vAlign w:val="center"/>
          </w:tcPr>
          <w:p w14:paraId="39519B4F">
            <w:pPr>
              <w:widowControl/>
              <w:jc w:val="center"/>
              <w:rPr>
                <w:kern w:val="0"/>
                <w:szCs w:val="21"/>
              </w:rPr>
            </w:pPr>
            <w:r>
              <w:rPr>
                <w:kern w:val="0"/>
                <w:szCs w:val="21"/>
              </w:rPr>
              <w:t>生态措施</w:t>
            </w:r>
          </w:p>
        </w:tc>
        <w:tc>
          <w:tcPr>
            <w:tcW w:w="1373" w:type="pct"/>
            <w:vAlign w:val="center"/>
          </w:tcPr>
          <w:p w14:paraId="0ABFFEDF">
            <w:pPr>
              <w:spacing w:line="276" w:lineRule="auto"/>
              <w:jc w:val="left"/>
              <w:rPr>
                <w:kern w:val="0"/>
                <w:szCs w:val="21"/>
              </w:rPr>
            </w:pPr>
            <w:r>
              <w:rPr>
                <w:kern w:val="0"/>
                <w:szCs w:val="21"/>
              </w:rPr>
              <w:t>河道基底修复及微地形梳理、构建恢复生态缓冲带、水生态构建及水生植物恢复等。治理潮河干流长度10.81km，基底修复及微地形梳理10.81km；构建修复生态缓冲带13.83km，陆域植被恢复16.31公顷、水生态构建及水生植物恢复16.49公顷</w:t>
            </w:r>
            <w:r>
              <w:rPr>
                <w:rFonts w:hint="eastAsia"/>
                <w:kern w:val="0"/>
                <w:szCs w:val="21"/>
              </w:rPr>
              <w:t>。</w:t>
            </w:r>
          </w:p>
        </w:tc>
        <w:tc>
          <w:tcPr>
            <w:tcW w:w="756" w:type="pct"/>
            <w:vAlign w:val="center"/>
          </w:tcPr>
          <w:p w14:paraId="032BD183">
            <w:pPr>
              <w:widowControl/>
              <w:jc w:val="center"/>
              <w:rPr>
                <w:kern w:val="0"/>
                <w:szCs w:val="21"/>
              </w:rPr>
            </w:pPr>
            <w:r>
              <w:rPr>
                <w:kern w:val="0"/>
                <w:szCs w:val="21"/>
              </w:rPr>
              <w:t>5190.57</w:t>
            </w:r>
          </w:p>
        </w:tc>
        <w:tc>
          <w:tcPr>
            <w:tcW w:w="430" w:type="pct"/>
            <w:vAlign w:val="center"/>
          </w:tcPr>
          <w:p w14:paraId="431133E8">
            <w:pPr>
              <w:widowControl/>
              <w:jc w:val="center"/>
              <w:rPr>
                <w:kern w:val="0"/>
                <w:szCs w:val="21"/>
              </w:rPr>
            </w:pPr>
            <w:r>
              <w:rPr>
                <w:rFonts w:hint="eastAsia"/>
                <w:kern w:val="0"/>
                <w:szCs w:val="21"/>
              </w:rPr>
              <w:t>生态</w:t>
            </w:r>
            <w:r>
              <w:rPr>
                <w:kern w:val="0"/>
                <w:szCs w:val="21"/>
              </w:rPr>
              <w:t>恢复</w:t>
            </w:r>
          </w:p>
        </w:tc>
        <w:tc>
          <w:tcPr>
            <w:tcW w:w="1586" w:type="pct"/>
            <w:gridSpan w:val="2"/>
            <w:vAlign w:val="center"/>
          </w:tcPr>
          <w:p w14:paraId="0601274B">
            <w:pPr>
              <w:widowControl/>
              <w:jc w:val="center"/>
              <w:rPr>
                <w:kern w:val="0"/>
                <w:szCs w:val="21"/>
              </w:rPr>
            </w:pPr>
            <w:r>
              <w:rPr>
                <w:rFonts w:hint="eastAsia"/>
                <w:kern w:val="0"/>
                <w:szCs w:val="21"/>
              </w:rPr>
              <w:t>生态</w:t>
            </w:r>
            <w:r>
              <w:rPr>
                <w:kern w:val="0"/>
                <w:szCs w:val="21"/>
              </w:rPr>
              <w:t>修复工程量满足</w:t>
            </w:r>
            <w:r>
              <w:rPr>
                <w:rFonts w:hint="eastAsia"/>
                <w:kern w:val="0"/>
                <w:szCs w:val="21"/>
              </w:rPr>
              <w:t>工程</w:t>
            </w:r>
            <w:r>
              <w:rPr>
                <w:kern w:val="0"/>
                <w:szCs w:val="21"/>
              </w:rPr>
              <w:t>设计要求；生态</w:t>
            </w:r>
            <w:r>
              <w:rPr>
                <w:rFonts w:hint="eastAsia"/>
                <w:kern w:val="0"/>
                <w:szCs w:val="21"/>
              </w:rPr>
              <w:t>修复</w:t>
            </w:r>
            <w:r>
              <w:rPr>
                <w:kern w:val="0"/>
                <w:szCs w:val="21"/>
              </w:rPr>
              <w:t>效果满足</w:t>
            </w:r>
            <w:r>
              <w:rPr>
                <w:rFonts w:hint="eastAsia"/>
                <w:kern w:val="0"/>
                <w:szCs w:val="21"/>
              </w:rPr>
              <w:t>“改善河水环境质量，恢复河流生态廊道功能，降低入潮河污染物，改善河道生态环境状况”目标</w:t>
            </w:r>
          </w:p>
        </w:tc>
      </w:tr>
    </w:tbl>
    <w:p w14:paraId="15F5636B">
      <w:pPr>
        <w:pStyle w:val="85"/>
        <w:ind w:firstLine="480"/>
        <w:rPr>
          <w:kern w:val="0"/>
        </w:rPr>
        <w:sectPr>
          <w:pgSz w:w="11906" w:h="16838"/>
          <w:pgMar w:top="2007" w:right="1797" w:bottom="1724" w:left="1797" w:header="1417" w:footer="1162" w:gutter="0"/>
          <w:pgNumType w:fmt="numberInDash"/>
          <w:cols w:space="425" w:num="1"/>
          <w:docGrid w:type="lines" w:linePitch="312" w:charSpace="0"/>
        </w:sectPr>
      </w:pPr>
    </w:p>
    <w:p w14:paraId="62E879F4">
      <w:pPr>
        <w:pStyle w:val="2"/>
        <w:rPr>
          <w:kern w:val="0"/>
        </w:rPr>
      </w:pPr>
      <w:bookmarkStart w:id="154" w:name="_Toc198733181"/>
      <w:r>
        <w:rPr>
          <w:rFonts w:hint="eastAsia"/>
          <w:kern w:val="0"/>
        </w:rPr>
        <w:t>结论</w:t>
      </w:r>
      <w:r>
        <w:rPr>
          <w:kern w:val="0"/>
        </w:rPr>
        <w:t>与建议</w:t>
      </w:r>
      <w:bookmarkEnd w:id="154"/>
    </w:p>
    <w:p w14:paraId="0B9B7EE1">
      <w:pPr>
        <w:pStyle w:val="3"/>
        <w:rPr>
          <w:kern w:val="0"/>
        </w:rPr>
      </w:pPr>
      <w:bookmarkStart w:id="155" w:name="_Toc198733182"/>
      <w:r>
        <w:rPr>
          <w:rFonts w:hint="eastAsia"/>
          <w:kern w:val="0"/>
        </w:rPr>
        <w:t>建设</w:t>
      </w:r>
      <w:r>
        <w:rPr>
          <w:kern w:val="0"/>
        </w:rPr>
        <w:t>项目概况</w:t>
      </w:r>
      <w:bookmarkEnd w:id="155"/>
    </w:p>
    <w:p w14:paraId="675F2D2A">
      <w:pPr>
        <w:pStyle w:val="4"/>
        <w:rPr>
          <w:kern w:val="0"/>
        </w:rPr>
      </w:pPr>
      <w:r>
        <w:rPr>
          <w:rFonts w:hint="eastAsia"/>
          <w:kern w:val="0"/>
        </w:rPr>
        <w:t>项目</w:t>
      </w:r>
      <w:r>
        <w:rPr>
          <w:kern w:val="0"/>
        </w:rPr>
        <w:t>概况</w:t>
      </w:r>
    </w:p>
    <w:p w14:paraId="4F1675F6">
      <w:pPr>
        <w:pStyle w:val="85"/>
        <w:spacing w:line="500" w:lineRule="exact"/>
        <w:ind w:firstLine="480"/>
        <w:rPr>
          <w:kern w:val="0"/>
        </w:rPr>
      </w:pPr>
      <w:r>
        <w:rPr>
          <w:kern w:val="0"/>
          <w:lang w:bidi="zh-CN"/>
        </w:rPr>
        <w:t>本项目实施内容包括</w:t>
      </w:r>
      <w:r>
        <w:rPr>
          <w:rFonts w:hint="eastAsia"/>
          <w:kern w:val="0"/>
          <w:lang w:bidi="zh-CN"/>
        </w:rPr>
        <w:t>河道基底修复及微地形梳理；构建恢复生态缓冲带、水生态构建及水生植物恢复。其中，治理潮河干流长度10.81km，基底修复及微地形梳理10.81km；构建修复生态缓冲带13.83km，陆域植被恢复16.31公顷、水生态构建及水生植物恢复16.49公顷。</w:t>
      </w:r>
    </w:p>
    <w:p w14:paraId="2BB83EBA">
      <w:pPr>
        <w:pStyle w:val="4"/>
        <w:rPr>
          <w:kern w:val="0"/>
        </w:rPr>
      </w:pPr>
      <w:r>
        <w:rPr>
          <w:rFonts w:hint="eastAsia"/>
          <w:kern w:val="0"/>
        </w:rPr>
        <w:t>地理位置</w:t>
      </w:r>
    </w:p>
    <w:p w14:paraId="564B2FAC">
      <w:pPr>
        <w:pStyle w:val="85"/>
        <w:spacing w:line="500" w:lineRule="exact"/>
        <w:ind w:firstLine="480"/>
        <w:rPr>
          <w:kern w:val="0"/>
        </w:rPr>
      </w:pPr>
      <w:r>
        <w:rPr>
          <w:rFonts w:hint="eastAsia"/>
          <w:kern w:val="0"/>
        </w:rPr>
        <w:t>本工程实施范围位于滦平县潮河干流（丰宁入境至S224省道潮河桥）</w:t>
      </w:r>
      <w:r>
        <w:rPr>
          <w:kern w:val="0"/>
        </w:rPr>
        <w:t>。</w:t>
      </w:r>
    </w:p>
    <w:p w14:paraId="3BE9F49D">
      <w:pPr>
        <w:pStyle w:val="3"/>
        <w:rPr>
          <w:kern w:val="0"/>
        </w:rPr>
      </w:pPr>
      <w:bookmarkStart w:id="156" w:name="_Toc198733183"/>
      <w:r>
        <w:rPr>
          <w:rFonts w:hint="eastAsia"/>
          <w:kern w:val="0"/>
        </w:rPr>
        <w:t>环境质量现状调查</w:t>
      </w:r>
      <w:bookmarkEnd w:id="156"/>
    </w:p>
    <w:p w14:paraId="195A03E7">
      <w:pPr>
        <w:pStyle w:val="4"/>
        <w:rPr>
          <w:kern w:val="0"/>
        </w:rPr>
      </w:pPr>
      <w:r>
        <w:rPr>
          <w:rFonts w:hint="eastAsia"/>
          <w:kern w:val="0"/>
        </w:rPr>
        <w:t>环境</w:t>
      </w:r>
      <w:r>
        <w:rPr>
          <w:kern w:val="0"/>
        </w:rPr>
        <w:t>质量现状</w:t>
      </w:r>
    </w:p>
    <w:p w14:paraId="17887962">
      <w:pPr>
        <w:pStyle w:val="85"/>
        <w:spacing w:line="500" w:lineRule="exact"/>
        <w:ind w:firstLine="480"/>
        <w:rPr>
          <w:kern w:val="0"/>
        </w:rPr>
      </w:pPr>
      <w:r>
        <w:rPr>
          <w:rFonts w:hint="eastAsia"/>
          <w:kern w:val="0"/>
        </w:rPr>
        <w:t>根据《2023 年承德市生态环境状况公报》（2024年5月，承德市生态环境局）和《关于2023 年12 月份全市空气质量预警监测结果的通报》（承气领办〔2024〕12 号），滦平县六项基本污染物中除 O3外其余污染物均满足《环境空气质量标准》（GB3095-2012）中二级标准，项目所在区域为环境空气质量不达标区。</w:t>
      </w:r>
    </w:p>
    <w:p w14:paraId="19A1D0EE">
      <w:pPr>
        <w:pStyle w:val="85"/>
        <w:spacing w:line="500" w:lineRule="exact"/>
        <w:ind w:firstLine="480"/>
        <w:rPr>
          <w:kern w:val="0"/>
        </w:rPr>
      </w:pPr>
      <w:r>
        <w:rPr>
          <w:rFonts w:hint="eastAsia"/>
          <w:kern w:val="0"/>
        </w:rPr>
        <w:t>地表水</w:t>
      </w:r>
      <w:r>
        <w:rPr>
          <w:kern w:val="0"/>
        </w:rPr>
        <w:t>环境常规监测结果显示：</w:t>
      </w:r>
      <w:r>
        <w:rPr>
          <w:rFonts w:hint="eastAsia"/>
          <w:kern w:val="0"/>
        </w:rPr>
        <w:t>天桥断面、古北口断面</w:t>
      </w:r>
      <w:r>
        <w:rPr>
          <w:kern w:val="0"/>
        </w:rPr>
        <w:t>COD</w:t>
      </w:r>
      <w:r>
        <w:rPr>
          <w:rFonts w:hint="eastAsia"/>
          <w:kern w:val="0"/>
        </w:rPr>
        <w:t>、高锰酸盐指数、氨氮、总磷1</w:t>
      </w:r>
      <w:r>
        <w:rPr>
          <w:kern w:val="0"/>
        </w:rPr>
        <w:t>2</w:t>
      </w:r>
      <w:r>
        <w:rPr>
          <w:rFonts w:hint="eastAsia"/>
          <w:kern w:val="0"/>
        </w:rPr>
        <w:t>个月均值能够</w:t>
      </w:r>
      <w:r>
        <w:rPr>
          <w:kern w:val="0"/>
        </w:rPr>
        <w:t>《地表水环境质量标准》（GB3838-2002）中</w:t>
      </w:r>
      <w:r>
        <w:rPr>
          <w:rFonts w:hint="eastAsia"/>
          <w:kern w:val="0"/>
        </w:rPr>
        <w:t>Ⅱ类</w:t>
      </w:r>
      <w:r>
        <w:rPr>
          <w:kern w:val="0"/>
        </w:rPr>
        <w:t>标准要求</w:t>
      </w:r>
      <w:r>
        <w:rPr>
          <w:rFonts w:hint="eastAsia"/>
          <w:kern w:val="0"/>
        </w:rPr>
        <w:t>；总氮1</w:t>
      </w:r>
      <w:r>
        <w:rPr>
          <w:kern w:val="0"/>
        </w:rPr>
        <w:t>2</w:t>
      </w:r>
      <w:r>
        <w:rPr>
          <w:rFonts w:hint="eastAsia"/>
          <w:kern w:val="0"/>
        </w:rPr>
        <w:t>个月均值不能满足《密云水库上游潮白河流域水源涵养区横向生态保护补偿协议（2021-2025年）》，管理要求（总氮目标值为＜6.56mg/L）</w:t>
      </w:r>
      <w:r>
        <w:rPr>
          <w:kern w:val="0"/>
        </w:rPr>
        <w:t>。</w:t>
      </w:r>
    </w:p>
    <w:p w14:paraId="69F9C879">
      <w:pPr>
        <w:pStyle w:val="85"/>
        <w:spacing w:line="500" w:lineRule="exact"/>
        <w:ind w:firstLine="480"/>
        <w:rPr>
          <w:kern w:val="0"/>
        </w:rPr>
      </w:pPr>
      <w:r>
        <w:rPr>
          <w:rFonts w:hint="eastAsia"/>
          <w:kern w:val="0"/>
        </w:rPr>
        <w:t>地下水</w:t>
      </w:r>
      <w:r>
        <w:rPr>
          <w:kern w:val="0"/>
        </w:rPr>
        <w:t>质量监测结果显示：</w:t>
      </w:r>
      <w:r>
        <w:rPr>
          <w:rFonts w:hint="eastAsia"/>
          <w:kern w:val="0"/>
        </w:rPr>
        <w:t>各监测点石油类满足《地表水环境质量标准》（GB3838-2002）Ⅱ类标准；其它各因子均满足《地下水质量标准》（GB/T14848-2017）Ⅲ类标准，区域地下水水质良好。</w:t>
      </w:r>
    </w:p>
    <w:p w14:paraId="11E5D71E">
      <w:pPr>
        <w:pStyle w:val="85"/>
        <w:spacing w:line="500" w:lineRule="exact"/>
        <w:ind w:firstLine="480"/>
        <w:rPr>
          <w:kern w:val="0"/>
        </w:rPr>
      </w:pPr>
      <w:r>
        <w:rPr>
          <w:rFonts w:hint="eastAsia"/>
          <w:kern w:val="0"/>
        </w:rPr>
        <w:t>声环境现状监测结果显示：大河北小学南（1#）和西红旗村南（2#）</w:t>
      </w:r>
      <w:r>
        <w:rPr>
          <w:kern w:val="0"/>
        </w:rPr>
        <w:t>满足《声环境质量标准》(GB3096-2008)1类区标准的要求。</w:t>
      </w:r>
    </w:p>
    <w:p w14:paraId="2761063C">
      <w:pPr>
        <w:pStyle w:val="4"/>
        <w:rPr>
          <w:kern w:val="0"/>
        </w:rPr>
      </w:pPr>
      <w:r>
        <w:rPr>
          <w:rFonts w:hint="eastAsia"/>
          <w:kern w:val="0"/>
        </w:rPr>
        <w:t>环境</w:t>
      </w:r>
      <w:r>
        <w:rPr>
          <w:kern w:val="0"/>
        </w:rPr>
        <w:t>保护目标</w:t>
      </w:r>
    </w:p>
    <w:p w14:paraId="5038EC02">
      <w:pPr>
        <w:pStyle w:val="85"/>
        <w:spacing w:line="500" w:lineRule="exact"/>
        <w:ind w:firstLine="480"/>
        <w:rPr>
          <w:kern w:val="0"/>
        </w:rPr>
      </w:pPr>
      <w:r>
        <w:rPr>
          <w:rFonts w:hint="eastAsia"/>
          <w:kern w:val="0"/>
        </w:rPr>
        <w:t>通过对项目区域现场踏勘调查，拟建工程有28.72</w:t>
      </w:r>
      <w:r>
        <w:rPr>
          <w:kern w:val="0"/>
        </w:rPr>
        <w:t>hm</w:t>
      </w:r>
      <w:r>
        <w:rPr>
          <w:kern w:val="0"/>
          <w:vertAlign w:val="superscript"/>
        </w:rPr>
        <w:t>2</w:t>
      </w:r>
      <w:r>
        <w:rPr>
          <w:rFonts w:hint="eastAsia"/>
          <w:kern w:val="0"/>
        </w:rPr>
        <w:t>的区域位于生态保护红线范围内；同时有24.36</w:t>
      </w:r>
      <w:r>
        <w:rPr>
          <w:kern w:val="0"/>
        </w:rPr>
        <w:t>hm</w:t>
      </w:r>
      <w:r>
        <w:rPr>
          <w:kern w:val="0"/>
          <w:vertAlign w:val="superscript"/>
        </w:rPr>
        <w:t>2</w:t>
      </w:r>
      <w:r>
        <w:rPr>
          <w:kern w:val="0"/>
        </w:rPr>
        <w:t>的区域</w:t>
      </w:r>
      <w:r>
        <w:rPr>
          <w:rFonts w:hint="eastAsia"/>
          <w:kern w:val="0"/>
        </w:rPr>
        <w:t>位于河北滦平潮河国家湿地公园范围内。根据区域环境特点和项目工程特点，确定周边居民区为环境空气保护目标；潮河为地表水环境保护目标；评价范围内含水层为地下水环境保护目标；将工程区域</w:t>
      </w:r>
      <w:r>
        <w:rPr>
          <w:kern w:val="0"/>
        </w:rPr>
        <w:t>200m</w:t>
      </w:r>
      <w:r>
        <w:rPr>
          <w:rFonts w:hint="eastAsia"/>
          <w:kern w:val="0"/>
        </w:rPr>
        <w:t>范围的敏感点作为声环境保护目标。河北滦平潮河国家湿地公园及燕山水源涵养-生物多样性维护生态保护红线及其中分布的重点保护野生动植物为生态保护目标。</w:t>
      </w:r>
    </w:p>
    <w:p w14:paraId="32C2FC1E">
      <w:pPr>
        <w:pStyle w:val="3"/>
        <w:rPr>
          <w:kern w:val="0"/>
        </w:rPr>
      </w:pPr>
      <w:bookmarkStart w:id="157" w:name="_Toc198733184"/>
      <w:r>
        <w:rPr>
          <w:rFonts w:hint="eastAsia"/>
          <w:kern w:val="0"/>
        </w:rPr>
        <w:t>污染物</w:t>
      </w:r>
      <w:r>
        <w:rPr>
          <w:kern w:val="0"/>
        </w:rPr>
        <w:t>排放情况</w:t>
      </w:r>
      <w:bookmarkEnd w:id="157"/>
    </w:p>
    <w:p w14:paraId="7D4EDA3E">
      <w:pPr>
        <w:pStyle w:val="85"/>
        <w:ind w:firstLine="480"/>
        <w:rPr>
          <w:kern w:val="0"/>
        </w:rPr>
      </w:pPr>
      <w:r>
        <w:rPr>
          <w:rFonts w:hint="eastAsia"/>
          <w:kern w:val="0"/>
        </w:rPr>
        <w:t>本项目污染物排放情况如下：</w:t>
      </w:r>
    </w:p>
    <w:p w14:paraId="55178A70">
      <w:pPr>
        <w:pStyle w:val="85"/>
        <w:ind w:firstLine="480"/>
        <w:rPr>
          <w:kern w:val="0"/>
        </w:rPr>
      </w:pPr>
      <w:r>
        <w:rPr>
          <w:rFonts w:hint="eastAsia"/>
          <w:kern w:val="0"/>
        </w:rPr>
        <w:t>废气：施工期粉尘</w:t>
      </w:r>
      <w:r>
        <w:rPr>
          <w:kern w:val="0"/>
        </w:rPr>
        <w:t>、尾气</w:t>
      </w:r>
      <w:r>
        <w:rPr>
          <w:rFonts w:hint="eastAsia"/>
          <w:kern w:val="0"/>
        </w:rPr>
        <w:t>；</w:t>
      </w:r>
    </w:p>
    <w:p w14:paraId="0326C5BB">
      <w:pPr>
        <w:pStyle w:val="85"/>
        <w:spacing w:line="500" w:lineRule="exact"/>
        <w:ind w:firstLine="480"/>
        <w:rPr>
          <w:kern w:val="0"/>
        </w:rPr>
      </w:pPr>
      <w:r>
        <w:rPr>
          <w:rFonts w:hint="eastAsia"/>
          <w:kern w:val="0"/>
        </w:rPr>
        <w:t>废水：施工期生活污水；</w:t>
      </w:r>
    </w:p>
    <w:p w14:paraId="017C3EA6">
      <w:pPr>
        <w:pStyle w:val="85"/>
        <w:spacing w:line="500" w:lineRule="exact"/>
        <w:ind w:firstLine="480"/>
        <w:rPr>
          <w:kern w:val="0"/>
        </w:rPr>
      </w:pPr>
      <w:r>
        <w:rPr>
          <w:rFonts w:hint="eastAsia"/>
          <w:kern w:val="0"/>
        </w:rPr>
        <w:t>噪声：施工期机械</w:t>
      </w:r>
      <w:r>
        <w:rPr>
          <w:kern w:val="0"/>
        </w:rPr>
        <w:t>、车辆</w:t>
      </w:r>
      <w:r>
        <w:rPr>
          <w:rFonts w:hint="eastAsia"/>
          <w:kern w:val="0"/>
        </w:rPr>
        <w:t>噪声；</w:t>
      </w:r>
      <w:r>
        <w:rPr>
          <w:kern w:val="0"/>
        </w:rPr>
        <w:t xml:space="preserve"> </w:t>
      </w:r>
    </w:p>
    <w:p w14:paraId="167C2420">
      <w:pPr>
        <w:pStyle w:val="85"/>
        <w:spacing w:line="500" w:lineRule="exact"/>
        <w:ind w:firstLine="480"/>
        <w:rPr>
          <w:kern w:val="0"/>
        </w:rPr>
      </w:pPr>
      <w:r>
        <w:rPr>
          <w:rFonts w:hint="eastAsia"/>
          <w:kern w:val="0"/>
        </w:rPr>
        <w:t>固废：施工期生活</w:t>
      </w:r>
      <w:r>
        <w:rPr>
          <w:kern w:val="0"/>
        </w:rPr>
        <w:t>垃圾</w:t>
      </w:r>
      <w:r>
        <w:rPr>
          <w:rFonts w:hint="eastAsia"/>
          <w:kern w:val="0"/>
        </w:rPr>
        <w:t>；</w:t>
      </w:r>
    </w:p>
    <w:p w14:paraId="3382A47B">
      <w:pPr>
        <w:pStyle w:val="85"/>
        <w:spacing w:line="500" w:lineRule="exact"/>
        <w:ind w:firstLine="480"/>
        <w:rPr>
          <w:kern w:val="0"/>
        </w:rPr>
      </w:pPr>
      <w:r>
        <w:rPr>
          <w:rFonts w:hint="eastAsia"/>
          <w:kern w:val="0"/>
        </w:rPr>
        <w:t>生态影响：施工临时占地影响，施工对</w:t>
      </w:r>
      <w:r>
        <w:rPr>
          <w:kern w:val="0"/>
        </w:rPr>
        <w:t>动植物的影响</w:t>
      </w:r>
      <w:r>
        <w:rPr>
          <w:rFonts w:hint="eastAsia"/>
          <w:kern w:val="0"/>
        </w:rPr>
        <w:t>。</w:t>
      </w:r>
    </w:p>
    <w:p w14:paraId="578CC02A">
      <w:pPr>
        <w:pStyle w:val="3"/>
        <w:rPr>
          <w:kern w:val="0"/>
        </w:rPr>
      </w:pPr>
      <w:bookmarkStart w:id="158" w:name="_Toc198733185"/>
      <w:r>
        <w:rPr>
          <w:rFonts w:hint="eastAsia"/>
          <w:kern w:val="0"/>
        </w:rPr>
        <w:t>环境</w:t>
      </w:r>
      <w:r>
        <w:rPr>
          <w:kern w:val="0"/>
        </w:rPr>
        <w:t>保护措施</w:t>
      </w:r>
      <w:bookmarkEnd w:id="158"/>
    </w:p>
    <w:p w14:paraId="4DB4F581">
      <w:pPr>
        <w:pStyle w:val="4"/>
        <w:rPr>
          <w:kern w:val="0"/>
        </w:rPr>
      </w:pPr>
      <w:r>
        <w:rPr>
          <w:rFonts w:hint="eastAsia"/>
          <w:kern w:val="0"/>
        </w:rPr>
        <w:t>废气</w:t>
      </w:r>
      <w:r>
        <w:rPr>
          <w:kern w:val="0"/>
        </w:rPr>
        <w:t>污染</w:t>
      </w:r>
      <w:r>
        <w:rPr>
          <w:rFonts w:hint="eastAsia"/>
          <w:kern w:val="0"/>
        </w:rPr>
        <w:t>防治措施</w:t>
      </w:r>
    </w:p>
    <w:p w14:paraId="323B456F">
      <w:pPr>
        <w:pStyle w:val="85"/>
        <w:spacing w:line="500" w:lineRule="exact"/>
        <w:ind w:firstLine="480"/>
        <w:rPr>
          <w:kern w:val="0"/>
        </w:rPr>
      </w:pPr>
      <w:r>
        <w:rPr>
          <w:rFonts w:hint="eastAsia"/>
          <w:kern w:val="0"/>
        </w:rPr>
        <w:t>施工土石方作业过程中要洒水、喷淋、喷雾降尘，控制尘土飞扬，避免扬尘污染。出现重污染天气状况时，施工单位应当停止土石方作业以及其他可能产生扬尘污染的施工建设行为。开挖完毕的裸露地面应及时覆盖，其他裸露的地面必须采取绿化、洒水或其他防扬尘措施。应尽可能采用密闭车斗，并保证物料不遗撒外漏。若无密闭车斗，物料、渣土的装载高度不得超过车辆罐帮上沿，车斗应用苫布遮盖严实；装卸和运输易产生扬尘污染物料的，应当采取完全密闭措施，配备洒水车，运输线路定期用洒水车洒水抑尘，每天不低于2 次。</w:t>
      </w:r>
    </w:p>
    <w:p w14:paraId="26E3788F">
      <w:pPr>
        <w:pStyle w:val="4"/>
        <w:rPr>
          <w:kern w:val="0"/>
        </w:rPr>
      </w:pPr>
      <w:r>
        <w:rPr>
          <w:rFonts w:hint="eastAsia"/>
          <w:kern w:val="0"/>
        </w:rPr>
        <w:t>废水</w:t>
      </w:r>
      <w:r>
        <w:rPr>
          <w:kern w:val="0"/>
        </w:rPr>
        <w:t>污染源防治措施</w:t>
      </w:r>
    </w:p>
    <w:p w14:paraId="7F94D97E">
      <w:pPr>
        <w:pStyle w:val="85"/>
        <w:ind w:firstLine="480"/>
        <w:rPr>
          <w:kern w:val="0"/>
        </w:rPr>
      </w:pPr>
      <w:r>
        <w:rPr>
          <w:rFonts w:hint="eastAsia"/>
          <w:kern w:val="0"/>
        </w:rPr>
        <w:t>项目实施后，施工期</w:t>
      </w:r>
      <w:r>
        <w:rPr>
          <w:kern w:val="0"/>
        </w:rPr>
        <w:t>水污染源主要为施工人员生活污水。</w:t>
      </w:r>
      <w:r>
        <w:rPr>
          <w:rFonts w:hint="eastAsia"/>
          <w:kern w:val="0"/>
        </w:rPr>
        <w:t>本工程在施工</w:t>
      </w:r>
      <w:r>
        <w:rPr>
          <w:kern w:val="0"/>
        </w:rPr>
        <w:t>区域</w:t>
      </w:r>
      <w:r>
        <w:rPr>
          <w:rFonts w:hint="eastAsia"/>
          <w:kern w:val="0"/>
        </w:rPr>
        <w:t>设</w:t>
      </w:r>
      <w:r>
        <w:rPr>
          <w:kern w:val="0"/>
        </w:rPr>
        <w:t>2</w:t>
      </w:r>
      <w:r>
        <w:rPr>
          <w:rFonts w:hint="eastAsia"/>
          <w:kern w:val="0"/>
        </w:rPr>
        <w:t>座流动式厕所，粪便经流动式厕所收集后用作农肥，生活污水不外排。</w:t>
      </w:r>
    </w:p>
    <w:p w14:paraId="0C68A4EC">
      <w:pPr>
        <w:pStyle w:val="4"/>
        <w:rPr>
          <w:kern w:val="0"/>
        </w:rPr>
      </w:pPr>
      <w:r>
        <w:rPr>
          <w:rFonts w:hint="eastAsia"/>
          <w:kern w:val="0"/>
        </w:rPr>
        <w:t>噪声污染源控制措施</w:t>
      </w:r>
    </w:p>
    <w:p w14:paraId="258BA5D0">
      <w:pPr>
        <w:pStyle w:val="85"/>
        <w:ind w:firstLine="480"/>
        <w:rPr>
          <w:kern w:val="0"/>
        </w:rPr>
      </w:pPr>
      <w:r>
        <w:rPr>
          <w:rFonts w:hint="eastAsia"/>
          <w:kern w:val="0"/>
        </w:rPr>
        <w:t>合理布局施工现场，施工机械位置、运输路线等，尽可能远离声环境保护目标。合理选择施工机械设备，施工单位应选用低噪声、低振动的施工机械设备；避免多台高噪声的机械设备在同一场地和同一时间使用。合理安排施工时间，禁止夜间（22:00-6:00）施工。做好宣传工作，倡导科学管理和文明施工。合理选择运输路线。</w:t>
      </w:r>
    </w:p>
    <w:p w14:paraId="7964D940">
      <w:pPr>
        <w:pStyle w:val="4"/>
        <w:rPr>
          <w:kern w:val="0"/>
        </w:rPr>
      </w:pPr>
      <w:r>
        <w:rPr>
          <w:rFonts w:hint="eastAsia"/>
          <w:kern w:val="0"/>
        </w:rPr>
        <w:t>固体废物处置措施</w:t>
      </w:r>
    </w:p>
    <w:p w14:paraId="78DE2759">
      <w:pPr>
        <w:pStyle w:val="85"/>
        <w:ind w:firstLine="480"/>
        <w:rPr>
          <w:kern w:val="0"/>
        </w:rPr>
      </w:pPr>
      <w:r>
        <w:rPr>
          <w:rFonts w:hint="eastAsia"/>
          <w:kern w:val="0"/>
        </w:rPr>
        <w:t>工程开挖土方、淤泥全部就近利用。工程固体废物主要为施工人员生活垃圾。工程施工期间产生的生活垃圾严禁乱抛乱丢，随地倾倒，生活垃圾统一收集后由地方环卫部门定期清运进行无害化处理。</w:t>
      </w:r>
    </w:p>
    <w:p w14:paraId="519D1690">
      <w:pPr>
        <w:pStyle w:val="3"/>
        <w:rPr>
          <w:kern w:val="0"/>
        </w:rPr>
      </w:pPr>
      <w:bookmarkStart w:id="159" w:name="_Toc198733186"/>
      <w:r>
        <w:rPr>
          <w:rFonts w:hint="eastAsia"/>
          <w:kern w:val="0"/>
        </w:rPr>
        <w:t>主要</w:t>
      </w:r>
      <w:r>
        <w:rPr>
          <w:kern w:val="0"/>
        </w:rPr>
        <w:t>环境影响</w:t>
      </w:r>
      <w:bookmarkEnd w:id="159"/>
    </w:p>
    <w:p w14:paraId="12778435">
      <w:pPr>
        <w:pStyle w:val="4"/>
        <w:rPr>
          <w:kern w:val="0"/>
        </w:rPr>
      </w:pPr>
      <w:r>
        <w:rPr>
          <w:rFonts w:hint="eastAsia"/>
          <w:kern w:val="0"/>
        </w:rPr>
        <w:t>废气</w:t>
      </w:r>
      <w:r>
        <w:rPr>
          <w:kern w:val="0"/>
        </w:rPr>
        <w:t>污染源影响</w:t>
      </w:r>
    </w:p>
    <w:p w14:paraId="51E9DD77">
      <w:pPr>
        <w:pStyle w:val="85"/>
        <w:spacing w:line="500" w:lineRule="exact"/>
        <w:ind w:firstLine="480"/>
        <w:rPr>
          <w:kern w:val="0"/>
        </w:rPr>
      </w:pPr>
      <w:r>
        <w:rPr>
          <w:rFonts w:hint="eastAsia"/>
          <w:kern w:val="0"/>
        </w:rPr>
        <w:t>本项目施工时通过采取各项抑尘措施，可以满足《施工场地扬尘排放标准》</w:t>
      </w:r>
      <w:r>
        <w:rPr>
          <w:kern w:val="0"/>
        </w:rPr>
        <w:t>(DB13/2934-2019)</w:t>
      </w:r>
      <w:r>
        <w:rPr>
          <w:rFonts w:hint="eastAsia"/>
          <w:kern w:val="0"/>
        </w:rPr>
        <w:t>中的要求，可较大限度的降低施工扬尘对周围环境的影响。施工区地形开阔，大气扩散条件较好，施工机械尾气对当地环境空气质量影响较小。施工机械燃油产生的污染物不会对大气环境质量及功能造成明显影响。</w:t>
      </w:r>
    </w:p>
    <w:p w14:paraId="3AD50966">
      <w:pPr>
        <w:pStyle w:val="4"/>
        <w:rPr>
          <w:kern w:val="0"/>
        </w:rPr>
      </w:pPr>
      <w:r>
        <w:rPr>
          <w:rFonts w:hint="eastAsia"/>
          <w:kern w:val="0"/>
        </w:rPr>
        <w:t>废水污染</w:t>
      </w:r>
      <w:r>
        <w:rPr>
          <w:kern w:val="0"/>
        </w:rPr>
        <w:t>影响</w:t>
      </w:r>
    </w:p>
    <w:p w14:paraId="19D66174">
      <w:pPr>
        <w:pStyle w:val="85"/>
        <w:ind w:firstLine="480"/>
        <w:rPr>
          <w:kern w:val="0"/>
        </w:rPr>
      </w:pPr>
      <w:r>
        <w:rPr>
          <w:rFonts w:hint="eastAsia"/>
          <w:kern w:val="0"/>
        </w:rPr>
        <w:t>本项目实施后产生的废水主要为生活污水。本工程在施工</w:t>
      </w:r>
      <w:r>
        <w:rPr>
          <w:kern w:val="0"/>
        </w:rPr>
        <w:t>区域</w:t>
      </w:r>
      <w:r>
        <w:rPr>
          <w:rFonts w:hint="eastAsia"/>
          <w:kern w:val="0"/>
        </w:rPr>
        <w:t>设</w:t>
      </w:r>
      <w:r>
        <w:rPr>
          <w:kern w:val="0"/>
        </w:rPr>
        <w:t>2</w:t>
      </w:r>
      <w:r>
        <w:rPr>
          <w:rFonts w:hint="eastAsia"/>
          <w:kern w:val="0"/>
        </w:rPr>
        <w:t>座流动式厕所，粪便经流动式厕所收集后用作农肥，生活污水不外排，不会对水环境造成污染影响。</w:t>
      </w:r>
    </w:p>
    <w:p w14:paraId="5B139E14">
      <w:pPr>
        <w:pStyle w:val="4"/>
        <w:rPr>
          <w:kern w:val="0"/>
        </w:rPr>
      </w:pPr>
      <w:r>
        <w:rPr>
          <w:rFonts w:hint="eastAsia"/>
          <w:kern w:val="0"/>
        </w:rPr>
        <w:t>噪声污染影响</w:t>
      </w:r>
    </w:p>
    <w:p w14:paraId="634E2486">
      <w:pPr>
        <w:pStyle w:val="85"/>
        <w:spacing w:line="500" w:lineRule="exact"/>
        <w:ind w:firstLine="480"/>
        <w:rPr>
          <w:bCs/>
          <w:kern w:val="0"/>
          <w:lang w:bidi="en-US"/>
        </w:rPr>
      </w:pPr>
      <w:r>
        <w:rPr>
          <w:rFonts w:hint="eastAsia"/>
          <w:bCs/>
          <w:kern w:val="0"/>
          <w:lang w:bidi="en-US"/>
        </w:rPr>
        <w:t>本工程施工期夜间不施工，昼间施工现场50m处可达到施工厂界噪声限值要求。施工期合理安排施工时间，避免午间（12:00-14：00）施工；选用合格施工设备，加强设备检修及维护，规范操作；施工设备尽量远离敏感点布设；对距离敏感点近的采取施工围挡、声屏障隔声，经距离衰减后，对区域声环境及周边敏感点影响较小。且随施工期结束，噪声影响消失。</w:t>
      </w:r>
    </w:p>
    <w:p w14:paraId="2943E9EC">
      <w:pPr>
        <w:pStyle w:val="4"/>
        <w:rPr>
          <w:kern w:val="0"/>
        </w:rPr>
      </w:pPr>
      <w:r>
        <w:rPr>
          <w:rFonts w:hint="eastAsia"/>
          <w:kern w:val="0"/>
        </w:rPr>
        <w:t>固体</w:t>
      </w:r>
      <w:r>
        <w:rPr>
          <w:kern w:val="0"/>
        </w:rPr>
        <w:t>废物影响</w:t>
      </w:r>
    </w:p>
    <w:p w14:paraId="633D7C7A">
      <w:pPr>
        <w:pStyle w:val="85"/>
        <w:spacing w:line="500" w:lineRule="exact"/>
        <w:ind w:firstLine="480"/>
        <w:rPr>
          <w:kern w:val="0"/>
        </w:rPr>
      </w:pPr>
      <w:r>
        <w:rPr>
          <w:rFonts w:hint="eastAsia"/>
          <w:kern w:val="0"/>
        </w:rPr>
        <w:t>工程开挖土方、淤泥全部就近利用。工程固体废物主要为施工人员生活垃圾，生活垃圾统一收集后由地方环卫部门定期清运进行无害化处理，对环境的影响较小。</w:t>
      </w:r>
    </w:p>
    <w:p w14:paraId="3FF320D5">
      <w:pPr>
        <w:pStyle w:val="85"/>
        <w:spacing w:line="500" w:lineRule="exact"/>
        <w:ind w:firstLine="480"/>
        <w:rPr>
          <w:kern w:val="0"/>
        </w:rPr>
      </w:pPr>
      <w:r>
        <w:rPr>
          <w:rFonts w:hint="eastAsia"/>
          <w:kern w:val="0"/>
        </w:rPr>
        <w:t>综上所述，施工期产生的固体废物全部得到妥善处置，不会对周围环境产生明显影响。</w:t>
      </w:r>
    </w:p>
    <w:p w14:paraId="3821D08F">
      <w:pPr>
        <w:pStyle w:val="3"/>
        <w:rPr>
          <w:kern w:val="0"/>
        </w:rPr>
      </w:pPr>
      <w:bookmarkStart w:id="160" w:name="_Toc198733187"/>
      <w:r>
        <w:rPr>
          <w:rFonts w:hint="eastAsia"/>
          <w:kern w:val="0"/>
        </w:rPr>
        <w:t>公众参与</w:t>
      </w:r>
      <w:bookmarkEnd w:id="160"/>
    </w:p>
    <w:p w14:paraId="044ADA6A">
      <w:pPr>
        <w:pStyle w:val="85"/>
        <w:ind w:firstLine="480"/>
        <w:rPr>
          <w:kern w:val="0"/>
        </w:rPr>
      </w:pPr>
      <w:r>
        <w:rPr>
          <w:rFonts w:hint="eastAsia"/>
          <w:kern w:val="0"/>
        </w:rPr>
        <w:t>根据滦平县水务局反馈，其两次环评信息公示及报批前公示期间，无人提出反对意见。</w:t>
      </w:r>
    </w:p>
    <w:p w14:paraId="46A9CD87">
      <w:pPr>
        <w:pStyle w:val="3"/>
        <w:rPr>
          <w:kern w:val="0"/>
        </w:rPr>
      </w:pPr>
      <w:bookmarkStart w:id="161" w:name="_Toc198733188"/>
      <w:r>
        <w:rPr>
          <w:rFonts w:hint="eastAsia"/>
          <w:kern w:val="0"/>
        </w:rPr>
        <w:t>环境影响经济损益分析</w:t>
      </w:r>
      <w:bookmarkEnd w:id="161"/>
    </w:p>
    <w:p w14:paraId="7B3E96A5">
      <w:pPr>
        <w:pStyle w:val="85"/>
        <w:spacing w:line="500" w:lineRule="exact"/>
        <w:ind w:firstLine="480"/>
        <w:rPr>
          <w:kern w:val="0"/>
        </w:rPr>
      </w:pPr>
      <w:r>
        <w:rPr>
          <w:rFonts w:hint="eastAsia"/>
          <w:kern w:val="0"/>
        </w:rPr>
        <w:t>本工程为非污染生态型项目，属公益性项目，具有显著的社会效益和环境效益，虽然在工程施工期存在一定的生态影响和污染影响，但在采取相应的环境保护措施后，对环境的影响可得到有效减缓。项目建成后，将改善潮河干流水质和河道生态环境状况。本项目的实施，具有良好的环境效益和社会效益，难以用货币量化。综上所述，本工程采取了完善的环保治理措施和生态保护及恢复措施，不会对当地环境产生明显影响，从环境经济损益分析角度分析，项目建设可行。</w:t>
      </w:r>
    </w:p>
    <w:p w14:paraId="2B2639A5">
      <w:pPr>
        <w:pStyle w:val="3"/>
        <w:rPr>
          <w:kern w:val="0"/>
        </w:rPr>
      </w:pPr>
      <w:bookmarkStart w:id="162" w:name="_Toc198733189"/>
      <w:r>
        <w:rPr>
          <w:rFonts w:hint="eastAsia"/>
          <w:kern w:val="0"/>
        </w:rPr>
        <w:t>环境管理与监测计划</w:t>
      </w:r>
      <w:bookmarkEnd w:id="162"/>
    </w:p>
    <w:p w14:paraId="747E3299">
      <w:pPr>
        <w:pStyle w:val="85"/>
        <w:spacing w:line="500" w:lineRule="exact"/>
        <w:ind w:firstLine="480"/>
        <w:rPr>
          <w:kern w:val="0"/>
        </w:rPr>
      </w:pPr>
      <w:r>
        <w:rPr>
          <w:rFonts w:hint="eastAsia"/>
          <w:kern w:val="0"/>
        </w:rPr>
        <w:t>通过建立环境管理体系，规范企业管理、落实环境管理职责，确保各项目环保设施的正常运转；定期开展跟踪</w:t>
      </w:r>
      <w:r>
        <w:rPr>
          <w:kern w:val="0"/>
        </w:rPr>
        <w:t>生态监测</w:t>
      </w:r>
      <w:r>
        <w:rPr>
          <w:rFonts w:hint="eastAsia"/>
          <w:kern w:val="0"/>
        </w:rPr>
        <w:t>；对噪声等污染源情况进行监测，做到达标排放，保证正常运行。</w:t>
      </w:r>
    </w:p>
    <w:p w14:paraId="2868189C">
      <w:pPr>
        <w:pStyle w:val="3"/>
        <w:rPr>
          <w:kern w:val="0"/>
        </w:rPr>
      </w:pPr>
      <w:bookmarkStart w:id="163" w:name="_Toc198733190"/>
      <w:r>
        <w:rPr>
          <w:rFonts w:hint="eastAsia"/>
          <w:kern w:val="0"/>
        </w:rPr>
        <w:t>总量</w:t>
      </w:r>
      <w:r>
        <w:rPr>
          <w:kern w:val="0"/>
        </w:rPr>
        <w:t>控制</w:t>
      </w:r>
      <w:bookmarkEnd w:id="163"/>
    </w:p>
    <w:p w14:paraId="3C84EA6B">
      <w:pPr>
        <w:pStyle w:val="85"/>
        <w:ind w:firstLine="480"/>
        <w:rPr>
          <w:kern w:val="0"/>
        </w:rPr>
      </w:pPr>
      <w:r>
        <w:rPr>
          <w:rFonts w:hint="eastAsia"/>
          <w:kern w:val="0"/>
        </w:rPr>
        <w:t>本项目废气污染物总量：二氧化硫</w:t>
      </w:r>
      <w:r>
        <w:rPr>
          <w:kern w:val="0"/>
        </w:rPr>
        <w:t>0t/a</w:t>
      </w:r>
      <w:r>
        <w:rPr>
          <w:rFonts w:hint="eastAsia"/>
          <w:kern w:val="0"/>
        </w:rPr>
        <w:t>、氮氧化物</w:t>
      </w:r>
      <w:r>
        <w:rPr>
          <w:kern w:val="0"/>
        </w:rPr>
        <w:t>0t/a</w:t>
      </w:r>
      <w:r>
        <w:rPr>
          <w:rFonts w:hint="eastAsia"/>
          <w:kern w:val="0"/>
        </w:rPr>
        <w:t>、</w:t>
      </w:r>
      <w:r>
        <w:rPr>
          <w:kern w:val="0"/>
        </w:rPr>
        <w:t>COD 0t/a</w:t>
      </w:r>
      <w:r>
        <w:rPr>
          <w:rFonts w:hint="eastAsia"/>
          <w:kern w:val="0"/>
        </w:rPr>
        <w:t>、氨氮</w:t>
      </w:r>
      <w:r>
        <w:rPr>
          <w:kern w:val="0"/>
        </w:rPr>
        <w:t>0t/a</w:t>
      </w:r>
      <w:r>
        <w:rPr>
          <w:rFonts w:hint="eastAsia"/>
          <w:kern w:val="0"/>
        </w:rPr>
        <w:t>。</w:t>
      </w:r>
    </w:p>
    <w:p w14:paraId="5221EB3A">
      <w:pPr>
        <w:pStyle w:val="3"/>
        <w:rPr>
          <w:kern w:val="0"/>
        </w:rPr>
      </w:pPr>
      <w:bookmarkStart w:id="164" w:name="_Toc198733191"/>
      <w:r>
        <w:rPr>
          <w:rFonts w:hint="eastAsia"/>
          <w:kern w:val="0"/>
        </w:rPr>
        <w:t>工程</w:t>
      </w:r>
      <w:r>
        <w:rPr>
          <w:kern w:val="0"/>
        </w:rPr>
        <w:t>可行性结论</w:t>
      </w:r>
      <w:bookmarkEnd w:id="164"/>
    </w:p>
    <w:p w14:paraId="5FB6B90D">
      <w:pPr>
        <w:pStyle w:val="85"/>
        <w:spacing w:line="500" w:lineRule="exact"/>
        <w:ind w:firstLine="480"/>
        <w:rPr>
          <w:kern w:val="0"/>
        </w:rPr>
      </w:pPr>
      <w:r>
        <w:rPr>
          <w:rFonts w:hint="eastAsia"/>
          <w:kern w:val="0"/>
        </w:rPr>
        <w:t>滦平县潮河干流河道水质改善与生态修复工程施工期通过采取污染防治措施污染物可达标排放。</w:t>
      </w:r>
    </w:p>
    <w:p w14:paraId="7A4A0089">
      <w:pPr>
        <w:pStyle w:val="85"/>
        <w:spacing w:line="500" w:lineRule="exact"/>
        <w:ind w:firstLine="480"/>
        <w:rPr>
          <w:kern w:val="0"/>
        </w:rPr>
      </w:pPr>
      <w:r>
        <w:rPr>
          <w:rFonts w:hint="eastAsia"/>
          <w:kern w:val="0"/>
        </w:rPr>
        <w:t>本工程为非污染生态型项目，属公益性项目，具有显著的社会效益和环境效益，虽然在工程施工期存在一定的生态影响和污染影响，但在采取相应的环境保护措施后，对环境的影响可得到有效减缓。项目建成后，将改善潮河干流水质和河道生态环境状况，具有良好的环境效益和社会效益。</w:t>
      </w:r>
    </w:p>
    <w:p w14:paraId="04037A44">
      <w:pPr>
        <w:pStyle w:val="85"/>
        <w:spacing w:line="500" w:lineRule="exact"/>
        <w:ind w:firstLine="480"/>
        <w:rPr>
          <w:kern w:val="0"/>
        </w:rPr>
      </w:pPr>
      <w:r>
        <w:rPr>
          <w:rFonts w:hint="eastAsia"/>
          <w:kern w:val="0"/>
        </w:rPr>
        <w:t>为此，本评价从环保角度认为，滦平县潮河干流河道水质改善与生态修复工程的建设是可行的。</w:t>
      </w:r>
    </w:p>
    <w:p w14:paraId="147624CC">
      <w:pPr>
        <w:pStyle w:val="3"/>
        <w:rPr>
          <w:kern w:val="0"/>
        </w:rPr>
      </w:pPr>
      <w:bookmarkStart w:id="165" w:name="_Toc198733192"/>
      <w:r>
        <w:rPr>
          <w:rFonts w:hint="eastAsia"/>
          <w:kern w:val="0"/>
        </w:rPr>
        <w:t>建议</w:t>
      </w:r>
      <w:bookmarkEnd w:id="165"/>
    </w:p>
    <w:p w14:paraId="136E7264">
      <w:pPr>
        <w:pStyle w:val="85"/>
        <w:ind w:firstLine="480"/>
        <w:rPr>
          <w:kern w:val="0"/>
        </w:rPr>
      </w:pPr>
      <w:r>
        <w:rPr>
          <w:rFonts w:hint="eastAsia"/>
          <w:kern w:val="0"/>
        </w:rPr>
        <w:t>为进一步保护生态环境，最大限度的减少污染物排放，减缓不良生态影响，本评价提出以下要求和建议：</w:t>
      </w:r>
    </w:p>
    <w:p w14:paraId="0F27165C">
      <w:pPr>
        <w:pStyle w:val="85"/>
        <w:spacing w:line="500" w:lineRule="exact"/>
        <w:ind w:firstLine="480"/>
        <w:rPr>
          <w:kern w:val="0"/>
        </w:rPr>
      </w:pPr>
      <w:r>
        <w:rPr>
          <w:rFonts w:hint="eastAsia"/>
          <w:kern w:val="0"/>
        </w:rPr>
        <w:t>（1）加强施工期</w:t>
      </w:r>
      <w:r>
        <w:rPr>
          <w:kern w:val="0"/>
        </w:rPr>
        <w:t>环境管理</w:t>
      </w:r>
      <w:r>
        <w:rPr>
          <w:rFonts w:hint="eastAsia"/>
          <w:kern w:val="0"/>
        </w:rPr>
        <w:t>。</w:t>
      </w:r>
    </w:p>
    <w:p w14:paraId="69918B74">
      <w:pPr>
        <w:pStyle w:val="85"/>
        <w:spacing w:line="500" w:lineRule="exact"/>
        <w:ind w:firstLine="480"/>
        <w:rPr>
          <w:kern w:val="0"/>
        </w:rPr>
      </w:pPr>
      <w:r>
        <w:rPr>
          <w:rFonts w:hint="eastAsia"/>
          <w:kern w:val="0"/>
        </w:rPr>
        <w:t>（2）加强设备维护、维修工作，确保施工机械</w:t>
      </w:r>
      <w:r>
        <w:rPr>
          <w:kern w:val="0"/>
        </w:rPr>
        <w:t>、运输车辆</w:t>
      </w:r>
      <w:r>
        <w:rPr>
          <w:rFonts w:hint="eastAsia"/>
          <w:kern w:val="0"/>
        </w:rPr>
        <w:t>处于良好</w:t>
      </w:r>
      <w:r>
        <w:rPr>
          <w:kern w:val="0"/>
        </w:rPr>
        <w:t>状态</w:t>
      </w:r>
      <w:r>
        <w:rPr>
          <w:rFonts w:hint="eastAsia"/>
          <w:kern w:val="0"/>
        </w:rPr>
        <w:t>。</w:t>
      </w:r>
    </w:p>
    <w:p w14:paraId="0F9FDEA6">
      <w:pPr>
        <w:pStyle w:val="85"/>
        <w:spacing w:line="500" w:lineRule="exact"/>
        <w:ind w:firstLine="480"/>
        <w:rPr>
          <w:kern w:val="0"/>
        </w:rPr>
      </w:pPr>
      <w:r>
        <w:rPr>
          <w:rFonts w:hint="eastAsia"/>
          <w:kern w:val="0"/>
        </w:rPr>
        <w:t>（3）施工</w:t>
      </w:r>
      <w:r>
        <w:rPr>
          <w:kern w:val="0"/>
        </w:rPr>
        <w:t>期</w:t>
      </w:r>
      <w:r>
        <w:rPr>
          <w:rFonts w:hint="eastAsia"/>
          <w:kern w:val="0"/>
        </w:rPr>
        <w:t>加强绿化及水土保持、生态恢复工作。</w:t>
      </w:r>
    </w:p>
    <w:sectPr>
      <w:pgSz w:w="11906" w:h="16838"/>
      <w:pgMar w:top="2007" w:right="1797" w:bottom="1724" w:left="1797" w:header="1417" w:footer="116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alibri Light">
    <w:panose1 w:val="020F0302020204030204"/>
    <w:charset w:val="00"/>
    <w:family w:val="swiss"/>
    <w:pitch w:val="default"/>
    <w:sig w:usb0="A00002EF" w:usb1="4000207B"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Garamond">
    <w:altName w:val="ESRI Weather"/>
    <w:panose1 w:val="02020404030301010803"/>
    <w:charset w:val="00"/>
    <w:family w:val="roman"/>
    <w:pitch w:val="default"/>
    <w:sig w:usb0="00000000" w:usb1="00000000" w:usb2="00000000" w:usb3="00000000" w:csb0="0000009F" w:csb1="00000000"/>
  </w:font>
  <w:font w:name="仿宋_GB2312">
    <w:altName w:val="仿宋"/>
    <w:panose1 w:val="02010609030101010101"/>
    <w:charset w:val="86"/>
    <w:family w:val="modern"/>
    <w:pitch w:val="default"/>
    <w:sig w:usb0="00000000" w:usb1="00000000" w:usb2="00000010" w:usb3="00000000" w:csb0="00040000" w:csb1="00000000"/>
  </w:font>
  <w:font w:name="Arial Black">
    <w:panose1 w:val="020B0A04020102020204"/>
    <w:charset w:val="00"/>
    <w:family w:val="swiss"/>
    <w:pitch w:val="default"/>
    <w:sig w:usb0="00000287" w:usb1="00000000" w:usb2="00000000" w:usb3="00000000" w:csb0="2000009F" w:csb1="DFD70000"/>
  </w:font>
  <w:font w:name="华文中宋">
    <w:altName w:val="宋体"/>
    <w:panose1 w:val="02010600040101010101"/>
    <w:charset w:val="86"/>
    <w:family w:val="auto"/>
    <w:pitch w:val="default"/>
    <w:sig w:usb0="00000000" w:usb1="00000000" w:usb2="00000010" w:usb3="00000000" w:csb0="000400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FZSSK--GBK1-0">
    <w:altName w:val="Times New Roman"/>
    <w:panose1 w:val="00000000000000000000"/>
    <w:charset w:val="00"/>
    <w:family w:val="roman"/>
    <w:pitch w:val="default"/>
    <w:sig w:usb0="00000000" w:usb1="00000000" w:usb2="00000000" w:usb3="00000000" w:csb0="00000000" w:csb1="00000000"/>
  </w:font>
  <w:font w:name="DejaVuSans">
    <w:altName w:val="Times New Roman"/>
    <w:panose1 w:val="00000000000000000000"/>
    <w:charset w:val="00"/>
    <w:family w:val="roman"/>
    <w:pitch w:val="default"/>
    <w:sig w:usb0="00000000" w:usb1="00000000" w:usb2="00000000" w:usb3="00000000" w:csb0="00000000" w:csb1="00000000"/>
  </w:font>
  <w:font w:name="等线">
    <w:altName w:val="微软雅黑"/>
    <w:panose1 w:val="02010600030101010101"/>
    <w:charset w:val="86"/>
    <w:family w:val="auto"/>
    <w:pitch w:val="default"/>
    <w:sig w:usb0="00000000" w:usb1="00000000" w:usb2="00000016" w:usb3="00000000" w:csb0="0004000F" w:csb1="00000000"/>
  </w:font>
  <w:font w:name="DengXian">
    <w:altName w:val="ESRI AMFM Electric"/>
    <w:panose1 w:val="00000000000000000000"/>
    <w:charset w:val="00"/>
    <w:family w:val="auto"/>
    <w:pitch w:val="default"/>
    <w:sig w:usb0="00000000" w:usb1="00000000" w:usb2="00000000" w:usb3="00000000" w:csb0="00000000" w:csb1="00000000"/>
  </w:font>
  <w:font w:name="TimesNewRomanPSMT">
    <w:altName w:val="Times New Roman"/>
    <w:panose1 w:val="00000000000000000000"/>
    <w:charset w:val="00"/>
    <w:family w:val="roman"/>
    <w:pitch w:val="default"/>
    <w:sig w:usb0="00000000" w:usb1="00000000" w:usb2="00000000" w:usb3="00000000" w:csb0="00000000" w:csb1="00000000"/>
  </w:font>
  <w:font w:name="SJQY">
    <w:altName w:val="Kingsoft UE"/>
    <w:panose1 w:val="00000000000000000000"/>
    <w:charset w:val="00"/>
    <w:family w:val="auto"/>
    <w:pitch w:val="default"/>
    <w:sig w:usb0="00000000" w:usb1="00000000" w:usb2="00000000" w:usb3="00000000" w:csb0="00000000" w:csb1="00000000"/>
  </w:font>
  <w:font w:name="TimesNewRomanPS-BoldMT">
    <w:altName w:val="ESRI AMFM Electric"/>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2FF" w:usb1="420024FF" w:usb2="00000000" w:usb3="00000000" w:csb0="2000019F"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 w:name="ESRI Weather">
    <w:panose1 w:val="02000400000000000000"/>
    <w:charset w:val="00"/>
    <w:family w:val="auto"/>
    <w:pitch w:val="default"/>
    <w:sig w:usb0="00000003"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ESRI AMFM Electric">
    <w:panose1 w:val="02000400000000000000"/>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E9349">
    <w:pPr>
      <w:jc w:val="center"/>
    </w:pPr>
  </w:p>
  <w:p w14:paraId="67E53A0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2AC26">
    <w:pPr>
      <w:tabs>
        <w:tab w:val="left" w:pos="4110"/>
        <w:tab w:val="center" w:pos="4156"/>
        <w:tab w:val="left" w:pos="538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CAFAC">
    <w:pPr>
      <w:pBdr>
        <w:between w:val="none" w:color="auto" w:sz="0" w:space="0"/>
      </w:pBdr>
    </w:pPr>
    <w:r>
      <w:rPr>
        <w:rFonts w:eastAsia="黑体"/>
        <w:szCs w:val="21"/>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-8255</wp:posOffset>
              </wp:positionV>
              <wp:extent cx="5277485" cy="0"/>
              <wp:effectExtent l="0" t="0" r="37465" b="19050"/>
              <wp:wrapNone/>
              <wp:docPr id="55" name="直接连接符 55"/>
              <wp:cNvGraphicFramePr/>
              <a:graphic xmlns:a="http://schemas.openxmlformats.org/drawingml/2006/main">
                <a:graphicData uri="http://schemas.microsoft.com/office/word/2010/wordprocessingShape">
                  <wps:wsp>
                    <wps:cNvCnPr>
                      <a:cxnSpLocks noChangeShapeType="1"/>
                    </wps:cNvCnPr>
                    <wps:spPr bwMode="auto">
                      <a:xfrm>
                        <a:off x="0" y="0"/>
                        <a:ext cx="527748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0.75pt;margin-top:-0.65pt;height:0pt;width:415.55pt;z-index:251659264;mso-width-relative:page;mso-height-relative:page;" filled="f" stroked="t" coordsize="21600,21600" o:gfxdata="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wWNbnTAAAABwEA&#10;AA8AAAAAAAAAAQAgAAAAIgAAAGRycy9kb3ducmV2LnhtbFBLAQIUABQAAAAIAIdO4kAl+y115gEA&#10;AKwDAAAOAAAAAAAAAAEAIAAAACIBAABkcnMvZTJvRG9jLnhtbFBLBQYAAAAABgAGAFkBAAB6BQAA&#10;AAA=&#10;">
              <v:fill on="f" focussize="0,0"/>
              <v:stroke color="#000000" joinstyle="round"/>
              <v:imagedata o:title=""/>
              <o:lock v:ext="edit" aspectratio="f"/>
            </v:line>
          </w:pict>
        </mc:Fallback>
      </mc:AlternateContent>
    </w:r>
    <w:r>
      <w:rPr>
        <w:rFonts w:eastAsia="黑体"/>
        <w:szCs w:val="21"/>
      </w:rPr>
      <w:t xml:space="preserve">河北澳佳环境科技有限公司                                               </w:t>
    </w:r>
    <w:r>
      <w:rPr>
        <w:rFonts w:eastAsia="黑体"/>
        <w:b/>
        <w:szCs w:val="21"/>
      </w:rPr>
      <w:fldChar w:fldCharType="begin"/>
    </w:r>
    <w:r>
      <w:rPr>
        <w:rFonts w:eastAsia="黑体"/>
        <w:b/>
        <w:szCs w:val="21"/>
      </w:rPr>
      <w:instrText xml:space="preserve"> PAGE  </w:instrText>
    </w:r>
    <w:r>
      <w:rPr>
        <w:rFonts w:eastAsia="黑体"/>
        <w:b/>
        <w:szCs w:val="21"/>
      </w:rPr>
      <w:fldChar w:fldCharType="separate"/>
    </w:r>
    <w:r>
      <w:rPr>
        <w:rFonts w:eastAsia="黑体"/>
        <w:b/>
        <w:szCs w:val="21"/>
      </w:rPr>
      <w:t>- 75 -</w:t>
    </w:r>
    <w:r>
      <w:rPr>
        <w:rFonts w:eastAsia="黑体"/>
        <w:b/>
        <w:szCs w:val="2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511C9">
    <w:r>
      <w:rPr>
        <w:rFonts w:eastAsia="黑体"/>
        <w:b/>
        <w:szCs w:val="21"/>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-3810</wp:posOffset>
              </wp:positionV>
              <wp:extent cx="5277485" cy="0"/>
              <wp:effectExtent l="0" t="0" r="37465" b="19050"/>
              <wp:wrapNone/>
              <wp:docPr id="56" name="直接连接符 56"/>
              <wp:cNvGraphicFramePr/>
              <a:graphic xmlns:a="http://schemas.openxmlformats.org/drawingml/2006/main">
                <a:graphicData uri="http://schemas.microsoft.com/office/word/2010/wordprocessingShape">
                  <wps:wsp>
                    <wps:cNvCnPr>
                      <a:cxnSpLocks noChangeShapeType="1"/>
                    </wps:cNvCnPr>
                    <wps:spPr bwMode="auto">
                      <a:xfrm>
                        <a:off x="0" y="0"/>
                        <a:ext cx="527748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0.75pt;margin-top:-0.3pt;height:0pt;width:415.55pt;z-index:251660288;mso-width-relative:page;mso-height-relative:page;" filled="f" stroked="t" coordsize="21600,21600" o:gfxdata="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LsaE8NIAAAAFAQAA&#10;DwAAAAAAAAABACAAAAAiAAAAZHJzL2Rvd25yZXYueG1sUEsBAhQAFAAAAAgAh07iQHMEZ5rmAQAA&#10;rAMAAA4AAAAAAAAAAQAgAAAAIQEAAGRycy9lMm9Eb2MueG1sUEsFBgAAAAAGAAYAWQEAAHkFAAAA&#10;AA==&#10;">
              <v:fill on="f" focussize="0,0"/>
              <v:stroke color="#000000" joinstyle="round"/>
              <v:imagedata o:title=""/>
              <o:lock v:ext="edit" aspectratio="f"/>
            </v:line>
          </w:pict>
        </mc:Fallback>
      </mc:AlternateContent>
    </w:r>
    <w:r>
      <w:rPr>
        <w:rFonts w:eastAsia="黑体"/>
        <w:b/>
        <w:szCs w:val="21"/>
      </w:rPr>
      <w:fldChar w:fldCharType="begin"/>
    </w:r>
    <w:r>
      <w:rPr>
        <w:rFonts w:eastAsia="黑体"/>
        <w:b/>
        <w:szCs w:val="21"/>
      </w:rPr>
      <w:instrText xml:space="preserve"> PAGE   \* MERGEFORMAT </w:instrText>
    </w:r>
    <w:r>
      <w:rPr>
        <w:rFonts w:eastAsia="黑体"/>
        <w:b/>
        <w:szCs w:val="21"/>
      </w:rPr>
      <w:fldChar w:fldCharType="separate"/>
    </w:r>
    <w:r>
      <w:rPr>
        <w:rFonts w:eastAsia="黑体"/>
        <w:b/>
        <w:szCs w:val="21"/>
        <w:lang w:val="zh-CN"/>
      </w:rPr>
      <w:t>-</w:t>
    </w:r>
    <w:r>
      <w:rPr>
        <w:rFonts w:eastAsia="黑体"/>
        <w:b/>
        <w:szCs w:val="21"/>
      </w:rPr>
      <w:t xml:space="preserve"> 74 -</w:t>
    </w:r>
    <w:r>
      <w:rPr>
        <w:rFonts w:eastAsia="黑体"/>
        <w:b/>
        <w:szCs w:val="21"/>
      </w:rPr>
      <w:fldChar w:fldCharType="end"/>
    </w:r>
    <w:r>
      <w:rPr>
        <w:rFonts w:eastAsia="黑体"/>
        <w:szCs w:val="21"/>
      </w:rPr>
      <w:t xml:space="preserve">                                               河北澳佳环境科技有限公司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293CC">
    <w:pPr>
      <w:pBdr>
        <w:bottom w:val="thickThinSmallGap" w:color="auto" w:sz="18" w:space="2"/>
      </w:pBdr>
      <w:tabs>
        <w:tab w:val="left" w:pos="1050"/>
      </w:tabs>
    </w:pPr>
    <w:r>
      <w:rPr>
        <w:rFonts w:hint="eastAsia" w:ascii="黑体" w:eastAsia="黑体"/>
        <w:szCs w:val="21"/>
      </w:rPr>
      <w:t>黄骅经济开发区吕桥工业园总体规划环境影响报告书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5356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F359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3326F">
    <w:pPr>
      <w:pBdr>
        <w:bottom w:val="thickThinSmallGap" w:color="auto" w:sz="18" w:space="2"/>
      </w:pBdr>
      <w:tabs>
        <w:tab w:val="left" w:pos="1050"/>
      </w:tabs>
      <w:jc w:val="center"/>
    </w:pPr>
    <w:bookmarkStart w:id="166" w:name="_Hlk195522114"/>
    <w:bookmarkStart w:id="167" w:name="_Hlk195522113"/>
    <w:r>
      <w:rPr>
        <w:rFonts w:eastAsia="黑体"/>
        <w:szCs w:val="21"/>
      </w:rPr>
      <w:t>滦平县潮河干流河道水质改善与生态修复工程环境影响报告书</w:t>
    </w:r>
    <w:bookmarkEnd w:id="166"/>
    <w:bookmarkEnd w:id="167"/>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88FD4">
    <w:pPr>
      <w:pBdr>
        <w:bottom w:val="thickThinSmallGap" w:color="auto" w:sz="18" w:space="2"/>
      </w:pBdr>
      <w:tabs>
        <w:tab w:val="left" w:pos="1050"/>
      </w:tabs>
      <w:jc w:val="center"/>
    </w:pPr>
    <w:r>
      <w:rPr>
        <w:rFonts w:eastAsia="黑体"/>
        <w:szCs w:val="21"/>
      </w:rPr>
      <w:t>滦平县潮河干流河道水质改善与生态修复工程环境影响报告书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6C7FF">
    <w:pPr>
      <w:pBdr>
        <w:bottom w:val="thickThinSmallGap" w:color="auto" w:sz="18" w:space="2"/>
      </w:pBdr>
      <w:tabs>
        <w:tab w:val="left" w:pos="1050"/>
      </w:tabs>
      <w:jc w:val="center"/>
    </w:pPr>
    <w:bookmarkStart w:id="168" w:name="_Hlk195862628"/>
    <w:r>
      <w:rPr>
        <w:rFonts w:eastAsia="黑体"/>
        <w:szCs w:val="21"/>
      </w:rPr>
      <w:t>滦平县潮河干流河道水质改善与生态修复工程</w:t>
    </w:r>
    <w:bookmarkEnd w:id="168"/>
    <w:r>
      <w:rPr>
        <w:rFonts w:eastAsia="黑体"/>
        <w:szCs w:val="21"/>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673152"/>
    <w:multiLevelType w:val="multilevel"/>
    <w:tmpl w:val="63673152"/>
    <w:lvl w:ilvl="0" w:tentative="0">
      <w:start w:val="1"/>
      <w:numFmt w:val="decimal"/>
      <w:pStyle w:val="246"/>
      <w:suff w:val="nothing"/>
      <w:lvlText w:val="（%1）"/>
      <w:lvlJc w:val="left"/>
      <w:pPr>
        <w:ind w:left="991" w:firstLine="2"/>
      </w:pPr>
      <w:rPr>
        <w:rFonts w:ascii="Times New Roman" w:hAnsi="Times New Roman" w:cs="Times New Roman"/>
        <w:b w:val="0"/>
        <w:bCs w:val="0"/>
        <w:i w:val="0"/>
        <w:iCs w:val="0"/>
        <w:caps w:val="0"/>
        <w:smallCaps w:val="0"/>
        <w:strike w:val="0"/>
        <w:dstrike w:val="0"/>
        <w:vanish w:val="0"/>
        <w:color w:val="000000"/>
        <w:spacing w:val="0"/>
        <w:position w:val="0"/>
        <w:u w:val="none"/>
        <w:vertAlign w:val="baseline"/>
        <w:lang w:val="en-US"/>
      </w:rPr>
    </w:lvl>
    <w:lvl w:ilvl="1" w:tentative="0">
      <w:start w:val="1"/>
      <w:numFmt w:val="lowerLetter"/>
      <w:lvlText w:val="%2)"/>
      <w:lvlJc w:val="left"/>
      <w:pPr>
        <w:ind w:left="842" w:hanging="420"/>
      </w:pPr>
    </w:lvl>
    <w:lvl w:ilvl="2" w:tentative="0">
      <w:start w:val="1"/>
      <w:numFmt w:val="lowerRoman"/>
      <w:lvlText w:val="%3."/>
      <w:lvlJc w:val="right"/>
      <w:pPr>
        <w:ind w:left="1262" w:hanging="420"/>
      </w:pPr>
    </w:lvl>
    <w:lvl w:ilvl="3" w:tentative="0">
      <w:start w:val="1"/>
      <w:numFmt w:val="decimal"/>
      <w:suff w:val="nothing"/>
      <w:lvlText w:val="（%4）"/>
      <w:lvlJc w:val="left"/>
      <w:pPr>
        <w:ind w:left="1682" w:hanging="420"/>
      </w:pPr>
    </w:lvl>
    <w:lvl w:ilvl="4" w:tentative="0">
      <w:start w:val="1"/>
      <w:numFmt w:val="lowerLetter"/>
      <w:lvlText w:val="%5)"/>
      <w:lvlJc w:val="left"/>
      <w:pPr>
        <w:ind w:left="2102" w:hanging="420"/>
      </w:pPr>
    </w:lvl>
    <w:lvl w:ilvl="5" w:tentative="0">
      <w:start w:val="1"/>
      <w:numFmt w:val="lowerRoman"/>
      <w:lvlText w:val="%6."/>
      <w:lvlJc w:val="right"/>
      <w:pPr>
        <w:ind w:left="2522" w:hanging="420"/>
      </w:pPr>
    </w:lvl>
    <w:lvl w:ilvl="6" w:tentative="0">
      <w:start w:val="1"/>
      <w:numFmt w:val="decimal"/>
      <w:lvlText w:val="%7."/>
      <w:lvlJc w:val="left"/>
      <w:pPr>
        <w:ind w:left="2942" w:hanging="420"/>
      </w:pPr>
    </w:lvl>
    <w:lvl w:ilvl="7" w:tentative="0">
      <w:start w:val="1"/>
      <w:numFmt w:val="lowerLetter"/>
      <w:lvlText w:val="%8)"/>
      <w:lvlJc w:val="left"/>
      <w:pPr>
        <w:ind w:left="3362" w:hanging="420"/>
      </w:pPr>
    </w:lvl>
    <w:lvl w:ilvl="8" w:tentative="0">
      <w:start w:val="1"/>
      <w:numFmt w:val="lowerRoman"/>
      <w:lvlText w:val="%9."/>
      <w:lvlJc w:val="right"/>
      <w:pPr>
        <w:ind w:left="3782" w:hanging="420"/>
      </w:pPr>
    </w:lvl>
  </w:abstractNum>
  <w:abstractNum w:abstractNumId="1">
    <w:nsid w:val="67E46F2A"/>
    <w:multiLevelType w:val="multilevel"/>
    <w:tmpl w:val="67E46F2A"/>
    <w:lvl w:ilvl="0" w:tentative="0">
      <w:start w:val="1"/>
      <w:numFmt w:val="decimal"/>
      <w:pStyle w:val="2"/>
      <w:suff w:val="space"/>
      <w:lvlText w:val="%1"/>
      <w:lvlJc w:val="left"/>
      <w:pPr>
        <w:ind w:left="425" w:hanging="425"/>
      </w:pPr>
      <w:rPr>
        <w:rFonts w:hint="eastAsia"/>
      </w:rPr>
    </w:lvl>
    <w:lvl w:ilvl="1" w:tentative="0">
      <w:start w:val="1"/>
      <w:numFmt w:val="decimal"/>
      <w:pStyle w:val="3"/>
      <w:suff w:val="space"/>
      <w:lvlText w:val="%1.%2"/>
      <w:lvlJc w:val="left"/>
      <w:pPr>
        <w:ind w:left="567" w:hanging="567"/>
      </w:pPr>
      <w:rPr>
        <w:rFonts w:hint="eastAsia"/>
        <w:b w:val="0"/>
        <w:bCs w:val="0"/>
        <w:i w:val="0"/>
        <w:iCs w:val="0"/>
        <w:caps w:val="0"/>
        <w:smallCaps w:val="0"/>
        <w:strike w:val="0"/>
        <w:dstrike w:val="0"/>
        <w:vanish w:val="0"/>
        <w:color w:val="000000"/>
        <w:spacing w:val="0"/>
        <w:position w:val="0"/>
        <w:u w:val="none"/>
        <w:vertAlign w:val="baseline"/>
      </w:rPr>
    </w:lvl>
    <w:lvl w:ilvl="2" w:tentative="0">
      <w:start w:val="1"/>
      <w:numFmt w:val="decimal"/>
      <w:pStyle w:val="4"/>
      <w:suff w:val="space"/>
      <w:lvlText w:val="%1.%2.%3"/>
      <w:lvlJc w:val="left"/>
      <w:pPr>
        <w:ind w:left="709" w:hanging="709"/>
      </w:pPr>
      <w:rPr>
        <w:rFonts w:hint="eastAsia"/>
      </w:rPr>
    </w:lvl>
    <w:lvl w:ilvl="3" w:tentative="0">
      <w:start w:val="1"/>
      <w:numFmt w:val="decimal"/>
      <w:pStyle w:val="5"/>
      <w:suff w:val="space"/>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449"/>
    <w:rsid w:val="0000025D"/>
    <w:rsid w:val="000005F2"/>
    <w:rsid w:val="000006AB"/>
    <w:rsid w:val="00000B57"/>
    <w:rsid w:val="00000C2D"/>
    <w:rsid w:val="00000F79"/>
    <w:rsid w:val="00001245"/>
    <w:rsid w:val="00001851"/>
    <w:rsid w:val="00002312"/>
    <w:rsid w:val="00002A84"/>
    <w:rsid w:val="00002ADF"/>
    <w:rsid w:val="000036EE"/>
    <w:rsid w:val="000039AA"/>
    <w:rsid w:val="00003A86"/>
    <w:rsid w:val="000041B2"/>
    <w:rsid w:val="000046FC"/>
    <w:rsid w:val="000048C8"/>
    <w:rsid w:val="00004C79"/>
    <w:rsid w:val="00004F1B"/>
    <w:rsid w:val="00006F47"/>
    <w:rsid w:val="000070D1"/>
    <w:rsid w:val="0000779C"/>
    <w:rsid w:val="00007FC3"/>
    <w:rsid w:val="000102BB"/>
    <w:rsid w:val="00010FBB"/>
    <w:rsid w:val="0001120A"/>
    <w:rsid w:val="00011614"/>
    <w:rsid w:val="00011D80"/>
    <w:rsid w:val="0001277A"/>
    <w:rsid w:val="00012E13"/>
    <w:rsid w:val="00012F32"/>
    <w:rsid w:val="00013ADA"/>
    <w:rsid w:val="00014896"/>
    <w:rsid w:val="000154D6"/>
    <w:rsid w:val="00015691"/>
    <w:rsid w:val="00015740"/>
    <w:rsid w:val="00015D71"/>
    <w:rsid w:val="00016033"/>
    <w:rsid w:val="00016091"/>
    <w:rsid w:val="000168F6"/>
    <w:rsid w:val="00016925"/>
    <w:rsid w:val="00016AB8"/>
    <w:rsid w:val="00016E8E"/>
    <w:rsid w:val="00017A2A"/>
    <w:rsid w:val="000201F0"/>
    <w:rsid w:val="000202B8"/>
    <w:rsid w:val="00020A58"/>
    <w:rsid w:val="00021748"/>
    <w:rsid w:val="00021B01"/>
    <w:rsid w:val="00021D49"/>
    <w:rsid w:val="00021E43"/>
    <w:rsid w:val="00021F3D"/>
    <w:rsid w:val="00022BC9"/>
    <w:rsid w:val="00022D60"/>
    <w:rsid w:val="00022EA1"/>
    <w:rsid w:val="00022F43"/>
    <w:rsid w:val="00023F7E"/>
    <w:rsid w:val="00024F78"/>
    <w:rsid w:val="000251ED"/>
    <w:rsid w:val="00025C04"/>
    <w:rsid w:val="0002685E"/>
    <w:rsid w:val="000277E1"/>
    <w:rsid w:val="00027C99"/>
    <w:rsid w:val="00027FB4"/>
    <w:rsid w:val="00030016"/>
    <w:rsid w:val="00030113"/>
    <w:rsid w:val="0003027A"/>
    <w:rsid w:val="00030716"/>
    <w:rsid w:val="00030977"/>
    <w:rsid w:val="00030ACD"/>
    <w:rsid w:val="00030E30"/>
    <w:rsid w:val="00030FC3"/>
    <w:rsid w:val="000310CA"/>
    <w:rsid w:val="0003113E"/>
    <w:rsid w:val="00031726"/>
    <w:rsid w:val="00031827"/>
    <w:rsid w:val="00031A06"/>
    <w:rsid w:val="00032028"/>
    <w:rsid w:val="00032074"/>
    <w:rsid w:val="00032175"/>
    <w:rsid w:val="00032227"/>
    <w:rsid w:val="0003226B"/>
    <w:rsid w:val="00032C72"/>
    <w:rsid w:val="00033018"/>
    <w:rsid w:val="00034210"/>
    <w:rsid w:val="000346B0"/>
    <w:rsid w:val="0003481F"/>
    <w:rsid w:val="00035386"/>
    <w:rsid w:val="00035942"/>
    <w:rsid w:val="00035F62"/>
    <w:rsid w:val="00035F75"/>
    <w:rsid w:val="000363C0"/>
    <w:rsid w:val="000365D9"/>
    <w:rsid w:val="00036934"/>
    <w:rsid w:val="00036963"/>
    <w:rsid w:val="00036D25"/>
    <w:rsid w:val="00037079"/>
    <w:rsid w:val="0003707F"/>
    <w:rsid w:val="0003791B"/>
    <w:rsid w:val="0003796B"/>
    <w:rsid w:val="00037A3A"/>
    <w:rsid w:val="00040894"/>
    <w:rsid w:val="00040A00"/>
    <w:rsid w:val="00040E31"/>
    <w:rsid w:val="000413A2"/>
    <w:rsid w:val="000416E6"/>
    <w:rsid w:val="00041B93"/>
    <w:rsid w:val="00041D2C"/>
    <w:rsid w:val="00041EEE"/>
    <w:rsid w:val="000421A6"/>
    <w:rsid w:val="00042DCA"/>
    <w:rsid w:val="00042F74"/>
    <w:rsid w:val="00043231"/>
    <w:rsid w:val="0004352E"/>
    <w:rsid w:val="000436BB"/>
    <w:rsid w:val="000436F1"/>
    <w:rsid w:val="00044CF1"/>
    <w:rsid w:val="00044DA8"/>
    <w:rsid w:val="000455D8"/>
    <w:rsid w:val="00045A0F"/>
    <w:rsid w:val="00045F03"/>
    <w:rsid w:val="000462F4"/>
    <w:rsid w:val="00046399"/>
    <w:rsid w:val="00046895"/>
    <w:rsid w:val="000469E6"/>
    <w:rsid w:val="00046C4C"/>
    <w:rsid w:val="00046F09"/>
    <w:rsid w:val="000470EA"/>
    <w:rsid w:val="000479D6"/>
    <w:rsid w:val="00047B73"/>
    <w:rsid w:val="00047E80"/>
    <w:rsid w:val="000501B9"/>
    <w:rsid w:val="00050A6A"/>
    <w:rsid w:val="00050E3D"/>
    <w:rsid w:val="000513A6"/>
    <w:rsid w:val="00051E3C"/>
    <w:rsid w:val="00051E6B"/>
    <w:rsid w:val="00052D8C"/>
    <w:rsid w:val="00052F4B"/>
    <w:rsid w:val="0005308E"/>
    <w:rsid w:val="0005382E"/>
    <w:rsid w:val="00053B0C"/>
    <w:rsid w:val="00054009"/>
    <w:rsid w:val="000549CF"/>
    <w:rsid w:val="000552F4"/>
    <w:rsid w:val="00055437"/>
    <w:rsid w:val="00055830"/>
    <w:rsid w:val="00056364"/>
    <w:rsid w:val="00056A23"/>
    <w:rsid w:val="00056AD6"/>
    <w:rsid w:val="00056DFC"/>
    <w:rsid w:val="00056EE7"/>
    <w:rsid w:val="00057001"/>
    <w:rsid w:val="00057116"/>
    <w:rsid w:val="00057127"/>
    <w:rsid w:val="000573FC"/>
    <w:rsid w:val="000574A1"/>
    <w:rsid w:val="00057B12"/>
    <w:rsid w:val="00057CEE"/>
    <w:rsid w:val="000601AD"/>
    <w:rsid w:val="00060241"/>
    <w:rsid w:val="00060352"/>
    <w:rsid w:val="00060554"/>
    <w:rsid w:val="00060FEE"/>
    <w:rsid w:val="0006153F"/>
    <w:rsid w:val="000619F3"/>
    <w:rsid w:val="00061DD1"/>
    <w:rsid w:val="00062F76"/>
    <w:rsid w:val="000632D0"/>
    <w:rsid w:val="00063610"/>
    <w:rsid w:val="00063C82"/>
    <w:rsid w:val="00064115"/>
    <w:rsid w:val="00064BB2"/>
    <w:rsid w:val="000650FA"/>
    <w:rsid w:val="000651F9"/>
    <w:rsid w:val="000652C8"/>
    <w:rsid w:val="00065561"/>
    <w:rsid w:val="0006567C"/>
    <w:rsid w:val="00065952"/>
    <w:rsid w:val="0006596E"/>
    <w:rsid w:val="00065AA3"/>
    <w:rsid w:val="00065B9A"/>
    <w:rsid w:val="000662F4"/>
    <w:rsid w:val="0006640E"/>
    <w:rsid w:val="00066A09"/>
    <w:rsid w:val="00066B6D"/>
    <w:rsid w:val="0006702B"/>
    <w:rsid w:val="00067341"/>
    <w:rsid w:val="000675F4"/>
    <w:rsid w:val="00067746"/>
    <w:rsid w:val="0006779F"/>
    <w:rsid w:val="00067835"/>
    <w:rsid w:val="00067864"/>
    <w:rsid w:val="00067BFE"/>
    <w:rsid w:val="00067C17"/>
    <w:rsid w:val="00067C23"/>
    <w:rsid w:val="00067C4E"/>
    <w:rsid w:val="000704F3"/>
    <w:rsid w:val="00070CAF"/>
    <w:rsid w:val="00070DFE"/>
    <w:rsid w:val="00071454"/>
    <w:rsid w:val="00072041"/>
    <w:rsid w:val="000725FC"/>
    <w:rsid w:val="0007296A"/>
    <w:rsid w:val="00073315"/>
    <w:rsid w:val="00073BED"/>
    <w:rsid w:val="000743CA"/>
    <w:rsid w:val="000760BB"/>
    <w:rsid w:val="000761DC"/>
    <w:rsid w:val="0007655F"/>
    <w:rsid w:val="000767AD"/>
    <w:rsid w:val="00076B4A"/>
    <w:rsid w:val="00076BC1"/>
    <w:rsid w:val="00076BEA"/>
    <w:rsid w:val="000776C8"/>
    <w:rsid w:val="0007772C"/>
    <w:rsid w:val="0008191F"/>
    <w:rsid w:val="000819FD"/>
    <w:rsid w:val="00081F1E"/>
    <w:rsid w:val="0008278A"/>
    <w:rsid w:val="0008281F"/>
    <w:rsid w:val="00082DCC"/>
    <w:rsid w:val="00082F54"/>
    <w:rsid w:val="000831BC"/>
    <w:rsid w:val="000833C1"/>
    <w:rsid w:val="00083419"/>
    <w:rsid w:val="0008363C"/>
    <w:rsid w:val="000849E5"/>
    <w:rsid w:val="00084B57"/>
    <w:rsid w:val="00084F15"/>
    <w:rsid w:val="0008515E"/>
    <w:rsid w:val="00085346"/>
    <w:rsid w:val="00085669"/>
    <w:rsid w:val="000856AD"/>
    <w:rsid w:val="0008574C"/>
    <w:rsid w:val="000857F3"/>
    <w:rsid w:val="000861F4"/>
    <w:rsid w:val="00086305"/>
    <w:rsid w:val="000870D3"/>
    <w:rsid w:val="00087225"/>
    <w:rsid w:val="00090BB0"/>
    <w:rsid w:val="0009110D"/>
    <w:rsid w:val="000919DC"/>
    <w:rsid w:val="00091ED6"/>
    <w:rsid w:val="00092341"/>
    <w:rsid w:val="000932B5"/>
    <w:rsid w:val="000938C6"/>
    <w:rsid w:val="000939D2"/>
    <w:rsid w:val="00093B8E"/>
    <w:rsid w:val="00093F28"/>
    <w:rsid w:val="00094A9A"/>
    <w:rsid w:val="00095041"/>
    <w:rsid w:val="000951A6"/>
    <w:rsid w:val="000952DB"/>
    <w:rsid w:val="00095351"/>
    <w:rsid w:val="00095682"/>
    <w:rsid w:val="000977B9"/>
    <w:rsid w:val="00097C29"/>
    <w:rsid w:val="000A0203"/>
    <w:rsid w:val="000A03ED"/>
    <w:rsid w:val="000A078F"/>
    <w:rsid w:val="000A1059"/>
    <w:rsid w:val="000A1346"/>
    <w:rsid w:val="000A1D7F"/>
    <w:rsid w:val="000A1F84"/>
    <w:rsid w:val="000A32DD"/>
    <w:rsid w:val="000A33D0"/>
    <w:rsid w:val="000A4688"/>
    <w:rsid w:val="000A4870"/>
    <w:rsid w:val="000A4B1D"/>
    <w:rsid w:val="000A4B8D"/>
    <w:rsid w:val="000A50E2"/>
    <w:rsid w:val="000A52DF"/>
    <w:rsid w:val="000A5829"/>
    <w:rsid w:val="000A5946"/>
    <w:rsid w:val="000A5B01"/>
    <w:rsid w:val="000A6445"/>
    <w:rsid w:val="000A6723"/>
    <w:rsid w:val="000A6CE6"/>
    <w:rsid w:val="000A6DA0"/>
    <w:rsid w:val="000A76B3"/>
    <w:rsid w:val="000A79E3"/>
    <w:rsid w:val="000A7B10"/>
    <w:rsid w:val="000A7BF3"/>
    <w:rsid w:val="000A7C14"/>
    <w:rsid w:val="000B014C"/>
    <w:rsid w:val="000B0177"/>
    <w:rsid w:val="000B0610"/>
    <w:rsid w:val="000B19DE"/>
    <w:rsid w:val="000B1E7A"/>
    <w:rsid w:val="000B2EFD"/>
    <w:rsid w:val="000B2F56"/>
    <w:rsid w:val="000B3F35"/>
    <w:rsid w:val="000B4172"/>
    <w:rsid w:val="000B4D45"/>
    <w:rsid w:val="000B4F67"/>
    <w:rsid w:val="000B547D"/>
    <w:rsid w:val="000B58CE"/>
    <w:rsid w:val="000B5900"/>
    <w:rsid w:val="000B5DF8"/>
    <w:rsid w:val="000B6374"/>
    <w:rsid w:val="000B659F"/>
    <w:rsid w:val="000B6EBD"/>
    <w:rsid w:val="000B72E5"/>
    <w:rsid w:val="000B7347"/>
    <w:rsid w:val="000B75A4"/>
    <w:rsid w:val="000B7DD5"/>
    <w:rsid w:val="000B7E2F"/>
    <w:rsid w:val="000C0004"/>
    <w:rsid w:val="000C1897"/>
    <w:rsid w:val="000C1D3C"/>
    <w:rsid w:val="000C234D"/>
    <w:rsid w:val="000C27AB"/>
    <w:rsid w:val="000C3050"/>
    <w:rsid w:val="000C3AF7"/>
    <w:rsid w:val="000C3DA4"/>
    <w:rsid w:val="000C5512"/>
    <w:rsid w:val="000C5F4E"/>
    <w:rsid w:val="000C60AF"/>
    <w:rsid w:val="000C6647"/>
    <w:rsid w:val="000C6661"/>
    <w:rsid w:val="000C6E0C"/>
    <w:rsid w:val="000C711A"/>
    <w:rsid w:val="000C7A77"/>
    <w:rsid w:val="000C7CE4"/>
    <w:rsid w:val="000D001E"/>
    <w:rsid w:val="000D0270"/>
    <w:rsid w:val="000D0401"/>
    <w:rsid w:val="000D10E1"/>
    <w:rsid w:val="000D112F"/>
    <w:rsid w:val="000D11D0"/>
    <w:rsid w:val="000D1493"/>
    <w:rsid w:val="000D14AF"/>
    <w:rsid w:val="000D2B55"/>
    <w:rsid w:val="000D2D4A"/>
    <w:rsid w:val="000D300E"/>
    <w:rsid w:val="000D308E"/>
    <w:rsid w:val="000D37F8"/>
    <w:rsid w:val="000D3DD9"/>
    <w:rsid w:val="000D3E2B"/>
    <w:rsid w:val="000D4091"/>
    <w:rsid w:val="000D4355"/>
    <w:rsid w:val="000D54EE"/>
    <w:rsid w:val="000D54F1"/>
    <w:rsid w:val="000D5AD9"/>
    <w:rsid w:val="000D63D6"/>
    <w:rsid w:val="000D6556"/>
    <w:rsid w:val="000D69D9"/>
    <w:rsid w:val="000D6F59"/>
    <w:rsid w:val="000D71DE"/>
    <w:rsid w:val="000D7280"/>
    <w:rsid w:val="000D77EB"/>
    <w:rsid w:val="000D7846"/>
    <w:rsid w:val="000D7A77"/>
    <w:rsid w:val="000E0559"/>
    <w:rsid w:val="000E05EC"/>
    <w:rsid w:val="000E0D1D"/>
    <w:rsid w:val="000E13C1"/>
    <w:rsid w:val="000E1881"/>
    <w:rsid w:val="000E2790"/>
    <w:rsid w:val="000E287F"/>
    <w:rsid w:val="000E3260"/>
    <w:rsid w:val="000E3596"/>
    <w:rsid w:val="000E3611"/>
    <w:rsid w:val="000E3B0C"/>
    <w:rsid w:val="000E3F66"/>
    <w:rsid w:val="000E4289"/>
    <w:rsid w:val="000E44D7"/>
    <w:rsid w:val="000E496D"/>
    <w:rsid w:val="000E5070"/>
    <w:rsid w:val="000E52A0"/>
    <w:rsid w:val="000E5316"/>
    <w:rsid w:val="000E54C3"/>
    <w:rsid w:val="000E62F9"/>
    <w:rsid w:val="000E64AF"/>
    <w:rsid w:val="000E7A0C"/>
    <w:rsid w:val="000E7DED"/>
    <w:rsid w:val="000F0828"/>
    <w:rsid w:val="000F0B7C"/>
    <w:rsid w:val="000F1056"/>
    <w:rsid w:val="000F1230"/>
    <w:rsid w:val="000F170B"/>
    <w:rsid w:val="000F2478"/>
    <w:rsid w:val="000F265A"/>
    <w:rsid w:val="000F2692"/>
    <w:rsid w:val="000F280A"/>
    <w:rsid w:val="000F2A39"/>
    <w:rsid w:val="000F2A44"/>
    <w:rsid w:val="000F318C"/>
    <w:rsid w:val="000F399E"/>
    <w:rsid w:val="000F3BFB"/>
    <w:rsid w:val="000F3D49"/>
    <w:rsid w:val="000F3DB3"/>
    <w:rsid w:val="000F3DBF"/>
    <w:rsid w:val="000F3E38"/>
    <w:rsid w:val="000F3FC6"/>
    <w:rsid w:val="000F6000"/>
    <w:rsid w:val="000F69F7"/>
    <w:rsid w:val="000F6D08"/>
    <w:rsid w:val="000F7196"/>
    <w:rsid w:val="000F7429"/>
    <w:rsid w:val="000F7441"/>
    <w:rsid w:val="000F7A03"/>
    <w:rsid w:val="000F7EA8"/>
    <w:rsid w:val="001002A0"/>
    <w:rsid w:val="0010046E"/>
    <w:rsid w:val="00100900"/>
    <w:rsid w:val="00101379"/>
    <w:rsid w:val="00101F25"/>
    <w:rsid w:val="0010207D"/>
    <w:rsid w:val="00102758"/>
    <w:rsid w:val="00102DE7"/>
    <w:rsid w:val="001030E8"/>
    <w:rsid w:val="00103519"/>
    <w:rsid w:val="001036F2"/>
    <w:rsid w:val="00103AD3"/>
    <w:rsid w:val="00103F65"/>
    <w:rsid w:val="0010440F"/>
    <w:rsid w:val="0010450A"/>
    <w:rsid w:val="00104A24"/>
    <w:rsid w:val="001051EC"/>
    <w:rsid w:val="001054F3"/>
    <w:rsid w:val="00105984"/>
    <w:rsid w:val="00105BB6"/>
    <w:rsid w:val="00106306"/>
    <w:rsid w:val="0010698D"/>
    <w:rsid w:val="001074F4"/>
    <w:rsid w:val="0010787F"/>
    <w:rsid w:val="001079B3"/>
    <w:rsid w:val="00107F34"/>
    <w:rsid w:val="00111787"/>
    <w:rsid w:val="0011197E"/>
    <w:rsid w:val="001120DC"/>
    <w:rsid w:val="00112448"/>
    <w:rsid w:val="0011256A"/>
    <w:rsid w:val="00112613"/>
    <w:rsid w:val="00112CA1"/>
    <w:rsid w:val="00112D58"/>
    <w:rsid w:val="00112DB0"/>
    <w:rsid w:val="00114F22"/>
    <w:rsid w:val="00115D5E"/>
    <w:rsid w:val="00115E78"/>
    <w:rsid w:val="001160D4"/>
    <w:rsid w:val="00116D01"/>
    <w:rsid w:val="00116E1F"/>
    <w:rsid w:val="001170DE"/>
    <w:rsid w:val="001171BC"/>
    <w:rsid w:val="00117CFB"/>
    <w:rsid w:val="00120C25"/>
    <w:rsid w:val="00120E5D"/>
    <w:rsid w:val="00120F7E"/>
    <w:rsid w:val="0012171F"/>
    <w:rsid w:val="00121BAC"/>
    <w:rsid w:val="00121D39"/>
    <w:rsid w:val="00122424"/>
    <w:rsid w:val="00122A67"/>
    <w:rsid w:val="00122EBF"/>
    <w:rsid w:val="0012397B"/>
    <w:rsid w:val="00123CC0"/>
    <w:rsid w:val="00124300"/>
    <w:rsid w:val="001251CE"/>
    <w:rsid w:val="00125417"/>
    <w:rsid w:val="00125C78"/>
    <w:rsid w:val="00125C7C"/>
    <w:rsid w:val="00125ED1"/>
    <w:rsid w:val="00126275"/>
    <w:rsid w:val="001264D2"/>
    <w:rsid w:val="00126595"/>
    <w:rsid w:val="00126774"/>
    <w:rsid w:val="001268EA"/>
    <w:rsid w:val="00126B98"/>
    <w:rsid w:val="001271C3"/>
    <w:rsid w:val="001271F5"/>
    <w:rsid w:val="001278A3"/>
    <w:rsid w:val="00127D7D"/>
    <w:rsid w:val="00127E9A"/>
    <w:rsid w:val="00130202"/>
    <w:rsid w:val="001305FA"/>
    <w:rsid w:val="00130F75"/>
    <w:rsid w:val="00131020"/>
    <w:rsid w:val="001324E7"/>
    <w:rsid w:val="00132817"/>
    <w:rsid w:val="00132AFD"/>
    <w:rsid w:val="00132D0D"/>
    <w:rsid w:val="001330A1"/>
    <w:rsid w:val="00133C0E"/>
    <w:rsid w:val="00133C2E"/>
    <w:rsid w:val="001341E9"/>
    <w:rsid w:val="001345FC"/>
    <w:rsid w:val="00134A69"/>
    <w:rsid w:val="00134CAA"/>
    <w:rsid w:val="00134D3D"/>
    <w:rsid w:val="001350C2"/>
    <w:rsid w:val="00135895"/>
    <w:rsid w:val="00135C6A"/>
    <w:rsid w:val="0013634B"/>
    <w:rsid w:val="00140ECB"/>
    <w:rsid w:val="001414D3"/>
    <w:rsid w:val="00141AF1"/>
    <w:rsid w:val="00141F33"/>
    <w:rsid w:val="001429E7"/>
    <w:rsid w:val="00142C6B"/>
    <w:rsid w:val="00142CFD"/>
    <w:rsid w:val="0014332D"/>
    <w:rsid w:val="00143FD3"/>
    <w:rsid w:val="00144D89"/>
    <w:rsid w:val="00144DA7"/>
    <w:rsid w:val="00144F56"/>
    <w:rsid w:val="001455A7"/>
    <w:rsid w:val="0014631A"/>
    <w:rsid w:val="00146686"/>
    <w:rsid w:val="00146AD0"/>
    <w:rsid w:val="00146D89"/>
    <w:rsid w:val="00147454"/>
    <w:rsid w:val="001475CA"/>
    <w:rsid w:val="00147A51"/>
    <w:rsid w:val="00150403"/>
    <w:rsid w:val="001507C3"/>
    <w:rsid w:val="00150874"/>
    <w:rsid w:val="001508A2"/>
    <w:rsid w:val="00150EA5"/>
    <w:rsid w:val="001512DD"/>
    <w:rsid w:val="00151AE1"/>
    <w:rsid w:val="001523F1"/>
    <w:rsid w:val="0015279C"/>
    <w:rsid w:val="00152D84"/>
    <w:rsid w:val="001530D5"/>
    <w:rsid w:val="0015338B"/>
    <w:rsid w:val="00153B55"/>
    <w:rsid w:val="00154EA9"/>
    <w:rsid w:val="001552D9"/>
    <w:rsid w:val="001554BE"/>
    <w:rsid w:val="00155843"/>
    <w:rsid w:val="00155A87"/>
    <w:rsid w:val="00155AD9"/>
    <w:rsid w:val="0015614A"/>
    <w:rsid w:val="001564FD"/>
    <w:rsid w:val="00156A99"/>
    <w:rsid w:val="00156C63"/>
    <w:rsid w:val="00156E91"/>
    <w:rsid w:val="00157CA9"/>
    <w:rsid w:val="00157D49"/>
    <w:rsid w:val="00160220"/>
    <w:rsid w:val="00160B3E"/>
    <w:rsid w:val="00161042"/>
    <w:rsid w:val="0016120A"/>
    <w:rsid w:val="001613A3"/>
    <w:rsid w:val="00161871"/>
    <w:rsid w:val="00161B38"/>
    <w:rsid w:val="0016218C"/>
    <w:rsid w:val="00162495"/>
    <w:rsid w:val="001626A0"/>
    <w:rsid w:val="00162AC0"/>
    <w:rsid w:val="00162B57"/>
    <w:rsid w:val="001634AD"/>
    <w:rsid w:val="00163A92"/>
    <w:rsid w:val="001643B8"/>
    <w:rsid w:val="00164935"/>
    <w:rsid w:val="00165BBB"/>
    <w:rsid w:val="00166049"/>
    <w:rsid w:val="0016608A"/>
    <w:rsid w:val="00166106"/>
    <w:rsid w:val="00166332"/>
    <w:rsid w:val="00166BB9"/>
    <w:rsid w:val="00166FC6"/>
    <w:rsid w:val="001677DD"/>
    <w:rsid w:val="00167AB3"/>
    <w:rsid w:val="001707D0"/>
    <w:rsid w:val="001718DD"/>
    <w:rsid w:val="00171D7B"/>
    <w:rsid w:val="001721D9"/>
    <w:rsid w:val="00172466"/>
    <w:rsid w:val="00172850"/>
    <w:rsid w:val="0017327E"/>
    <w:rsid w:val="00173C08"/>
    <w:rsid w:val="00173F6E"/>
    <w:rsid w:val="0017430B"/>
    <w:rsid w:val="001743D0"/>
    <w:rsid w:val="001746FD"/>
    <w:rsid w:val="001748A6"/>
    <w:rsid w:val="00174B25"/>
    <w:rsid w:val="00175422"/>
    <w:rsid w:val="001754CB"/>
    <w:rsid w:val="0017652D"/>
    <w:rsid w:val="001765BE"/>
    <w:rsid w:val="001768DA"/>
    <w:rsid w:val="001776FF"/>
    <w:rsid w:val="00177DD4"/>
    <w:rsid w:val="001803B5"/>
    <w:rsid w:val="001809B2"/>
    <w:rsid w:val="00180CB3"/>
    <w:rsid w:val="0018134B"/>
    <w:rsid w:val="0018186F"/>
    <w:rsid w:val="00181B66"/>
    <w:rsid w:val="001826CF"/>
    <w:rsid w:val="001828F7"/>
    <w:rsid w:val="00182BE7"/>
    <w:rsid w:val="00183176"/>
    <w:rsid w:val="0018317F"/>
    <w:rsid w:val="001838B3"/>
    <w:rsid w:val="00183CDF"/>
    <w:rsid w:val="00184C9F"/>
    <w:rsid w:val="001855C8"/>
    <w:rsid w:val="00185F6E"/>
    <w:rsid w:val="00186036"/>
    <w:rsid w:val="001868EA"/>
    <w:rsid w:val="00187401"/>
    <w:rsid w:val="001876F9"/>
    <w:rsid w:val="00187727"/>
    <w:rsid w:val="001878DD"/>
    <w:rsid w:val="00187C1D"/>
    <w:rsid w:val="001906F9"/>
    <w:rsid w:val="00190714"/>
    <w:rsid w:val="00190838"/>
    <w:rsid w:val="00191072"/>
    <w:rsid w:val="00191B4B"/>
    <w:rsid w:val="00191C78"/>
    <w:rsid w:val="00191E7A"/>
    <w:rsid w:val="001923C2"/>
    <w:rsid w:val="00192438"/>
    <w:rsid w:val="001926D9"/>
    <w:rsid w:val="00192861"/>
    <w:rsid w:val="00192976"/>
    <w:rsid w:val="00193344"/>
    <w:rsid w:val="0019375B"/>
    <w:rsid w:val="0019379D"/>
    <w:rsid w:val="0019427A"/>
    <w:rsid w:val="00194638"/>
    <w:rsid w:val="00195439"/>
    <w:rsid w:val="0019555F"/>
    <w:rsid w:val="00195574"/>
    <w:rsid w:val="0019581C"/>
    <w:rsid w:val="0019590C"/>
    <w:rsid w:val="00195B9E"/>
    <w:rsid w:val="00195DFB"/>
    <w:rsid w:val="00196138"/>
    <w:rsid w:val="00196386"/>
    <w:rsid w:val="001963B7"/>
    <w:rsid w:val="00197583"/>
    <w:rsid w:val="001A03DB"/>
    <w:rsid w:val="001A069D"/>
    <w:rsid w:val="001A0A7C"/>
    <w:rsid w:val="001A10EA"/>
    <w:rsid w:val="001A1A4C"/>
    <w:rsid w:val="001A1BB8"/>
    <w:rsid w:val="001A1C92"/>
    <w:rsid w:val="001A2387"/>
    <w:rsid w:val="001A2EBB"/>
    <w:rsid w:val="001A354F"/>
    <w:rsid w:val="001A366E"/>
    <w:rsid w:val="001A3DCD"/>
    <w:rsid w:val="001A4466"/>
    <w:rsid w:val="001A4483"/>
    <w:rsid w:val="001A4598"/>
    <w:rsid w:val="001A4AC8"/>
    <w:rsid w:val="001A5661"/>
    <w:rsid w:val="001A581E"/>
    <w:rsid w:val="001A6794"/>
    <w:rsid w:val="001A6D74"/>
    <w:rsid w:val="001B06FB"/>
    <w:rsid w:val="001B0947"/>
    <w:rsid w:val="001B0A46"/>
    <w:rsid w:val="001B1DD2"/>
    <w:rsid w:val="001B1FAC"/>
    <w:rsid w:val="001B2042"/>
    <w:rsid w:val="001B21AA"/>
    <w:rsid w:val="001B2E6D"/>
    <w:rsid w:val="001B2F1F"/>
    <w:rsid w:val="001B34CE"/>
    <w:rsid w:val="001B3AD9"/>
    <w:rsid w:val="001B42F7"/>
    <w:rsid w:val="001B434D"/>
    <w:rsid w:val="001B4565"/>
    <w:rsid w:val="001B47B1"/>
    <w:rsid w:val="001B4942"/>
    <w:rsid w:val="001B4981"/>
    <w:rsid w:val="001B5430"/>
    <w:rsid w:val="001B58DD"/>
    <w:rsid w:val="001B5FEF"/>
    <w:rsid w:val="001B6014"/>
    <w:rsid w:val="001B6055"/>
    <w:rsid w:val="001B6299"/>
    <w:rsid w:val="001B77EB"/>
    <w:rsid w:val="001B7884"/>
    <w:rsid w:val="001C0074"/>
    <w:rsid w:val="001C051D"/>
    <w:rsid w:val="001C1519"/>
    <w:rsid w:val="001C1961"/>
    <w:rsid w:val="001C2D53"/>
    <w:rsid w:val="001C2DBF"/>
    <w:rsid w:val="001C38E4"/>
    <w:rsid w:val="001C3C39"/>
    <w:rsid w:val="001C3D72"/>
    <w:rsid w:val="001C4652"/>
    <w:rsid w:val="001C4C5A"/>
    <w:rsid w:val="001C4EEF"/>
    <w:rsid w:val="001C5387"/>
    <w:rsid w:val="001C5C97"/>
    <w:rsid w:val="001C6DD3"/>
    <w:rsid w:val="001C6FE7"/>
    <w:rsid w:val="001C70F5"/>
    <w:rsid w:val="001D0243"/>
    <w:rsid w:val="001D09D4"/>
    <w:rsid w:val="001D0AB7"/>
    <w:rsid w:val="001D0C07"/>
    <w:rsid w:val="001D19A8"/>
    <w:rsid w:val="001D1F2D"/>
    <w:rsid w:val="001D2284"/>
    <w:rsid w:val="001D22A0"/>
    <w:rsid w:val="001D2361"/>
    <w:rsid w:val="001D28F6"/>
    <w:rsid w:val="001D2F70"/>
    <w:rsid w:val="001D343F"/>
    <w:rsid w:val="001D366C"/>
    <w:rsid w:val="001D4855"/>
    <w:rsid w:val="001D4944"/>
    <w:rsid w:val="001D4D62"/>
    <w:rsid w:val="001D50D1"/>
    <w:rsid w:val="001D54C2"/>
    <w:rsid w:val="001D5E60"/>
    <w:rsid w:val="001D629D"/>
    <w:rsid w:val="001D630A"/>
    <w:rsid w:val="001D667D"/>
    <w:rsid w:val="001D66BF"/>
    <w:rsid w:val="001D6752"/>
    <w:rsid w:val="001D6EAC"/>
    <w:rsid w:val="001D7103"/>
    <w:rsid w:val="001D76B8"/>
    <w:rsid w:val="001D7787"/>
    <w:rsid w:val="001D7C59"/>
    <w:rsid w:val="001D7E3C"/>
    <w:rsid w:val="001E04A4"/>
    <w:rsid w:val="001E0649"/>
    <w:rsid w:val="001E0DA6"/>
    <w:rsid w:val="001E140D"/>
    <w:rsid w:val="001E20B9"/>
    <w:rsid w:val="001E215C"/>
    <w:rsid w:val="001E2206"/>
    <w:rsid w:val="001E2A39"/>
    <w:rsid w:val="001E2E75"/>
    <w:rsid w:val="001E34A7"/>
    <w:rsid w:val="001E36A6"/>
    <w:rsid w:val="001E3B73"/>
    <w:rsid w:val="001E497B"/>
    <w:rsid w:val="001E4AD4"/>
    <w:rsid w:val="001E66EB"/>
    <w:rsid w:val="001E72F3"/>
    <w:rsid w:val="001E77F9"/>
    <w:rsid w:val="001F02B4"/>
    <w:rsid w:val="001F04B0"/>
    <w:rsid w:val="001F0D03"/>
    <w:rsid w:val="001F0F37"/>
    <w:rsid w:val="001F14A1"/>
    <w:rsid w:val="001F1786"/>
    <w:rsid w:val="001F24E8"/>
    <w:rsid w:val="001F39B9"/>
    <w:rsid w:val="001F3B95"/>
    <w:rsid w:val="001F3F2A"/>
    <w:rsid w:val="001F4300"/>
    <w:rsid w:val="001F439F"/>
    <w:rsid w:val="001F4610"/>
    <w:rsid w:val="001F4788"/>
    <w:rsid w:val="001F484C"/>
    <w:rsid w:val="001F544B"/>
    <w:rsid w:val="001F5B0C"/>
    <w:rsid w:val="001F5B98"/>
    <w:rsid w:val="001F5C98"/>
    <w:rsid w:val="001F5E1E"/>
    <w:rsid w:val="001F5FE4"/>
    <w:rsid w:val="001F6063"/>
    <w:rsid w:val="001F68DA"/>
    <w:rsid w:val="001F766C"/>
    <w:rsid w:val="001F7ABB"/>
    <w:rsid w:val="002005C8"/>
    <w:rsid w:val="00200843"/>
    <w:rsid w:val="00200E9C"/>
    <w:rsid w:val="002010B5"/>
    <w:rsid w:val="00201400"/>
    <w:rsid w:val="00201DEA"/>
    <w:rsid w:val="0020201F"/>
    <w:rsid w:val="00203203"/>
    <w:rsid w:val="0020334B"/>
    <w:rsid w:val="002033B5"/>
    <w:rsid w:val="00203849"/>
    <w:rsid w:val="00203BCC"/>
    <w:rsid w:val="00203BF1"/>
    <w:rsid w:val="002043FE"/>
    <w:rsid w:val="002045A5"/>
    <w:rsid w:val="00204861"/>
    <w:rsid w:val="00205644"/>
    <w:rsid w:val="00206989"/>
    <w:rsid w:val="00206A1A"/>
    <w:rsid w:val="00206FBC"/>
    <w:rsid w:val="0020707B"/>
    <w:rsid w:val="00207135"/>
    <w:rsid w:val="002074B0"/>
    <w:rsid w:val="00207C12"/>
    <w:rsid w:val="00207DD4"/>
    <w:rsid w:val="0021019C"/>
    <w:rsid w:val="002102FF"/>
    <w:rsid w:val="00210CB1"/>
    <w:rsid w:val="002110CA"/>
    <w:rsid w:val="0021141A"/>
    <w:rsid w:val="00211EF2"/>
    <w:rsid w:val="0021261D"/>
    <w:rsid w:val="00212818"/>
    <w:rsid w:val="00212A6A"/>
    <w:rsid w:val="00212F66"/>
    <w:rsid w:val="00213A6D"/>
    <w:rsid w:val="002140CF"/>
    <w:rsid w:val="002141B9"/>
    <w:rsid w:val="00214A7F"/>
    <w:rsid w:val="00214D3B"/>
    <w:rsid w:val="00215627"/>
    <w:rsid w:val="002156E2"/>
    <w:rsid w:val="00215A13"/>
    <w:rsid w:val="00216098"/>
    <w:rsid w:val="002161E7"/>
    <w:rsid w:val="00216678"/>
    <w:rsid w:val="00216BFF"/>
    <w:rsid w:val="00217456"/>
    <w:rsid w:val="00217529"/>
    <w:rsid w:val="00217856"/>
    <w:rsid w:val="00217CE7"/>
    <w:rsid w:val="0022008B"/>
    <w:rsid w:val="0022030D"/>
    <w:rsid w:val="002204AE"/>
    <w:rsid w:val="00221129"/>
    <w:rsid w:val="00222650"/>
    <w:rsid w:val="00222B2E"/>
    <w:rsid w:val="00222EED"/>
    <w:rsid w:val="0022356C"/>
    <w:rsid w:val="00223E38"/>
    <w:rsid w:val="002240CA"/>
    <w:rsid w:val="00224782"/>
    <w:rsid w:val="00224B01"/>
    <w:rsid w:val="00224F7F"/>
    <w:rsid w:val="002250B7"/>
    <w:rsid w:val="00225FDA"/>
    <w:rsid w:val="00226274"/>
    <w:rsid w:val="00226296"/>
    <w:rsid w:val="002268DD"/>
    <w:rsid w:val="00226BD6"/>
    <w:rsid w:val="00226E88"/>
    <w:rsid w:val="00226EA4"/>
    <w:rsid w:val="00227378"/>
    <w:rsid w:val="00227AA7"/>
    <w:rsid w:val="0023036D"/>
    <w:rsid w:val="00230412"/>
    <w:rsid w:val="00230E02"/>
    <w:rsid w:val="00232064"/>
    <w:rsid w:val="00232252"/>
    <w:rsid w:val="00233DDF"/>
    <w:rsid w:val="002341D0"/>
    <w:rsid w:val="00234B8A"/>
    <w:rsid w:val="00234CA0"/>
    <w:rsid w:val="00234DA1"/>
    <w:rsid w:val="00235458"/>
    <w:rsid w:val="002357C2"/>
    <w:rsid w:val="00235966"/>
    <w:rsid w:val="00235B7C"/>
    <w:rsid w:val="002361EE"/>
    <w:rsid w:val="0023697B"/>
    <w:rsid w:val="00236AEE"/>
    <w:rsid w:val="0023723D"/>
    <w:rsid w:val="00237830"/>
    <w:rsid w:val="00237B4F"/>
    <w:rsid w:val="00237D59"/>
    <w:rsid w:val="0024060F"/>
    <w:rsid w:val="00240681"/>
    <w:rsid w:val="002411E1"/>
    <w:rsid w:val="00242243"/>
    <w:rsid w:val="00242702"/>
    <w:rsid w:val="0024284B"/>
    <w:rsid w:val="00243856"/>
    <w:rsid w:val="0024388C"/>
    <w:rsid w:val="002439DD"/>
    <w:rsid w:val="00243D14"/>
    <w:rsid w:val="00243E5E"/>
    <w:rsid w:val="00244131"/>
    <w:rsid w:val="0024443D"/>
    <w:rsid w:val="002449A0"/>
    <w:rsid w:val="00244FEF"/>
    <w:rsid w:val="00245154"/>
    <w:rsid w:val="0024536B"/>
    <w:rsid w:val="0024577F"/>
    <w:rsid w:val="00245902"/>
    <w:rsid w:val="00245AA2"/>
    <w:rsid w:val="00245E04"/>
    <w:rsid w:val="002462FD"/>
    <w:rsid w:val="00246351"/>
    <w:rsid w:val="0024641E"/>
    <w:rsid w:val="002464D4"/>
    <w:rsid w:val="00246D02"/>
    <w:rsid w:val="0024720B"/>
    <w:rsid w:val="0024724C"/>
    <w:rsid w:val="002478B6"/>
    <w:rsid w:val="00247C06"/>
    <w:rsid w:val="0025001A"/>
    <w:rsid w:val="0025041B"/>
    <w:rsid w:val="002508CA"/>
    <w:rsid w:val="00250B47"/>
    <w:rsid w:val="0025155B"/>
    <w:rsid w:val="002529BC"/>
    <w:rsid w:val="00252A22"/>
    <w:rsid w:val="00252F22"/>
    <w:rsid w:val="00252F97"/>
    <w:rsid w:val="002532C5"/>
    <w:rsid w:val="0025334F"/>
    <w:rsid w:val="002533B9"/>
    <w:rsid w:val="002534BD"/>
    <w:rsid w:val="00253602"/>
    <w:rsid w:val="00253E08"/>
    <w:rsid w:val="00254246"/>
    <w:rsid w:val="00255247"/>
    <w:rsid w:val="002557C8"/>
    <w:rsid w:val="002558E1"/>
    <w:rsid w:val="002559CD"/>
    <w:rsid w:val="00255C2A"/>
    <w:rsid w:val="00255E29"/>
    <w:rsid w:val="00256649"/>
    <w:rsid w:val="00256DCD"/>
    <w:rsid w:val="00256F23"/>
    <w:rsid w:val="0025706E"/>
    <w:rsid w:val="0025716C"/>
    <w:rsid w:val="00260661"/>
    <w:rsid w:val="00260687"/>
    <w:rsid w:val="00260883"/>
    <w:rsid w:val="002610CE"/>
    <w:rsid w:val="002612AA"/>
    <w:rsid w:val="00261657"/>
    <w:rsid w:val="00261F82"/>
    <w:rsid w:val="0026209A"/>
    <w:rsid w:val="00262A4B"/>
    <w:rsid w:val="00263214"/>
    <w:rsid w:val="002644CD"/>
    <w:rsid w:val="00264862"/>
    <w:rsid w:val="00264D72"/>
    <w:rsid w:val="00264DF9"/>
    <w:rsid w:val="002650FC"/>
    <w:rsid w:val="002652D5"/>
    <w:rsid w:val="00265C0A"/>
    <w:rsid w:val="00265DAE"/>
    <w:rsid w:val="00265E89"/>
    <w:rsid w:val="00265FCF"/>
    <w:rsid w:val="002660C7"/>
    <w:rsid w:val="00266577"/>
    <w:rsid w:val="00266720"/>
    <w:rsid w:val="00266867"/>
    <w:rsid w:val="00266961"/>
    <w:rsid w:val="00266A31"/>
    <w:rsid w:val="00266A53"/>
    <w:rsid w:val="00266CFF"/>
    <w:rsid w:val="002674FC"/>
    <w:rsid w:val="00267610"/>
    <w:rsid w:val="0026761D"/>
    <w:rsid w:val="00267682"/>
    <w:rsid w:val="0026775C"/>
    <w:rsid w:val="00267B23"/>
    <w:rsid w:val="00267D18"/>
    <w:rsid w:val="00267EDA"/>
    <w:rsid w:val="0027006E"/>
    <w:rsid w:val="002706AB"/>
    <w:rsid w:val="00270715"/>
    <w:rsid w:val="002714C9"/>
    <w:rsid w:val="00271874"/>
    <w:rsid w:val="00271E03"/>
    <w:rsid w:val="0027257B"/>
    <w:rsid w:val="00272786"/>
    <w:rsid w:val="00272F5E"/>
    <w:rsid w:val="002730AA"/>
    <w:rsid w:val="00273F09"/>
    <w:rsid w:val="00274733"/>
    <w:rsid w:val="0027491F"/>
    <w:rsid w:val="00274D6B"/>
    <w:rsid w:val="00276664"/>
    <w:rsid w:val="00277008"/>
    <w:rsid w:val="00277B92"/>
    <w:rsid w:val="00277DEE"/>
    <w:rsid w:val="0028085E"/>
    <w:rsid w:val="00280FF8"/>
    <w:rsid w:val="0028153E"/>
    <w:rsid w:val="0028182D"/>
    <w:rsid w:val="00281FF6"/>
    <w:rsid w:val="00282116"/>
    <w:rsid w:val="0028235A"/>
    <w:rsid w:val="0028259C"/>
    <w:rsid w:val="002825AC"/>
    <w:rsid w:val="002834F8"/>
    <w:rsid w:val="00283A9D"/>
    <w:rsid w:val="00283D03"/>
    <w:rsid w:val="00283EBF"/>
    <w:rsid w:val="00283ED1"/>
    <w:rsid w:val="002847BC"/>
    <w:rsid w:val="00284F77"/>
    <w:rsid w:val="00285B62"/>
    <w:rsid w:val="00286753"/>
    <w:rsid w:val="0028691A"/>
    <w:rsid w:val="00290839"/>
    <w:rsid w:val="00290E47"/>
    <w:rsid w:val="00290EDC"/>
    <w:rsid w:val="00292275"/>
    <w:rsid w:val="002925FB"/>
    <w:rsid w:val="002937F1"/>
    <w:rsid w:val="00293D77"/>
    <w:rsid w:val="00293E5A"/>
    <w:rsid w:val="00294194"/>
    <w:rsid w:val="0029453B"/>
    <w:rsid w:val="00294ABE"/>
    <w:rsid w:val="002952EC"/>
    <w:rsid w:val="002955D7"/>
    <w:rsid w:val="002957CA"/>
    <w:rsid w:val="00295A34"/>
    <w:rsid w:val="00295C92"/>
    <w:rsid w:val="002963C5"/>
    <w:rsid w:val="002969A2"/>
    <w:rsid w:val="00296BFC"/>
    <w:rsid w:val="00296D11"/>
    <w:rsid w:val="00296D13"/>
    <w:rsid w:val="00297313"/>
    <w:rsid w:val="002975B5"/>
    <w:rsid w:val="00297868"/>
    <w:rsid w:val="00297BEB"/>
    <w:rsid w:val="002A043C"/>
    <w:rsid w:val="002A0607"/>
    <w:rsid w:val="002A09A7"/>
    <w:rsid w:val="002A1135"/>
    <w:rsid w:val="002A1B46"/>
    <w:rsid w:val="002A1E2F"/>
    <w:rsid w:val="002A2673"/>
    <w:rsid w:val="002A2B18"/>
    <w:rsid w:val="002A2B26"/>
    <w:rsid w:val="002A2F19"/>
    <w:rsid w:val="002A41CA"/>
    <w:rsid w:val="002A4751"/>
    <w:rsid w:val="002A47DF"/>
    <w:rsid w:val="002A5048"/>
    <w:rsid w:val="002A51DB"/>
    <w:rsid w:val="002A53D5"/>
    <w:rsid w:val="002A5D81"/>
    <w:rsid w:val="002A6593"/>
    <w:rsid w:val="002A6837"/>
    <w:rsid w:val="002A739E"/>
    <w:rsid w:val="002A7F25"/>
    <w:rsid w:val="002B0314"/>
    <w:rsid w:val="002B0E1A"/>
    <w:rsid w:val="002B0F07"/>
    <w:rsid w:val="002B1491"/>
    <w:rsid w:val="002B17B3"/>
    <w:rsid w:val="002B1BDF"/>
    <w:rsid w:val="002B33A6"/>
    <w:rsid w:val="002B394B"/>
    <w:rsid w:val="002B3962"/>
    <w:rsid w:val="002B39F4"/>
    <w:rsid w:val="002B44B2"/>
    <w:rsid w:val="002B4BBF"/>
    <w:rsid w:val="002B569E"/>
    <w:rsid w:val="002B60A4"/>
    <w:rsid w:val="002B62C3"/>
    <w:rsid w:val="002B67CC"/>
    <w:rsid w:val="002B6E7D"/>
    <w:rsid w:val="002B741E"/>
    <w:rsid w:val="002B7510"/>
    <w:rsid w:val="002B7865"/>
    <w:rsid w:val="002B7983"/>
    <w:rsid w:val="002B7E0F"/>
    <w:rsid w:val="002C088F"/>
    <w:rsid w:val="002C0B0F"/>
    <w:rsid w:val="002C1DC4"/>
    <w:rsid w:val="002C288B"/>
    <w:rsid w:val="002C2A15"/>
    <w:rsid w:val="002C37F2"/>
    <w:rsid w:val="002C3A88"/>
    <w:rsid w:val="002C3D17"/>
    <w:rsid w:val="002C3FA5"/>
    <w:rsid w:val="002C4530"/>
    <w:rsid w:val="002C4B1C"/>
    <w:rsid w:val="002C5639"/>
    <w:rsid w:val="002C5ABE"/>
    <w:rsid w:val="002C5E31"/>
    <w:rsid w:val="002C5FD0"/>
    <w:rsid w:val="002C6346"/>
    <w:rsid w:val="002C6422"/>
    <w:rsid w:val="002C6A76"/>
    <w:rsid w:val="002C6C71"/>
    <w:rsid w:val="002C7932"/>
    <w:rsid w:val="002D0182"/>
    <w:rsid w:val="002D06A8"/>
    <w:rsid w:val="002D0DBA"/>
    <w:rsid w:val="002D0E32"/>
    <w:rsid w:val="002D1860"/>
    <w:rsid w:val="002D1DF2"/>
    <w:rsid w:val="002D1F1A"/>
    <w:rsid w:val="002D2118"/>
    <w:rsid w:val="002D216E"/>
    <w:rsid w:val="002D2520"/>
    <w:rsid w:val="002D25CF"/>
    <w:rsid w:val="002D4594"/>
    <w:rsid w:val="002D493D"/>
    <w:rsid w:val="002D55C4"/>
    <w:rsid w:val="002D5B67"/>
    <w:rsid w:val="002D6047"/>
    <w:rsid w:val="002D6477"/>
    <w:rsid w:val="002D6913"/>
    <w:rsid w:val="002D6BE5"/>
    <w:rsid w:val="002D743D"/>
    <w:rsid w:val="002D752C"/>
    <w:rsid w:val="002D7A77"/>
    <w:rsid w:val="002D7D37"/>
    <w:rsid w:val="002E01AB"/>
    <w:rsid w:val="002E03DC"/>
    <w:rsid w:val="002E0624"/>
    <w:rsid w:val="002E0645"/>
    <w:rsid w:val="002E06B9"/>
    <w:rsid w:val="002E0767"/>
    <w:rsid w:val="002E10DD"/>
    <w:rsid w:val="002E11FC"/>
    <w:rsid w:val="002E137D"/>
    <w:rsid w:val="002E192D"/>
    <w:rsid w:val="002E1BB6"/>
    <w:rsid w:val="002E253C"/>
    <w:rsid w:val="002E4015"/>
    <w:rsid w:val="002E40FD"/>
    <w:rsid w:val="002E4840"/>
    <w:rsid w:val="002E49A3"/>
    <w:rsid w:val="002E4F27"/>
    <w:rsid w:val="002E5E66"/>
    <w:rsid w:val="002E5FFB"/>
    <w:rsid w:val="002E6146"/>
    <w:rsid w:val="002E6286"/>
    <w:rsid w:val="002E6D2A"/>
    <w:rsid w:val="002E76D9"/>
    <w:rsid w:val="002E7E5B"/>
    <w:rsid w:val="002F01C0"/>
    <w:rsid w:val="002F028E"/>
    <w:rsid w:val="002F0690"/>
    <w:rsid w:val="002F0800"/>
    <w:rsid w:val="002F0A8E"/>
    <w:rsid w:val="002F1666"/>
    <w:rsid w:val="002F1674"/>
    <w:rsid w:val="002F1762"/>
    <w:rsid w:val="002F1D18"/>
    <w:rsid w:val="002F1EB4"/>
    <w:rsid w:val="002F2402"/>
    <w:rsid w:val="002F27D0"/>
    <w:rsid w:val="002F28AF"/>
    <w:rsid w:val="002F28D0"/>
    <w:rsid w:val="002F2A0E"/>
    <w:rsid w:val="002F2FB4"/>
    <w:rsid w:val="002F3088"/>
    <w:rsid w:val="002F3255"/>
    <w:rsid w:val="002F3F20"/>
    <w:rsid w:val="002F461C"/>
    <w:rsid w:val="002F4844"/>
    <w:rsid w:val="002F4D18"/>
    <w:rsid w:val="002F5244"/>
    <w:rsid w:val="002F52D1"/>
    <w:rsid w:val="002F5492"/>
    <w:rsid w:val="002F5E8E"/>
    <w:rsid w:val="002F5F5C"/>
    <w:rsid w:val="002F6216"/>
    <w:rsid w:val="002F6475"/>
    <w:rsid w:val="002F669D"/>
    <w:rsid w:val="002F6C44"/>
    <w:rsid w:val="002F6CBC"/>
    <w:rsid w:val="002F6CBD"/>
    <w:rsid w:val="002F6FF0"/>
    <w:rsid w:val="002F72EA"/>
    <w:rsid w:val="002F7618"/>
    <w:rsid w:val="002F7906"/>
    <w:rsid w:val="002F7D48"/>
    <w:rsid w:val="00301517"/>
    <w:rsid w:val="00301529"/>
    <w:rsid w:val="00301F0C"/>
    <w:rsid w:val="00302888"/>
    <w:rsid w:val="00303102"/>
    <w:rsid w:val="00303486"/>
    <w:rsid w:val="0030476B"/>
    <w:rsid w:val="0030488C"/>
    <w:rsid w:val="0030491C"/>
    <w:rsid w:val="00305073"/>
    <w:rsid w:val="00305098"/>
    <w:rsid w:val="003051CE"/>
    <w:rsid w:val="00305DD2"/>
    <w:rsid w:val="00306EBB"/>
    <w:rsid w:val="00307FEA"/>
    <w:rsid w:val="0031041B"/>
    <w:rsid w:val="00310834"/>
    <w:rsid w:val="00310DFE"/>
    <w:rsid w:val="003112C1"/>
    <w:rsid w:val="003117A7"/>
    <w:rsid w:val="00311A45"/>
    <w:rsid w:val="00311D6B"/>
    <w:rsid w:val="00311EFF"/>
    <w:rsid w:val="00311FB6"/>
    <w:rsid w:val="003120C5"/>
    <w:rsid w:val="00312471"/>
    <w:rsid w:val="00312BE2"/>
    <w:rsid w:val="00312F4F"/>
    <w:rsid w:val="00313DDC"/>
    <w:rsid w:val="003146F6"/>
    <w:rsid w:val="00315A4C"/>
    <w:rsid w:val="00315EC8"/>
    <w:rsid w:val="00315F5D"/>
    <w:rsid w:val="003162E1"/>
    <w:rsid w:val="00316342"/>
    <w:rsid w:val="0031664B"/>
    <w:rsid w:val="00316A3D"/>
    <w:rsid w:val="00317491"/>
    <w:rsid w:val="003175F5"/>
    <w:rsid w:val="00317952"/>
    <w:rsid w:val="003179CA"/>
    <w:rsid w:val="00317B92"/>
    <w:rsid w:val="00320882"/>
    <w:rsid w:val="0032130D"/>
    <w:rsid w:val="00321D12"/>
    <w:rsid w:val="00322021"/>
    <w:rsid w:val="003221DF"/>
    <w:rsid w:val="00322236"/>
    <w:rsid w:val="003227E8"/>
    <w:rsid w:val="003228A8"/>
    <w:rsid w:val="00322F97"/>
    <w:rsid w:val="0032310F"/>
    <w:rsid w:val="0032341E"/>
    <w:rsid w:val="00323ADD"/>
    <w:rsid w:val="00323BCD"/>
    <w:rsid w:val="00324B80"/>
    <w:rsid w:val="003250DC"/>
    <w:rsid w:val="00325499"/>
    <w:rsid w:val="00326B21"/>
    <w:rsid w:val="0032784F"/>
    <w:rsid w:val="00327A27"/>
    <w:rsid w:val="00327C3D"/>
    <w:rsid w:val="0033001A"/>
    <w:rsid w:val="00330850"/>
    <w:rsid w:val="00330D69"/>
    <w:rsid w:val="003316F4"/>
    <w:rsid w:val="0033170A"/>
    <w:rsid w:val="00331E75"/>
    <w:rsid w:val="003323BE"/>
    <w:rsid w:val="0033338B"/>
    <w:rsid w:val="0033371D"/>
    <w:rsid w:val="00333769"/>
    <w:rsid w:val="00333979"/>
    <w:rsid w:val="00333A7D"/>
    <w:rsid w:val="00333C6E"/>
    <w:rsid w:val="00333C92"/>
    <w:rsid w:val="003341B0"/>
    <w:rsid w:val="003342B9"/>
    <w:rsid w:val="00334379"/>
    <w:rsid w:val="003345F6"/>
    <w:rsid w:val="003347B0"/>
    <w:rsid w:val="00335451"/>
    <w:rsid w:val="00335516"/>
    <w:rsid w:val="003360F5"/>
    <w:rsid w:val="00336957"/>
    <w:rsid w:val="00337635"/>
    <w:rsid w:val="003377B6"/>
    <w:rsid w:val="00337EF4"/>
    <w:rsid w:val="00340702"/>
    <w:rsid w:val="00340D3B"/>
    <w:rsid w:val="00340E18"/>
    <w:rsid w:val="0034132D"/>
    <w:rsid w:val="00341948"/>
    <w:rsid w:val="003419D3"/>
    <w:rsid w:val="00341B23"/>
    <w:rsid w:val="00341EC9"/>
    <w:rsid w:val="00342014"/>
    <w:rsid w:val="003420A1"/>
    <w:rsid w:val="00343794"/>
    <w:rsid w:val="00343B3E"/>
    <w:rsid w:val="00343CBA"/>
    <w:rsid w:val="00344C18"/>
    <w:rsid w:val="00344FAE"/>
    <w:rsid w:val="00345A6C"/>
    <w:rsid w:val="00346859"/>
    <w:rsid w:val="00346CFE"/>
    <w:rsid w:val="00346F93"/>
    <w:rsid w:val="00347416"/>
    <w:rsid w:val="003474EB"/>
    <w:rsid w:val="0035017D"/>
    <w:rsid w:val="00350850"/>
    <w:rsid w:val="00350CAE"/>
    <w:rsid w:val="00350DD2"/>
    <w:rsid w:val="0035109C"/>
    <w:rsid w:val="00351126"/>
    <w:rsid w:val="003513C4"/>
    <w:rsid w:val="00351CD2"/>
    <w:rsid w:val="0035229E"/>
    <w:rsid w:val="00352804"/>
    <w:rsid w:val="00352EBC"/>
    <w:rsid w:val="0035359A"/>
    <w:rsid w:val="00353683"/>
    <w:rsid w:val="00353976"/>
    <w:rsid w:val="00353B2F"/>
    <w:rsid w:val="00353FCB"/>
    <w:rsid w:val="003542C0"/>
    <w:rsid w:val="00354414"/>
    <w:rsid w:val="00354450"/>
    <w:rsid w:val="00354A6B"/>
    <w:rsid w:val="00354C92"/>
    <w:rsid w:val="003554AF"/>
    <w:rsid w:val="00355DD9"/>
    <w:rsid w:val="0035737E"/>
    <w:rsid w:val="003575A5"/>
    <w:rsid w:val="00357F8E"/>
    <w:rsid w:val="00360460"/>
    <w:rsid w:val="00360A65"/>
    <w:rsid w:val="003616DF"/>
    <w:rsid w:val="00361E28"/>
    <w:rsid w:val="00362D2A"/>
    <w:rsid w:val="00363415"/>
    <w:rsid w:val="003635EF"/>
    <w:rsid w:val="00363D95"/>
    <w:rsid w:val="00363E34"/>
    <w:rsid w:val="00364BB2"/>
    <w:rsid w:val="00365962"/>
    <w:rsid w:val="003659FC"/>
    <w:rsid w:val="00365C3A"/>
    <w:rsid w:val="0036656F"/>
    <w:rsid w:val="0036694E"/>
    <w:rsid w:val="00367242"/>
    <w:rsid w:val="003672CE"/>
    <w:rsid w:val="00367D25"/>
    <w:rsid w:val="00370119"/>
    <w:rsid w:val="003706DB"/>
    <w:rsid w:val="00372B96"/>
    <w:rsid w:val="003730E5"/>
    <w:rsid w:val="00373538"/>
    <w:rsid w:val="003736F4"/>
    <w:rsid w:val="00373E40"/>
    <w:rsid w:val="003744B6"/>
    <w:rsid w:val="00374A73"/>
    <w:rsid w:val="0037586F"/>
    <w:rsid w:val="00375923"/>
    <w:rsid w:val="003759CB"/>
    <w:rsid w:val="00375A72"/>
    <w:rsid w:val="00375B5C"/>
    <w:rsid w:val="003763D6"/>
    <w:rsid w:val="00376507"/>
    <w:rsid w:val="003771B6"/>
    <w:rsid w:val="00377277"/>
    <w:rsid w:val="003775CF"/>
    <w:rsid w:val="003779B2"/>
    <w:rsid w:val="00377D70"/>
    <w:rsid w:val="00380657"/>
    <w:rsid w:val="003811C7"/>
    <w:rsid w:val="00382937"/>
    <w:rsid w:val="00382DAA"/>
    <w:rsid w:val="00382F4D"/>
    <w:rsid w:val="00382FE7"/>
    <w:rsid w:val="0038351D"/>
    <w:rsid w:val="00383807"/>
    <w:rsid w:val="00383AC3"/>
    <w:rsid w:val="00384569"/>
    <w:rsid w:val="00385295"/>
    <w:rsid w:val="00385493"/>
    <w:rsid w:val="0038590B"/>
    <w:rsid w:val="00386B4A"/>
    <w:rsid w:val="00387C2C"/>
    <w:rsid w:val="00390858"/>
    <w:rsid w:val="00390C4D"/>
    <w:rsid w:val="00390D21"/>
    <w:rsid w:val="00390F76"/>
    <w:rsid w:val="00392899"/>
    <w:rsid w:val="003929D0"/>
    <w:rsid w:val="003932C9"/>
    <w:rsid w:val="0039390F"/>
    <w:rsid w:val="0039393D"/>
    <w:rsid w:val="0039399C"/>
    <w:rsid w:val="003939F8"/>
    <w:rsid w:val="0039460F"/>
    <w:rsid w:val="00394B99"/>
    <w:rsid w:val="00394ED2"/>
    <w:rsid w:val="00394FB2"/>
    <w:rsid w:val="0039521C"/>
    <w:rsid w:val="003955A1"/>
    <w:rsid w:val="00395655"/>
    <w:rsid w:val="00395990"/>
    <w:rsid w:val="00396D69"/>
    <w:rsid w:val="00396F17"/>
    <w:rsid w:val="00397AA9"/>
    <w:rsid w:val="00397C35"/>
    <w:rsid w:val="00397E61"/>
    <w:rsid w:val="00397F7B"/>
    <w:rsid w:val="003A03DD"/>
    <w:rsid w:val="003A0E10"/>
    <w:rsid w:val="003A0F09"/>
    <w:rsid w:val="003A1040"/>
    <w:rsid w:val="003A1A63"/>
    <w:rsid w:val="003A22C2"/>
    <w:rsid w:val="003A241F"/>
    <w:rsid w:val="003A272F"/>
    <w:rsid w:val="003A2B54"/>
    <w:rsid w:val="003A2CE3"/>
    <w:rsid w:val="003A3093"/>
    <w:rsid w:val="003A3B31"/>
    <w:rsid w:val="003A3E6A"/>
    <w:rsid w:val="003A3FE1"/>
    <w:rsid w:val="003A417C"/>
    <w:rsid w:val="003A48E3"/>
    <w:rsid w:val="003A4EB4"/>
    <w:rsid w:val="003A4EB6"/>
    <w:rsid w:val="003A5347"/>
    <w:rsid w:val="003A5425"/>
    <w:rsid w:val="003A5716"/>
    <w:rsid w:val="003A624E"/>
    <w:rsid w:val="003A6653"/>
    <w:rsid w:val="003A6780"/>
    <w:rsid w:val="003A7DAE"/>
    <w:rsid w:val="003B0424"/>
    <w:rsid w:val="003B062A"/>
    <w:rsid w:val="003B07BE"/>
    <w:rsid w:val="003B085A"/>
    <w:rsid w:val="003B0B1C"/>
    <w:rsid w:val="003B0F04"/>
    <w:rsid w:val="003B0FB0"/>
    <w:rsid w:val="003B1212"/>
    <w:rsid w:val="003B1919"/>
    <w:rsid w:val="003B1D88"/>
    <w:rsid w:val="003B1F0E"/>
    <w:rsid w:val="003B2936"/>
    <w:rsid w:val="003B2AC8"/>
    <w:rsid w:val="003B2C2A"/>
    <w:rsid w:val="003B3033"/>
    <w:rsid w:val="003B310D"/>
    <w:rsid w:val="003B337C"/>
    <w:rsid w:val="003B3619"/>
    <w:rsid w:val="003B3A3F"/>
    <w:rsid w:val="003B3A5C"/>
    <w:rsid w:val="003B3D77"/>
    <w:rsid w:val="003B3F3C"/>
    <w:rsid w:val="003B461D"/>
    <w:rsid w:val="003B4A1F"/>
    <w:rsid w:val="003B56CA"/>
    <w:rsid w:val="003B5F8C"/>
    <w:rsid w:val="003B5FDB"/>
    <w:rsid w:val="003B6114"/>
    <w:rsid w:val="003B6B98"/>
    <w:rsid w:val="003B76EA"/>
    <w:rsid w:val="003B79F7"/>
    <w:rsid w:val="003C0149"/>
    <w:rsid w:val="003C0C26"/>
    <w:rsid w:val="003C0CAD"/>
    <w:rsid w:val="003C0E0A"/>
    <w:rsid w:val="003C102E"/>
    <w:rsid w:val="003C188D"/>
    <w:rsid w:val="003C1CE8"/>
    <w:rsid w:val="003C1F07"/>
    <w:rsid w:val="003C22ED"/>
    <w:rsid w:val="003C2AD9"/>
    <w:rsid w:val="003C2C86"/>
    <w:rsid w:val="003C2F35"/>
    <w:rsid w:val="003C2FC1"/>
    <w:rsid w:val="003C3E63"/>
    <w:rsid w:val="003C3F06"/>
    <w:rsid w:val="003C5D1B"/>
    <w:rsid w:val="003C5F2F"/>
    <w:rsid w:val="003C63B0"/>
    <w:rsid w:val="003C7068"/>
    <w:rsid w:val="003C7162"/>
    <w:rsid w:val="003C7340"/>
    <w:rsid w:val="003C76A2"/>
    <w:rsid w:val="003C7AA0"/>
    <w:rsid w:val="003C7BE7"/>
    <w:rsid w:val="003D044A"/>
    <w:rsid w:val="003D0988"/>
    <w:rsid w:val="003D13AB"/>
    <w:rsid w:val="003D1B3E"/>
    <w:rsid w:val="003D222F"/>
    <w:rsid w:val="003D286A"/>
    <w:rsid w:val="003D2B7C"/>
    <w:rsid w:val="003D31CE"/>
    <w:rsid w:val="003D3287"/>
    <w:rsid w:val="003D36E2"/>
    <w:rsid w:val="003D3B26"/>
    <w:rsid w:val="003D50C8"/>
    <w:rsid w:val="003D548B"/>
    <w:rsid w:val="003D5F48"/>
    <w:rsid w:val="003D6355"/>
    <w:rsid w:val="003D67B4"/>
    <w:rsid w:val="003D6A24"/>
    <w:rsid w:val="003D6ACA"/>
    <w:rsid w:val="003D75DF"/>
    <w:rsid w:val="003D78F4"/>
    <w:rsid w:val="003D7BE0"/>
    <w:rsid w:val="003D7C88"/>
    <w:rsid w:val="003E04A0"/>
    <w:rsid w:val="003E139B"/>
    <w:rsid w:val="003E1413"/>
    <w:rsid w:val="003E23CC"/>
    <w:rsid w:val="003E23E0"/>
    <w:rsid w:val="003E2FFB"/>
    <w:rsid w:val="003E3025"/>
    <w:rsid w:val="003E34DF"/>
    <w:rsid w:val="003E4316"/>
    <w:rsid w:val="003E47B6"/>
    <w:rsid w:val="003E4826"/>
    <w:rsid w:val="003E4A85"/>
    <w:rsid w:val="003E4BA8"/>
    <w:rsid w:val="003E4CCF"/>
    <w:rsid w:val="003E57A3"/>
    <w:rsid w:val="003E5C5B"/>
    <w:rsid w:val="003E5FC9"/>
    <w:rsid w:val="003E629C"/>
    <w:rsid w:val="003E6313"/>
    <w:rsid w:val="003E68CB"/>
    <w:rsid w:val="003E6D8B"/>
    <w:rsid w:val="003E71E9"/>
    <w:rsid w:val="003E7268"/>
    <w:rsid w:val="003E7FAA"/>
    <w:rsid w:val="003F0846"/>
    <w:rsid w:val="003F0EDA"/>
    <w:rsid w:val="003F124A"/>
    <w:rsid w:val="003F131C"/>
    <w:rsid w:val="003F14FB"/>
    <w:rsid w:val="003F1A9C"/>
    <w:rsid w:val="003F1ED9"/>
    <w:rsid w:val="003F219F"/>
    <w:rsid w:val="003F2487"/>
    <w:rsid w:val="003F28D5"/>
    <w:rsid w:val="003F2C23"/>
    <w:rsid w:val="003F31A2"/>
    <w:rsid w:val="003F33A6"/>
    <w:rsid w:val="003F3670"/>
    <w:rsid w:val="003F3731"/>
    <w:rsid w:val="003F37DD"/>
    <w:rsid w:val="003F403E"/>
    <w:rsid w:val="003F44B5"/>
    <w:rsid w:val="003F545F"/>
    <w:rsid w:val="003F5A77"/>
    <w:rsid w:val="003F5F58"/>
    <w:rsid w:val="003F63C6"/>
    <w:rsid w:val="003F6C7D"/>
    <w:rsid w:val="003F6F11"/>
    <w:rsid w:val="003F6FA8"/>
    <w:rsid w:val="003F7720"/>
    <w:rsid w:val="003F79F8"/>
    <w:rsid w:val="004011FD"/>
    <w:rsid w:val="00401427"/>
    <w:rsid w:val="00401651"/>
    <w:rsid w:val="00401830"/>
    <w:rsid w:val="00401A5B"/>
    <w:rsid w:val="004021ED"/>
    <w:rsid w:val="00402299"/>
    <w:rsid w:val="00402A81"/>
    <w:rsid w:val="00402E73"/>
    <w:rsid w:val="00402F35"/>
    <w:rsid w:val="00403498"/>
    <w:rsid w:val="004043DD"/>
    <w:rsid w:val="004048BC"/>
    <w:rsid w:val="00404ED3"/>
    <w:rsid w:val="0040576E"/>
    <w:rsid w:val="00405EDD"/>
    <w:rsid w:val="004066AD"/>
    <w:rsid w:val="00406B6E"/>
    <w:rsid w:val="00406D07"/>
    <w:rsid w:val="0040788F"/>
    <w:rsid w:val="004079F9"/>
    <w:rsid w:val="00407AB6"/>
    <w:rsid w:val="00407F93"/>
    <w:rsid w:val="00410B57"/>
    <w:rsid w:val="0041136D"/>
    <w:rsid w:val="004115D3"/>
    <w:rsid w:val="004123BF"/>
    <w:rsid w:val="004131EA"/>
    <w:rsid w:val="00413992"/>
    <w:rsid w:val="00413D29"/>
    <w:rsid w:val="00414738"/>
    <w:rsid w:val="00414BCC"/>
    <w:rsid w:val="0041588E"/>
    <w:rsid w:val="0041590F"/>
    <w:rsid w:val="00415A86"/>
    <w:rsid w:val="00416924"/>
    <w:rsid w:val="0041715E"/>
    <w:rsid w:val="004178B8"/>
    <w:rsid w:val="00417ABB"/>
    <w:rsid w:val="00417CCF"/>
    <w:rsid w:val="00417D1A"/>
    <w:rsid w:val="00417DBD"/>
    <w:rsid w:val="0042079F"/>
    <w:rsid w:val="00420A1A"/>
    <w:rsid w:val="00420D2C"/>
    <w:rsid w:val="00421617"/>
    <w:rsid w:val="0042173F"/>
    <w:rsid w:val="004218BF"/>
    <w:rsid w:val="00421E88"/>
    <w:rsid w:val="004222CA"/>
    <w:rsid w:val="004224FF"/>
    <w:rsid w:val="00422523"/>
    <w:rsid w:val="0042260D"/>
    <w:rsid w:val="00422AEE"/>
    <w:rsid w:val="00422C5E"/>
    <w:rsid w:val="00422DD0"/>
    <w:rsid w:val="00423772"/>
    <w:rsid w:val="004240C0"/>
    <w:rsid w:val="004240F1"/>
    <w:rsid w:val="0042535E"/>
    <w:rsid w:val="00426215"/>
    <w:rsid w:val="00426686"/>
    <w:rsid w:val="00426EA7"/>
    <w:rsid w:val="00427368"/>
    <w:rsid w:val="004276B8"/>
    <w:rsid w:val="00427791"/>
    <w:rsid w:val="00427A7A"/>
    <w:rsid w:val="00427CD5"/>
    <w:rsid w:val="004300CE"/>
    <w:rsid w:val="00430232"/>
    <w:rsid w:val="0043075E"/>
    <w:rsid w:val="004322CE"/>
    <w:rsid w:val="00432687"/>
    <w:rsid w:val="0043270A"/>
    <w:rsid w:val="00432810"/>
    <w:rsid w:val="00432F3B"/>
    <w:rsid w:val="00432FFC"/>
    <w:rsid w:val="0043320A"/>
    <w:rsid w:val="004333AC"/>
    <w:rsid w:val="00433C20"/>
    <w:rsid w:val="00433E2A"/>
    <w:rsid w:val="004341F9"/>
    <w:rsid w:val="00434501"/>
    <w:rsid w:val="00435532"/>
    <w:rsid w:val="00435796"/>
    <w:rsid w:val="004359C8"/>
    <w:rsid w:val="00435EDC"/>
    <w:rsid w:val="004371C6"/>
    <w:rsid w:val="00437381"/>
    <w:rsid w:val="00437465"/>
    <w:rsid w:val="00437F56"/>
    <w:rsid w:val="004400C2"/>
    <w:rsid w:val="004407D3"/>
    <w:rsid w:val="00440D1E"/>
    <w:rsid w:val="00441122"/>
    <w:rsid w:val="00441C30"/>
    <w:rsid w:val="00441D52"/>
    <w:rsid w:val="004421B1"/>
    <w:rsid w:val="004423E1"/>
    <w:rsid w:val="00442666"/>
    <w:rsid w:val="00442A5B"/>
    <w:rsid w:val="00444065"/>
    <w:rsid w:val="00444345"/>
    <w:rsid w:val="00444578"/>
    <w:rsid w:val="00444AC9"/>
    <w:rsid w:val="00444EF2"/>
    <w:rsid w:val="004465DE"/>
    <w:rsid w:val="00447104"/>
    <w:rsid w:val="004478BA"/>
    <w:rsid w:val="004506F1"/>
    <w:rsid w:val="004507AD"/>
    <w:rsid w:val="00450A1D"/>
    <w:rsid w:val="00450AA2"/>
    <w:rsid w:val="00450B30"/>
    <w:rsid w:val="00450C8F"/>
    <w:rsid w:val="00450DB0"/>
    <w:rsid w:val="00450EFE"/>
    <w:rsid w:val="0045140C"/>
    <w:rsid w:val="004525CE"/>
    <w:rsid w:val="00452B02"/>
    <w:rsid w:val="004536EC"/>
    <w:rsid w:val="0045445E"/>
    <w:rsid w:val="00454820"/>
    <w:rsid w:val="00455B7D"/>
    <w:rsid w:val="004569B3"/>
    <w:rsid w:val="00456F99"/>
    <w:rsid w:val="0046063D"/>
    <w:rsid w:val="004606D3"/>
    <w:rsid w:val="0046082C"/>
    <w:rsid w:val="00460A9D"/>
    <w:rsid w:val="00460C0C"/>
    <w:rsid w:val="00461227"/>
    <w:rsid w:val="00461450"/>
    <w:rsid w:val="0046250D"/>
    <w:rsid w:val="0046306A"/>
    <w:rsid w:val="004632F7"/>
    <w:rsid w:val="0046393D"/>
    <w:rsid w:val="00464332"/>
    <w:rsid w:val="00464527"/>
    <w:rsid w:val="00464660"/>
    <w:rsid w:val="00464671"/>
    <w:rsid w:val="00465851"/>
    <w:rsid w:val="004658B0"/>
    <w:rsid w:val="00465D9A"/>
    <w:rsid w:val="00466FF6"/>
    <w:rsid w:val="00467A46"/>
    <w:rsid w:val="004708A2"/>
    <w:rsid w:val="00471408"/>
    <w:rsid w:val="00471D1B"/>
    <w:rsid w:val="00471F76"/>
    <w:rsid w:val="00472956"/>
    <w:rsid w:val="00473141"/>
    <w:rsid w:val="00473535"/>
    <w:rsid w:val="00473FB0"/>
    <w:rsid w:val="004744EC"/>
    <w:rsid w:val="00474687"/>
    <w:rsid w:val="00474B9E"/>
    <w:rsid w:val="0047553E"/>
    <w:rsid w:val="00475A19"/>
    <w:rsid w:val="00475DE3"/>
    <w:rsid w:val="0047617F"/>
    <w:rsid w:val="0047693C"/>
    <w:rsid w:val="0047705B"/>
    <w:rsid w:val="0047723C"/>
    <w:rsid w:val="00480D08"/>
    <w:rsid w:val="00480E8E"/>
    <w:rsid w:val="00481476"/>
    <w:rsid w:val="0048157A"/>
    <w:rsid w:val="00481AC7"/>
    <w:rsid w:val="00481E10"/>
    <w:rsid w:val="00482E5B"/>
    <w:rsid w:val="00483077"/>
    <w:rsid w:val="0048317A"/>
    <w:rsid w:val="00483D2A"/>
    <w:rsid w:val="00483E58"/>
    <w:rsid w:val="00483EDB"/>
    <w:rsid w:val="00484BE5"/>
    <w:rsid w:val="00484F58"/>
    <w:rsid w:val="00485059"/>
    <w:rsid w:val="00485A44"/>
    <w:rsid w:val="00485BD2"/>
    <w:rsid w:val="00485C14"/>
    <w:rsid w:val="00486923"/>
    <w:rsid w:val="00486E75"/>
    <w:rsid w:val="004870EE"/>
    <w:rsid w:val="00487135"/>
    <w:rsid w:val="0048747C"/>
    <w:rsid w:val="004874E3"/>
    <w:rsid w:val="0048779C"/>
    <w:rsid w:val="00487A60"/>
    <w:rsid w:val="00487D92"/>
    <w:rsid w:val="00487DEA"/>
    <w:rsid w:val="00490203"/>
    <w:rsid w:val="00490A37"/>
    <w:rsid w:val="00490B8B"/>
    <w:rsid w:val="00491588"/>
    <w:rsid w:val="004915A3"/>
    <w:rsid w:val="004918FC"/>
    <w:rsid w:val="00491AA4"/>
    <w:rsid w:val="00491CE9"/>
    <w:rsid w:val="00491E5F"/>
    <w:rsid w:val="00492199"/>
    <w:rsid w:val="004926FA"/>
    <w:rsid w:val="00493468"/>
    <w:rsid w:val="00493799"/>
    <w:rsid w:val="0049415B"/>
    <w:rsid w:val="00494570"/>
    <w:rsid w:val="00494584"/>
    <w:rsid w:val="00494E7C"/>
    <w:rsid w:val="00495146"/>
    <w:rsid w:val="00495901"/>
    <w:rsid w:val="00495C2F"/>
    <w:rsid w:val="004965C7"/>
    <w:rsid w:val="00497200"/>
    <w:rsid w:val="0049763A"/>
    <w:rsid w:val="004978AF"/>
    <w:rsid w:val="00497B15"/>
    <w:rsid w:val="00497D50"/>
    <w:rsid w:val="00497F27"/>
    <w:rsid w:val="00497F30"/>
    <w:rsid w:val="004A0392"/>
    <w:rsid w:val="004A093C"/>
    <w:rsid w:val="004A0A3B"/>
    <w:rsid w:val="004A0BAB"/>
    <w:rsid w:val="004A0C1B"/>
    <w:rsid w:val="004A0CDF"/>
    <w:rsid w:val="004A0D33"/>
    <w:rsid w:val="004A1A93"/>
    <w:rsid w:val="004A2745"/>
    <w:rsid w:val="004A2CD8"/>
    <w:rsid w:val="004A3207"/>
    <w:rsid w:val="004A3498"/>
    <w:rsid w:val="004A3DA1"/>
    <w:rsid w:val="004A4AAB"/>
    <w:rsid w:val="004A4AB0"/>
    <w:rsid w:val="004A4BB3"/>
    <w:rsid w:val="004A505C"/>
    <w:rsid w:val="004A53B7"/>
    <w:rsid w:val="004A653E"/>
    <w:rsid w:val="004A65EF"/>
    <w:rsid w:val="004A672D"/>
    <w:rsid w:val="004A6F0F"/>
    <w:rsid w:val="004A72ED"/>
    <w:rsid w:val="004A7A8C"/>
    <w:rsid w:val="004A7C1B"/>
    <w:rsid w:val="004B021C"/>
    <w:rsid w:val="004B0C8C"/>
    <w:rsid w:val="004B1179"/>
    <w:rsid w:val="004B1594"/>
    <w:rsid w:val="004B1BAE"/>
    <w:rsid w:val="004B22A4"/>
    <w:rsid w:val="004B275E"/>
    <w:rsid w:val="004B2B51"/>
    <w:rsid w:val="004B3143"/>
    <w:rsid w:val="004B387F"/>
    <w:rsid w:val="004B3A3B"/>
    <w:rsid w:val="004B3E21"/>
    <w:rsid w:val="004B450E"/>
    <w:rsid w:val="004B481D"/>
    <w:rsid w:val="004B4A5D"/>
    <w:rsid w:val="004B547A"/>
    <w:rsid w:val="004B60CC"/>
    <w:rsid w:val="004B616D"/>
    <w:rsid w:val="004B6262"/>
    <w:rsid w:val="004B62F7"/>
    <w:rsid w:val="004B66C2"/>
    <w:rsid w:val="004B68C3"/>
    <w:rsid w:val="004B6914"/>
    <w:rsid w:val="004B6C87"/>
    <w:rsid w:val="004B718A"/>
    <w:rsid w:val="004B72CA"/>
    <w:rsid w:val="004B77DF"/>
    <w:rsid w:val="004B78A4"/>
    <w:rsid w:val="004C0277"/>
    <w:rsid w:val="004C0D5C"/>
    <w:rsid w:val="004C0FFA"/>
    <w:rsid w:val="004C12F2"/>
    <w:rsid w:val="004C17B3"/>
    <w:rsid w:val="004C1C68"/>
    <w:rsid w:val="004C1CC6"/>
    <w:rsid w:val="004C27E0"/>
    <w:rsid w:val="004C2973"/>
    <w:rsid w:val="004C29AA"/>
    <w:rsid w:val="004C2B29"/>
    <w:rsid w:val="004C2B7C"/>
    <w:rsid w:val="004C2E3C"/>
    <w:rsid w:val="004C402E"/>
    <w:rsid w:val="004C4ED4"/>
    <w:rsid w:val="004C54D0"/>
    <w:rsid w:val="004C5535"/>
    <w:rsid w:val="004C562E"/>
    <w:rsid w:val="004C567C"/>
    <w:rsid w:val="004C5782"/>
    <w:rsid w:val="004C58C7"/>
    <w:rsid w:val="004C609E"/>
    <w:rsid w:val="004C60A8"/>
    <w:rsid w:val="004C60CD"/>
    <w:rsid w:val="004C6649"/>
    <w:rsid w:val="004C666E"/>
    <w:rsid w:val="004C6822"/>
    <w:rsid w:val="004C75BE"/>
    <w:rsid w:val="004C76F4"/>
    <w:rsid w:val="004C7CAC"/>
    <w:rsid w:val="004C7FCE"/>
    <w:rsid w:val="004D073B"/>
    <w:rsid w:val="004D07E5"/>
    <w:rsid w:val="004D07F2"/>
    <w:rsid w:val="004D0FC0"/>
    <w:rsid w:val="004D10EF"/>
    <w:rsid w:val="004D1472"/>
    <w:rsid w:val="004D1503"/>
    <w:rsid w:val="004D2047"/>
    <w:rsid w:val="004D2E7C"/>
    <w:rsid w:val="004D3230"/>
    <w:rsid w:val="004D348E"/>
    <w:rsid w:val="004D37DF"/>
    <w:rsid w:val="004D3A0E"/>
    <w:rsid w:val="004D3B8D"/>
    <w:rsid w:val="004D3B94"/>
    <w:rsid w:val="004D3CEB"/>
    <w:rsid w:val="004D3E02"/>
    <w:rsid w:val="004D3F81"/>
    <w:rsid w:val="004D3FE0"/>
    <w:rsid w:val="004D4224"/>
    <w:rsid w:val="004D42B3"/>
    <w:rsid w:val="004D49DD"/>
    <w:rsid w:val="004D4A1F"/>
    <w:rsid w:val="004D4AF8"/>
    <w:rsid w:val="004D4E43"/>
    <w:rsid w:val="004D539D"/>
    <w:rsid w:val="004D5AFD"/>
    <w:rsid w:val="004D6396"/>
    <w:rsid w:val="004D71C3"/>
    <w:rsid w:val="004D786B"/>
    <w:rsid w:val="004D7C66"/>
    <w:rsid w:val="004D7F16"/>
    <w:rsid w:val="004E0F3A"/>
    <w:rsid w:val="004E17C2"/>
    <w:rsid w:val="004E183D"/>
    <w:rsid w:val="004E1C4B"/>
    <w:rsid w:val="004E1E5B"/>
    <w:rsid w:val="004E1FFC"/>
    <w:rsid w:val="004E259C"/>
    <w:rsid w:val="004E2733"/>
    <w:rsid w:val="004E276B"/>
    <w:rsid w:val="004E2938"/>
    <w:rsid w:val="004E353D"/>
    <w:rsid w:val="004E4A41"/>
    <w:rsid w:val="004E4F84"/>
    <w:rsid w:val="004E56B6"/>
    <w:rsid w:val="004E5EA4"/>
    <w:rsid w:val="004E5F59"/>
    <w:rsid w:val="004E5F87"/>
    <w:rsid w:val="004E6282"/>
    <w:rsid w:val="004E741D"/>
    <w:rsid w:val="004E765A"/>
    <w:rsid w:val="004E7DCC"/>
    <w:rsid w:val="004E7E0F"/>
    <w:rsid w:val="004F01C0"/>
    <w:rsid w:val="004F08CD"/>
    <w:rsid w:val="004F120B"/>
    <w:rsid w:val="004F12A1"/>
    <w:rsid w:val="004F13DC"/>
    <w:rsid w:val="004F1461"/>
    <w:rsid w:val="004F16BF"/>
    <w:rsid w:val="004F16DF"/>
    <w:rsid w:val="004F1D17"/>
    <w:rsid w:val="004F1F4B"/>
    <w:rsid w:val="004F2D1E"/>
    <w:rsid w:val="004F331C"/>
    <w:rsid w:val="004F332D"/>
    <w:rsid w:val="004F33A3"/>
    <w:rsid w:val="004F3536"/>
    <w:rsid w:val="004F3FDF"/>
    <w:rsid w:val="004F4110"/>
    <w:rsid w:val="004F4337"/>
    <w:rsid w:val="004F4415"/>
    <w:rsid w:val="004F446C"/>
    <w:rsid w:val="004F4AB5"/>
    <w:rsid w:val="004F4CE1"/>
    <w:rsid w:val="004F4F6A"/>
    <w:rsid w:val="004F5B67"/>
    <w:rsid w:val="004F5F40"/>
    <w:rsid w:val="004F687F"/>
    <w:rsid w:val="004F70DB"/>
    <w:rsid w:val="004F7309"/>
    <w:rsid w:val="004F7CE7"/>
    <w:rsid w:val="00500642"/>
    <w:rsid w:val="0050078B"/>
    <w:rsid w:val="00500B46"/>
    <w:rsid w:val="00500C91"/>
    <w:rsid w:val="005011AD"/>
    <w:rsid w:val="005014EA"/>
    <w:rsid w:val="00502BFC"/>
    <w:rsid w:val="00502CFA"/>
    <w:rsid w:val="00502DF7"/>
    <w:rsid w:val="00502EF4"/>
    <w:rsid w:val="00503FBD"/>
    <w:rsid w:val="0050457B"/>
    <w:rsid w:val="005046EA"/>
    <w:rsid w:val="00505159"/>
    <w:rsid w:val="0050538D"/>
    <w:rsid w:val="005055F2"/>
    <w:rsid w:val="00505791"/>
    <w:rsid w:val="00505921"/>
    <w:rsid w:val="0050628F"/>
    <w:rsid w:val="0050643F"/>
    <w:rsid w:val="00506E05"/>
    <w:rsid w:val="00506EB3"/>
    <w:rsid w:val="00507AC6"/>
    <w:rsid w:val="005105D6"/>
    <w:rsid w:val="0051070D"/>
    <w:rsid w:val="005107A6"/>
    <w:rsid w:val="005107C6"/>
    <w:rsid w:val="00510AD0"/>
    <w:rsid w:val="00511568"/>
    <w:rsid w:val="005115D0"/>
    <w:rsid w:val="005116AF"/>
    <w:rsid w:val="005119BE"/>
    <w:rsid w:val="00512227"/>
    <w:rsid w:val="00512327"/>
    <w:rsid w:val="00512647"/>
    <w:rsid w:val="0051300B"/>
    <w:rsid w:val="005130F9"/>
    <w:rsid w:val="00513309"/>
    <w:rsid w:val="005139F9"/>
    <w:rsid w:val="00513E2E"/>
    <w:rsid w:val="00513F5D"/>
    <w:rsid w:val="00513FD6"/>
    <w:rsid w:val="005142C1"/>
    <w:rsid w:val="00514407"/>
    <w:rsid w:val="00514677"/>
    <w:rsid w:val="005147CB"/>
    <w:rsid w:val="005148C7"/>
    <w:rsid w:val="00514BAB"/>
    <w:rsid w:val="00514C8A"/>
    <w:rsid w:val="00515003"/>
    <w:rsid w:val="005153A4"/>
    <w:rsid w:val="00515866"/>
    <w:rsid w:val="00515D25"/>
    <w:rsid w:val="005163C6"/>
    <w:rsid w:val="00516756"/>
    <w:rsid w:val="00516ACC"/>
    <w:rsid w:val="00517F84"/>
    <w:rsid w:val="00520396"/>
    <w:rsid w:val="00520A80"/>
    <w:rsid w:val="00520E43"/>
    <w:rsid w:val="00520F42"/>
    <w:rsid w:val="005211A4"/>
    <w:rsid w:val="0052158F"/>
    <w:rsid w:val="0052179E"/>
    <w:rsid w:val="00521950"/>
    <w:rsid w:val="00521BE8"/>
    <w:rsid w:val="00521E09"/>
    <w:rsid w:val="00521ECF"/>
    <w:rsid w:val="00522042"/>
    <w:rsid w:val="0052228E"/>
    <w:rsid w:val="00522521"/>
    <w:rsid w:val="00523066"/>
    <w:rsid w:val="00523847"/>
    <w:rsid w:val="00523E91"/>
    <w:rsid w:val="00524186"/>
    <w:rsid w:val="0052441E"/>
    <w:rsid w:val="005247A6"/>
    <w:rsid w:val="00525215"/>
    <w:rsid w:val="00525C40"/>
    <w:rsid w:val="00525CEF"/>
    <w:rsid w:val="00526020"/>
    <w:rsid w:val="00526077"/>
    <w:rsid w:val="005262B7"/>
    <w:rsid w:val="00526636"/>
    <w:rsid w:val="00526733"/>
    <w:rsid w:val="005267A5"/>
    <w:rsid w:val="00526A59"/>
    <w:rsid w:val="00526FE1"/>
    <w:rsid w:val="00527138"/>
    <w:rsid w:val="005271CA"/>
    <w:rsid w:val="00527C03"/>
    <w:rsid w:val="00527DD0"/>
    <w:rsid w:val="00530268"/>
    <w:rsid w:val="00530B1D"/>
    <w:rsid w:val="00531245"/>
    <w:rsid w:val="005316A2"/>
    <w:rsid w:val="00531869"/>
    <w:rsid w:val="00532B61"/>
    <w:rsid w:val="00532BFE"/>
    <w:rsid w:val="00532C14"/>
    <w:rsid w:val="005334AE"/>
    <w:rsid w:val="00533952"/>
    <w:rsid w:val="00533DD6"/>
    <w:rsid w:val="00534554"/>
    <w:rsid w:val="00535C90"/>
    <w:rsid w:val="00537789"/>
    <w:rsid w:val="0053778C"/>
    <w:rsid w:val="00537A84"/>
    <w:rsid w:val="00537B52"/>
    <w:rsid w:val="0054001F"/>
    <w:rsid w:val="00540DE4"/>
    <w:rsid w:val="00540E2D"/>
    <w:rsid w:val="0054113B"/>
    <w:rsid w:val="0054152F"/>
    <w:rsid w:val="00542364"/>
    <w:rsid w:val="00542A4E"/>
    <w:rsid w:val="0054374E"/>
    <w:rsid w:val="0054397E"/>
    <w:rsid w:val="00544493"/>
    <w:rsid w:val="005447ED"/>
    <w:rsid w:val="00544920"/>
    <w:rsid w:val="00544A4B"/>
    <w:rsid w:val="005452E9"/>
    <w:rsid w:val="00545657"/>
    <w:rsid w:val="00546D54"/>
    <w:rsid w:val="00547819"/>
    <w:rsid w:val="00547B56"/>
    <w:rsid w:val="00547E50"/>
    <w:rsid w:val="00547FEC"/>
    <w:rsid w:val="00550610"/>
    <w:rsid w:val="00550820"/>
    <w:rsid w:val="00550C44"/>
    <w:rsid w:val="00551F9E"/>
    <w:rsid w:val="0055214B"/>
    <w:rsid w:val="00552C2B"/>
    <w:rsid w:val="00553043"/>
    <w:rsid w:val="00553981"/>
    <w:rsid w:val="00553D8E"/>
    <w:rsid w:val="00554D15"/>
    <w:rsid w:val="0055582B"/>
    <w:rsid w:val="00555AF1"/>
    <w:rsid w:val="00556046"/>
    <w:rsid w:val="00556085"/>
    <w:rsid w:val="0055621F"/>
    <w:rsid w:val="0055652D"/>
    <w:rsid w:val="00556AC0"/>
    <w:rsid w:val="00556E36"/>
    <w:rsid w:val="00556F84"/>
    <w:rsid w:val="00560049"/>
    <w:rsid w:val="0056034A"/>
    <w:rsid w:val="0056089A"/>
    <w:rsid w:val="0056125B"/>
    <w:rsid w:val="005612B9"/>
    <w:rsid w:val="0056177F"/>
    <w:rsid w:val="00561D99"/>
    <w:rsid w:val="00561DB5"/>
    <w:rsid w:val="00561E23"/>
    <w:rsid w:val="005628B5"/>
    <w:rsid w:val="00562CAA"/>
    <w:rsid w:val="00562D57"/>
    <w:rsid w:val="00562EB6"/>
    <w:rsid w:val="00562FEC"/>
    <w:rsid w:val="005634E4"/>
    <w:rsid w:val="00563813"/>
    <w:rsid w:val="005644D0"/>
    <w:rsid w:val="0056476E"/>
    <w:rsid w:val="00565D0B"/>
    <w:rsid w:val="00566B36"/>
    <w:rsid w:val="00566BED"/>
    <w:rsid w:val="0056726F"/>
    <w:rsid w:val="00567556"/>
    <w:rsid w:val="00567903"/>
    <w:rsid w:val="00567941"/>
    <w:rsid w:val="00567FF3"/>
    <w:rsid w:val="005700F2"/>
    <w:rsid w:val="00570A5B"/>
    <w:rsid w:val="00570F2B"/>
    <w:rsid w:val="005712F9"/>
    <w:rsid w:val="0057150E"/>
    <w:rsid w:val="005716F4"/>
    <w:rsid w:val="0057202D"/>
    <w:rsid w:val="00572429"/>
    <w:rsid w:val="005726FF"/>
    <w:rsid w:val="005727FC"/>
    <w:rsid w:val="005728C7"/>
    <w:rsid w:val="00572DC2"/>
    <w:rsid w:val="00572E51"/>
    <w:rsid w:val="00573582"/>
    <w:rsid w:val="00573E77"/>
    <w:rsid w:val="005740F3"/>
    <w:rsid w:val="00574477"/>
    <w:rsid w:val="005746B9"/>
    <w:rsid w:val="005748BD"/>
    <w:rsid w:val="00575005"/>
    <w:rsid w:val="0057511F"/>
    <w:rsid w:val="0057555C"/>
    <w:rsid w:val="00575672"/>
    <w:rsid w:val="005756E4"/>
    <w:rsid w:val="0057586F"/>
    <w:rsid w:val="00575B4C"/>
    <w:rsid w:val="005763FD"/>
    <w:rsid w:val="00576C4D"/>
    <w:rsid w:val="00576FAD"/>
    <w:rsid w:val="0057702F"/>
    <w:rsid w:val="00577087"/>
    <w:rsid w:val="0057710C"/>
    <w:rsid w:val="0057725B"/>
    <w:rsid w:val="0057749A"/>
    <w:rsid w:val="00577532"/>
    <w:rsid w:val="00580698"/>
    <w:rsid w:val="005807DF"/>
    <w:rsid w:val="00580988"/>
    <w:rsid w:val="00581871"/>
    <w:rsid w:val="00582193"/>
    <w:rsid w:val="0058369C"/>
    <w:rsid w:val="0058373D"/>
    <w:rsid w:val="005844C1"/>
    <w:rsid w:val="005847C7"/>
    <w:rsid w:val="005854C5"/>
    <w:rsid w:val="00585E7D"/>
    <w:rsid w:val="00585F86"/>
    <w:rsid w:val="00586274"/>
    <w:rsid w:val="00586942"/>
    <w:rsid w:val="0058695F"/>
    <w:rsid w:val="00586D88"/>
    <w:rsid w:val="00586F47"/>
    <w:rsid w:val="00587073"/>
    <w:rsid w:val="005874F1"/>
    <w:rsid w:val="00590C91"/>
    <w:rsid w:val="005918A7"/>
    <w:rsid w:val="00592778"/>
    <w:rsid w:val="005927E8"/>
    <w:rsid w:val="00592E39"/>
    <w:rsid w:val="00592FF7"/>
    <w:rsid w:val="0059316D"/>
    <w:rsid w:val="005935E9"/>
    <w:rsid w:val="00593C11"/>
    <w:rsid w:val="00594293"/>
    <w:rsid w:val="005943B3"/>
    <w:rsid w:val="00595037"/>
    <w:rsid w:val="005954DB"/>
    <w:rsid w:val="00595A90"/>
    <w:rsid w:val="00595C49"/>
    <w:rsid w:val="00596E9E"/>
    <w:rsid w:val="0059701D"/>
    <w:rsid w:val="005A0432"/>
    <w:rsid w:val="005A0A2E"/>
    <w:rsid w:val="005A0F95"/>
    <w:rsid w:val="005A17FA"/>
    <w:rsid w:val="005A2022"/>
    <w:rsid w:val="005A2D6A"/>
    <w:rsid w:val="005A3817"/>
    <w:rsid w:val="005A3D72"/>
    <w:rsid w:val="005A43B5"/>
    <w:rsid w:val="005A4D31"/>
    <w:rsid w:val="005A545D"/>
    <w:rsid w:val="005A55DA"/>
    <w:rsid w:val="005A57E4"/>
    <w:rsid w:val="005A5BBD"/>
    <w:rsid w:val="005A6241"/>
    <w:rsid w:val="005A662D"/>
    <w:rsid w:val="005A6CBD"/>
    <w:rsid w:val="005A7992"/>
    <w:rsid w:val="005A7A62"/>
    <w:rsid w:val="005B0082"/>
    <w:rsid w:val="005B0524"/>
    <w:rsid w:val="005B092A"/>
    <w:rsid w:val="005B0AB5"/>
    <w:rsid w:val="005B0C36"/>
    <w:rsid w:val="005B18D8"/>
    <w:rsid w:val="005B1CC0"/>
    <w:rsid w:val="005B1E75"/>
    <w:rsid w:val="005B1E90"/>
    <w:rsid w:val="005B20C0"/>
    <w:rsid w:val="005B20C4"/>
    <w:rsid w:val="005B2583"/>
    <w:rsid w:val="005B2617"/>
    <w:rsid w:val="005B278B"/>
    <w:rsid w:val="005B3145"/>
    <w:rsid w:val="005B4DB3"/>
    <w:rsid w:val="005B4F8F"/>
    <w:rsid w:val="005B4F97"/>
    <w:rsid w:val="005B51AA"/>
    <w:rsid w:val="005B536B"/>
    <w:rsid w:val="005B5489"/>
    <w:rsid w:val="005B589C"/>
    <w:rsid w:val="005B5A27"/>
    <w:rsid w:val="005B5C0D"/>
    <w:rsid w:val="005B5C4C"/>
    <w:rsid w:val="005B5F04"/>
    <w:rsid w:val="005B6009"/>
    <w:rsid w:val="005B6605"/>
    <w:rsid w:val="005B77D5"/>
    <w:rsid w:val="005B7BA6"/>
    <w:rsid w:val="005C020B"/>
    <w:rsid w:val="005C066B"/>
    <w:rsid w:val="005C1147"/>
    <w:rsid w:val="005C1778"/>
    <w:rsid w:val="005C1862"/>
    <w:rsid w:val="005C1E06"/>
    <w:rsid w:val="005C1F0A"/>
    <w:rsid w:val="005C23A5"/>
    <w:rsid w:val="005C2D74"/>
    <w:rsid w:val="005C2DDE"/>
    <w:rsid w:val="005C3313"/>
    <w:rsid w:val="005C435B"/>
    <w:rsid w:val="005C44BD"/>
    <w:rsid w:val="005C455E"/>
    <w:rsid w:val="005C4DA6"/>
    <w:rsid w:val="005C4FAB"/>
    <w:rsid w:val="005C4FB6"/>
    <w:rsid w:val="005C4FD4"/>
    <w:rsid w:val="005C51D8"/>
    <w:rsid w:val="005C5229"/>
    <w:rsid w:val="005C5B36"/>
    <w:rsid w:val="005C5BD5"/>
    <w:rsid w:val="005C63DA"/>
    <w:rsid w:val="005C68BB"/>
    <w:rsid w:val="005C76C1"/>
    <w:rsid w:val="005C7CA5"/>
    <w:rsid w:val="005D0EDA"/>
    <w:rsid w:val="005D0F54"/>
    <w:rsid w:val="005D0FF1"/>
    <w:rsid w:val="005D112C"/>
    <w:rsid w:val="005D2880"/>
    <w:rsid w:val="005D2CBA"/>
    <w:rsid w:val="005D34CF"/>
    <w:rsid w:val="005D44C4"/>
    <w:rsid w:val="005D510E"/>
    <w:rsid w:val="005D566E"/>
    <w:rsid w:val="005D5C9D"/>
    <w:rsid w:val="005D5FC6"/>
    <w:rsid w:val="005D63B0"/>
    <w:rsid w:val="005D6782"/>
    <w:rsid w:val="005D72B5"/>
    <w:rsid w:val="005D764B"/>
    <w:rsid w:val="005E028A"/>
    <w:rsid w:val="005E0913"/>
    <w:rsid w:val="005E0936"/>
    <w:rsid w:val="005E0C80"/>
    <w:rsid w:val="005E1034"/>
    <w:rsid w:val="005E1704"/>
    <w:rsid w:val="005E1A06"/>
    <w:rsid w:val="005E2469"/>
    <w:rsid w:val="005E3307"/>
    <w:rsid w:val="005E34E8"/>
    <w:rsid w:val="005E359E"/>
    <w:rsid w:val="005E3708"/>
    <w:rsid w:val="005E3A2C"/>
    <w:rsid w:val="005E40A7"/>
    <w:rsid w:val="005E43CF"/>
    <w:rsid w:val="005E4600"/>
    <w:rsid w:val="005E4B63"/>
    <w:rsid w:val="005E5199"/>
    <w:rsid w:val="005E51CF"/>
    <w:rsid w:val="005E5458"/>
    <w:rsid w:val="005E5490"/>
    <w:rsid w:val="005E59C5"/>
    <w:rsid w:val="005E5C66"/>
    <w:rsid w:val="005E5FC1"/>
    <w:rsid w:val="005E62A0"/>
    <w:rsid w:val="005E7097"/>
    <w:rsid w:val="005E7313"/>
    <w:rsid w:val="005F0656"/>
    <w:rsid w:val="005F0728"/>
    <w:rsid w:val="005F0738"/>
    <w:rsid w:val="005F07A1"/>
    <w:rsid w:val="005F0B64"/>
    <w:rsid w:val="005F1507"/>
    <w:rsid w:val="005F181C"/>
    <w:rsid w:val="005F1D5C"/>
    <w:rsid w:val="005F1E5E"/>
    <w:rsid w:val="005F1F69"/>
    <w:rsid w:val="005F2663"/>
    <w:rsid w:val="005F285C"/>
    <w:rsid w:val="005F29FC"/>
    <w:rsid w:val="005F41D4"/>
    <w:rsid w:val="005F4210"/>
    <w:rsid w:val="005F48A9"/>
    <w:rsid w:val="005F4D45"/>
    <w:rsid w:val="005F54CD"/>
    <w:rsid w:val="005F56BB"/>
    <w:rsid w:val="005F5CA8"/>
    <w:rsid w:val="005F5CD8"/>
    <w:rsid w:val="005F6D77"/>
    <w:rsid w:val="005F70C5"/>
    <w:rsid w:val="005F70E8"/>
    <w:rsid w:val="005F7474"/>
    <w:rsid w:val="005F74D8"/>
    <w:rsid w:val="005F7DE1"/>
    <w:rsid w:val="0060057E"/>
    <w:rsid w:val="00600672"/>
    <w:rsid w:val="0060097C"/>
    <w:rsid w:val="00601127"/>
    <w:rsid w:val="006013BB"/>
    <w:rsid w:val="006022F8"/>
    <w:rsid w:val="00602396"/>
    <w:rsid w:val="00602F72"/>
    <w:rsid w:val="006039FE"/>
    <w:rsid w:val="00603AD6"/>
    <w:rsid w:val="00603D48"/>
    <w:rsid w:val="00604124"/>
    <w:rsid w:val="00604579"/>
    <w:rsid w:val="00604851"/>
    <w:rsid w:val="00604E79"/>
    <w:rsid w:val="0060535D"/>
    <w:rsid w:val="0060543D"/>
    <w:rsid w:val="006054F4"/>
    <w:rsid w:val="006065EA"/>
    <w:rsid w:val="0060705A"/>
    <w:rsid w:val="0060743C"/>
    <w:rsid w:val="00607462"/>
    <w:rsid w:val="00607738"/>
    <w:rsid w:val="006079A4"/>
    <w:rsid w:val="00607D01"/>
    <w:rsid w:val="00611131"/>
    <w:rsid w:val="006115E6"/>
    <w:rsid w:val="00611A24"/>
    <w:rsid w:val="00612626"/>
    <w:rsid w:val="00613F2D"/>
    <w:rsid w:val="00614097"/>
    <w:rsid w:val="00614359"/>
    <w:rsid w:val="0061494A"/>
    <w:rsid w:val="006152A5"/>
    <w:rsid w:val="00615BF5"/>
    <w:rsid w:val="00615E4E"/>
    <w:rsid w:val="00616603"/>
    <w:rsid w:val="00616C20"/>
    <w:rsid w:val="00617405"/>
    <w:rsid w:val="0061759E"/>
    <w:rsid w:val="00617760"/>
    <w:rsid w:val="0061790C"/>
    <w:rsid w:val="00617F4E"/>
    <w:rsid w:val="00620195"/>
    <w:rsid w:val="006205CF"/>
    <w:rsid w:val="00620651"/>
    <w:rsid w:val="00620C2B"/>
    <w:rsid w:val="0062128A"/>
    <w:rsid w:val="00621625"/>
    <w:rsid w:val="00621D18"/>
    <w:rsid w:val="00621D20"/>
    <w:rsid w:val="00622602"/>
    <w:rsid w:val="00622718"/>
    <w:rsid w:val="00622980"/>
    <w:rsid w:val="00622BA7"/>
    <w:rsid w:val="00622E9E"/>
    <w:rsid w:val="0062300E"/>
    <w:rsid w:val="006232A8"/>
    <w:rsid w:val="00623366"/>
    <w:rsid w:val="006235A6"/>
    <w:rsid w:val="00623AB6"/>
    <w:rsid w:val="00623F25"/>
    <w:rsid w:val="0062428F"/>
    <w:rsid w:val="006249F4"/>
    <w:rsid w:val="00624C29"/>
    <w:rsid w:val="00624FBC"/>
    <w:rsid w:val="0062538F"/>
    <w:rsid w:val="0062548B"/>
    <w:rsid w:val="00625D9E"/>
    <w:rsid w:val="0062614B"/>
    <w:rsid w:val="006264C0"/>
    <w:rsid w:val="00626593"/>
    <w:rsid w:val="006269D4"/>
    <w:rsid w:val="006274B7"/>
    <w:rsid w:val="0062778F"/>
    <w:rsid w:val="00627E24"/>
    <w:rsid w:val="006303FB"/>
    <w:rsid w:val="006313FB"/>
    <w:rsid w:val="00631D76"/>
    <w:rsid w:val="006331BC"/>
    <w:rsid w:val="00634041"/>
    <w:rsid w:val="006341A2"/>
    <w:rsid w:val="006345D4"/>
    <w:rsid w:val="006349F0"/>
    <w:rsid w:val="00634FC7"/>
    <w:rsid w:val="00635766"/>
    <w:rsid w:val="006364EA"/>
    <w:rsid w:val="00636C46"/>
    <w:rsid w:val="00636C7A"/>
    <w:rsid w:val="00636FB9"/>
    <w:rsid w:val="00637681"/>
    <w:rsid w:val="00637943"/>
    <w:rsid w:val="006401A9"/>
    <w:rsid w:val="006402E2"/>
    <w:rsid w:val="00640954"/>
    <w:rsid w:val="00640D6B"/>
    <w:rsid w:val="00641669"/>
    <w:rsid w:val="0064189B"/>
    <w:rsid w:val="00641BA1"/>
    <w:rsid w:val="00641EAA"/>
    <w:rsid w:val="00641F4F"/>
    <w:rsid w:val="00642223"/>
    <w:rsid w:val="00642C2E"/>
    <w:rsid w:val="00642F47"/>
    <w:rsid w:val="00642F7D"/>
    <w:rsid w:val="0064366E"/>
    <w:rsid w:val="0064373D"/>
    <w:rsid w:val="006437E9"/>
    <w:rsid w:val="00643E64"/>
    <w:rsid w:val="006442B0"/>
    <w:rsid w:val="006446EA"/>
    <w:rsid w:val="00644DD8"/>
    <w:rsid w:val="00644F2E"/>
    <w:rsid w:val="0064508E"/>
    <w:rsid w:val="006450DB"/>
    <w:rsid w:val="0064512D"/>
    <w:rsid w:val="006453C6"/>
    <w:rsid w:val="0064576A"/>
    <w:rsid w:val="0064578D"/>
    <w:rsid w:val="00645B1D"/>
    <w:rsid w:val="00645BF6"/>
    <w:rsid w:val="006464CD"/>
    <w:rsid w:val="0064668D"/>
    <w:rsid w:val="00646A04"/>
    <w:rsid w:val="00646D85"/>
    <w:rsid w:val="00647337"/>
    <w:rsid w:val="006500BC"/>
    <w:rsid w:val="00650683"/>
    <w:rsid w:val="00650DEC"/>
    <w:rsid w:val="006510A1"/>
    <w:rsid w:val="006513F2"/>
    <w:rsid w:val="00651DA7"/>
    <w:rsid w:val="006528E3"/>
    <w:rsid w:val="006530A5"/>
    <w:rsid w:val="006537D4"/>
    <w:rsid w:val="00653823"/>
    <w:rsid w:val="00654449"/>
    <w:rsid w:val="00654FF0"/>
    <w:rsid w:val="00655255"/>
    <w:rsid w:val="00655779"/>
    <w:rsid w:val="00655A3E"/>
    <w:rsid w:val="00655E8D"/>
    <w:rsid w:val="006568CE"/>
    <w:rsid w:val="006577D5"/>
    <w:rsid w:val="006579F4"/>
    <w:rsid w:val="00657C8B"/>
    <w:rsid w:val="00657F5B"/>
    <w:rsid w:val="00660AE1"/>
    <w:rsid w:val="00660EF0"/>
    <w:rsid w:val="00661165"/>
    <w:rsid w:val="006617B3"/>
    <w:rsid w:val="006617C3"/>
    <w:rsid w:val="00662321"/>
    <w:rsid w:val="006623DA"/>
    <w:rsid w:val="00662586"/>
    <w:rsid w:val="00662CB2"/>
    <w:rsid w:val="00663197"/>
    <w:rsid w:val="00663878"/>
    <w:rsid w:val="00663A7A"/>
    <w:rsid w:val="00663F0D"/>
    <w:rsid w:val="006642DA"/>
    <w:rsid w:val="006658FA"/>
    <w:rsid w:val="0066645C"/>
    <w:rsid w:val="006664F6"/>
    <w:rsid w:val="00666548"/>
    <w:rsid w:val="00666911"/>
    <w:rsid w:val="00666929"/>
    <w:rsid w:val="00666B8A"/>
    <w:rsid w:val="0066725A"/>
    <w:rsid w:val="00667BB4"/>
    <w:rsid w:val="00667FB1"/>
    <w:rsid w:val="00670017"/>
    <w:rsid w:val="006701D3"/>
    <w:rsid w:val="006701DB"/>
    <w:rsid w:val="006701F2"/>
    <w:rsid w:val="006703D1"/>
    <w:rsid w:val="00671161"/>
    <w:rsid w:val="006714EF"/>
    <w:rsid w:val="006717ED"/>
    <w:rsid w:val="00671B27"/>
    <w:rsid w:val="00671ED5"/>
    <w:rsid w:val="006726A1"/>
    <w:rsid w:val="0067286F"/>
    <w:rsid w:val="00672CE8"/>
    <w:rsid w:val="00672FAA"/>
    <w:rsid w:val="006733E9"/>
    <w:rsid w:val="0067384D"/>
    <w:rsid w:val="0067393D"/>
    <w:rsid w:val="00673ED4"/>
    <w:rsid w:val="00674903"/>
    <w:rsid w:val="00674CDF"/>
    <w:rsid w:val="00674EE1"/>
    <w:rsid w:val="00675299"/>
    <w:rsid w:val="006753E1"/>
    <w:rsid w:val="00675481"/>
    <w:rsid w:val="00675CC4"/>
    <w:rsid w:val="00676A39"/>
    <w:rsid w:val="00676F16"/>
    <w:rsid w:val="00677259"/>
    <w:rsid w:val="006804E5"/>
    <w:rsid w:val="00680770"/>
    <w:rsid w:val="00680D1E"/>
    <w:rsid w:val="00681284"/>
    <w:rsid w:val="00681CAD"/>
    <w:rsid w:val="00681D60"/>
    <w:rsid w:val="00682212"/>
    <w:rsid w:val="006826FC"/>
    <w:rsid w:val="0068292A"/>
    <w:rsid w:val="00682CD9"/>
    <w:rsid w:val="00683652"/>
    <w:rsid w:val="0068379D"/>
    <w:rsid w:val="00683A46"/>
    <w:rsid w:val="00683B98"/>
    <w:rsid w:val="00683BE0"/>
    <w:rsid w:val="00683E40"/>
    <w:rsid w:val="006840B1"/>
    <w:rsid w:val="00684750"/>
    <w:rsid w:val="006850DF"/>
    <w:rsid w:val="00685179"/>
    <w:rsid w:val="00685685"/>
    <w:rsid w:val="00685963"/>
    <w:rsid w:val="00685B54"/>
    <w:rsid w:val="00685DC9"/>
    <w:rsid w:val="006865BF"/>
    <w:rsid w:val="00686BE9"/>
    <w:rsid w:val="0068709F"/>
    <w:rsid w:val="0068720F"/>
    <w:rsid w:val="00687410"/>
    <w:rsid w:val="006878BD"/>
    <w:rsid w:val="00687A4A"/>
    <w:rsid w:val="00687E82"/>
    <w:rsid w:val="00690353"/>
    <w:rsid w:val="00690387"/>
    <w:rsid w:val="00690D48"/>
    <w:rsid w:val="0069122E"/>
    <w:rsid w:val="00691281"/>
    <w:rsid w:val="0069193B"/>
    <w:rsid w:val="0069194F"/>
    <w:rsid w:val="00691A88"/>
    <w:rsid w:val="00691C7C"/>
    <w:rsid w:val="00691F06"/>
    <w:rsid w:val="0069200B"/>
    <w:rsid w:val="0069278F"/>
    <w:rsid w:val="00692AC9"/>
    <w:rsid w:val="00692B31"/>
    <w:rsid w:val="00692E39"/>
    <w:rsid w:val="00693183"/>
    <w:rsid w:val="0069386B"/>
    <w:rsid w:val="00693BDD"/>
    <w:rsid w:val="00693F66"/>
    <w:rsid w:val="006947B6"/>
    <w:rsid w:val="00695008"/>
    <w:rsid w:val="0069566C"/>
    <w:rsid w:val="00695946"/>
    <w:rsid w:val="006959EF"/>
    <w:rsid w:val="00695A85"/>
    <w:rsid w:val="00695D18"/>
    <w:rsid w:val="00695F2D"/>
    <w:rsid w:val="006960AD"/>
    <w:rsid w:val="00696251"/>
    <w:rsid w:val="0069649B"/>
    <w:rsid w:val="00696724"/>
    <w:rsid w:val="006970E3"/>
    <w:rsid w:val="006975C4"/>
    <w:rsid w:val="0069792C"/>
    <w:rsid w:val="0069793B"/>
    <w:rsid w:val="0069795F"/>
    <w:rsid w:val="006979A1"/>
    <w:rsid w:val="006A017C"/>
    <w:rsid w:val="006A0F8A"/>
    <w:rsid w:val="006A1D1A"/>
    <w:rsid w:val="006A2818"/>
    <w:rsid w:val="006A303F"/>
    <w:rsid w:val="006A3170"/>
    <w:rsid w:val="006A3455"/>
    <w:rsid w:val="006A371C"/>
    <w:rsid w:val="006A37A3"/>
    <w:rsid w:val="006A3B88"/>
    <w:rsid w:val="006A3FC7"/>
    <w:rsid w:val="006A4A6F"/>
    <w:rsid w:val="006A4B35"/>
    <w:rsid w:val="006A4DB8"/>
    <w:rsid w:val="006A5410"/>
    <w:rsid w:val="006A5FBA"/>
    <w:rsid w:val="006A6255"/>
    <w:rsid w:val="006A6608"/>
    <w:rsid w:val="006A6892"/>
    <w:rsid w:val="006A6C46"/>
    <w:rsid w:val="006A6D1A"/>
    <w:rsid w:val="006A6D9B"/>
    <w:rsid w:val="006A6E41"/>
    <w:rsid w:val="006A6E79"/>
    <w:rsid w:val="006A7790"/>
    <w:rsid w:val="006A7BE7"/>
    <w:rsid w:val="006A7BF9"/>
    <w:rsid w:val="006A7CA1"/>
    <w:rsid w:val="006B077C"/>
    <w:rsid w:val="006B162A"/>
    <w:rsid w:val="006B2527"/>
    <w:rsid w:val="006B284A"/>
    <w:rsid w:val="006B287A"/>
    <w:rsid w:val="006B38AB"/>
    <w:rsid w:val="006B39D8"/>
    <w:rsid w:val="006B448E"/>
    <w:rsid w:val="006B454C"/>
    <w:rsid w:val="006B487B"/>
    <w:rsid w:val="006B4B86"/>
    <w:rsid w:val="006B5DC8"/>
    <w:rsid w:val="006B63A0"/>
    <w:rsid w:val="006B653C"/>
    <w:rsid w:val="006B6F79"/>
    <w:rsid w:val="006B6FF8"/>
    <w:rsid w:val="006B75F8"/>
    <w:rsid w:val="006B771F"/>
    <w:rsid w:val="006B77BF"/>
    <w:rsid w:val="006B781F"/>
    <w:rsid w:val="006B7FAD"/>
    <w:rsid w:val="006C036B"/>
    <w:rsid w:val="006C0379"/>
    <w:rsid w:val="006C07B6"/>
    <w:rsid w:val="006C08FC"/>
    <w:rsid w:val="006C13D7"/>
    <w:rsid w:val="006C14AE"/>
    <w:rsid w:val="006C219E"/>
    <w:rsid w:val="006C22D2"/>
    <w:rsid w:val="006C26D0"/>
    <w:rsid w:val="006C34CE"/>
    <w:rsid w:val="006C40FB"/>
    <w:rsid w:val="006C50CB"/>
    <w:rsid w:val="006C542F"/>
    <w:rsid w:val="006C59B6"/>
    <w:rsid w:val="006C5BC8"/>
    <w:rsid w:val="006C6382"/>
    <w:rsid w:val="006C6B1A"/>
    <w:rsid w:val="006C6C98"/>
    <w:rsid w:val="006C7B8C"/>
    <w:rsid w:val="006C7B9D"/>
    <w:rsid w:val="006D04A0"/>
    <w:rsid w:val="006D065E"/>
    <w:rsid w:val="006D16F3"/>
    <w:rsid w:val="006D1F5A"/>
    <w:rsid w:val="006D22D9"/>
    <w:rsid w:val="006D28B0"/>
    <w:rsid w:val="006D2A10"/>
    <w:rsid w:val="006D2DAC"/>
    <w:rsid w:val="006D2F8B"/>
    <w:rsid w:val="006D3F52"/>
    <w:rsid w:val="006D4178"/>
    <w:rsid w:val="006D47B6"/>
    <w:rsid w:val="006D4D0F"/>
    <w:rsid w:val="006D5B88"/>
    <w:rsid w:val="006D5D41"/>
    <w:rsid w:val="006D5FBE"/>
    <w:rsid w:val="006D6021"/>
    <w:rsid w:val="006D61D4"/>
    <w:rsid w:val="006D6388"/>
    <w:rsid w:val="006D63AC"/>
    <w:rsid w:val="006D64AF"/>
    <w:rsid w:val="006D6C90"/>
    <w:rsid w:val="006D71C5"/>
    <w:rsid w:val="006D77D5"/>
    <w:rsid w:val="006E0A77"/>
    <w:rsid w:val="006E0DC4"/>
    <w:rsid w:val="006E0E2F"/>
    <w:rsid w:val="006E141B"/>
    <w:rsid w:val="006E173D"/>
    <w:rsid w:val="006E1CDF"/>
    <w:rsid w:val="006E1E26"/>
    <w:rsid w:val="006E268B"/>
    <w:rsid w:val="006E2762"/>
    <w:rsid w:val="006E35CE"/>
    <w:rsid w:val="006E3835"/>
    <w:rsid w:val="006E468B"/>
    <w:rsid w:val="006E4A28"/>
    <w:rsid w:val="006E4A7F"/>
    <w:rsid w:val="006E51D7"/>
    <w:rsid w:val="006E5FB5"/>
    <w:rsid w:val="006E62CC"/>
    <w:rsid w:val="006E66EB"/>
    <w:rsid w:val="006E6AD9"/>
    <w:rsid w:val="006E6CA8"/>
    <w:rsid w:val="006E6F5F"/>
    <w:rsid w:val="006E72A2"/>
    <w:rsid w:val="006E730C"/>
    <w:rsid w:val="006E796C"/>
    <w:rsid w:val="006F1FB2"/>
    <w:rsid w:val="006F210F"/>
    <w:rsid w:val="006F26E6"/>
    <w:rsid w:val="006F27A8"/>
    <w:rsid w:val="006F3975"/>
    <w:rsid w:val="006F3C4F"/>
    <w:rsid w:val="006F3E08"/>
    <w:rsid w:val="006F3F3B"/>
    <w:rsid w:val="006F41BA"/>
    <w:rsid w:val="006F49CC"/>
    <w:rsid w:val="006F4D4C"/>
    <w:rsid w:val="006F4E46"/>
    <w:rsid w:val="006F4EBC"/>
    <w:rsid w:val="006F60C4"/>
    <w:rsid w:val="006F60FA"/>
    <w:rsid w:val="006F6F0A"/>
    <w:rsid w:val="006F72F9"/>
    <w:rsid w:val="006F7A94"/>
    <w:rsid w:val="006F7B6A"/>
    <w:rsid w:val="00700057"/>
    <w:rsid w:val="007001FF"/>
    <w:rsid w:val="0070045F"/>
    <w:rsid w:val="00700B5C"/>
    <w:rsid w:val="00702065"/>
    <w:rsid w:val="007020A9"/>
    <w:rsid w:val="00702AD6"/>
    <w:rsid w:val="00702ECA"/>
    <w:rsid w:val="00703533"/>
    <w:rsid w:val="00703E22"/>
    <w:rsid w:val="007040A4"/>
    <w:rsid w:val="0070475A"/>
    <w:rsid w:val="0070489B"/>
    <w:rsid w:val="007048EB"/>
    <w:rsid w:val="00704DBE"/>
    <w:rsid w:val="00705267"/>
    <w:rsid w:val="00705352"/>
    <w:rsid w:val="00706586"/>
    <w:rsid w:val="007065F2"/>
    <w:rsid w:val="0070696C"/>
    <w:rsid w:val="007069C7"/>
    <w:rsid w:val="00706D66"/>
    <w:rsid w:val="007073EF"/>
    <w:rsid w:val="00707817"/>
    <w:rsid w:val="00707E45"/>
    <w:rsid w:val="007104DB"/>
    <w:rsid w:val="00710A7B"/>
    <w:rsid w:val="00710BA7"/>
    <w:rsid w:val="00710D3F"/>
    <w:rsid w:val="0071195C"/>
    <w:rsid w:val="00711C9E"/>
    <w:rsid w:val="00711D19"/>
    <w:rsid w:val="00712094"/>
    <w:rsid w:val="007120EC"/>
    <w:rsid w:val="0071292B"/>
    <w:rsid w:val="007129EB"/>
    <w:rsid w:val="007136D4"/>
    <w:rsid w:val="007139F7"/>
    <w:rsid w:val="00713FE4"/>
    <w:rsid w:val="0071414D"/>
    <w:rsid w:val="007141F9"/>
    <w:rsid w:val="00714290"/>
    <w:rsid w:val="007142F1"/>
    <w:rsid w:val="00714D6A"/>
    <w:rsid w:val="0071598B"/>
    <w:rsid w:val="00715F05"/>
    <w:rsid w:val="0071657D"/>
    <w:rsid w:val="00717074"/>
    <w:rsid w:val="00717F52"/>
    <w:rsid w:val="0072019F"/>
    <w:rsid w:val="00720395"/>
    <w:rsid w:val="00720624"/>
    <w:rsid w:val="0072062E"/>
    <w:rsid w:val="00720712"/>
    <w:rsid w:val="00721123"/>
    <w:rsid w:val="0072124C"/>
    <w:rsid w:val="00721288"/>
    <w:rsid w:val="007212F3"/>
    <w:rsid w:val="00721996"/>
    <w:rsid w:val="00721B6F"/>
    <w:rsid w:val="00721E47"/>
    <w:rsid w:val="00721EE9"/>
    <w:rsid w:val="007220AB"/>
    <w:rsid w:val="007220AC"/>
    <w:rsid w:val="00722218"/>
    <w:rsid w:val="007227CB"/>
    <w:rsid w:val="00722845"/>
    <w:rsid w:val="007229C6"/>
    <w:rsid w:val="007236BC"/>
    <w:rsid w:val="00724334"/>
    <w:rsid w:val="0072490B"/>
    <w:rsid w:val="00725997"/>
    <w:rsid w:val="00725B71"/>
    <w:rsid w:val="007269E8"/>
    <w:rsid w:val="00726B09"/>
    <w:rsid w:val="00726BC4"/>
    <w:rsid w:val="00726C8A"/>
    <w:rsid w:val="007274BB"/>
    <w:rsid w:val="007304D4"/>
    <w:rsid w:val="007312E0"/>
    <w:rsid w:val="0073149A"/>
    <w:rsid w:val="007314C4"/>
    <w:rsid w:val="00731A94"/>
    <w:rsid w:val="007324CC"/>
    <w:rsid w:val="0073273F"/>
    <w:rsid w:val="007328FD"/>
    <w:rsid w:val="00733712"/>
    <w:rsid w:val="00733C6A"/>
    <w:rsid w:val="007341B2"/>
    <w:rsid w:val="00735960"/>
    <w:rsid w:val="00735AE9"/>
    <w:rsid w:val="00735FE2"/>
    <w:rsid w:val="007369CF"/>
    <w:rsid w:val="00737594"/>
    <w:rsid w:val="00737A32"/>
    <w:rsid w:val="00737F24"/>
    <w:rsid w:val="0074056D"/>
    <w:rsid w:val="00741E7D"/>
    <w:rsid w:val="00741FEF"/>
    <w:rsid w:val="0074238C"/>
    <w:rsid w:val="00742A2D"/>
    <w:rsid w:val="00742A83"/>
    <w:rsid w:val="00743C4B"/>
    <w:rsid w:val="00743D93"/>
    <w:rsid w:val="00743DC3"/>
    <w:rsid w:val="0074464B"/>
    <w:rsid w:val="00744EA2"/>
    <w:rsid w:val="00744F2D"/>
    <w:rsid w:val="007452EB"/>
    <w:rsid w:val="00745AB8"/>
    <w:rsid w:val="00745B6B"/>
    <w:rsid w:val="00745C74"/>
    <w:rsid w:val="007462FD"/>
    <w:rsid w:val="007464CC"/>
    <w:rsid w:val="007465D1"/>
    <w:rsid w:val="00746886"/>
    <w:rsid w:val="0074745F"/>
    <w:rsid w:val="007474AD"/>
    <w:rsid w:val="007477FA"/>
    <w:rsid w:val="0074787E"/>
    <w:rsid w:val="00747D6A"/>
    <w:rsid w:val="00747E6E"/>
    <w:rsid w:val="007501BD"/>
    <w:rsid w:val="00750300"/>
    <w:rsid w:val="00751189"/>
    <w:rsid w:val="00752241"/>
    <w:rsid w:val="00752633"/>
    <w:rsid w:val="00752696"/>
    <w:rsid w:val="00752C9E"/>
    <w:rsid w:val="00753B90"/>
    <w:rsid w:val="00753FBF"/>
    <w:rsid w:val="0075493B"/>
    <w:rsid w:val="0075527E"/>
    <w:rsid w:val="00756A26"/>
    <w:rsid w:val="00756A8F"/>
    <w:rsid w:val="00756C92"/>
    <w:rsid w:val="00756E76"/>
    <w:rsid w:val="00757223"/>
    <w:rsid w:val="007574A8"/>
    <w:rsid w:val="007574C6"/>
    <w:rsid w:val="0075774F"/>
    <w:rsid w:val="007578EE"/>
    <w:rsid w:val="00757B81"/>
    <w:rsid w:val="00757DC4"/>
    <w:rsid w:val="0076029D"/>
    <w:rsid w:val="007605A4"/>
    <w:rsid w:val="007610B7"/>
    <w:rsid w:val="0076131F"/>
    <w:rsid w:val="007616D6"/>
    <w:rsid w:val="00761996"/>
    <w:rsid w:val="00762D7C"/>
    <w:rsid w:val="007630E2"/>
    <w:rsid w:val="007632D5"/>
    <w:rsid w:val="00763474"/>
    <w:rsid w:val="0076363E"/>
    <w:rsid w:val="007643FB"/>
    <w:rsid w:val="00764437"/>
    <w:rsid w:val="00764507"/>
    <w:rsid w:val="007648A7"/>
    <w:rsid w:val="007649D5"/>
    <w:rsid w:val="007656C2"/>
    <w:rsid w:val="00765703"/>
    <w:rsid w:val="00765D73"/>
    <w:rsid w:val="00766018"/>
    <w:rsid w:val="0076617E"/>
    <w:rsid w:val="00766939"/>
    <w:rsid w:val="00766B87"/>
    <w:rsid w:val="007671B5"/>
    <w:rsid w:val="007678E4"/>
    <w:rsid w:val="00767BB2"/>
    <w:rsid w:val="00770A89"/>
    <w:rsid w:val="00771076"/>
    <w:rsid w:val="0077141F"/>
    <w:rsid w:val="0077146E"/>
    <w:rsid w:val="00772001"/>
    <w:rsid w:val="0077207D"/>
    <w:rsid w:val="007721C4"/>
    <w:rsid w:val="00772262"/>
    <w:rsid w:val="00772466"/>
    <w:rsid w:val="007726AA"/>
    <w:rsid w:val="00772873"/>
    <w:rsid w:val="00772A93"/>
    <w:rsid w:val="00772BFE"/>
    <w:rsid w:val="0077305D"/>
    <w:rsid w:val="00773250"/>
    <w:rsid w:val="00773419"/>
    <w:rsid w:val="007735AB"/>
    <w:rsid w:val="007735D9"/>
    <w:rsid w:val="007739BC"/>
    <w:rsid w:val="00773BF0"/>
    <w:rsid w:val="007741A6"/>
    <w:rsid w:val="007747CA"/>
    <w:rsid w:val="007755CC"/>
    <w:rsid w:val="00775B8C"/>
    <w:rsid w:val="007763D6"/>
    <w:rsid w:val="007765F0"/>
    <w:rsid w:val="00776A31"/>
    <w:rsid w:val="00777280"/>
    <w:rsid w:val="00777543"/>
    <w:rsid w:val="0077755A"/>
    <w:rsid w:val="00777858"/>
    <w:rsid w:val="00777979"/>
    <w:rsid w:val="00777A30"/>
    <w:rsid w:val="00777AC3"/>
    <w:rsid w:val="00780701"/>
    <w:rsid w:val="00780979"/>
    <w:rsid w:val="0078098A"/>
    <w:rsid w:val="00780AB1"/>
    <w:rsid w:val="007813DB"/>
    <w:rsid w:val="00781491"/>
    <w:rsid w:val="00781A17"/>
    <w:rsid w:val="00781B27"/>
    <w:rsid w:val="00781CA6"/>
    <w:rsid w:val="00781F3A"/>
    <w:rsid w:val="00783A56"/>
    <w:rsid w:val="00783EBB"/>
    <w:rsid w:val="0078407D"/>
    <w:rsid w:val="007842FD"/>
    <w:rsid w:val="007843A3"/>
    <w:rsid w:val="007843BD"/>
    <w:rsid w:val="00784729"/>
    <w:rsid w:val="00784978"/>
    <w:rsid w:val="00784B8A"/>
    <w:rsid w:val="00784DCE"/>
    <w:rsid w:val="0078500F"/>
    <w:rsid w:val="0078508E"/>
    <w:rsid w:val="00785143"/>
    <w:rsid w:val="007855B8"/>
    <w:rsid w:val="00786049"/>
    <w:rsid w:val="007867E2"/>
    <w:rsid w:val="007873DE"/>
    <w:rsid w:val="0078787A"/>
    <w:rsid w:val="0078792A"/>
    <w:rsid w:val="00787AC6"/>
    <w:rsid w:val="00790056"/>
    <w:rsid w:val="0079048F"/>
    <w:rsid w:val="007907EF"/>
    <w:rsid w:val="00790939"/>
    <w:rsid w:val="00790E3F"/>
    <w:rsid w:val="00791478"/>
    <w:rsid w:val="00792AE8"/>
    <w:rsid w:val="00792C81"/>
    <w:rsid w:val="00792FBA"/>
    <w:rsid w:val="007930F6"/>
    <w:rsid w:val="00793836"/>
    <w:rsid w:val="007938C0"/>
    <w:rsid w:val="00793F85"/>
    <w:rsid w:val="007943F9"/>
    <w:rsid w:val="00794936"/>
    <w:rsid w:val="00795AE3"/>
    <w:rsid w:val="00795C7F"/>
    <w:rsid w:val="00796080"/>
    <w:rsid w:val="00796974"/>
    <w:rsid w:val="00796B81"/>
    <w:rsid w:val="00796C30"/>
    <w:rsid w:val="00796F2E"/>
    <w:rsid w:val="00796FDA"/>
    <w:rsid w:val="00797103"/>
    <w:rsid w:val="007971B0"/>
    <w:rsid w:val="007974A1"/>
    <w:rsid w:val="007975E3"/>
    <w:rsid w:val="00797853"/>
    <w:rsid w:val="00797F7F"/>
    <w:rsid w:val="007A0121"/>
    <w:rsid w:val="007A015C"/>
    <w:rsid w:val="007A0C16"/>
    <w:rsid w:val="007A205C"/>
    <w:rsid w:val="007A21EA"/>
    <w:rsid w:val="007A2307"/>
    <w:rsid w:val="007A2AE8"/>
    <w:rsid w:val="007A2B76"/>
    <w:rsid w:val="007A3603"/>
    <w:rsid w:val="007A3791"/>
    <w:rsid w:val="007A387C"/>
    <w:rsid w:val="007A388A"/>
    <w:rsid w:val="007A3ADA"/>
    <w:rsid w:val="007A3B9B"/>
    <w:rsid w:val="007A3E1E"/>
    <w:rsid w:val="007A3E87"/>
    <w:rsid w:val="007A4B04"/>
    <w:rsid w:val="007A52E4"/>
    <w:rsid w:val="007A58CD"/>
    <w:rsid w:val="007A594B"/>
    <w:rsid w:val="007A6007"/>
    <w:rsid w:val="007A691E"/>
    <w:rsid w:val="007B070D"/>
    <w:rsid w:val="007B08A9"/>
    <w:rsid w:val="007B0907"/>
    <w:rsid w:val="007B09B3"/>
    <w:rsid w:val="007B0D8A"/>
    <w:rsid w:val="007B0E6A"/>
    <w:rsid w:val="007B0F11"/>
    <w:rsid w:val="007B1267"/>
    <w:rsid w:val="007B2618"/>
    <w:rsid w:val="007B264F"/>
    <w:rsid w:val="007B26F8"/>
    <w:rsid w:val="007B2783"/>
    <w:rsid w:val="007B28DE"/>
    <w:rsid w:val="007B2BF6"/>
    <w:rsid w:val="007B39B1"/>
    <w:rsid w:val="007B3CBC"/>
    <w:rsid w:val="007B3D6C"/>
    <w:rsid w:val="007B40D9"/>
    <w:rsid w:val="007B41F9"/>
    <w:rsid w:val="007B4C98"/>
    <w:rsid w:val="007B4CCC"/>
    <w:rsid w:val="007B4D06"/>
    <w:rsid w:val="007B526D"/>
    <w:rsid w:val="007B5C7C"/>
    <w:rsid w:val="007B6364"/>
    <w:rsid w:val="007B64EC"/>
    <w:rsid w:val="007B6944"/>
    <w:rsid w:val="007B6EC8"/>
    <w:rsid w:val="007B71BA"/>
    <w:rsid w:val="007B76D6"/>
    <w:rsid w:val="007C0F34"/>
    <w:rsid w:val="007C0FA8"/>
    <w:rsid w:val="007C15C3"/>
    <w:rsid w:val="007C1913"/>
    <w:rsid w:val="007C1E08"/>
    <w:rsid w:val="007C25AC"/>
    <w:rsid w:val="007C25E3"/>
    <w:rsid w:val="007C278F"/>
    <w:rsid w:val="007C2E39"/>
    <w:rsid w:val="007C317C"/>
    <w:rsid w:val="007C3334"/>
    <w:rsid w:val="007C39BE"/>
    <w:rsid w:val="007C3A30"/>
    <w:rsid w:val="007C49E0"/>
    <w:rsid w:val="007C4E85"/>
    <w:rsid w:val="007C4FF7"/>
    <w:rsid w:val="007C513A"/>
    <w:rsid w:val="007C524A"/>
    <w:rsid w:val="007C54FC"/>
    <w:rsid w:val="007C65F1"/>
    <w:rsid w:val="007C66BE"/>
    <w:rsid w:val="007C7B44"/>
    <w:rsid w:val="007D019E"/>
    <w:rsid w:val="007D0353"/>
    <w:rsid w:val="007D03D1"/>
    <w:rsid w:val="007D05AE"/>
    <w:rsid w:val="007D0FAE"/>
    <w:rsid w:val="007D1F1C"/>
    <w:rsid w:val="007D31E6"/>
    <w:rsid w:val="007D3834"/>
    <w:rsid w:val="007D4F5F"/>
    <w:rsid w:val="007D59A9"/>
    <w:rsid w:val="007D5A74"/>
    <w:rsid w:val="007D5B60"/>
    <w:rsid w:val="007D65BC"/>
    <w:rsid w:val="007D65F8"/>
    <w:rsid w:val="007D6A10"/>
    <w:rsid w:val="007D6C08"/>
    <w:rsid w:val="007D6F10"/>
    <w:rsid w:val="007E0A68"/>
    <w:rsid w:val="007E0E3F"/>
    <w:rsid w:val="007E14BF"/>
    <w:rsid w:val="007E1EC6"/>
    <w:rsid w:val="007E1FE5"/>
    <w:rsid w:val="007E2679"/>
    <w:rsid w:val="007E2C40"/>
    <w:rsid w:val="007E2C4F"/>
    <w:rsid w:val="007E3449"/>
    <w:rsid w:val="007E35A3"/>
    <w:rsid w:val="007E3778"/>
    <w:rsid w:val="007E37ED"/>
    <w:rsid w:val="007E3B22"/>
    <w:rsid w:val="007E3C16"/>
    <w:rsid w:val="007E40EA"/>
    <w:rsid w:val="007E4F21"/>
    <w:rsid w:val="007E5597"/>
    <w:rsid w:val="007E6BAA"/>
    <w:rsid w:val="007E7188"/>
    <w:rsid w:val="007E74B5"/>
    <w:rsid w:val="007E74F0"/>
    <w:rsid w:val="007F0514"/>
    <w:rsid w:val="007F0752"/>
    <w:rsid w:val="007F0DC6"/>
    <w:rsid w:val="007F0DFC"/>
    <w:rsid w:val="007F107D"/>
    <w:rsid w:val="007F1C8E"/>
    <w:rsid w:val="007F24BA"/>
    <w:rsid w:val="007F24F2"/>
    <w:rsid w:val="007F264C"/>
    <w:rsid w:val="007F26DA"/>
    <w:rsid w:val="007F27E1"/>
    <w:rsid w:val="007F2A1E"/>
    <w:rsid w:val="007F2F32"/>
    <w:rsid w:val="007F3226"/>
    <w:rsid w:val="007F3964"/>
    <w:rsid w:val="007F3A71"/>
    <w:rsid w:val="007F3E8F"/>
    <w:rsid w:val="007F40B3"/>
    <w:rsid w:val="007F42AB"/>
    <w:rsid w:val="007F4ACE"/>
    <w:rsid w:val="007F5AFD"/>
    <w:rsid w:val="007F6476"/>
    <w:rsid w:val="007F6EED"/>
    <w:rsid w:val="007F7A2B"/>
    <w:rsid w:val="007F7F4B"/>
    <w:rsid w:val="0080142A"/>
    <w:rsid w:val="008014DB"/>
    <w:rsid w:val="00801533"/>
    <w:rsid w:val="008022D1"/>
    <w:rsid w:val="00802BE6"/>
    <w:rsid w:val="00802CA0"/>
    <w:rsid w:val="00804051"/>
    <w:rsid w:val="008046B3"/>
    <w:rsid w:val="0080509A"/>
    <w:rsid w:val="008051D1"/>
    <w:rsid w:val="008056BF"/>
    <w:rsid w:val="008056FB"/>
    <w:rsid w:val="00805DA0"/>
    <w:rsid w:val="00805ED6"/>
    <w:rsid w:val="00806570"/>
    <w:rsid w:val="00806A89"/>
    <w:rsid w:val="00806D7B"/>
    <w:rsid w:val="00806F3D"/>
    <w:rsid w:val="00806FEA"/>
    <w:rsid w:val="00807596"/>
    <w:rsid w:val="00807AF8"/>
    <w:rsid w:val="00807CB9"/>
    <w:rsid w:val="00807D22"/>
    <w:rsid w:val="00807EAC"/>
    <w:rsid w:val="00810A34"/>
    <w:rsid w:val="00810CD3"/>
    <w:rsid w:val="0081174C"/>
    <w:rsid w:val="00811B6C"/>
    <w:rsid w:val="00812253"/>
    <w:rsid w:val="0081245D"/>
    <w:rsid w:val="00812B4A"/>
    <w:rsid w:val="008131DF"/>
    <w:rsid w:val="008136FD"/>
    <w:rsid w:val="00813AAB"/>
    <w:rsid w:val="00813C79"/>
    <w:rsid w:val="00813E22"/>
    <w:rsid w:val="00813FAB"/>
    <w:rsid w:val="0081487F"/>
    <w:rsid w:val="00815218"/>
    <w:rsid w:val="008152FB"/>
    <w:rsid w:val="00815426"/>
    <w:rsid w:val="00815832"/>
    <w:rsid w:val="0081588C"/>
    <w:rsid w:val="008163A8"/>
    <w:rsid w:val="00816555"/>
    <w:rsid w:val="008166F5"/>
    <w:rsid w:val="0081730B"/>
    <w:rsid w:val="00817C9E"/>
    <w:rsid w:val="00817EE8"/>
    <w:rsid w:val="008204EC"/>
    <w:rsid w:val="00820B8F"/>
    <w:rsid w:val="00820CDB"/>
    <w:rsid w:val="00820DCE"/>
    <w:rsid w:val="008210A5"/>
    <w:rsid w:val="008215F0"/>
    <w:rsid w:val="00821D99"/>
    <w:rsid w:val="00821EE0"/>
    <w:rsid w:val="0082225A"/>
    <w:rsid w:val="008222A7"/>
    <w:rsid w:val="00822AA5"/>
    <w:rsid w:val="00822F84"/>
    <w:rsid w:val="0082300D"/>
    <w:rsid w:val="00823244"/>
    <w:rsid w:val="00823C81"/>
    <w:rsid w:val="008248C4"/>
    <w:rsid w:val="00824FF4"/>
    <w:rsid w:val="0082591A"/>
    <w:rsid w:val="00825E59"/>
    <w:rsid w:val="00825F20"/>
    <w:rsid w:val="00826B16"/>
    <w:rsid w:val="00826F29"/>
    <w:rsid w:val="008270C1"/>
    <w:rsid w:val="00827130"/>
    <w:rsid w:val="00827FFD"/>
    <w:rsid w:val="00830555"/>
    <w:rsid w:val="00830637"/>
    <w:rsid w:val="008306BE"/>
    <w:rsid w:val="00831068"/>
    <w:rsid w:val="008316CF"/>
    <w:rsid w:val="008319B7"/>
    <w:rsid w:val="00831BC5"/>
    <w:rsid w:val="008320D3"/>
    <w:rsid w:val="0083221F"/>
    <w:rsid w:val="0083275E"/>
    <w:rsid w:val="00832954"/>
    <w:rsid w:val="00832CC1"/>
    <w:rsid w:val="0083313E"/>
    <w:rsid w:val="0083335B"/>
    <w:rsid w:val="0083354D"/>
    <w:rsid w:val="00833693"/>
    <w:rsid w:val="008336FD"/>
    <w:rsid w:val="00833A81"/>
    <w:rsid w:val="00834D23"/>
    <w:rsid w:val="008353B5"/>
    <w:rsid w:val="00835421"/>
    <w:rsid w:val="00835682"/>
    <w:rsid w:val="008369D8"/>
    <w:rsid w:val="0083705E"/>
    <w:rsid w:val="008371D7"/>
    <w:rsid w:val="008371E7"/>
    <w:rsid w:val="00837274"/>
    <w:rsid w:val="00837DD0"/>
    <w:rsid w:val="008400B9"/>
    <w:rsid w:val="008402B6"/>
    <w:rsid w:val="008404D4"/>
    <w:rsid w:val="0084051B"/>
    <w:rsid w:val="00840E17"/>
    <w:rsid w:val="008418B1"/>
    <w:rsid w:val="00841BBB"/>
    <w:rsid w:val="00841DA0"/>
    <w:rsid w:val="00841FC6"/>
    <w:rsid w:val="008421E2"/>
    <w:rsid w:val="00842CE4"/>
    <w:rsid w:val="0084324E"/>
    <w:rsid w:val="008444CB"/>
    <w:rsid w:val="00844710"/>
    <w:rsid w:val="008448C5"/>
    <w:rsid w:val="0084493F"/>
    <w:rsid w:val="008449C5"/>
    <w:rsid w:val="00845414"/>
    <w:rsid w:val="008459D0"/>
    <w:rsid w:val="00845AD2"/>
    <w:rsid w:val="00845B72"/>
    <w:rsid w:val="00845B79"/>
    <w:rsid w:val="00845F4C"/>
    <w:rsid w:val="0084660B"/>
    <w:rsid w:val="008469F7"/>
    <w:rsid w:val="00846B16"/>
    <w:rsid w:val="00846BA8"/>
    <w:rsid w:val="00847356"/>
    <w:rsid w:val="00850134"/>
    <w:rsid w:val="008501D5"/>
    <w:rsid w:val="00850E43"/>
    <w:rsid w:val="0085116D"/>
    <w:rsid w:val="0085120A"/>
    <w:rsid w:val="00851901"/>
    <w:rsid w:val="00852E16"/>
    <w:rsid w:val="0085300E"/>
    <w:rsid w:val="008538B4"/>
    <w:rsid w:val="00853BA4"/>
    <w:rsid w:val="00853C4A"/>
    <w:rsid w:val="00853FAD"/>
    <w:rsid w:val="0085421B"/>
    <w:rsid w:val="008547EE"/>
    <w:rsid w:val="00855B1C"/>
    <w:rsid w:val="00855C0A"/>
    <w:rsid w:val="00856300"/>
    <w:rsid w:val="008568DC"/>
    <w:rsid w:val="00856931"/>
    <w:rsid w:val="00856C22"/>
    <w:rsid w:val="008575ED"/>
    <w:rsid w:val="008575F6"/>
    <w:rsid w:val="008576BB"/>
    <w:rsid w:val="00857A33"/>
    <w:rsid w:val="00857C61"/>
    <w:rsid w:val="00857E9E"/>
    <w:rsid w:val="00857F1A"/>
    <w:rsid w:val="0086056C"/>
    <w:rsid w:val="00860B20"/>
    <w:rsid w:val="00860F15"/>
    <w:rsid w:val="00861013"/>
    <w:rsid w:val="008615CF"/>
    <w:rsid w:val="00862378"/>
    <w:rsid w:val="008625F0"/>
    <w:rsid w:val="00862F77"/>
    <w:rsid w:val="00863E11"/>
    <w:rsid w:val="00864016"/>
    <w:rsid w:val="00864323"/>
    <w:rsid w:val="0086496C"/>
    <w:rsid w:val="00864BFD"/>
    <w:rsid w:val="0086509F"/>
    <w:rsid w:val="008654DC"/>
    <w:rsid w:val="00865AB7"/>
    <w:rsid w:val="00865F44"/>
    <w:rsid w:val="008667CF"/>
    <w:rsid w:val="00866DBC"/>
    <w:rsid w:val="0086708A"/>
    <w:rsid w:val="00867523"/>
    <w:rsid w:val="00867874"/>
    <w:rsid w:val="00867948"/>
    <w:rsid w:val="00867E70"/>
    <w:rsid w:val="00867FDB"/>
    <w:rsid w:val="00867FDC"/>
    <w:rsid w:val="00870426"/>
    <w:rsid w:val="0087053B"/>
    <w:rsid w:val="00870CC6"/>
    <w:rsid w:val="008712DC"/>
    <w:rsid w:val="008713DB"/>
    <w:rsid w:val="00871FA2"/>
    <w:rsid w:val="00872F99"/>
    <w:rsid w:val="008735D9"/>
    <w:rsid w:val="00873A7D"/>
    <w:rsid w:val="00873F89"/>
    <w:rsid w:val="00874028"/>
    <w:rsid w:val="00874203"/>
    <w:rsid w:val="0087515A"/>
    <w:rsid w:val="008752C2"/>
    <w:rsid w:val="00875363"/>
    <w:rsid w:val="00875A85"/>
    <w:rsid w:val="00876138"/>
    <w:rsid w:val="0087684A"/>
    <w:rsid w:val="00876F5E"/>
    <w:rsid w:val="00877A8D"/>
    <w:rsid w:val="00877DBF"/>
    <w:rsid w:val="0088056C"/>
    <w:rsid w:val="00880F54"/>
    <w:rsid w:val="00881363"/>
    <w:rsid w:val="008813E0"/>
    <w:rsid w:val="008813F9"/>
    <w:rsid w:val="0088147A"/>
    <w:rsid w:val="00881584"/>
    <w:rsid w:val="00881FE0"/>
    <w:rsid w:val="00882455"/>
    <w:rsid w:val="00882BB4"/>
    <w:rsid w:val="008834E1"/>
    <w:rsid w:val="0088373C"/>
    <w:rsid w:val="00883CB2"/>
    <w:rsid w:val="00883D93"/>
    <w:rsid w:val="00883F13"/>
    <w:rsid w:val="00884991"/>
    <w:rsid w:val="00884E77"/>
    <w:rsid w:val="00884F53"/>
    <w:rsid w:val="00885B06"/>
    <w:rsid w:val="00885E9D"/>
    <w:rsid w:val="00886705"/>
    <w:rsid w:val="00886A8E"/>
    <w:rsid w:val="00886B3C"/>
    <w:rsid w:val="00886BE9"/>
    <w:rsid w:val="00886E12"/>
    <w:rsid w:val="00886E8D"/>
    <w:rsid w:val="008874F8"/>
    <w:rsid w:val="008875EF"/>
    <w:rsid w:val="008876E7"/>
    <w:rsid w:val="00887795"/>
    <w:rsid w:val="0088781E"/>
    <w:rsid w:val="00887F42"/>
    <w:rsid w:val="008906D2"/>
    <w:rsid w:val="008908A2"/>
    <w:rsid w:val="00890D8A"/>
    <w:rsid w:val="00891341"/>
    <w:rsid w:val="00892085"/>
    <w:rsid w:val="00892830"/>
    <w:rsid w:val="00892995"/>
    <w:rsid w:val="00892F18"/>
    <w:rsid w:val="00892FBD"/>
    <w:rsid w:val="00893857"/>
    <w:rsid w:val="00893914"/>
    <w:rsid w:val="00893CCF"/>
    <w:rsid w:val="00894427"/>
    <w:rsid w:val="008945C7"/>
    <w:rsid w:val="00894AE7"/>
    <w:rsid w:val="00894B5A"/>
    <w:rsid w:val="00895784"/>
    <w:rsid w:val="00895BF2"/>
    <w:rsid w:val="00895DD8"/>
    <w:rsid w:val="00896592"/>
    <w:rsid w:val="008965BA"/>
    <w:rsid w:val="00896BCD"/>
    <w:rsid w:val="00896D0D"/>
    <w:rsid w:val="00896FC7"/>
    <w:rsid w:val="008970CB"/>
    <w:rsid w:val="008978CB"/>
    <w:rsid w:val="00897B0E"/>
    <w:rsid w:val="00897C9B"/>
    <w:rsid w:val="008A015B"/>
    <w:rsid w:val="008A0AD1"/>
    <w:rsid w:val="008A0BF8"/>
    <w:rsid w:val="008A1198"/>
    <w:rsid w:val="008A1383"/>
    <w:rsid w:val="008A285C"/>
    <w:rsid w:val="008A3060"/>
    <w:rsid w:val="008A31D0"/>
    <w:rsid w:val="008A335D"/>
    <w:rsid w:val="008A3C3C"/>
    <w:rsid w:val="008A4BC7"/>
    <w:rsid w:val="008A5437"/>
    <w:rsid w:val="008A5D69"/>
    <w:rsid w:val="008A602F"/>
    <w:rsid w:val="008A65C2"/>
    <w:rsid w:val="008A6636"/>
    <w:rsid w:val="008A6D1E"/>
    <w:rsid w:val="008A73F6"/>
    <w:rsid w:val="008A7653"/>
    <w:rsid w:val="008A76C5"/>
    <w:rsid w:val="008A7E8D"/>
    <w:rsid w:val="008B0170"/>
    <w:rsid w:val="008B10B9"/>
    <w:rsid w:val="008B1ABB"/>
    <w:rsid w:val="008B1BF0"/>
    <w:rsid w:val="008B1FF8"/>
    <w:rsid w:val="008B23B0"/>
    <w:rsid w:val="008B24CE"/>
    <w:rsid w:val="008B2816"/>
    <w:rsid w:val="008B2B1B"/>
    <w:rsid w:val="008B35F1"/>
    <w:rsid w:val="008B4372"/>
    <w:rsid w:val="008B5329"/>
    <w:rsid w:val="008B5697"/>
    <w:rsid w:val="008B5879"/>
    <w:rsid w:val="008B5D29"/>
    <w:rsid w:val="008B622C"/>
    <w:rsid w:val="008B6B1E"/>
    <w:rsid w:val="008B7318"/>
    <w:rsid w:val="008B7AAE"/>
    <w:rsid w:val="008B7C06"/>
    <w:rsid w:val="008C008C"/>
    <w:rsid w:val="008C0189"/>
    <w:rsid w:val="008C0322"/>
    <w:rsid w:val="008C11B1"/>
    <w:rsid w:val="008C1B22"/>
    <w:rsid w:val="008C1ECE"/>
    <w:rsid w:val="008C26D8"/>
    <w:rsid w:val="008C2E79"/>
    <w:rsid w:val="008C2F89"/>
    <w:rsid w:val="008C3101"/>
    <w:rsid w:val="008C3775"/>
    <w:rsid w:val="008C399C"/>
    <w:rsid w:val="008C4B03"/>
    <w:rsid w:val="008C4BF2"/>
    <w:rsid w:val="008C52DE"/>
    <w:rsid w:val="008C54D2"/>
    <w:rsid w:val="008C5971"/>
    <w:rsid w:val="008C6141"/>
    <w:rsid w:val="008C6841"/>
    <w:rsid w:val="008C6A9C"/>
    <w:rsid w:val="008C7674"/>
    <w:rsid w:val="008C7E54"/>
    <w:rsid w:val="008D0155"/>
    <w:rsid w:val="008D071F"/>
    <w:rsid w:val="008D0747"/>
    <w:rsid w:val="008D09D5"/>
    <w:rsid w:val="008D1193"/>
    <w:rsid w:val="008D12AE"/>
    <w:rsid w:val="008D2F69"/>
    <w:rsid w:val="008D4369"/>
    <w:rsid w:val="008D44EB"/>
    <w:rsid w:val="008D48DA"/>
    <w:rsid w:val="008D4A38"/>
    <w:rsid w:val="008D4C94"/>
    <w:rsid w:val="008D4DA7"/>
    <w:rsid w:val="008D5659"/>
    <w:rsid w:val="008D5E6A"/>
    <w:rsid w:val="008D6084"/>
    <w:rsid w:val="008D6178"/>
    <w:rsid w:val="008D7392"/>
    <w:rsid w:val="008D7AB7"/>
    <w:rsid w:val="008D7D09"/>
    <w:rsid w:val="008D7E5F"/>
    <w:rsid w:val="008D7E6A"/>
    <w:rsid w:val="008D7E92"/>
    <w:rsid w:val="008E0263"/>
    <w:rsid w:val="008E08BA"/>
    <w:rsid w:val="008E0DBC"/>
    <w:rsid w:val="008E140C"/>
    <w:rsid w:val="008E18D6"/>
    <w:rsid w:val="008E259A"/>
    <w:rsid w:val="008E264B"/>
    <w:rsid w:val="008E274C"/>
    <w:rsid w:val="008E2D47"/>
    <w:rsid w:val="008E305F"/>
    <w:rsid w:val="008E33EA"/>
    <w:rsid w:val="008E3597"/>
    <w:rsid w:val="008E3D84"/>
    <w:rsid w:val="008E3DEE"/>
    <w:rsid w:val="008E51C0"/>
    <w:rsid w:val="008E555F"/>
    <w:rsid w:val="008E5901"/>
    <w:rsid w:val="008E5940"/>
    <w:rsid w:val="008E5982"/>
    <w:rsid w:val="008E6A5D"/>
    <w:rsid w:val="008E6F7B"/>
    <w:rsid w:val="008E75A3"/>
    <w:rsid w:val="008E7B27"/>
    <w:rsid w:val="008F0816"/>
    <w:rsid w:val="008F1132"/>
    <w:rsid w:val="008F12CC"/>
    <w:rsid w:val="008F12DF"/>
    <w:rsid w:val="008F22C7"/>
    <w:rsid w:val="008F241D"/>
    <w:rsid w:val="008F244A"/>
    <w:rsid w:val="008F3043"/>
    <w:rsid w:val="008F33D8"/>
    <w:rsid w:val="008F3547"/>
    <w:rsid w:val="008F3C96"/>
    <w:rsid w:val="008F4580"/>
    <w:rsid w:val="008F4613"/>
    <w:rsid w:val="008F4FBA"/>
    <w:rsid w:val="008F538A"/>
    <w:rsid w:val="008F54BB"/>
    <w:rsid w:val="008F6091"/>
    <w:rsid w:val="008F6175"/>
    <w:rsid w:val="008F6A5E"/>
    <w:rsid w:val="008F6A84"/>
    <w:rsid w:val="008F6BC3"/>
    <w:rsid w:val="008F71A3"/>
    <w:rsid w:val="008F7819"/>
    <w:rsid w:val="00900138"/>
    <w:rsid w:val="00900320"/>
    <w:rsid w:val="00900895"/>
    <w:rsid w:val="009008B8"/>
    <w:rsid w:val="00900B07"/>
    <w:rsid w:val="0090132C"/>
    <w:rsid w:val="00901B43"/>
    <w:rsid w:val="00901F35"/>
    <w:rsid w:val="00901FA1"/>
    <w:rsid w:val="00902756"/>
    <w:rsid w:val="00902BBD"/>
    <w:rsid w:val="00902E2E"/>
    <w:rsid w:val="009037AC"/>
    <w:rsid w:val="00903A6E"/>
    <w:rsid w:val="00903BDD"/>
    <w:rsid w:val="00903C18"/>
    <w:rsid w:val="00903D3B"/>
    <w:rsid w:val="00904032"/>
    <w:rsid w:val="009044EE"/>
    <w:rsid w:val="0090474E"/>
    <w:rsid w:val="00904E4E"/>
    <w:rsid w:val="00905462"/>
    <w:rsid w:val="00906037"/>
    <w:rsid w:val="009067A0"/>
    <w:rsid w:val="00906A4B"/>
    <w:rsid w:val="00906DE1"/>
    <w:rsid w:val="00907216"/>
    <w:rsid w:val="00907467"/>
    <w:rsid w:val="00907769"/>
    <w:rsid w:val="009077E2"/>
    <w:rsid w:val="00907D2C"/>
    <w:rsid w:val="009101BA"/>
    <w:rsid w:val="009111D5"/>
    <w:rsid w:val="0091125C"/>
    <w:rsid w:val="00911B42"/>
    <w:rsid w:val="00911BD8"/>
    <w:rsid w:val="00911CB0"/>
    <w:rsid w:val="00911DE8"/>
    <w:rsid w:val="00911FA1"/>
    <w:rsid w:val="00912B22"/>
    <w:rsid w:val="009131B6"/>
    <w:rsid w:val="00913D66"/>
    <w:rsid w:val="009143D9"/>
    <w:rsid w:val="00914A43"/>
    <w:rsid w:val="00915C5F"/>
    <w:rsid w:val="00915D0C"/>
    <w:rsid w:val="00915DCB"/>
    <w:rsid w:val="00915EC8"/>
    <w:rsid w:val="00916396"/>
    <w:rsid w:val="009165F2"/>
    <w:rsid w:val="009173D5"/>
    <w:rsid w:val="00917FC6"/>
    <w:rsid w:val="00920290"/>
    <w:rsid w:val="00920C4D"/>
    <w:rsid w:val="009213D7"/>
    <w:rsid w:val="00921655"/>
    <w:rsid w:val="00921CB1"/>
    <w:rsid w:val="00921E7E"/>
    <w:rsid w:val="00922112"/>
    <w:rsid w:val="0092248F"/>
    <w:rsid w:val="00922D78"/>
    <w:rsid w:val="00923189"/>
    <w:rsid w:val="009234A0"/>
    <w:rsid w:val="00923525"/>
    <w:rsid w:val="009235D8"/>
    <w:rsid w:val="00923631"/>
    <w:rsid w:val="009240B0"/>
    <w:rsid w:val="0092459E"/>
    <w:rsid w:val="009247F0"/>
    <w:rsid w:val="009250E9"/>
    <w:rsid w:val="009256D7"/>
    <w:rsid w:val="009258CA"/>
    <w:rsid w:val="009269EF"/>
    <w:rsid w:val="00926FA4"/>
    <w:rsid w:val="0092745D"/>
    <w:rsid w:val="00927E3A"/>
    <w:rsid w:val="009308EE"/>
    <w:rsid w:val="0093137C"/>
    <w:rsid w:val="0093186C"/>
    <w:rsid w:val="009329E5"/>
    <w:rsid w:val="00933ECF"/>
    <w:rsid w:val="00934148"/>
    <w:rsid w:val="009343C3"/>
    <w:rsid w:val="0093445E"/>
    <w:rsid w:val="00934ABB"/>
    <w:rsid w:val="00934B01"/>
    <w:rsid w:val="00934CE5"/>
    <w:rsid w:val="0093519D"/>
    <w:rsid w:val="00935720"/>
    <w:rsid w:val="00935814"/>
    <w:rsid w:val="0094047F"/>
    <w:rsid w:val="00940845"/>
    <w:rsid w:val="00941154"/>
    <w:rsid w:val="00941D50"/>
    <w:rsid w:val="009420D1"/>
    <w:rsid w:val="00943071"/>
    <w:rsid w:val="009430E1"/>
    <w:rsid w:val="00943A7E"/>
    <w:rsid w:val="00943C11"/>
    <w:rsid w:val="00943C1B"/>
    <w:rsid w:val="00943D88"/>
    <w:rsid w:val="00943F88"/>
    <w:rsid w:val="009449D5"/>
    <w:rsid w:val="00944CA6"/>
    <w:rsid w:val="0094555A"/>
    <w:rsid w:val="00945719"/>
    <w:rsid w:val="00945C02"/>
    <w:rsid w:val="00945E9A"/>
    <w:rsid w:val="009463E8"/>
    <w:rsid w:val="009466E1"/>
    <w:rsid w:val="00946C14"/>
    <w:rsid w:val="009475A1"/>
    <w:rsid w:val="00947676"/>
    <w:rsid w:val="00950445"/>
    <w:rsid w:val="0095051C"/>
    <w:rsid w:val="00950531"/>
    <w:rsid w:val="009505C5"/>
    <w:rsid w:val="00950A18"/>
    <w:rsid w:val="00950B8C"/>
    <w:rsid w:val="00950BF6"/>
    <w:rsid w:val="00950ECA"/>
    <w:rsid w:val="009517C8"/>
    <w:rsid w:val="00952577"/>
    <w:rsid w:val="009535AD"/>
    <w:rsid w:val="0095409F"/>
    <w:rsid w:val="0095483B"/>
    <w:rsid w:val="00955104"/>
    <w:rsid w:val="009555A5"/>
    <w:rsid w:val="00955BB1"/>
    <w:rsid w:val="00955C9A"/>
    <w:rsid w:val="009572E1"/>
    <w:rsid w:val="00957CF4"/>
    <w:rsid w:val="009605C6"/>
    <w:rsid w:val="009605CE"/>
    <w:rsid w:val="009610BB"/>
    <w:rsid w:val="0096139C"/>
    <w:rsid w:val="00961FFD"/>
    <w:rsid w:val="00962354"/>
    <w:rsid w:val="0096238F"/>
    <w:rsid w:val="00962414"/>
    <w:rsid w:val="009624D7"/>
    <w:rsid w:val="00962F87"/>
    <w:rsid w:val="00962F88"/>
    <w:rsid w:val="009631AF"/>
    <w:rsid w:val="009632DF"/>
    <w:rsid w:val="0096337B"/>
    <w:rsid w:val="0096383B"/>
    <w:rsid w:val="00964908"/>
    <w:rsid w:val="00964D32"/>
    <w:rsid w:val="00965691"/>
    <w:rsid w:val="00965C61"/>
    <w:rsid w:val="00965D47"/>
    <w:rsid w:val="009669B9"/>
    <w:rsid w:val="00966AC2"/>
    <w:rsid w:val="00966D96"/>
    <w:rsid w:val="00967D2F"/>
    <w:rsid w:val="00967DD8"/>
    <w:rsid w:val="0097002F"/>
    <w:rsid w:val="0097048F"/>
    <w:rsid w:val="0097067F"/>
    <w:rsid w:val="00970880"/>
    <w:rsid w:val="00970A0C"/>
    <w:rsid w:val="00970AE5"/>
    <w:rsid w:val="00970F7A"/>
    <w:rsid w:val="0097187F"/>
    <w:rsid w:val="00971BCE"/>
    <w:rsid w:val="009724CC"/>
    <w:rsid w:val="00972894"/>
    <w:rsid w:val="009731BB"/>
    <w:rsid w:val="009732F1"/>
    <w:rsid w:val="0097364C"/>
    <w:rsid w:val="00973664"/>
    <w:rsid w:val="00973CF5"/>
    <w:rsid w:val="00973E8D"/>
    <w:rsid w:val="0097450F"/>
    <w:rsid w:val="009746D7"/>
    <w:rsid w:val="00974AD1"/>
    <w:rsid w:val="00975335"/>
    <w:rsid w:val="00975AE5"/>
    <w:rsid w:val="00975D56"/>
    <w:rsid w:val="00975D57"/>
    <w:rsid w:val="009764D0"/>
    <w:rsid w:val="00976546"/>
    <w:rsid w:val="00976870"/>
    <w:rsid w:val="00976E14"/>
    <w:rsid w:val="009774FA"/>
    <w:rsid w:val="009777B7"/>
    <w:rsid w:val="00980BAD"/>
    <w:rsid w:val="00981547"/>
    <w:rsid w:val="00981808"/>
    <w:rsid w:val="009819D1"/>
    <w:rsid w:val="00981A61"/>
    <w:rsid w:val="00981DF9"/>
    <w:rsid w:val="0098207D"/>
    <w:rsid w:val="009824F3"/>
    <w:rsid w:val="00982CE1"/>
    <w:rsid w:val="00982F90"/>
    <w:rsid w:val="0098309D"/>
    <w:rsid w:val="009832AE"/>
    <w:rsid w:val="0098348A"/>
    <w:rsid w:val="0098374D"/>
    <w:rsid w:val="0098395B"/>
    <w:rsid w:val="00983A13"/>
    <w:rsid w:val="00983ABE"/>
    <w:rsid w:val="00983C9D"/>
    <w:rsid w:val="00983E45"/>
    <w:rsid w:val="00984203"/>
    <w:rsid w:val="0098421E"/>
    <w:rsid w:val="009846CB"/>
    <w:rsid w:val="00984930"/>
    <w:rsid w:val="00984BCB"/>
    <w:rsid w:val="00985181"/>
    <w:rsid w:val="0098527E"/>
    <w:rsid w:val="0098558B"/>
    <w:rsid w:val="0098570C"/>
    <w:rsid w:val="0098584A"/>
    <w:rsid w:val="0098634E"/>
    <w:rsid w:val="00986D0B"/>
    <w:rsid w:val="00986EC7"/>
    <w:rsid w:val="0098755A"/>
    <w:rsid w:val="0098773A"/>
    <w:rsid w:val="009879E1"/>
    <w:rsid w:val="00987AD0"/>
    <w:rsid w:val="00990107"/>
    <w:rsid w:val="00990C45"/>
    <w:rsid w:val="00990FE5"/>
    <w:rsid w:val="00991560"/>
    <w:rsid w:val="00991612"/>
    <w:rsid w:val="009916D0"/>
    <w:rsid w:val="009918EC"/>
    <w:rsid w:val="0099270C"/>
    <w:rsid w:val="00992E4D"/>
    <w:rsid w:val="009931D5"/>
    <w:rsid w:val="00993B33"/>
    <w:rsid w:val="00994602"/>
    <w:rsid w:val="0099563F"/>
    <w:rsid w:val="00995E21"/>
    <w:rsid w:val="00996A1F"/>
    <w:rsid w:val="009970BB"/>
    <w:rsid w:val="00997969"/>
    <w:rsid w:val="00997B5D"/>
    <w:rsid w:val="00997C18"/>
    <w:rsid w:val="009A024D"/>
    <w:rsid w:val="009A0A66"/>
    <w:rsid w:val="009A0D25"/>
    <w:rsid w:val="009A2602"/>
    <w:rsid w:val="009A30CC"/>
    <w:rsid w:val="009A3339"/>
    <w:rsid w:val="009A3904"/>
    <w:rsid w:val="009A3992"/>
    <w:rsid w:val="009A479A"/>
    <w:rsid w:val="009A479F"/>
    <w:rsid w:val="009A490A"/>
    <w:rsid w:val="009A4DC0"/>
    <w:rsid w:val="009A5050"/>
    <w:rsid w:val="009A55C0"/>
    <w:rsid w:val="009A573F"/>
    <w:rsid w:val="009A5E96"/>
    <w:rsid w:val="009A5FA4"/>
    <w:rsid w:val="009A66A8"/>
    <w:rsid w:val="009A68CE"/>
    <w:rsid w:val="009A6AE9"/>
    <w:rsid w:val="009A6C3B"/>
    <w:rsid w:val="009A7781"/>
    <w:rsid w:val="009A77AD"/>
    <w:rsid w:val="009A7FBE"/>
    <w:rsid w:val="009B02CF"/>
    <w:rsid w:val="009B0335"/>
    <w:rsid w:val="009B0425"/>
    <w:rsid w:val="009B0695"/>
    <w:rsid w:val="009B0922"/>
    <w:rsid w:val="009B16F9"/>
    <w:rsid w:val="009B1B5C"/>
    <w:rsid w:val="009B1F1D"/>
    <w:rsid w:val="009B1FE5"/>
    <w:rsid w:val="009B2197"/>
    <w:rsid w:val="009B2324"/>
    <w:rsid w:val="009B234B"/>
    <w:rsid w:val="009B25CF"/>
    <w:rsid w:val="009B29BF"/>
    <w:rsid w:val="009B3296"/>
    <w:rsid w:val="009B3E50"/>
    <w:rsid w:val="009B3FA7"/>
    <w:rsid w:val="009B4279"/>
    <w:rsid w:val="009B4343"/>
    <w:rsid w:val="009B449D"/>
    <w:rsid w:val="009B46BA"/>
    <w:rsid w:val="009B4CAA"/>
    <w:rsid w:val="009B58B9"/>
    <w:rsid w:val="009B5FA9"/>
    <w:rsid w:val="009B6253"/>
    <w:rsid w:val="009B763D"/>
    <w:rsid w:val="009B7871"/>
    <w:rsid w:val="009B79E7"/>
    <w:rsid w:val="009C0198"/>
    <w:rsid w:val="009C0AC4"/>
    <w:rsid w:val="009C0DCF"/>
    <w:rsid w:val="009C0E90"/>
    <w:rsid w:val="009C1211"/>
    <w:rsid w:val="009C141D"/>
    <w:rsid w:val="009C16FD"/>
    <w:rsid w:val="009C1B01"/>
    <w:rsid w:val="009C263D"/>
    <w:rsid w:val="009C34E6"/>
    <w:rsid w:val="009C3904"/>
    <w:rsid w:val="009C3FB1"/>
    <w:rsid w:val="009C4126"/>
    <w:rsid w:val="009C5057"/>
    <w:rsid w:val="009C6001"/>
    <w:rsid w:val="009C64EE"/>
    <w:rsid w:val="009C6BFC"/>
    <w:rsid w:val="009C766C"/>
    <w:rsid w:val="009C7972"/>
    <w:rsid w:val="009D06F2"/>
    <w:rsid w:val="009D07C9"/>
    <w:rsid w:val="009D0FAE"/>
    <w:rsid w:val="009D14E0"/>
    <w:rsid w:val="009D18AC"/>
    <w:rsid w:val="009D36C0"/>
    <w:rsid w:val="009D3B06"/>
    <w:rsid w:val="009D46CD"/>
    <w:rsid w:val="009D4DC0"/>
    <w:rsid w:val="009D5100"/>
    <w:rsid w:val="009D5120"/>
    <w:rsid w:val="009D54FD"/>
    <w:rsid w:val="009D5555"/>
    <w:rsid w:val="009D5831"/>
    <w:rsid w:val="009D5B1C"/>
    <w:rsid w:val="009D5BAF"/>
    <w:rsid w:val="009D5CE7"/>
    <w:rsid w:val="009D5EA2"/>
    <w:rsid w:val="009D6904"/>
    <w:rsid w:val="009D6FE6"/>
    <w:rsid w:val="009D715E"/>
    <w:rsid w:val="009D719B"/>
    <w:rsid w:val="009D77EC"/>
    <w:rsid w:val="009D785F"/>
    <w:rsid w:val="009D78C1"/>
    <w:rsid w:val="009D7C14"/>
    <w:rsid w:val="009E022A"/>
    <w:rsid w:val="009E0720"/>
    <w:rsid w:val="009E1273"/>
    <w:rsid w:val="009E14A5"/>
    <w:rsid w:val="009E2085"/>
    <w:rsid w:val="009E27DE"/>
    <w:rsid w:val="009E29D4"/>
    <w:rsid w:val="009E2AB0"/>
    <w:rsid w:val="009E30CE"/>
    <w:rsid w:val="009E31CD"/>
    <w:rsid w:val="009E3E14"/>
    <w:rsid w:val="009E3F2D"/>
    <w:rsid w:val="009E4706"/>
    <w:rsid w:val="009E4D05"/>
    <w:rsid w:val="009E5635"/>
    <w:rsid w:val="009E5AC5"/>
    <w:rsid w:val="009E5BB5"/>
    <w:rsid w:val="009E5D90"/>
    <w:rsid w:val="009E629E"/>
    <w:rsid w:val="009E62A0"/>
    <w:rsid w:val="009E6ADC"/>
    <w:rsid w:val="009E7C2B"/>
    <w:rsid w:val="009E7EC5"/>
    <w:rsid w:val="009F06AA"/>
    <w:rsid w:val="009F0F02"/>
    <w:rsid w:val="009F17AD"/>
    <w:rsid w:val="009F1CB5"/>
    <w:rsid w:val="009F2BC1"/>
    <w:rsid w:val="009F2E73"/>
    <w:rsid w:val="009F424F"/>
    <w:rsid w:val="009F4515"/>
    <w:rsid w:val="009F4703"/>
    <w:rsid w:val="009F51D6"/>
    <w:rsid w:val="009F5895"/>
    <w:rsid w:val="009F6208"/>
    <w:rsid w:val="009F6448"/>
    <w:rsid w:val="009F671D"/>
    <w:rsid w:val="009F73B8"/>
    <w:rsid w:val="009F7CF5"/>
    <w:rsid w:val="009F7FFE"/>
    <w:rsid w:val="00A0014C"/>
    <w:rsid w:val="00A004F1"/>
    <w:rsid w:val="00A0094C"/>
    <w:rsid w:val="00A00A30"/>
    <w:rsid w:val="00A00EF6"/>
    <w:rsid w:val="00A0218B"/>
    <w:rsid w:val="00A025E5"/>
    <w:rsid w:val="00A03E96"/>
    <w:rsid w:val="00A042BA"/>
    <w:rsid w:val="00A048C8"/>
    <w:rsid w:val="00A04AED"/>
    <w:rsid w:val="00A04F3D"/>
    <w:rsid w:val="00A0552F"/>
    <w:rsid w:val="00A05573"/>
    <w:rsid w:val="00A05613"/>
    <w:rsid w:val="00A057F5"/>
    <w:rsid w:val="00A05FBC"/>
    <w:rsid w:val="00A0636F"/>
    <w:rsid w:val="00A0690D"/>
    <w:rsid w:val="00A06923"/>
    <w:rsid w:val="00A069D0"/>
    <w:rsid w:val="00A069F8"/>
    <w:rsid w:val="00A06F96"/>
    <w:rsid w:val="00A07222"/>
    <w:rsid w:val="00A0771F"/>
    <w:rsid w:val="00A1027E"/>
    <w:rsid w:val="00A10516"/>
    <w:rsid w:val="00A1068A"/>
    <w:rsid w:val="00A10CB8"/>
    <w:rsid w:val="00A10EB3"/>
    <w:rsid w:val="00A113F9"/>
    <w:rsid w:val="00A114D3"/>
    <w:rsid w:val="00A11683"/>
    <w:rsid w:val="00A120A7"/>
    <w:rsid w:val="00A120B4"/>
    <w:rsid w:val="00A12792"/>
    <w:rsid w:val="00A1296F"/>
    <w:rsid w:val="00A12CEC"/>
    <w:rsid w:val="00A12D6B"/>
    <w:rsid w:val="00A13170"/>
    <w:rsid w:val="00A13273"/>
    <w:rsid w:val="00A13554"/>
    <w:rsid w:val="00A135FF"/>
    <w:rsid w:val="00A13AB9"/>
    <w:rsid w:val="00A13B95"/>
    <w:rsid w:val="00A13E1D"/>
    <w:rsid w:val="00A147AA"/>
    <w:rsid w:val="00A1483D"/>
    <w:rsid w:val="00A15A72"/>
    <w:rsid w:val="00A15D71"/>
    <w:rsid w:val="00A15E2C"/>
    <w:rsid w:val="00A16061"/>
    <w:rsid w:val="00A176C6"/>
    <w:rsid w:val="00A177B6"/>
    <w:rsid w:val="00A17A43"/>
    <w:rsid w:val="00A17DE2"/>
    <w:rsid w:val="00A200BC"/>
    <w:rsid w:val="00A207FE"/>
    <w:rsid w:val="00A22019"/>
    <w:rsid w:val="00A22F6B"/>
    <w:rsid w:val="00A22FBA"/>
    <w:rsid w:val="00A23230"/>
    <w:rsid w:val="00A232BA"/>
    <w:rsid w:val="00A234AE"/>
    <w:rsid w:val="00A23D1E"/>
    <w:rsid w:val="00A2466F"/>
    <w:rsid w:val="00A24A0E"/>
    <w:rsid w:val="00A25333"/>
    <w:rsid w:val="00A25871"/>
    <w:rsid w:val="00A25AC4"/>
    <w:rsid w:val="00A262ED"/>
    <w:rsid w:val="00A2644C"/>
    <w:rsid w:val="00A267AE"/>
    <w:rsid w:val="00A27003"/>
    <w:rsid w:val="00A2756A"/>
    <w:rsid w:val="00A30319"/>
    <w:rsid w:val="00A309C9"/>
    <w:rsid w:val="00A30A01"/>
    <w:rsid w:val="00A315F0"/>
    <w:rsid w:val="00A31C9C"/>
    <w:rsid w:val="00A321D0"/>
    <w:rsid w:val="00A327FC"/>
    <w:rsid w:val="00A32E91"/>
    <w:rsid w:val="00A33089"/>
    <w:rsid w:val="00A3368A"/>
    <w:rsid w:val="00A339DD"/>
    <w:rsid w:val="00A34126"/>
    <w:rsid w:val="00A352D6"/>
    <w:rsid w:val="00A353E6"/>
    <w:rsid w:val="00A35BCC"/>
    <w:rsid w:val="00A36139"/>
    <w:rsid w:val="00A3622F"/>
    <w:rsid w:val="00A362D3"/>
    <w:rsid w:val="00A374FA"/>
    <w:rsid w:val="00A37FCE"/>
    <w:rsid w:val="00A4002C"/>
    <w:rsid w:val="00A40CC8"/>
    <w:rsid w:val="00A40D06"/>
    <w:rsid w:val="00A4162A"/>
    <w:rsid w:val="00A4198B"/>
    <w:rsid w:val="00A428D4"/>
    <w:rsid w:val="00A42E4C"/>
    <w:rsid w:val="00A430C0"/>
    <w:rsid w:val="00A43EA8"/>
    <w:rsid w:val="00A44649"/>
    <w:rsid w:val="00A446A0"/>
    <w:rsid w:val="00A452CC"/>
    <w:rsid w:val="00A45C68"/>
    <w:rsid w:val="00A45DC3"/>
    <w:rsid w:val="00A460E1"/>
    <w:rsid w:val="00A4658D"/>
    <w:rsid w:val="00A465BE"/>
    <w:rsid w:val="00A46701"/>
    <w:rsid w:val="00A468A4"/>
    <w:rsid w:val="00A46A6D"/>
    <w:rsid w:val="00A4749A"/>
    <w:rsid w:val="00A474F0"/>
    <w:rsid w:val="00A47C4F"/>
    <w:rsid w:val="00A500BF"/>
    <w:rsid w:val="00A504F4"/>
    <w:rsid w:val="00A505C8"/>
    <w:rsid w:val="00A50BB3"/>
    <w:rsid w:val="00A50C84"/>
    <w:rsid w:val="00A51050"/>
    <w:rsid w:val="00A514FC"/>
    <w:rsid w:val="00A527B8"/>
    <w:rsid w:val="00A52B95"/>
    <w:rsid w:val="00A52E14"/>
    <w:rsid w:val="00A53AE3"/>
    <w:rsid w:val="00A54480"/>
    <w:rsid w:val="00A5453B"/>
    <w:rsid w:val="00A54674"/>
    <w:rsid w:val="00A54EB8"/>
    <w:rsid w:val="00A551C3"/>
    <w:rsid w:val="00A55731"/>
    <w:rsid w:val="00A562E9"/>
    <w:rsid w:val="00A56441"/>
    <w:rsid w:val="00A56F44"/>
    <w:rsid w:val="00A570A9"/>
    <w:rsid w:val="00A572EC"/>
    <w:rsid w:val="00A57604"/>
    <w:rsid w:val="00A57700"/>
    <w:rsid w:val="00A57C9D"/>
    <w:rsid w:val="00A60509"/>
    <w:rsid w:val="00A60733"/>
    <w:rsid w:val="00A61373"/>
    <w:rsid w:val="00A616B1"/>
    <w:rsid w:val="00A61C81"/>
    <w:rsid w:val="00A62949"/>
    <w:rsid w:val="00A62BF7"/>
    <w:rsid w:val="00A6310C"/>
    <w:rsid w:val="00A631A4"/>
    <w:rsid w:val="00A63391"/>
    <w:rsid w:val="00A63DB1"/>
    <w:rsid w:val="00A63FDD"/>
    <w:rsid w:val="00A64228"/>
    <w:rsid w:val="00A6488E"/>
    <w:rsid w:val="00A65A76"/>
    <w:rsid w:val="00A65DE0"/>
    <w:rsid w:val="00A66320"/>
    <w:rsid w:val="00A664C4"/>
    <w:rsid w:val="00A66759"/>
    <w:rsid w:val="00A67573"/>
    <w:rsid w:val="00A67608"/>
    <w:rsid w:val="00A707BA"/>
    <w:rsid w:val="00A70CAA"/>
    <w:rsid w:val="00A70D38"/>
    <w:rsid w:val="00A70EE6"/>
    <w:rsid w:val="00A70F0D"/>
    <w:rsid w:val="00A71072"/>
    <w:rsid w:val="00A724D6"/>
    <w:rsid w:val="00A72518"/>
    <w:rsid w:val="00A7280B"/>
    <w:rsid w:val="00A7280F"/>
    <w:rsid w:val="00A7284A"/>
    <w:rsid w:val="00A72D82"/>
    <w:rsid w:val="00A7319C"/>
    <w:rsid w:val="00A73667"/>
    <w:rsid w:val="00A74C15"/>
    <w:rsid w:val="00A74D78"/>
    <w:rsid w:val="00A75C1C"/>
    <w:rsid w:val="00A75ED3"/>
    <w:rsid w:val="00A761E9"/>
    <w:rsid w:val="00A76224"/>
    <w:rsid w:val="00A7694F"/>
    <w:rsid w:val="00A76E8B"/>
    <w:rsid w:val="00A76FEB"/>
    <w:rsid w:val="00A77026"/>
    <w:rsid w:val="00A7778A"/>
    <w:rsid w:val="00A77CF5"/>
    <w:rsid w:val="00A77E7D"/>
    <w:rsid w:val="00A80474"/>
    <w:rsid w:val="00A80517"/>
    <w:rsid w:val="00A80BE5"/>
    <w:rsid w:val="00A81663"/>
    <w:rsid w:val="00A817D2"/>
    <w:rsid w:val="00A81A01"/>
    <w:rsid w:val="00A8235B"/>
    <w:rsid w:val="00A827A5"/>
    <w:rsid w:val="00A82A7A"/>
    <w:rsid w:val="00A8304C"/>
    <w:rsid w:val="00A83645"/>
    <w:rsid w:val="00A836E1"/>
    <w:rsid w:val="00A83E12"/>
    <w:rsid w:val="00A84112"/>
    <w:rsid w:val="00A8420F"/>
    <w:rsid w:val="00A84544"/>
    <w:rsid w:val="00A84548"/>
    <w:rsid w:val="00A84772"/>
    <w:rsid w:val="00A8492F"/>
    <w:rsid w:val="00A84D30"/>
    <w:rsid w:val="00A851F6"/>
    <w:rsid w:val="00A85E9E"/>
    <w:rsid w:val="00A860A3"/>
    <w:rsid w:val="00A8621C"/>
    <w:rsid w:val="00A86CE3"/>
    <w:rsid w:val="00A87020"/>
    <w:rsid w:val="00A87295"/>
    <w:rsid w:val="00A87DF1"/>
    <w:rsid w:val="00A87F1E"/>
    <w:rsid w:val="00A90D2B"/>
    <w:rsid w:val="00A9144B"/>
    <w:rsid w:val="00A9155C"/>
    <w:rsid w:val="00A930D6"/>
    <w:rsid w:val="00A933EF"/>
    <w:rsid w:val="00A93873"/>
    <w:rsid w:val="00A9389A"/>
    <w:rsid w:val="00A93BDF"/>
    <w:rsid w:val="00A93E0D"/>
    <w:rsid w:val="00A93FE6"/>
    <w:rsid w:val="00A94161"/>
    <w:rsid w:val="00A94E77"/>
    <w:rsid w:val="00A94EC6"/>
    <w:rsid w:val="00A953EF"/>
    <w:rsid w:val="00A9580D"/>
    <w:rsid w:val="00A958B9"/>
    <w:rsid w:val="00A9590F"/>
    <w:rsid w:val="00A95A6A"/>
    <w:rsid w:val="00A95EDF"/>
    <w:rsid w:val="00A9658D"/>
    <w:rsid w:val="00A96CE9"/>
    <w:rsid w:val="00A97097"/>
    <w:rsid w:val="00A97710"/>
    <w:rsid w:val="00A9792F"/>
    <w:rsid w:val="00AA008C"/>
    <w:rsid w:val="00AA01A1"/>
    <w:rsid w:val="00AA045A"/>
    <w:rsid w:val="00AA05A4"/>
    <w:rsid w:val="00AA10C7"/>
    <w:rsid w:val="00AA1400"/>
    <w:rsid w:val="00AA146A"/>
    <w:rsid w:val="00AA1AC3"/>
    <w:rsid w:val="00AA2092"/>
    <w:rsid w:val="00AA2692"/>
    <w:rsid w:val="00AA28AF"/>
    <w:rsid w:val="00AA2C7A"/>
    <w:rsid w:val="00AA369A"/>
    <w:rsid w:val="00AA4D44"/>
    <w:rsid w:val="00AA4F60"/>
    <w:rsid w:val="00AA4FD5"/>
    <w:rsid w:val="00AA50E7"/>
    <w:rsid w:val="00AA5133"/>
    <w:rsid w:val="00AA6336"/>
    <w:rsid w:val="00AA6C05"/>
    <w:rsid w:val="00AA6F40"/>
    <w:rsid w:val="00AA7893"/>
    <w:rsid w:val="00AA7CA1"/>
    <w:rsid w:val="00AA7EE4"/>
    <w:rsid w:val="00AB02D2"/>
    <w:rsid w:val="00AB0C08"/>
    <w:rsid w:val="00AB0DAB"/>
    <w:rsid w:val="00AB11BD"/>
    <w:rsid w:val="00AB1B4D"/>
    <w:rsid w:val="00AB2345"/>
    <w:rsid w:val="00AB2581"/>
    <w:rsid w:val="00AB2BE2"/>
    <w:rsid w:val="00AB332F"/>
    <w:rsid w:val="00AB379C"/>
    <w:rsid w:val="00AB412A"/>
    <w:rsid w:val="00AB4753"/>
    <w:rsid w:val="00AB4EB2"/>
    <w:rsid w:val="00AB593A"/>
    <w:rsid w:val="00AB59C0"/>
    <w:rsid w:val="00AB60B7"/>
    <w:rsid w:val="00AB63A9"/>
    <w:rsid w:val="00AB68E2"/>
    <w:rsid w:val="00AB6BBE"/>
    <w:rsid w:val="00AB740C"/>
    <w:rsid w:val="00AB79CA"/>
    <w:rsid w:val="00AB7CB4"/>
    <w:rsid w:val="00AB7DF5"/>
    <w:rsid w:val="00AC0490"/>
    <w:rsid w:val="00AC0610"/>
    <w:rsid w:val="00AC0FBD"/>
    <w:rsid w:val="00AC10BF"/>
    <w:rsid w:val="00AC23EF"/>
    <w:rsid w:val="00AC245E"/>
    <w:rsid w:val="00AC255B"/>
    <w:rsid w:val="00AC2B22"/>
    <w:rsid w:val="00AC30F7"/>
    <w:rsid w:val="00AC380F"/>
    <w:rsid w:val="00AC4204"/>
    <w:rsid w:val="00AC4234"/>
    <w:rsid w:val="00AC45C3"/>
    <w:rsid w:val="00AC465C"/>
    <w:rsid w:val="00AC476F"/>
    <w:rsid w:val="00AC5270"/>
    <w:rsid w:val="00AC52AD"/>
    <w:rsid w:val="00AC5DCF"/>
    <w:rsid w:val="00AC657B"/>
    <w:rsid w:val="00AC6665"/>
    <w:rsid w:val="00AC72BE"/>
    <w:rsid w:val="00AC7A61"/>
    <w:rsid w:val="00AC7AE7"/>
    <w:rsid w:val="00AC7CAB"/>
    <w:rsid w:val="00AC7EDB"/>
    <w:rsid w:val="00AD17CA"/>
    <w:rsid w:val="00AD200D"/>
    <w:rsid w:val="00AD21E9"/>
    <w:rsid w:val="00AD227F"/>
    <w:rsid w:val="00AD2986"/>
    <w:rsid w:val="00AD2F56"/>
    <w:rsid w:val="00AD3018"/>
    <w:rsid w:val="00AD4003"/>
    <w:rsid w:val="00AD4DE6"/>
    <w:rsid w:val="00AD50E8"/>
    <w:rsid w:val="00AD6083"/>
    <w:rsid w:val="00AD66EA"/>
    <w:rsid w:val="00AD6FFC"/>
    <w:rsid w:val="00AD7D94"/>
    <w:rsid w:val="00AD7E2B"/>
    <w:rsid w:val="00AE0327"/>
    <w:rsid w:val="00AE0D00"/>
    <w:rsid w:val="00AE0EC1"/>
    <w:rsid w:val="00AE14FD"/>
    <w:rsid w:val="00AE15DC"/>
    <w:rsid w:val="00AE168B"/>
    <w:rsid w:val="00AE1850"/>
    <w:rsid w:val="00AE2421"/>
    <w:rsid w:val="00AE2BF0"/>
    <w:rsid w:val="00AE2E2E"/>
    <w:rsid w:val="00AE2ECC"/>
    <w:rsid w:val="00AE3486"/>
    <w:rsid w:val="00AE40C8"/>
    <w:rsid w:val="00AE4BF4"/>
    <w:rsid w:val="00AE4D3C"/>
    <w:rsid w:val="00AE4D84"/>
    <w:rsid w:val="00AE4DD3"/>
    <w:rsid w:val="00AE50B6"/>
    <w:rsid w:val="00AE5248"/>
    <w:rsid w:val="00AE58FA"/>
    <w:rsid w:val="00AE5FD7"/>
    <w:rsid w:val="00AE7939"/>
    <w:rsid w:val="00AE7B8D"/>
    <w:rsid w:val="00AE7FE4"/>
    <w:rsid w:val="00AF0199"/>
    <w:rsid w:val="00AF03FC"/>
    <w:rsid w:val="00AF110B"/>
    <w:rsid w:val="00AF2625"/>
    <w:rsid w:val="00AF2630"/>
    <w:rsid w:val="00AF2923"/>
    <w:rsid w:val="00AF2B29"/>
    <w:rsid w:val="00AF2E9B"/>
    <w:rsid w:val="00AF311B"/>
    <w:rsid w:val="00AF3177"/>
    <w:rsid w:val="00AF35CA"/>
    <w:rsid w:val="00AF367C"/>
    <w:rsid w:val="00AF4EFB"/>
    <w:rsid w:val="00AF5307"/>
    <w:rsid w:val="00AF5638"/>
    <w:rsid w:val="00AF5A13"/>
    <w:rsid w:val="00AF681A"/>
    <w:rsid w:val="00AF72B6"/>
    <w:rsid w:val="00B00191"/>
    <w:rsid w:val="00B00253"/>
    <w:rsid w:val="00B00329"/>
    <w:rsid w:val="00B00331"/>
    <w:rsid w:val="00B00390"/>
    <w:rsid w:val="00B0051E"/>
    <w:rsid w:val="00B006AB"/>
    <w:rsid w:val="00B00C12"/>
    <w:rsid w:val="00B011B9"/>
    <w:rsid w:val="00B01507"/>
    <w:rsid w:val="00B01AA7"/>
    <w:rsid w:val="00B02C07"/>
    <w:rsid w:val="00B03008"/>
    <w:rsid w:val="00B031A7"/>
    <w:rsid w:val="00B033FF"/>
    <w:rsid w:val="00B042EA"/>
    <w:rsid w:val="00B04AE1"/>
    <w:rsid w:val="00B04B0D"/>
    <w:rsid w:val="00B05163"/>
    <w:rsid w:val="00B052A6"/>
    <w:rsid w:val="00B05A4D"/>
    <w:rsid w:val="00B06148"/>
    <w:rsid w:val="00B06683"/>
    <w:rsid w:val="00B07218"/>
    <w:rsid w:val="00B07E95"/>
    <w:rsid w:val="00B10147"/>
    <w:rsid w:val="00B106D5"/>
    <w:rsid w:val="00B106FE"/>
    <w:rsid w:val="00B11062"/>
    <w:rsid w:val="00B11291"/>
    <w:rsid w:val="00B11385"/>
    <w:rsid w:val="00B11931"/>
    <w:rsid w:val="00B11CFE"/>
    <w:rsid w:val="00B12065"/>
    <w:rsid w:val="00B1217C"/>
    <w:rsid w:val="00B1237E"/>
    <w:rsid w:val="00B12632"/>
    <w:rsid w:val="00B12783"/>
    <w:rsid w:val="00B12CC1"/>
    <w:rsid w:val="00B12D42"/>
    <w:rsid w:val="00B12D8F"/>
    <w:rsid w:val="00B13774"/>
    <w:rsid w:val="00B13AB2"/>
    <w:rsid w:val="00B1427C"/>
    <w:rsid w:val="00B14476"/>
    <w:rsid w:val="00B144E0"/>
    <w:rsid w:val="00B145A2"/>
    <w:rsid w:val="00B15045"/>
    <w:rsid w:val="00B15088"/>
    <w:rsid w:val="00B15754"/>
    <w:rsid w:val="00B167ED"/>
    <w:rsid w:val="00B174BB"/>
    <w:rsid w:val="00B174F9"/>
    <w:rsid w:val="00B17F1B"/>
    <w:rsid w:val="00B20200"/>
    <w:rsid w:val="00B204F0"/>
    <w:rsid w:val="00B209D4"/>
    <w:rsid w:val="00B20BC7"/>
    <w:rsid w:val="00B219D7"/>
    <w:rsid w:val="00B21F16"/>
    <w:rsid w:val="00B223B0"/>
    <w:rsid w:val="00B224CD"/>
    <w:rsid w:val="00B22C31"/>
    <w:rsid w:val="00B22DC7"/>
    <w:rsid w:val="00B22E44"/>
    <w:rsid w:val="00B23678"/>
    <w:rsid w:val="00B23B9B"/>
    <w:rsid w:val="00B23C90"/>
    <w:rsid w:val="00B23FFD"/>
    <w:rsid w:val="00B24988"/>
    <w:rsid w:val="00B25626"/>
    <w:rsid w:val="00B25C54"/>
    <w:rsid w:val="00B26986"/>
    <w:rsid w:val="00B278A6"/>
    <w:rsid w:val="00B27B4E"/>
    <w:rsid w:val="00B3008B"/>
    <w:rsid w:val="00B310BD"/>
    <w:rsid w:val="00B32089"/>
    <w:rsid w:val="00B32E9D"/>
    <w:rsid w:val="00B32F8F"/>
    <w:rsid w:val="00B3306F"/>
    <w:rsid w:val="00B33098"/>
    <w:rsid w:val="00B33196"/>
    <w:rsid w:val="00B33272"/>
    <w:rsid w:val="00B3408A"/>
    <w:rsid w:val="00B340D5"/>
    <w:rsid w:val="00B3411D"/>
    <w:rsid w:val="00B343AC"/>
    <w:rsid w:val="00B344DD"/>
    <w:rsid w:val="00B3463C"/>
    <w:rsid w:val="00B34893"/>
    <w:rsid w:val="00B34C0F"/>
    <w:rsid w:val="00B35753"/>
    <w:rsid w:val="00B35C04"/>
    <w:rsid w:val="00B36060"/>
    <w:rsid w:val="00B364D2"/>
    <w:rsid w:val="00B36676"/>
    <w:rsid w:val="00B36761"/>
    <w:rsid w:val="00B367D6"/>
    <w:rsid w:val="00B36827"/>
    <w:rsid w:val="00B36FC5"/>
    <w:rsid w:val="00B37418"/>
    <w:rsid w:val="00B374BC"/>
    <w:rsid w:val="00B37732"/>
    <w:rsid w:val="00B37790"/>
    <w:rsid w:val="00B37C2A"/>
    <w:rsid w:val="00B37C66"/>
    <w:rsid w:val="00B40680"/>
    <w:rsid w:val="00B40C37"/>
    <w:rsid w:val="00B41A18"/>
    <w:rsid w:val="00B41BBB"/>
    <w:rsid w:val="00B421FC"/>
    <w:rsid w:val="00B428CE"/>
    <w:rsid w:val="00B42B99"/>
    <w:rsid w:val="00B42F98"/>
    <w:rsid w:val="00B43602"/>
    <w:rsid w:val="00B44429"/>
    <w:rsid w:val="00B44711"/>
    <w:rsid w:val="00B44751"/>
    <w:rsid w:val="00B44BA7"/>
    <w:rsid w:val="00B44DC1"/>
    <w:rsid w:val="00B44DD5"/>
    <w:rsid w:val="00B44EAC"/>
    <w:rsid w:val="00B45BF7"/>
    <w:rsid w:val="00B4715E"/>
    <w:rsid w:val="00B471C4"/>
    <w:rsid w:val="00B4754B"/>
    <w:rsid w:val="00B47B11"/>
    <w:rsid w:val="00B50743"/>
    <w:rsid w:val="00B5085F"/>
    <w:rsid w:val="00B513F4"/>
    <w:rsid w:val="00B51450"/>
    <w:rsid w:val="00B51DCF"/>
    <w:rsid w:val="00B52029"/>
    <w:rsid w:val="00B528C3"/>
    <w:rsid w:val="00B52B67"/>
    <w:rsid w:val="00B52E76"/>
    <w:rsid w:val="00B52F9D"/>
    <w:rsid w:val="00B5330E"/>
    <w:rsid w:val="00B5389E"/>
    <w:rsid w:val="00B53BA5"/>
    <w:rsid w:val="00B54F6A"/>
    <w:rsid w:val="00B5540D"/>
    <w:rsid w:val="00B559F8"/>
    <w:rsid w:val="00B55A45"/>
    <w:rsid w:val="00B55DA6"/>
    <w:rsid w:val="00B55E11"/>
    <w:rsid w:val="00B56316"/>
    <w:rsid w:val="00B564EA"/>
    <w:rsid w:val="00B56C77"/>
    <w:rsid w:val="00B56F05"/>
    <w:rsid w:val="00B56F13"/>
    <w:rsid w:val="00B57157"/>
    <w:rsid w:val="00B57916"/>
    <w:rsid w:val="00B57ACC"/>
    <w:rsid w:val="00B57D54"/>
    <w:rsid w:val="00B57FED"/>
    <w:rsid w:val="00B60133"/>
    <w:rsid w:val="00B6042B"/>
    <w:rsid w:val="00B60888"/>
    <w:rsid w:val="00B60C01"/>
    <w:rsid w:val="00B6123D"/>
    <w:rsid w:val="00B613B6"/>
    <w:rsid w:val="00B61761"/>
    <w:rsid w:val="00B61869"/>
    <w:rsid w:val="00B61A6F"/>
    <w:rsid w:val="00B61A71"/>
    <w:rsid w:val="00B62A79"/>
    <w:rsid w:val="00B62C19"/>
    <w:rsid w:val="00B62E36"/>
    <w:rsid w:val="00B62F9B"/>
    <w:rsid w:val="00B631A6"/>
    <w:rsid w:val="00B63754"/>
    <w:rsid w:val="00B647BD"/>
    <w:rsid w:val="00B6519F"/>
    <w:rsid w:val="00B65ABD"/>
    <w:rsid w:val="00B65BBC"/>
    <w:rsid w:val="00B66060"/>
    <w:rsid w:val="00B662CE"/>
    <w:rsid w:val="00B67019"/>
    <w:rsid w:val="00B67145"/>
    <w:rsid w:val="00B6724C"/>
    <w:rsid w:val="00B6727D"/>
    <w:rsid w:val="00B6734C"/>
    <w:rsid w:val="00B67898"/>
    <w:rsid w:val="00B67C0D"/>
    <w:rsid w:val="00B67E3D"/>
    <w:rsid w:val="00B7043E"/>
    <w:rsid w:val="00B704C0"/>
    <w:rsid w:val="00B707FE"/>
    <w:rsid w:val="00B70917"/>
    <w:rsid w:val="00B70FB6"/>
    <w:rsid w:val="00B721FC"/>
    <w:rsid w:val="00B72D65"/>
    <w:rsid w:val="00B72D9F"/>
    <w:rsid w:val="00B72F8F"/>
    <w:rsid w:val="00B730BA"/>
    <w:rsid w:val="00B739D2"/>
    <w:rsid w:val="00B73DE2"/>
    <w:rsid w:val="00B740F1"/>
    <w:rsid w:val="00B74D47"/>
    <w:rsid w:val="00B7538A"/>
    <w:rsid w:val="00B7568E"/>
    <w:rsid w:val="00B75827"/>
    <w:rsid w:val="00B75B6A"/>
    <w:rsid w:val="00B7638A"/>
    <w:rsid w:val="00B764D4"/>
    <w:rsid w:val="00B7667E"/>
    <w:rsid w:val="00B76D16"/>
    <w:rsid w:val="00B771E4"/>
    <w:rsid w:val="00B773F4"/>
    <w:rsid w:val="00B7762E"/>
    <w:rsid w:val="00B77BC3"/>
    <w:rsid w:val="00B808A3"/>
    <w:rsid w:val="00B80AC1"/>
    <w:rsid w:val="00B80CC8"/>
    <w:rsid w:val="00B815AF"/>
    <w:rsid w:val="00B817A8"/>
    <w:rsid w:val="00B81858"/>
    <w:rsid w:val="00B81AF5"/>
    <w:rsid w:val="00B82099"/>
    <w:rsid w:val="00B82341"/>
    <w:rsid w:val="00B82483"/>
    <w:rsid w:val="00B83AE7"/>
    <w:rsid w:val="00B84492"/>
    <w:rsid w:val="00B84AC3"/>
    <w:rsid w:val="00B84E28"/>
    <w:rsid w:val="00B8502F"/>
    <w:rsid w:val="00B852AD"/>
    <w:rsid w:val="00B86BF2"/>
    <w:rsid w:val="00B872E1"/>
    <w:rsid w:val="00B902E6"/>
    <w:rsid w:val="00B9037E"/>
    <w:rsid w:val="00B90E00"/>
    <w:rsid w:val="00B90ECC"/>
    <w:rsid w:val="00B91192"/>
    <w:rsid w:val="00B913F1"/>
    <w:rsid w:val="00B91429"/>
    <w:rsid w:val="00B91EA9"/>
    <w:rsid w:val="00B92125"/>
    <w:rsid w:val="00B9224D"/>
    <w:rsid w:val="00B92BBC"/>
    <w:rsid w:val="00B93187"/>
    <w:rsid w:val="00B936A2"/>
    <w:rsid w:val="00B939E9"/>
    <w:rsid w:val="00B954D9"/>
    <w:rsid w:val="00B95566"/>
    <w:rsid w:val="00B95D8C"/>
    <w:rsid w:val="00B95F79"/>
    <w:rsid w:val="00B95FCE"/>
    <w:rsid w:val="00B96012"/>
    <w:rsid w:val="00B9616D"/>
    <w:rsid w:val="00B9663D"/>
    <w:rsid w:val="00B9686C"/>
    <w:rsid w:val="00B9697F"/>
    <w:rsid w:val="00B96B6F"/>
    <w:rsid w:val="00B96C21"/>
    <w:rsid w:val="00B96EFA"/>
    <w:rsid w:val="00B9741F"/>
    <w:rsid w:val="00B977AE"/>
    <w:rsid w:val="00B97BB3"/>
    <w:rsid w:val="00BA015F"/>
    <w:rsid w:val="00BA1730"/>
    <w:rsid w:val="00BA1DD0"/>
    <w:rsid w:val="00BA27A3"/>
    <w:rsid w:val="00BA374F"/>
    <w:rsid w:val="00BA3CC1"/>
    <w:rsid w:val="00BA3F2F"/>
    <w:rsid w:val="00BA433D"/>
    <w:rsid w:val="00BA499E"/>
    <w:rsid w:val="00BA4D8F"/>
    <w:rsid w:val="00BA5711"/>
    <w:rsid w:val="00BA5F22"/>
    <w:rsid w:val="00BA5FDF"/>
    <w:rsid w:val="00BA6876"/>
    <w:rsid w:val="00BA6963"/>
    <w:rsid w:val="00BA696B"/>
    <w:rsid w:val="00BA6BD7"/>
    <w:rsid w:val="00BA6D17"/>
    <w:rsid w:val="00BA6F76"/>
    <w:rsid w:val="00BA758A"/>
    <w:rsid w:val="00BA7699"/>
    <w:rsid w:val="00BA7B1C"/>
    <w:rsid w:val="00BA7F63"/>
    <w:rsid w:val="00BB01F2"/>
    <w:rsid w:val="00BB0270"/>
    <w:rsid w:val="00BB04D1"/>
    <w:rsid w:val="00BB07B2"/>
    <w:rsid w:val="00BB0C55"/>
    <w:rsid w:val="00BB0F81"/>
    <w:rsid w:val="00BB126D"/>
    <w:rsid w:val="00BB1C22"/>
    <w:rsid w:val="00BB1F09"/>
    <w:rsid w:val="00BB1FA8"/>
    <w:rsid w:val="00BB224A"/>
    <w:rsid w:val="00BB2382"/>
    <w:rsid w:val="00BB2CCD"/>
    <w:rsid w:val="00BB2F4E"/>
    <w:rsid w:val="00BB4809"/>
    <w:rsid w:val="00BB4ADF"/>
    <w:rsid w:val="00BB5323"/>
    <w:rsid w:val="00BB5977"/>
    <w:rsid w:val="00BB5A38"/>
    <w:rsid w:val="00BB5B9B"/>
    <w:rsid w:val="00BB5DE7"/>
    <w:rsid w:val="00BB5FE5"/>
    <w:rsid w:val="00BB6098"/>
    <w:rsid w:val="00BB693A"/>
    <w:rsid w:val="00BB71A8"/>
    <w:rsid w:val="00BB76FC"/>
    <w:rsid w:val="00BB77D6"/>
    <w:rsid w:val="00BB79E7"/>
    <w:rsid w:val="00BC008A"/>
    <w:rsid w:val="00BC03C2"/>
    <w:rsid w:val="00BC0617"/>
    <w:rsid w:val="00BC0C73"/>
    <w:rsid w:val="00BC1569"/>
    <w:rsid w:val="00BC1D04"/>
    <w:rsid w:val="00BC2D7F"/>
    <w:rsid w:val="00BC2EB2"/>
    <w:rsid w:val="00BC2F4A"/>
    <w:rsid w:val="00BC38AF"/>
    <w:rsid w:val="00BC3FEB"/>
    <w:rsid w:val="00BC4BBE"/>
    <w:rsid w:val="00BC4F63"/>
    <w:rsid w:val="00BC5190"/>
    <w:rsid w:val="00BC5995"/>
    <w:rsid w:val="00BC59F5"/>
    <w:rsid w:val="00BC5DA3"/>
    <w:rsid w:val="00BC6117"/>
    <w:rsid w:val="00BC6B2A"/>
    <w:rsid w:val="00BC6FA5"/>
    <w:rsid w:val="00BC7750"/>
    <w:rsid w:val="00BC78BA"/>
    <w:rsid w:val="00BD088D"/>
    <w:rsid w:val="00BD0CB3"/>
    <w:rsid w:val="00BD17BF"/>
    <w:rsid w:val="00BD211F"/>
    <w:rsid w:val="00BD2F22"/>
    <w:rsid w:val="00BD32F4"/>
    <w:rsid w:val="00BD3E1D"/>
    <w:rsid w:val="00BD4419"/>
    <w:rsid w:val="00BD54B1"/>
    <w:rsid w:val="00BD5620"/>
    <w:rsid w:val="00BD583C"/>
    <w:rsid w:val="00BD67CE"/>
    <w:rsid w:val="00BD688E"/>
    <w:rsid w:val="00BD6A6C"/>
    <w:rsid w:val="00BD6D74"/>
    <w:rsid w:val="00BD74E3"/>
    <w:rsid w:val="00BD7A64"/>
    <w:rsid w:val="00BD7BA0"/>
    <w:rsid w:val="00BD7E0C"/>
    <w:rsid w:val="00BE1257"/>
    <w:rsid w:val="00BE16FF"/>
    <w:rsid w:val="00BE25A1"/>
    <w:rsid w:val="00BE2D62"/>
    <w:rsid w:val="00BE3061"/>
    <w:rsid w:val="00BE307C"/>
    <w:rsid w:val="00BE3305"/>
    <w:rsid w:val="00BE35DF"/>
    <w:rsid w:val="00BE3728"/>
    <w:rsid w:val="00BE3BB6"/>
    <w:rsid w:val="00BE3F28"/>
    <w:rsid w:val="00BE4835"/>
    <w:rsid w:val="00BE4A67"/>
    <w:rsid w:val="00BE66FE"/>
    <w:rsid w:val="00BE678C"/>
    <w:rsid w:val="00BE6D5A"/>
    <w:rsid w:val="00BE79AF"/>
    <w:rsid w:val="00BE7FB7"/>
    <w:rsid w:val="00BF0210"/>
    <w:rsid w:val="00BF15A3"/>
    <w:rsid w:val="00BF1E82"/>
    <w:rsid w:val="00BF21A3"/>
    <w:rsid w:val="00BF2567"/>
    <w:rsid w:val="00BF2746"/>
    <w:rsid w:val="00BF27F8"/>
    <w:rsid w:val="00BF2CB7"/>
    <w:rsid w:val="00BF309F"/>
    <w:rsid w:val="00BF31E0"/>
    <w:rsid w:val="00BF3758"/>
    <w:rsid w:val="00BF3B89"/>
    <w:rsid w:val="00BF539D"/>
    <w:rsid w:val="00BF549F"/>
    <w:rsid w:val="00BF5E7C"/>
    <w:rsid w:val="00BF6334"/>
    <w:rsid w:val="00BF66EC"/>
    <w:rsid w:val="00BF69B2"/>
    <w:rsid w:val="00BF6CC8"/>
    <w:rsid w:val="00BF6E5D"/>
    <w:rsid w:val="00BF6F08"/>
    <w:rsid w:val="00BF7466"/>
    <w:rsid w:val="00BF7B0B"/>
    <w:rsid w:val="00BF7D47"/>
    <w:rsid w:val="00C00ADD"/>
    <w:rsid w:val="00C00CAF"/>
    <w:rsid w:val="00C013A3"/>
    <w:rsid w:val="00C023C0"/>
    <w:rsid w:val="00C02463"/>
    <w:rsid w:val="00C02509"/>
    <w:rsid w:val="00C02AE9"/>
    <w:rsid w:val="00C02BFF"/>
    <w:rsid w:val="00C03766"/>
    <w:rsid w:val="00C03823"/>
    <w:rsid w:val="00C03956"/>
    <w:rsid w:val="00C03F4A"/>
    <w:rsid w:val="00C0419F"/>
    <w:rsid w:val="00C04535"/>
    <w:rsid w:val="00C04C2A"/>
    <w:rsid w:val="00C0529C"/>
    <w:rsid w:val="00C054A1"/>
    <w:rsid w:val="00C07DA2"/>
    <w:rsid w:val="00C1033A"/>
    <w:rsid w:val="00C1051B"/>
    <w:rsid w:val="00C10562"/>
    <w:rsid w:val="00C10BCB"/>
    <w:rsid w:val="00C10F71"/>
    <w:rsid w:val="00C10FEC"/>
    <w:rsid w:val="00C11330"/>
    <w:rsid w:val="00C113E0"/>
    <w:rsid w:val="00C11B67"/>
    <w:rsid w:val="00C11BB2"/>
    <w:rsid w:val="00C11BDE"/>
    <w:rsid w:val="00C12507"/>
    <w:rsid w:val="00C12D14"/>
    <w:rsid w:val="00C12F11"/>
    <w:rsid w:val="00C12FBC"/>
    <w:rsid w:val="00C133F8"/>
    <w:rsid w:val="00C135F2"/>
    <w:rsid w:val="00C136B9"/>
    <w:rsid w:val="00C139E6"/>
    <w:rsid w:val="00C14D15"/>
    <w:rsid w:val="00C1534E"/>
    <w:rsid w:val="00C153F4"/>
    <w:rsid w:val="00C158D1"/>
    <w:rsid w:val="00C159E7"/>
    <w:rsid w:val="00C15B66"/>
    <w:rsid w:val="00C15D79"/>
    <w:rsid w:val="00C15ED0"/>
    <w:rsid w:val="00C15ED6"/>
    <w:rsid w:val="00C16E58"/>
    <w:rsid w:val="00C17347"/>
    <w:rsid w:val="00C203DE"/>
    <w:rsid w:val="00C20FB1"/>
    <w:rsid w:val="00C21403"/>
    <w:rsid w:val="00C221A5"/>
    <w:rsid w:val="00C22304"/>
    <w:rsid w:val="00C22390"/>
    <w:rsid w:val="00C22596"/>
    <w:rsid w:val="00C22734"/>
    <w:rsid w:val="00C22B1F"/>
    <w:rsid w:val="00C22DA5"/>
    <w:rsid w:val="00C22DAC"/>
    <w:rsid w:val="00C22FA1"/>
    <w:rsid w:val="00C230A2"/>
    <w:rsid w:val="00C23338"/>
    <w:rsid w:val="00C239A8"/>
    <w:rsid w:val="00C24937"/>
    <w:rsid w:val="00C24F27"/>
    <w:rsid w:val="00C24FE8"/>
    <w:rsid w:val="00C25221"/>
    <w:rsid w:val="00C25486"/>
    <w:rsid w:val="00C2548C"/>
    <w:rsid w:val="00C259E0"/>
    <w:rsid w:val="00C25BC8"/>
    <w:rsid w:val="00C25DD1"/>
    <w:rsid w:val="00C25FA4"/>
    <w:rsid w:val="00C26524"/>
    <w:rsid w:val="00C26A66"/>
    <w:rsid w:val="00C2714F"/>
    <w:rsid w:val="00C3034C"/>
    <w:rsid w:val="00C30F3C"/>
    <w:rsid w:val="00C30FCA"/>
    <w:rsid w:val="00C31474"/>
    <w:rsid w:val="00C31857"/>
    <w:rsid w:val="00C3194C"/>
    <w:rsid w:val="00C31FDD"/>
    <w:rsid w:val="00C32816"/>
    <w:rsid w:val="00C32825"/>
    <w:rsid w:val="00C328F3"/>
    <w:rsid w:val="00C329C4"/>
    <w:rsid w:val="00C32B31"/>
    <w:rsid w:val="00C32D2A"/>
    <w:rsid w:val="00C32D8C"/>
    <w:rsid w:val="00C336EC"/>
    <w:rsid w:val="00C341A3"/>
    <w:rsid w:val="00C34346"/>
    <w:rsid w:val="00C34656"/>
    <w:rsid w:val="00C34731"/>
    <w:rsid w:val="00C3530C"/>
    <w:rsid w:val="00C3535A"/>
    <w:rsid w:val="00C35586"/>
    <w:rsid w:val="00C35B55"/>
    <w:rsid w:val="00C35E56"/>
    <w:rsid w:val="00C35E7D"/>
    <w:rsid w:val="00C36009"/>
    <w:rsid w:val="00C360EA"/>
    <w:rsid w:val="00C363AD"/>
    <w:rsid w:val="00C36425"/>
    <w:rsid w:val="00C36E10"/>
    <w:rsid w:val="00C36E3F"/>
    <w:rsid w:val="00C375D4"/>
    <w:rsid w:val="00C37F97"/>
    <w:rsid w:val="00C407D2"/>
    <w:rsid w:val="00C40B35"/>
    <w:rsid w:val="00C40DAB"/>
    <w:rsid w:val="00C41023"/>
    <w:rsid w:val="00C41666"/>
    <w:rsid w:val="00C41C32"/>
    <w:rsid w:val="00C42891"/>
    <w:rsid w:val="00C42AF7"/>
    <w:rsid w:val="00C42B8A"/>
    <w:rsid w:val="00C434C4"/>
    <w:rsid w:val="00C4356A"/>
    <w:rsid w:val="00C4451C"/>
    <w:rsid w:val="00C44BD0"/>
    <w:rsid w:val="00C44E81"/>
    <w:rsid w:val="00C45A43"/>
    <w:rsid w:val="00C46875"/>
    <w:rsid w:val="00C46BD1"/>
    <w:rsid w:val="00C46D78"/>
    <w:rsid w:val="00C46E44"/>
    <w:rsid w:val="00C471F6"/>
    <w:rsid w:val="00C47314"/>
    <w:rsid w:val="00C47E3A"/>
    <w:rsid w:val="00C47E56"/>
    <w:rsid w:val="00C47F6D"/>
    <w:rsid w:val="00C47F70"/>
    <w:rsid w:val="00C5006E"/>
    <w:rsid w:val="00C5010A"/>
    <w:rsid w:val="00C50C3F"/>
    <w:rsid w:val="00C50F24"/>
    <w:rsid w:val="00C51275"/>
    <w:rsid w:val="00C52011"/>
    <w:rsid w:val="00C5217E"/>
    <w:rsid w:val="00C52697"/>
    <w:rsid w:val="00C52737"/>
    <w:rsid w:val="00C52966"/>
    <w:rsid w:val="00C52C32"/>
    <w:rsid w:val="00C52E73"/>
    <w:rsid w:val="00C5353C"/>
    <w:rsid w:val="00C539AF"/>
    <w:rsid w:val="00C53DC1"/>
    <w:rsid w:val="00C53E76"/>
    <w:rsid w:val="00C55F8D"/>
    <w:rsid w:val="00C56525"/>
    <w:rsid w:val="00C56714"/>
    <w:rsid w:val="00C5673A"/>
    <w:rsid w:val="00C56E3B"/>
    <w:rsid w:val="00C57B04"/>
    <w:rsid w:val="00C57D01"/>
    <w:rsid w:val="00C57EE4"/>
    <w:rsid w:val="00C6011C"/>
    <w:rsid w:val="00C60648"/>
    <w:rsid w:val="00C60C8E"/>
    <w:rsid w:val="00C612C7"/>
    <w:rsid w:val="00C61587"/>
    <w:rsid w:val="00C6173E"/>
    <w:rsid w:val="00C61B0C"/>
    <w:rsid w:val="00C626C6"/>
    <w:rsid w:val="00C63084"/>
    <w:rsid w:val="00C64210"/>
    <w:rsid w:val="00C65AFF"/>
    <w:rsid w:val="00C6617A"/>
    <w:rsid w:val="00C66259"/>
    <w:rsid w:val="00C6631E"/>
    <w:rsid w:val="00C66A47"/>
    <w:rsid w:val="00C670B0"/>
    <w:rsid w:val="00C7033C"/>
    <w:rsid w:val="00C70CAE"/>
    <w:rsid w:val="00C70E40"/>
    <w:rsid w:val="00C70E44"/>
    <w:rsid w:val="00C71109"/>
    <w:rsid w:val="00C714B5"/>
    <w:rsid w:val="00C71C25"/>
    <w:rsid w:val="00C71C45"/>
    <w:rsid w:val="00C71D99"/>
    <w:rsid w:val="00C72CD9"/>
    <w:rsid w:val="00C73022"/>
    <w:rsid w:val="00C73475"/>
    <w:rsid w:val="00C734B5"/>
    <w:rsid w:val="00C73599"/>
    <w:rsid w:val="00C73812"/>
    <w:rsid w:val="00C7393E"/>
    <w:rsid w:val="00C739FD"/>
    <w:rsid w:val="00C73DAE"/>
    <w:rsid w:val="00C74713"/>
    <w:rsid w:val="00C7478B"/>
    <w:rsid w:val="00C74795"/>
    <w:rsid w:val="00C74AE1"/>
    <w:rsid w:val="00C753B5"/>
    <w:rsid w:val="00C75564"/>
    <w:rsid w:val="00C75A38"/>
    <w:rsid w:val="00C761AF"/>
    <w:rsid w:val="00C76300"/>
    <w:rsid w:val="00C76540"/>
    <w:rsid w:val="00C76909"/>
    <w:rsid w:val="00C76A8C"/>
    <w:rsid w:val="00C7700E"/>
    <w:rsid w:val="00C773CD"/>
    <w:rsid w:val="00C7769C"/>
    <w:rsid w:val="00C779FB"/>
    <w:rsid w:val="00C77E7E"/>
    <w:rsid w:val="00C800D5"/>
    <w:rsid w:val="00C80DD2"/>
    <w:rsid w:val="00C81006"/>
    <w:rsid w:val="00C810B2"/>
    <w:rsid w:val="00C812D6"/>
    <w:rsid w:val="00C81695"/>
    <w:rsid w:val="00C81860"/>
    <w:rsid w:val="00C81878"/>
    <w:rsid w:val="00C8234E"/>
    <w:rsid w:val="00C82D27"/>
    <w:rsid w:val="00C83AAA"/>
    <w:rsid w:val="00C8414E"/>
    <w:rsid w:val="00C84A6A"/>
    <w:rsid w:val="00C852F0"/>
    <w:rsid w:val="00C85337"/>
    <w:rsid w:val="00C85380"/>
    <w:rsid w:val="00C860B6"/>
    <w:rsid w:val="00C861C5"/>
    <w:rsid w:val="00C866E1"/>
    <w:rsid w:val="00C86923"/>
    <w:rsid w:val="00C86B07"/>
    <w:rsid w:val="00C879BE"/>
    <w:rsid w:val="00C900BD"/>
    <w:rsid w:val="00C903FE"/>
    <w:rsid w:val="00C90DC0"/>
    <w:rsid w:val="00C90F20"/>
    <w:rsid w:val="00C9173A"/>
    <w:rsid w:val="00C917B0"/>
    <w:rsid w:val="00C91A50"/>
    <w:rsid w:val="00C922D5"/>
    <w:rsid w:val="00C92498"/>
    <w:rsid w:val="00C928EC"/>
    <w:rsid w:val="00C92F63"/>
    <w:rsid w:val="00C93196"/>
    <w:rsid w:val="00C936F8"/>
    <w:rsid w:val="00C93715"/>
    <w:rsid w:val="00C93F35"/>
    <w:rsid w:val="00C943D7"/>
    <w:rsid w:val="00C94533"/>
    <w:rsid w:val="00C94A81"/>
    <w:rsid w:val="00C94AD3"/>
    <w:rsid w:val="00C94BB5"/>
    <w:rsid w:val="00C94C21"/>
    <w:rsid w:val="00C959A3"/>
    <w:rsid w:val="00C9638E"/>
    <w:rsid w:val="00C9638F"/>
    <w:rsid w:val="00C96472"/>
    <w:rsid w:val="00C9666A"/>
    <w:rsid w:val="00C97314"/>
    <w:rsid w:val="00CA090C"/>
    <w:rsid w:val="00CA0DC8"/>
    <w:rsid w:val="00CA0E97"/>
    <w:rsid w:val="00CA177F"/>
    <w:rsid w:val="00CA1A18"/>
    <w:rsid w:val="00CA28A1"/>
    <w:rsid w:val="00CA2DAB"/>
    <w:rsid w:val="00CA2F76"/>
    <w:rsid w:val="00CA33D0"/>
    <w:rsid w:val="00CA398B"/>
    <w:rsid w:val="00CA4226"/>
    <w:rsid w:val="00CA4260"/>
    <w:rsid w:val="00CA456A"/>
    <w:rsid w:val="00CA4964"/>
    <w:rsid w:val="00CA4AE5"/>
    <w:rsid w:val="00CA4D9F"/>
    <w:rsid w:val="00CA4FA1"/>
    <w:rsid w:val="00CA51ED"/>
    <w:rsid w:val="00CA521F"/>
    <w:rsid w:val="00CA5614"/>
    <w:rsid w:val="00CA5A48"/>
    <w:rsid w:val="00CA5AA9"/>
    <w:rsid w:val="00CA6329"/>
    <w:rsid w:val="00CA6B42"/>
    <w:rsid w:val="00CA6CF3"/>
    <w:rsid w:val="00CA7533"/>
    <w:rsid w:val="00CA78AD"/>
    <w:rsid w:val="00CA7EA1"/>
    <w:rsid w:val="00CA7ED5"/>
    <w:rsid w:val="00CB0189"/>
    <w:rsid w:val="00CB03E3"/>
    <w:rsid w:val="00CB06CF"/>
    <w:rsid w:val="00CB1181"/>
    <w:rsid w:val="00CB1394"/>
    <w:rsid w:val="00CB1E1F"/>
    <w:rsid w:val="00CB1EAC"/>
    <w:rsid w:val="00CB233F"/>
    <w:rsid w:val="00CB26B6"/>
    <w:rsid w:val="00CB2778"/>
    <w:rsid w:val="00CB3DC2"/>
    <w:rsid w:val="00CB4AC8"/>
    <w:rsid w:val="00CB4D83"/>
    <w:rsid w:val="00CB5A94"/>
    <w:rsid w:val="00CB5CB0"/>
    <w:rsid w:val="00CB623C"/>
    <w:rsid w:val="00CB67D5"/>
    <w:rsid w:val="00CB6E66"/>
    <w:rsid w:val="00CB74B6"/>
    <w:rsid w:val="00CB7511"/>
    <w:rsid w:val="00CC05B1"/>
    <w:rsid w:val="00CC0857"/>
    <w:rsid w:val="00CC1D47"/>
    <w:rsid w:val="00CC1DBA"/>
    <w:rsid w:val="00CC2126"/>
    <w:rsid w:val="00CC22EC"/>
    <w:rsid w:val="00CC3F74"/>
    <w:rsid w:val="00CC406B"/>
    <w:rsid w:val="00CC4938"/>
    <w:rsid w:val="00CC4E65"/>
    <w:rsid w:val="00CC557C"/>
    <w:rsid w:val="00CC59A6"/>
    <w:rsid w:val="00CC5EA0"/>
    <w:rsid w:val="00CC68D8"/>
    <w:rsid w:val="00CC6A14"/>
    <w:rsid w:val="00CC6DD2"/>
    <w:rsid w:val="00CC702F"/>
    <w:rsid w:val="00CC715C"/>
    <w:rsid w:val="00CC7643"/>
    <w:rsid w:val="00CC7F09"/>
    <w:rsid w:val="00CD055A"/>
    <w:rsid w:val="00CD0CD0"/>
    <w:rsid w:val="00CD0EFC"/>
    <w:rsid w:val="00CD125D"/>
    <w:rsid w:val="00CD1A24"/>
    <w:rsid w:val="00CD1B74"/>
    <w:rsid w:val="00CD1F71"/>
    <w:rsid w:val="00CD21B1"/>
    <w:rsid w:val="00CD32C0"/>
    <w:rsid w:val="00CD3908"/>
    <w:rsid w:val="00CD3942"/>
    <w:rsid w:val="00CD3E04"/>
    <w:rsid w:val="00CD3EBC"/>
    <w:rsid w:val="00CD4493"/>
    <w:rsid w:val="00CD49D3"/>
    <w:rsid w:val="00CD5232"/>
    <w:rsid w:val="00CD5488"/>
    <w:rsid w:val="00CD5579"/>
    <w:rsid w:val="00CD5F4F"/>
    <w:rsid w:val="00CD609C"/>
    <w:rsid w:val="00CD629C"/>
    <w:rsid w:val="00CD6560"/>
    <w:rsid w:val="00CD7BFD"/>
    <w:rsid w:val="00CD7F3B"/>
    <w:rsid w:val="00CE00FC"/>
    <w:rsid w:val="00CE0665"/>
    <w:rsid w:val="00CE1257"/>
    <w:rsid w:val="00CE1387"/>
    <w:rsid w:val="00CE1677"/>
    <w:rsid w:val="00CE1B5C"/>
    <w:rsid w:val="00CE23C7"/>
    <w:rsid w:val="00CE24ED"/>
    <w:rsid w:val="00CE2786"/>
    <w:rsid w:val="00CE2BCF"/>
    <w:rsid w:val="00CE2CF0"/>
    <w:rsid w:val="00CE3002"/>
    <w:rsid w:val="00CE3262"/>
    <w:rsid w:val="00CE327E"/>
    <w:rsid w:val="00CE39EE"/>
    <w:rsid w:val="00CE436C"/>
    <w:rsid w:val="00CE479D"/>
    <w:rsid w:val="00CE4948"/>
    <w:rsid w:val="00CE51B5"/>
    <w:rsid w:val="00CE5633"/>
    <w:rsid w:val="00CE5784"/>
    <w:rsid w:val="00CE66A2"/>
    <w:rsid w:val="00CE6748"/>
    <w:rsid w:val="00CE745E"/>
    <w:rsid w:val="00CE75BD"/>
    <w:rsid w:val="00CE76D5"/>
    <w:rsid w:val="00CE7812"/>
    <w:rsid w:val="00CE7BFA"/>
    <w:rsid w:val="00CF0300"/>
    <w:rsid w:val="00CF0372"/>
    <w:rsid w:val="00CF039D"/>
    <w:rsid w:val="00CF0420"/>
    <w:rsid w:val="00CF0573"/>
    <w:rsid w:val="00CF072C"/>
    <w:rsid w:val="00CF0A2D"/>
    <w:rsid w:val="00CF1E35"/>
    <w:rsid w:val="00CF1E37"/>
    <w:rsid w:val="00CF2485"/>
    <w:rsid w:val="00CF4143"/>
    <w:rsid w:val="00CF476F"/>
    <w:rsid w:val="00CF48DE"/>
    <w:rsid w:val="00CF4CEB"/>
    <w:rsid w:val="00CF5048"/>
    <w:rsid w:val="00CF5321"/>
    <w:rsid w:val="00CF61E9"/>
    <w:rsid w:val="00CF6270"/>
    <w:rsid w:val="00CF654F"/>
    <w:rsid w:val="00CF6569"/>
    <w:rsid w:val="00CF6EFA"/>
    <w:rsid w:val="00CF702A"/>
    <w:rsid w:val="00CF7DDE"/>
    <w:rsid w:val="00CF7EEA"/>
    <w:rsid w:val="00D00724"/>
    <w:rsid w:val="00D00C5D"/>
    <w:rsid w:val="00D00EA9"/>
    <w:rsid w:val="00D0106C"/>
    <w:rsid w:val="00D014C4"/>
    <w:rsid w:val="00D0183D"/>
    <w:rsid w:val="00D01999"/>
    <w:rsid w:val="00D01AAC"/>
    <w:rsid w:val="00D02982"/>
    <w:rsid w:val="00D029F7"/>
    <w:rsid w:val="00D031F6"/>
    <w:rsid w:val="00D0361F"/>
    <w:rsid w:val="00D03B06"/>
    <w:rsid w:val="00D03E35"/>
    <w:rsid w:val="00D04618"/>
    <w:rsid w:val="00D04A2A"/>
    <w:rsid w:val="00D050AF"/>
    <w:rsid w:val="00D05439"/>
    <w:rsid w:val="00D059F5"/>
    <w:rsid w:val="00D060DC"/>
    <w:rsid w:val="00D064C7"/>
    <w:rsid w:val="00D0797E"/>
    <w:rsid w:val="00D07BF5"/>
    <w:rsid w:val="00D07CD3"/>
    <w:rsid w:val="00D108BE"/>
    <w:rsid w:val="00D10BE2"/>
    <w:rsid w:val="00D11152"/>
    <w:rsid w:val="00D116F7"/>
    <w:rsid w:val="00D11B73"/>
    <w:rsid w:val="00D11FC3"/>
    <w:rsid w:val="00D11FCE"/>
    <w:rsid w:val="00D1250C"/>
    <w:rsid w:val="00D12665"/>
    <w:rsid w:val="00D12AA1"/>
    <w:rsid w:val="00D12F49"/>
    <w:rsid w:val="00D130CB"/>
    <w:rsid w:val="00D14A18"/>
    <w:rsid w:val="00D14E33"/>
    <w:rsid w:val="00D152E0"/>
    <w:rsid w:val="00D1570F"/>
    <w:rsid w:val="00D15E7E"/>
    <w:rsid w:val="00D16A49"/>
    <w:rsid w:val="00D171D5"/>
    <w:rsid w:val="00D174B8"/>
    <w:rsid w:val="00D17681"/>
    <w:rsid w:val="00D178B5"/>
    <w:rsid w:val="00D17BF8"/>
    <w:rsid w:val="00D17ED6"/>
    <w:rsid w:val="00D20A59"/>
    <w:rsid w:val="00D20B45"/>
    <w:rsid w:val="00D2119D"/>
    <w:rsid w:val="00D21739"/>
    <w:rsid w:val="00D218BB"/>
    <w:rsid w:val="00D23179"/>
    <w:rsid w:val="00D233E0"/>
    <w:rsid w:val="00D2396D"/>
    <w:rsid w:val="00D24143"/>
    <w:rsid w:val="00D2461F"/>
    <w:rsid w:val="00D25114"/>
    <w:rsid w:val="00D2516A"/>
    <w:rsid w:val="00D255E0"/>
    <w:rsid w:val="00D25602"/>
    <w:rsid w:val="00D25952"/>
    <w:rsid w:val="00D25CA4"/>
    <w:rsid w:val="00D26196"/>
    <w:rsid w:val="00D264A7"/>
    <w:rsid w:val="00D275BE"/>
    <w:rsid w:val="00D2768C"/>
    <w:rsid w:val="00D27ED6"/>
    <w:rsid w:val="00D27F13"/>
    <w:rsid w:val="00D302F0"/>
    <w:rsid w:val="00D3032C"/>
    <w:rsid w:val="00D30537"/>
    <w:rsid w:val="00D30854"/>
    <w:rsid w:val="00D30FE4"/>
    <w:rsid w:val="00D312F6"/>
    <w:rsid w:val="00D318EB"/>
    <w:rsid w:val="00D3209C"/>
    <w:rsid w:val="00D32726"/>
    <w:rsid w:val="00D327C0"/>
    <w:rsid w:val="00D3367F"/>
    <w:rsid w:val="00D338BE"/>
    <w:rsid w:val="00D33A8D"/>
    <w:rsid w:val="00D346A5"/>
    <w:rsid w:val="00D34A6E"/>
    <w:rsid w:val="00D34B22"/>
    <w:rsid w:val="00D34B7F"/>
    <w:rsid w:val="00D34BDC"/>
    <w:rsid w:val="00D34E4D"/>
    <w:rsid w:val="00D35234"/>
    <w:rsid w:val="00D35587"/>
    <w:rsid w:val="00D359DA"/>
    <w:rsid w:val="00D35F04"/>
    <w:rsid w:val="00D360A8"/>
    <w:rsid w:val="00D36337"/>
    <w:rsid w:val="00D36B9D"/>
    <w:rsid w:val="00D36CA2"/>
    <w:rsid w:val="00D40C7D"/>
    <w:rsid w:val="00D410FA"/>
    <w:rsid w:val="00D41492"/>
    <w:rsid w:val="00D41FA4"/>
    <w:rsid w:val="00D4253E"/>
    <w:rsid w:val="00D425E3"/>
    <w:rsid w:val="00D42969"/>
    <w:rsid w:val="00D43597"/>
    <w:rsid w:val="00D44089"/>
    <w:rsid w:val="00D44091"/>
    <w:rsid w:val="00D441B7"/>
    <w:rsid w:val="00D441E7"/>
    <w:rsid w:val="00D44345"/>
    <w:rsid w:val="00D444C1"/>
    <w:rsid w:val="00D44747"/>
    <w:rsid w:val="00D45192"/>
    <w:rsid w:val="00D45FAA"/>
    <w:rsid w:val="00D464C6"/>
    <w:rsid w:val="00D46546"/>
    <w:rsid w:val="00D4656A"/>
    <w:rsid w:val="00D46CF8"/>
    <w:rsid w:val="00D473EE"/>
    <w:rsid w:val="00D47919"/>
    <w:rsid w:val="00D47A6F"/>
    <w:rsid w:val="00D47B54"/>
    <w:rsid w:val="00D47BEC"/>
    <w:rsid w:val="00D501B1"/>
    <w:rsid w:val="00D501C9"/>
    <w:rsid w:val="00D5056B"/>
    <w:rsid w:val="00D50D89"/>
    <w:rsid w:val="00D51077"/>
    <w:rsid w:val="00D51B3E"/>
    <w:rsid w:val="00D52779"/>
    <w:rsid w:val="00D53052"/>
    <w:rsid w:val="00D531CE"/>
    <w:rsid w:val="00D53310"/>
    <w:rsid w:val="00D53348"/>
    <w:rsid w:val="00D535CF"/>
    <w:rsid w:val="00D53C0A"/>
    <w:rsid w:val="00D53CA2"/>
    <w:rsid w:val="00D54516"/>
    <w:rsid w:val="00D5460C"/>
    <w:rsid w:val="00D54667"/>
    <w:rsid w:val="00D547CA"/>
    <w:rsid w:val="00D549F7"/>
    <w:rsid w:val="00D54A95"/>
    <w:rsid w:val="00D5531C"/>
    <w:rsid w:val="00D55AF5"/>
    <w:rsid w:val="00D55E93"/>
    <w:rsid w:val="00D565C7"/>
    <w:rsid w:val="00D56D5F"/>
    <w:rsid w:val="00D56FBB"/>
    <w:rsid w:val="00D57540"/>
    <w:rsid w:val="00D57CAD"/>
    <w:rsid w:val="00D57D68"/>
    <w:rsid w:val="00D60095"/>
    <w:rsid w:val="00D60225"/>
    <w:rsid w:val="00D60291"/>
    <w:rsid w:val="00D60940"/>
    <w:rsid w:val="00D60B79"/>
    <w:rsid w:val="00D60DC5"/>
    <w:rsid w:val="00D61165"/>
    <w:rsid w:val="00D61A72"/>
    <w:rsid w:val="00D61E00"/>
    <w:rsid w:val="00D6211C"/>
    <w:rsid w:val="00D62693"/>
    <w:rsid w:val="00D6286E"/>
    <w:rsid w:val="00D62C95"/>
    <w:rsid w:val="00D62D78"/>
    <w:rsid w:val="00D62EE1"/>
    <w:rsid w:val="00D633E2"/>
    <w:rsid w:val="00D63917"/>
    <w:rsid w:val="00D63A56"/>
    <w:rsid w:val="00D63AFA"/>
    <w:rsid w:val="00D63C3C"/>
    <w:rsid w:val="00D63FB3"/>
    <w:rsid w:val="00D65D9E"/>
    <w:rsid w:val="00D660AF"/>
    <w:rsid w:val="00D66248"/>
    <w:rsid w:val="00D665DD"/>
    <w:rsid w:val="00D669C2"/>
    <w:rsid w:val="00D66BBC"/>
    <w:rsid w:val="00D66F65"/>
    <w:rsid w:val="00D674B2"/>
    <w:rsid w:val="00D67746"/>
    <w:rsid w:val="00D67BF6"/>
    <w:rsid w:val="00D705B9"/>
    <w:rsid w:val="00D7097E"/>
    <w:rsid w:val="00D70B49"/>
    <w:rsid w:val="00D70C64"/>
    <w:rsid w:val="00D70E9E"/>
    <w:rsid w:val="00D711CD"/>
    <w:rsid w:val="00D726A7"/>
    <w:rsid w:val="00D72EB2"/>
    <w:rsid w:val="00D738BC"/>
    <w:rsid w:val="00D738F9"/>
    <w:rsid w:val="00D73F66"/>
    <w:rsid w:val="00D7469E"/>
    <w:rsid w:val="00D74731"/>
    <w:rsid w:val="00D7493C"/>
    <w:rsid w:val="00D74A15"/>
    <w:rsid w:val="00D74BE0"/>
    <w:rsid w:val="00D75565"/>
    <w:rsid w:val="00D75F39"/>
    <w:rsid w:val="00D760A9"/>
    <w:rsid w:val="00D76394"/>
    <w:rsid w:val="00D76774"/>
    <w:rsid w:val="00D768D8"/>
    <w:rsid w:val="00D76964"/>
    <w:rsid w:val="00D7716B"/>
    <w:rsid w:val="00D77B89"/>
    <w:rsid w:val="00D77B96"/>
    <w:rsid w:val="00D77E4F"/>
    <w:rsid w:val="00D77FCC"/>
    <w:rsid w:val="00D80534"/>
    <w:rsid w:val="00D809FE"/>
    <w:rsid w:val="00D80D53"/>
    <w:rsid w:val="00D80FF6"/>
    <w:rsid w:val="00D8144B"/>
    <w:rsid w:val="00D8162B"/>
    <w:rsid w:val="00D818A1"/>
    <w:rsid w:val="00D81D7C"/>
    <w:rsid w:val="00D82485"/>
    <w:rsid w:val="00D82927"/>
    <w:rsid w:val="00D82D29"/>
    <w:rsid w:val="00D82E12"/>
    <w:rsid w:val="00D82EC3"/>
    <w:rsid w:val="00D834F2"/>
    <w:rsid w:val="00D83B86"/>
    <w:rsid w:val="00D83BEF"/>
    <w:rsid w:val="00D842D3"/>
    <w:rsid w:val="00D84B26"/>
    <w:rsid w:val="00D851CB"/>
    <w:rsid w:val="00D8633C"/>
    <w:rsid w:val="00D87111"/>
    <w:rsid w:val="00D87351"/>
    <w:rsid w:val="00D87731"/>
    <w:rsid w:val="00D87B1F"/>
    <w:rsid w:val="00D9028E"/>
    <w:rsid w:val="00D9096C"/>
    <w:rsid w:val="00D90E1D"/>
    <w:rsid w:val="00D90F22"/>
    <w:rsid w:val="00D91717"/>
    <w:rsid w:val="00D92BB9"/>
    <w:rsid w:val="00D9307D"/>
    <w:rsid w:val="00D938A5"/>
    <w:rsid w:val="00D939B8"/>
    <w:rsid w:val="00D93AEC"/>
    <w:rsid w:val="00D93CD9"/>
    <w:rsid w:val="00D945F3"/>
    <w:rsid w:val="00D94C82"/>
    <w:rsid w:val="00D94E07"/>
    <w:rsid w:val="00D9517A"/>
    <w:rsid w:val="00D951E9"/>
    <w:rsid w:val="00D95415"/>
    <w:rsid w:val="00D9597C"/>
    <w:rsid w:val="00D95B61"/>
    <w:rsid w:val="00D95EA1"/>
    <w:rsid w:val="00D960DA"/>
    <w:rsid w:val="00D961B1"/>
    <w:rsid w:val="00D962A3"/>
    <w:rsid w:val="00D96664"/>
    <w:rsid w:val="00D9704E"/>
    <w:rsid w:val="00D9707D"/>
    <w:rsid w:val="00D97100"/>
    <w:rsid w:val="00D9757A"/>
    <w:rsid w:val="00D97BD0"/>
    <w:rsid w:val="00DA02B4"/>
    <w:rsid w:val="00DA0AB4"/>
    <w:rsid w:val="00DA0E7D"/>
    <w:rsid w:val="00DA0FFF"/>
    <w:rsid w:val="00DA1339"/>
    <w:rsid w:val="00DA14CE"/>
    <w:rsid w:val="00DA1A83"/>
    <w:rsid w:val="00DA2114"/>
    <w:rsid w:val="00DA235F"/>
    <w:rsid w:val="00DA2661"/>
    <w:rsid w:val="00DA2880"/>
    <w:rsid w:val="00DA2917"/>
    <w:rsid w:val="00DA2BA8"/>
    <w:rsid w:val="00DA2BC5"/>
    <w:rsid w:val="00DA359F"/>
    <w:rsid w:val="00DA3618"/>
    <w:rsid w:val="00DA39EB"/>
    <w:rsid w:val="00DA3F2C"/>
    <w:rsid w:val="00DA49DB"/>
    <w:rsid w:val="00DA52D0"/>
    <w:rsid w:val="00DA5F15"/>
    <w:rsid w:val="00DA632A"/>
    <w:rsid w:val="00DA6656"/>
    <w:rsid w:val="00DA69F6"/>
    <w:rsid w:val="00DA6A4F"/>
    <w:rsid w:val="00DA6EEC"/>
    <w:rsid w:val="00DA7610"/>
    <w:rsid w:val="00DA79A5"/>
    <w:rsid w:val="00DA7F5B"/>
    <w:rsid w:val="00DB02AA"/>
    <w:rsid w:val="00DB05F3"/>
    <w:rsid w:val="00DB0936"/>
    <w:rsid w:val="00DB0D5F"/>
    <w:rsid w:val="00DB1399"/>
    <w:rsid w:val="00DB1596"/>
    <w:rsid w:val="00DB1952"/>
    <w:rsid w:val="00DB2973"/>
    <w:rsid w:val="00DB2D2A"/>
    <w:rsid w:val="00DB3496"/>
    <w:rsid w:val="00DB3652"/>
    <w:rsid w:val="00DB3D96"/>
    <w:rsid w:val="00DB405F"/>
    <w:rsid w:val="00DB4617"/>
    <w:rsid w:val="00DB4940"/>
    <w:rsid w:val="00DB4E02"/>
    <w:rsid w:val="00DB58EF"/>
    <w:rsid w:val="00DB5989"/>
    <w:rsid w:val="00DB5CCB"/>
    <w:rsid w:val="00DB69B3"/>
    <w:rsid w:val="00DB6A4C"/>
    <w:rsid w:val="00DB765F"/>
    <w:rsid w:val="00DC0120"/>
    <w:rsid w:val="00DC072C"/>
    <w:rsid w:val="00DC0790"/>
    <w:rsid w:val="00DC09D0"/>
    <w:rsid w:val="00DC0C52"/>
    <w:rsid w:val="00DC153B"/>
    <w:rsid w:val="00DC1B27"/>
    <w:rsid w:val="00DC1D65"/>
    <w:rsid w:val="00DC1EDE"/>
    <w:rsid w:val="00DC1F2F"/>
    <w:rsid w:val="00DC1F4F"/>
    <w:rsid w:val="00DC21F2"/>
    <w:rsid w:val="00DC2D62"/>
    <w:rsid w:val="00DC330B"/>
    <w:rsid w:val="00DC3A58"/>
    <w:rsid w:val="00DC3C15"/>
    <w:rsid w:val="00DC495E"/>
    <w:rsid w:val="00DC5087"/>
    <w:rsid w:val="00DC5193"/>
    <w:rsid w:val="00DC56F5"/>
    <w:rsid w:val="00DC67DB"/>
    <w:rsid w:val="00DC6CB0"/>
    <w:rsid w:val="00DC70A1"/>
    <w:rsid w:val="00DC72B5"/>
    <w:rsid w:val="00DC76B1"/>
    <w:rsid w:val="00DC7DA2"/>
    <w:rsid w:val="00DC7EA1"/>
    <w:rsid w:val="00DC7FC3"/>
    <w:rsid w:val="00DD07B5"/>
    <w:rsid w:val="00DD0ACD"/>
    <w:rsid w:val="00DD0F4C"/>
    <w:rsid w:val="00DD1230"/>
    <w:rsid w:val="00DD12E4"/>
    <w:rsid w:val="00DD169E"/>
    <w:rsid w:val="00DD17D5"/>
    <w:rsid w:val="00DD18BA"/>
    <w:rsid w:val="00DD222C"/>
    <w:rsid w:val="00DD227F"/>
    <w:rsid w:val="00DD23A4"/>
    <w:rsid w:val="00DD244D"/>
    <w:rsid w:val="00DD29C8"/>
    <w:rsid w:val="00DD2C12"/>
    <w:rsid w:val="00DD321D"/>
    <w:rsid w:val="00DD322D"/>
    <w:rsid w:val="00DD32B9"/>
    <w:rsid w:val="00DD3577"/>
    <w:rsid w:val="00DD3E57"/>
    <w:rsid w:val="00DD3F1B"/>
    <w:rsid w:val="00DD4BFE"/>
    <w:rsid w:val="00DD508C"/>
    <w:rsid w:val="00DD5185"/>
    <w:rsid w:val="00DD5670"/>
    <w:rsid w:val="00DD5C9E"/>
    <w:rsid w:val="00DD5EAA"/>
    <w:rsid w:val="00DD5F95"/>
    <w:rsid w:val="00DD642F"/>
    <w:rsid w:val="00DD6D8B"/>
    <w:rsid w:val="00DD7168"/>
    <w:rsid w:val="00DD7296"/>
    <w:rsid w:val="00DD7549"/>
    <w:rsid w:val="00DD77DB"/>
    <w:rsid w:val="00DD78DA"/>
    <w:rsid w:val="00DD7D37"/>
    <w:rsid w:val="00DE014A"/>
    <w:rsid w:val="00DE0B93"/>
    <w:rsid w:val="00DE1460"/>
    <w:rsid w:val="00DE15B3"/>
    <w:rsid w:val="00DE1EC7"/>
    <w:rsid w:val="00DE255E"/>
    <w:rsid w:val="00DE379B"/>
    <w:rsid w:val="00DE3C4C"/>
    <w:rsid w:val="00DE4111"/>
    <w:rsid w:val="00DE441D"/>
    <w:rsid w:val="00DE4D97"/>
    <w:rsid w:val="00DE4FB2"/>
    <w:rsid w:val="00DE5495"/>
    <w:rsid w:val="00DE57A0"/>
    <w:rsid w:val="00DE5A34"/>
    <w:rsid w:val="00DE5E53"/>
    <w:rsid w:val="00DE61A9"/>
    <w:rsid w:val="00DE6600"/>
    <w:rsid w:val="00DE71F4"/>
    <w:rsid w:val="00DE7892"/>
    <w:rsid w:val="00DE7D87"/>
    <w:rsid w:val="00DF0358"/>
    <w:rsid w:val="00DF03E7"/>
    <w:rsid w:val="00DF1141"/>
    <w:rsid w:val="00DF1D7F"/>
    <w:rsid w:val="00DF1D9D"/>
    <w:rsid w:val="00DF2009"/>
    <w:rsid w:val="00DF207B"/>
    <w:rsid w:val="00DF21CF"/>
    <w:rsid w:val="00DF361B"/>
    <w:rsid w:val="00DF3C78"/>
    <w:rsid w:val="00DF3D5D"/>
    <w:rsid w:val="00DF454F"/>
    <w:rsid w:val="00DF48E3"/>
    <w:rsid w:val="00DF4B4D"/>
    <w:rsid w:val="00DF4D9F"/>
    <w:rsid w:val="00DF5355"/>
    <w:rsid w:val="00DF565A"/>
    <w:rsid w:val="00DF585A"/>
    <w:rsid w:val="00DF7651"/>
    <w:rsid w:val="00DF7ACB"/>
    <w:rsid w:val="00DF7E09"/>
    <w:rsid w:val="00DF7F8E"/>
    <w:rsid w:val="00E0027E"/>
    <w:rsid w:val="00E0068C"/>
    <w:rsid w:val="00E008B5"/>
    <w:rsid w:val="00E0101F"/>
    <w:rsid w:val="00E01350"/>
    <w:rsid w:val="00E01981"/>
    <w:rsid w:val="00E01C57"/>
    <w:rsid w:val="00E0241E"/>
    <w:rsid w:val="00E024DB"/>
    <w:rsid w:val="00E02644"/>
    <w:rsid w:val="00E0299C"/>
    <w:rsid w:val="00E02DEB"/>
    <w:rsid w:val="00E02EE3"/>
    <w:rsid w:val="00E02F47"/>
    <w:rsid w:val="00E034E5"/>
    <w:rsid w:val="00E039D9"/>
    <w:rsid w:val="00E045CF"/>
    <w:rsid w:val="00E046B4"/>
    <w:rsid w:val="00E047FA"/>
    <w:rsid w:val="00E0556A"/>
    <w:rsid w:val="00E057B4"/>
    <w:rsid w:val="00E05ED7"/>
    <w:rsid w:val="00E0603D"/>
    <w:rsid w:val="00E065EA"/>
    <w:rsid w:val="00E06CE9"/>
    <w:rsid w:val="00E06D3F"/>
    <w:rsid w:val="00E06DF2"/>
    <w:rsid w:val="00E0755A"/>
    <w:rsid w:val="00E077CC"/>
    <w:rsid w:val="00E07913"/>
    <w:rsid w:val="00E07DF7"/>
    <w:rsid w:val="00E100EE"/>
    <w:rsid w:val="00E10541"/>
    <w:rsid w:val="00E106A2"/>
    <w:rsid w:val="00E1088E"/>
    <w:rsid w:val="00E10EFC"/>
    <w:rsid w:val="00E114F7"/>
    <w:rsid w:val="00E122FC"/>
    <w:rsid w:val="00E1277B"/>
    <w:rsid w:val="00E12C2C"/>
    <w:rsid w:val="00E12E52"/>
    <w:rsid w:val="00E12F88"/>
    <w:rsid w:val="00E13CAA"/>
    <w:rsid w:val="00E13EFD"/>
    <w:rsid w:val="00E1433D"/>
    <w:rsid w:val="00E147DF"/>
    <w:rsid w:val="00E156A5"/>
    <w:rsid w:val="00E15730"/>
    <w:rsid w:val="00E16578"/>
    <w:rsid w:val="00E16B60"/>
    <w:rsid w:val="00E16F65"/>
    <w:rsid w:val="00E1740A"/>
    <w:rsid w:val="00E179A0"/>
    <w:rsid w:val="00E17B34"/>
    <w:rsid w:val="00E17F61"/>
    <w:rsid w:val="00E17F9F"/>
    <w:rsid w:val="00E207F6"/>
    <w:rsid w:val="00E20F6C"/>
    <w:rsid w:val="00E2220E"/>
    <w:rsid w:val="00E227B6"/>
    <w:rsid w:val="00E22B3E"/>
    <w:rsid w:val="00E22BA9"/>
    <w:rsid w:val="00E23B43"/>
    <w:rsid w:val="00E23CD5"/>
    <w:rsid w:val="00E23D3F"/>
    <w:rsid w:val="00E23FC4"/>
    <w:rsid w:val="00E24455"/>
    <w:rsid w:val="00E253E0"/>
    <w:rsid w:val="00E2585B"/>
    <w:rsid w:val="00E25B0D"/>
    <w:rsid w:val="00E25DAA"/>
    <w:rsid w:val="00E26740"/>
    <w:rsid w:val="00E26929"/>
    <w:rsid w:val="00E2736B"/>
    <w:rsid w:val="00E273A1"/>
    <w:rsid w:val="00E2760B"/>
    <w:rsid w:val="00E30672"/>
    <w:rsid w:val="00E30719"/>
    <w:rsid w:val="00E30EDB"/>
    <w:rsid w:val="00E3153A"/>
    <w:rsid w:val="00E31AF8"/>
    <w:rsid w:val="00E31C9C"/>
    <w:rsid w:val="00E31F71"/>
    <w:rsid w:val="00E327E2"/>
    <w:rsid w:val="00E3333A"/>
    <w:rsid w:val="00E33665"/>
    <w:rsid w:val="00E33BAA"/>
    <w:rsid w:val="00E3444D"/>
    <w:rsid w:val="00E34586"/>
    <w:rsid w:val="00E3488C"/>
    <w:rsid w:val="00E349BE"/>
    <w:rsid w:val="00E34ED2"/>
    <w:rsid w:val="00E35222"/>
    <w:rsid w:val="00E362A2"/>
    <w:rsid w:val="00E36A27"/>
    <w:rsid w:val="00E40127"/>
    <w:rsid w:val="00E40506"/>
    <w:rsid w:val="00E4095F"/>
    <w:rsid w:val="00E40977"/>
    <w:rsid w:val="00E41002"/>
    <w:rsid w:val="00E4137C"/>
    <w:rsid w:val="00E417A8"/>
    <w:rsid w:val="00E41D9F"/>
    <w:rsid w:val="00E42959"/>
    <w:rsid w:val="00E42C4E"/>
    <w:rsid w:val="00E42DBB"/>
    <w:rsid w:val="00E43508"/>
    <w:rsid w:val="00E436F5"/>
    <w:rsid w:val="00E43949"/>
    <w:rsid w:val="00E439E6"/>
    <w:rsid w:val="00E445E2"/>
    <w:rsid w:val="00E44C8A"/>
    <w:rsid w:val="00E4589B"/>
    <w:rsid w:val="00E45922"/>
    <w:rsid w:val="00E46468"/>
    <w:rsid w:val="00E465E7"/>
    <w:rsid w:val="00E46643"/>
    <w:rsid w:val="00E467F7"/>
    <w:rsid w:val="00E46C2C"/>
    <w:rsid w:val="00E47209"/>
    <w:rsid w:val="00E4770C"/>
    <w:rsid w:val="00E502AD"/>
    <w:rsid w:val="00E50938"/>
    <w:rsid w:val="00E50FD5"/>
    <w:rsid w:val="00E517F1"/>
    <w:rsid w:val="00E51D4A"/>
    <w:rsid w:val="00E5204A"/>
    <w:rsid w:val="00E520D3"/>
    <w:rsid w:val="00E52732"/>
    <w:rsid w:val="00E52D4E"/>
    <w:rsid w:val="00E531FC"/>
    <w:rsid w:val="00E534D8"/>
    <w:rsid w:val="00E53BA2"/>
    <w:rsid w:val="00E53E76"/>
    <w:rsid w:val="00E54498"/>
    <w:rsid w:val="00E54E1F"/>
    <w:rsid w:val="00E54EEA"/>
    <w:rsid w:val="00E54FAB"/>
    <w:rsid w:val="00E55038"/>
    <w:rsid w:val="00E553F4"/>
    <w:rsid w:val="00E5567E"/>
    <w:rsid w:val="00E556AE"/>
    <w:rsid w:val="00E55949"/>
    <w:rsid w:val="00E55DBC"/>
    <w:rsid w:val="00E5631C"/>
    <w:rsid w:val="00E563A2"/>
    <w:rsid w:val="00E563EA"/>
    <w:rsid w:val="00E56428"/>
    <w:rsid w:val="00E564F1"/>
    <w:rsid w:val="00E574BE"/>
    <w:rsid w:val="00E57982"/>
    <w:rsid w:val="00E600C2"/>
    <w:rsid w:val="00E60130"/>
    <w:rsid w:val="00E60791"/>
    <w:rsid w:val="00E6089F"/>
    <w:rsid w:val="00E60AFA"/>
    <w:rsid w:val="00E60FD8"/>
    <w:rsid w:val="00E613ED"/>
    <w:rsid w:val="00E61526"/>
    <w:rsid w:val="00E61E10"/>
    <w:rsid w:val="00E62282"/>
    <w:rsid w:val="00E62837"/>
    <w:rsid w:val="00E64487"/>
    <w:rsid w:val="00E64830"/>
    <w:rsid w:val="00E64AE0"/>
    <w:rsid w:val="00E64DEC"/>
    <w:rsid w:val="00E6629E"/>
    <w:rsid w:val="00E66B68"/>
    <w:rsid w:val="00E66D71"/>
    <w:rsid w:val="00E66DB3"/>
    <w:rsid w:val="00E66DD0"/>
    <w:rsid w:val="00E676ED"/>
    <w:rsid w:val="00E70712"/>
    <w:rsid w:val="00E72063"/>
    <w:rsid w:val="00E7211F"/>
    <w:rsid w:val="00E728D0"/>
    <w:rsid w:val="00E72F0E"/>
    <w:rsid w:val="00E7329C"/>
    <w:rsid w:val="00E73312"/>
    <w:rsid w:val="00E74F76"/>
    <w:rsid w:val="00E75073"/>
    <w:rsid w:val="00E7542F"/>
    <w:rsid w:val="00E755C8"/>
    <w:rsid w:val="00E75665"/>
    <w:rsid w:val="00E75FF6"/>
    <w:rsid w:val="00E764DC"/>
    <w:rsid w:val="00E766F8"/>
    <w:rsid w:val="00E76AF1"/>
    <w:rsid w:val="00E76AFE"/>
    <w:rsid w:val="00E76B98"/>
    <w:rsid w:val="00E772D3"/>
    <w:rsid w:val="00E77EA7"/>
    <w:rsid w:val="00E80963"/>
    <w:rsid w:val="00E80C53"/>
    <w:rsid w:val="00E80FC0"/>
    <w:rsid w:val="00E81026"/>
    <w:rsid w:val="00E81210"/>
    <w:rsid w:val="00E8150C"/>
    <w:rsid w:val="00E816CC"/>
    <w:rsid w:val="00E81B0A"/>
    <w:rsid w:val="00E82328"/>
    <w:rsid w:val="00E82CD4"/>
    <w:rsid w:val="00E83060"/>
    <w:rsid w:val="00E83432"/>
    <w:rsid w:val="00E8364F"/>
    <w:rsid w:val="00E83E00"/>
    <w:rsid w:val="00E83E36"/>
    <w:rsid w:val="00E848EE"/>
    <w:rsid w:val="00E84C2A"/>
    <w:rsid w:val="00E84F55"/>
    <w:rsid w:val="00E84F83"/>
    <w:rsid w:val="00E84FC4"/>
    <w:rsid w:val="00E85127"/>
    <w:rsid w:val="00E85707"/>
    <w:rsid w:val="00E85A34"/>
    <w:rsid w:val="00E85B2F"/>
    <w:rsid w:val="00E860A8"/>
    <w:rsid w:val="00E8660E"/>
    <w:rsid w:val="00E87343"/>
    <w:rsid w:val="00E879D4"/>
    <w:rsid w:val="00E87BA6"/>
    <w:rsid w:val="00E9067C"/>
    <w:rsid w:val="00E90947"/>
    <w:rsid w:val="00E91316"/>
    <w:rsid w:val="00E9193A"/>
    <w:rsid w:val="00E91C3F"/>
    <w:rsid w:val="00E92205"/>
    <w:rsid w:val="00E926A4"/>
    <w:rsid w:val="00E93765"/>
    <w:rsid w:val="00E9580C"/>
    <w:rsid w:val="00E95928"/>
    <w:rsid w:val="00E95F8D"/>
    <w:rsid w:val="00E96959"/>
    <w:rsid w:val="00E97245"/>
    <w:rsid w:val="00E979C7"/>
    <w:rsid w:val="00EA058D"/>
    <w:rsid w:val="00EA05C2"/>
    <w:rsid w:val="00EA0A0E"/>
    <w:rsid w:val="00EA0E01"/>
    <w:rsid w:val="00EA11E9"/>
    <w:rsid w:val="00EA13A4"/>
    <w:rsid w:val="00EA18C0"/>
    <w:rsid w:val="00EA19BC"/>
    <w:rsid w:val="00EA1E42"/>
    <w:rsid w:val="00EA2117"/>
    <w:rsid w:val="00EA2F1B"/>
    <w:rsid w:val="00EA3174"/>
    <w:rsid w:val="00EA38E8"/>
    <w:rsid w:val="00EA3E31"/>
    <w:rsid w:val="00EA409D"/>
    <w:rsid w:val="00EA4940"/>
    <w:rsid w:val="00EA4961"/>
    <w:rsid w:val="00EA4F34"/>
    <w:rsid w:val="00EA6141"/>
    <w:rsid w:val="00EA72DA"/>
    <w:rsid w:val="00EA7410"/>
    <w:rsid w:val="00EA7B2A"/>
    <w:rsid w:val="00EA7CDC"/>
    <w:rsid w:val="00EB0766"/>
    <w:rsid w:val="00EB0F06"/>
    <w:rsid w:val="00EB1907"/>
    <w:rsid w:val="00EB1A32"/>
    <w:rsid w:val="00EB1F78"/>
    <w:rsid w:val="00EB2A99"/>
    <w:rsid w:val="00EB2D09"/>
    <w:rsid w:val="00EB2E42"/>
    <w:rsid w:val="00EB39B8"/>
    <w:rsid w:val="00EB46FB"/>
    <w:rsid w:val="00EB49B0"/>
    <w:rsid w:val="00EB4ADF"/>
    <w:rsid w:val="00EB4B9E"/>
    <w:rsid w:val="00EB508B"/>
    <w:rsid w:val="00EB53E7"/>
    <w:rsid w:val="00EB5483"/>
    <w:rsid w:val="00EB57B7"/>
    <w:rsid w:val="00EB5C60"/>
    <w:rsid w:val="00EB622F"/>
    <w:rsid w:val="00EB6A35"/>
    <w:rsid w:val="00EB70D7"/>
    <w:rsid w:val="00EC01D0"/>
    <w:rsid w:val="00EC059F"/>
    <w:rsid w:val="00EC08A2"/>
    <w:rsid w:val="00EC12C6"/>
    <w:rsid w:val="00EC1564"/>
    <w:rsid w:val="00EC1A08"/>
    <w:rsid w:val="00EC1F4A"/>
    <w:rsid w:val="00EC2BBF"/>
    <w:rsid w:val="00EC3A0B"/>
    <w:rsid w:val="00EC3A1E"/>
    <w:rsid w:val="00EC3DC5"/>
    <w:rsid w:val="00EC42AC"/>
    <w:rsid w:val="00EC4CB9"/>
    <w:rsid w:val="00EC5188"/>
    <w:rsid w:val="00EC5492"/>
    <w:rsid w:val="00EC581F"/>
    <w:rsid w:val="00EC63A6"/>
    <w:rsid w:val="00EC64C1"/>
    <w:rsid w:val="00EC6BFD"/>
    <w:rsid w:val="00EC6C56"/>
    <w:rsid w:val="00EC6DFB"/>
    <w:rsid w:val="00EC7038"/>
    <w:rsid w:val="00ED18F1"/>
    <w:rsid w:val="00ED1B09"/>
    <w:rsid w:val="00ED1E5F"/>
    <w:rsid w:val="00ED2099"/>
    <w:rsid w:val="00ED20CF"/>
    <w:rsid w:val="00ED26B6"/>
    <w:rsid w:val="00ED2D46"/>
    <w:rsid w:val="00ED3202"/>
    <w:rsid w:val="00ED3CB8"/>
    <w:rsid w:val="00ED3EAD"/>
    <w:rsid w:val="00ED461B"/>
    <w:rsid w:val="00ED46E6"/>
    <w:rsid w:val="00ED4BC0"/>
    <w:rsid w:val="00ED4E4A"/>
    <w:rsid w:val="00ED5539"/>
    <w:rsid w:val="00ED5E5E"/>
    <w:rsid w:val="00ED690F"/>
    <w:rsid w:val="00ED6911"/>
    <w:rsid w:val="00ED6C26"/>
    <w:rsid w:val="00ED6D6B"/>
    <w:rsid w:val="00ED73F0"/>
    <w:rsid w:val="00EE0291"/>
    <w:rsid w:val="00EE0808"/>
    <w:rsid w:val="00EE0829"/>
    <w:rsid w:val="00EE0839"/>
    <w:rsid w:val="00EE0B55"/>
    <w:rsid w:val="00EE146B"/>
    <w:rsid w:val="00EE33CA"/>
    <w:rsid w:val="00EE34E0"/>
    <w:rsid w:val="00EE3CF4"/>
    <w:rsid w:val="00EE3D39"/>
    <w:rsid w:val="00EE3F12"/>
    <w:rsid w:val="00EE43D3"/>
    <w:rsid w:val="00EE4A66"/>
    <w:rsid w:val="00EE4F79"/>
    <w:rsid w:val="00EE4F86"/>
    <w:rsid w:val="00EE50FC"/>
    <w:rsid w:val="00EE52CF"/>
    <w:rsid w:val="00EE530C"/>
    <w:rsid w:val="00EE5B15"/>
    <w:rsid w:val="00EE60CB"/>
    <w:rsid w:val="00EE6291"/>
    <w:rsid w:val="00EE652D"/>
    <w:rsid w:val="00EE65C4"/>
    <w:rsid w:val="00EE6C20"/>
    <w:rsid w:val="00EE6F04"/>
    <w:rsid w:val="00EE70E8"/>
    <w:rsid w:val="00EE7543"/>
    <w:rsid w:val="00EF05D0"/>
    <w:rsid w:val="00EF0CA6"/>
    <w:rsid w:val="00EF0DB7"/>
    <w:rsid w:val="00EF13CB"/>
    <w:rsid w:val="00EF179E"/>
    <w:rsid w:val="00EF3E73"/>
    <w:rsid w:val="00EF3FBF"/>
    <w:rsid w:val="00EF47A4"/>
    <w:rsid w:val="00EF4B3F"/>
    <w:rsid w:val="00EF511E"/>
    <w:rsid w:val="00EF54D7"/>
    <w:rsid w:val="00EF55C0"/>
    <w:rsid w:val="00EF5A71"/>
    <w:rsid w:val="00EF5B08"/>
    <w:rsid w:val="00EF5C10"/>
    <w:rsid w:val="00EF6821"/>
    <w:rsid w:val="00EF68CF"/>
    <w:rsid w:val="00EF6F38"/>
    <w:rsid w:val="00EF7147"/>
    <w:rsid w:val="00EF7451"/>
    <w:rsid w:val="00EF758B"/>
    <w:rsid w:val="00EF7B0E"/>
    <w:rsid w:val="00F0036B"/>
    <w:rsid w:val="00F0098B"/>
    <w:rsid w:val="00F014FB"/>
    <w:rsid w:val="00F015EC"/>
    <w:rsid w:val="00F016DA"/>
    <w:rsid w:val="00F016F4"/>
    <w:rsid w:val="00F023E9"/>
    <w:rsid w:val="00F0256C"/>
    <w:rsid w:val="00F02856"/>
    <w:rsid w:val="00F02A93"/>
    <w:rsid w:val="00F030C6"/>
    <w:rsid w:val="00F03715"/>
    <w:rsid w:val="00F03BFD"/>
    <w:rsid w:val="00F03E62"/>
    <w:rsid w:val="00F0457E"/>
    <w:rsid w:val="00F04A44"/>
    <w:rsid w:val="00F05CDC"/>
    <w:rsid w:val="00F060CB"/>
    <w:rsid w:val="00F061FA"/>
    <w:rsid w:val="00F06391"/>
    <w:rsid w:val="00F06C3E"/>
    <w:rsid w:val="00F07D91"/>
    <w:rsid w:val="00F10242"/>
    <w:rsid w:val="00F10695"/>
    <w:rsid w:val="00F10924"/>
    <w:rsid w:val="00F10DA6"/>
    <w:rsid w:val="00F10E7C"/>
    <w:rsid w:val="00F111CE"/>
    <w:rsid w:val="00F1144E"/>
    <w:rsid w:val="00F11DF2"/>
    <w:rsid w:val="00F1212C"/>
    <w:rsid w:val="00F12CBE"/>
    <w:rsid w:val="00F12CEF"/>
    <w:rsid w:val="00F12F23"/>
    <w:rsid w:val="00F132BA"/>
    <w:rsid w:val="00F134CE"/>
    <w:rsid w:val="00F14567"/>
    <w:rsid w:val="00F14599"/>
    <w:rsid w:val="00F15368"/>
    <w:rsid w:val="00F1549B"/>
    <w:rsid w:val="00F156EB"/>
    <w:rsid w:val="00F163E5"/>
    <w:rsid w:val="00F1668C"/>
    <w:rsid w:val="00F16706"/>
    <w:rsid w:val="00F168BB"/>
    <w:rsid w:val="00F16B69"/>
    <w:rsid w:val="00F16DED"/>
    <w:rsid w:val="00F1710E"/>
    <w:rsid w:val="00F1710F"/>
    <w:rsid w:val="00F17406"/>
    <w:rsid w:val="00F177C0"/>
    <w:rsid w:val="00F17C6C"/>
    <w:rsid w:val="00F20B0E"/>
    <w:rsid w:val="00F20B41"/>
    <w:rsid w:val="00F20D28"/>
    <w:rsid w:val="00F2171C"/>
    <w:rsid w:val="00F21800"/>
    <w:rsid w:val="00F21B7B"/>
    <w:rsid w:val="00F2286D"/>
    <w:rsid w:val="00F22A48"/>
    <w:rsid w:val="00F235C6"/>
    <w:rsid w:val="00F23BEF"/>
    <w:rsid w:val="00F23C7C"/>
    <w:rsid w:val="00F24C3F"/>
    <w:rsid w:val="00F24F2A"/>
    <w:rsid w:val="00F24FAC"/>
    <w:rsid w:val="00F259CA"/>
    <w:rsid w:val="00F2612C"/>
    <w:rsid w:val="00F26144"/>
    <w:rsid w:val="00F261AA"/>
    <w:rsid w:val="00F2691D"/>
    <w:rsid w:val="00F26C96"/>
    <w:rsid w:val="00F26D3C"/>
    <w:rsid w:val="00F270B3"/>
    <w:rsid w:val="00F27A3D"/>
    <w:rsid w:val="00F30360"/>
    <w:rsid w:val="00F307C9"/>
    <w:rsid w:val="00F30A25"/>
    <w:rsid w:val="00F30B4F"/>
    <w:rsid w:val="00F30EE2"/>
    <w:rsid w:val="00F31D78"/>
    <w:rsid w:val="00F31DE3"/>
    <w:rsid w:val="00F31E58"/>
    <w:rsid w:val="00F32100"/>
    <w:rsid w:val="00F3279F"/>
    <w:rsid w:val="00F32C8D"/>
    <w:rsid w:val="00F32D98"/>
    <w:rsid w:val="00F33069"/>
    <w:rsid w:val="00F3314F"/>
    <w:rsid w:val="00F34065"/>
    <w:rsid w:val="00F3412E"/>
    <w:rsid w:val="00F34647"/>
    <w:rsid w:val="00F34659"/>
    <w:rsid w:val="00F3485B"/>
    <w:rsid w:val="00F35068"/>
    <w:rsid w:val="00F351BB"/>
    <w:rsid w:val="00F3546D"/>
    <w:rsid w:val="00F359E8"/>
    <w:rsid w:val="00F35E7F"/>
    <w:rsid w:val="00F3607C"/>
    <w:rsid w:val="00F3612F"/>
    <w:rsid w:val="00F36C7B"/>
    <w:rsid w:val="00F36F6B"/>
    <w:rsid w:val="00F37021"/>
    <w:rsid w:val="00F37201"/>
    <w:rsid w:val="00F379B3"/>
    <w:rsid w:val="00F40A92"/>
    <w:rsid w:val="00F40EA9"/>
    <w:rsid w:val="00F4139A"/>
    <w:rsid w:val="00F4172A"/>
    <w:rsid w:val="00F4257C"/>
    <w:rsid w:val="00F42589"/>
    <w:rsid w:val="00F42699"/>
    <w:rsid w:val="00F427E9"/>
    <w:rsid w:val="00F428D1"/>
    <w:rsid w:val="00F42E95"/>
    <w:rsid w:val="00F4310C"/>
    <w:rsid w:val="00F43738"/>
    <w:rsid w:val="00F43A28"/>
    <w:rsid w:val="00F43AB5"/>
    <w:rsid w:val="00F43C04"/>
    <w:rsid w:val="00F443C9"/>
    <w:rsid w:val="00F444B5"/>
    <w:rsid w:val="00F44A0C"/>
    <w:rsid w:val="00F44B6D"/>
    <w:rsid w:val="00F44E2D"/>
    <w:rsid w:val="00F455C6"/>
    <w:rsid w:val="00F45783"/>
    <w:rsid w:val="00F46607"/>
    <w:rsid w:val="00F466E4"/>
    <w:rsid w:val="00F469AE"/>
    <w:rsid w:val="00F46E52"/>
    <w:rsid w:val="00F46F64"/>
    <w:rsid w:val="00F4713B"/>
    <w:rsid w:val="00F4740A"/>
    <w:rsid w:val="00F47818"/>
    <w:rsid w:val="00F500D9"/>
    <w:rsid w:val="00F5110F"/>
    <w:rsid w:val="00F5167A"/>
    <w:rsid w:val="00F519C2"/>
    <w:rsid w:val="00F51A2C"/>
    <w:rsid w:val="00F52770"/>
    <w:rsid w:val="00F52E12"/>
    <w:rsid w:val="00F52F71"/>
    <w:rsid w:val="00F530C7"/>
    <w:rsid w:val="00F531FD"/>
    <w:rsid w:val="00F53321"/>
    <w:rsid w:val="00F5364E"/>
    <w:rsid w:val="00F53945"/>
    <w:rsid w:val="00F5396F"/>
    <w:rsid w:val="00F5446A"/>
    <w:rsid w:val="00F54490"/>
    <w:rsid w:val="00F54619"/>
    <w:rsid w:val="00F54626"/>
    <w:rsid w:val="00F5527D"/>
    <w:rsid w:val="00F56575"/>
    <w:rsid w:val="00F57503"/>
    <w:rsid w:val="00F57CEF"/>
    <w:rsid w:val="00F60805"/>
    <w:rsid w:val="00F60DBF"/>
    <w:rsid w:val="00F60E72"/>
    <w:rsid w:val="00F614BD"/>
    <w:rsid w:val="00F61500"/>
    <w:rsid w:val="00F6197D"/>
    <w:rsid w:val="00F626DC"/>
    <w:rsid w:val="00F62913"/>
    <w:rsid w:val="00F63277"/>
    <w:rsid w:val="00F633D0"/>
    <w:rsid w:val="00F63457"/>
    <w:rsid w:val="00F63496"/>
    <w:rsid w:val="00F63832"/>
    <w:rsid w:val="00F63846"/>
    <w:rsid w:val="00F64818"/>
    <w:rsid w:val="00F64E1C"/>
    <w:rsid w:val="00F652DD"/>
    <w:rsid w:val="00F65661"/>
    <w:rsid w:val="00F6587D"/>
    <w:rsid w:val="00F66E23"/>
    <w:rsid w:val="00F676C9"/>
    <w:rsid w:val="00F677F9"/>
    <w:rsid w:val="00F70263"/>
    <w:rsid w:val="00F70BD8"/>
    <w:rsid w:val="00F713A5"/>
    <w:rsid w:val="00F71EF2"/>
    <w:rsid w:val="00F72451"/>
    <w:rsid w:val="00F731E5"/>
    <w:rsid w:val="00F735EC"/>
    <w:rsid w:val="00F7393F"/>
    <w:rsid w:val="00F73C79"/>
    <w:rsid w:val="00F73E99"/>
    <w:rsid w:val="00F740AF"/>
    <w:rsid w:val="00F7433C"/>
    <w:rsid w:val="00F7503A"/>
    <w:rsid w:val="00F754A7"/>
    <w:rsid w:val="00F7550B"/>
    <w:rsid w:val="00F757ED"/>
    <w:rsid w:val="00F75BA0"/>
    <w:rsid w:val="00F767C5"/>
    <w:rsid w:val="00F76E3E"/>
    <w:rsid w:val="00F77262"/>
    <w:rsid w:val="00F77B28"/>
    <w:rsid w:val="00F77B4E"/>
    <w:rsid w:val="00F80102"/>
    <w:rsid w:val="00F80459"/>
    <w:rsid w:val="00F80A19"/>
    <w:rsid w:val="00F80BAF"/>
    <w:rsid w:val="00F80BE1"/>
    <w:rsid w:val="00F81680"/>
    <w:rsid w:val="00F82202"/>
    <w:rsid w:val="00F828D1"/>
    <w:rsid w:val="00F831F6"/>
    <w:rsid w:val="00F83A36"/>
    <w:rsid w:val="00F83C7E"/>
    <w:rsid w:val="00F83CF8"/>
    <w:rsid w:val="00F83F70"/>
    <w:rsid w:val="00F84361"/>
    <w:rsid w:val="00F84525"/>
    <w:rsid w:val="00F84E2B"/>
    <w:rsid w:val="00F85B18"/>
    <w:rsid w:val="00F85F26"/>
    <w:rsid w:val="00F861A4"/>
    <w:rsid w:val="00F86258"/>
    <w:rsid w:val="00F863A5"/>
    <w:rsid w:val="00F86B22"/>
    <w:rsid w:val="00F86EC2"/>
    <w:rsid w:val="00F87341"/>
    <w:rsid w:val="00F87582"/>
    <w:rsid w:val="00F9002B"/>
    <w:rsid w:val="00F90310"/>
    <w:rsid w:val="00F90F48"/>
    <w:rsid w:val="00F9104F"/>
    <w:rsid w:val="00F9158F"/>
    <w:rsid w:val="00F91ABD"/>
    <w:rsid w:val="00F92042"/>
    <w:rsid w:val="00F9283A"/>
    <w:rsid w:val="00F92A7F"/>
    <w:rsid w:val="00F92A96"/>
    <w:rsid w:val="00F93423"/>
    <w:rsid w:val="00F936CC"/>
    <w:rsid w:val="00F937FE"/>
    <w:rsid w:val="00F93819"/>
    <w:rsid w:val="00F93C03"/>
    <w:rsid w:val="00F93C38"/>
    <w:rsid w:val="00F93C6B"/>
    <w:rsid w:val="00F94801"/>
    <w:rsid w:val="00F94B1F"/>
    <w:rsid w:val="00F953B2"/>
    <w:rsid w:val="00F9551C"/>
    <w:rsid w:val="00F95EE0"/>
    <w:rsid w:val="00F96A65"/>
    <w:rsid w:val="00F96F58"/>
    <w:rsid w:val="00F97E9D"/>
    <w:rsid w:val="00FA003F"/>
    <w:rsid w:val="00FA02FE"/>
    <w:rsid w:val="00FA10F0"/>
    <w:rsid w:val="00FA11B7"/>
    <w:rsid w:val="00FA12F1"/>
    <w:rsid w:val="00FA135F"/>
    <w:rsid w:val="00FA15F6"/>
    <w:rsid w:val="00FA16A6"/>
    <w:rsid w:val="00FA17AD"/>
    <w:rsid w:val="00FA2897"/>
    <w:rsid w:val="00FA2DB7"/>
    <w:rsid w:val="00FA335A"/>
    <w:rsid w:val="00FA35C9"/>
    <w:rsid w:val="00FA3E2B"/>
    <w:rsid w:val="00FA48C0"/>
    <w:rsid w:val="00FA4C69"/>
    <w:rsid w:val="00FA5244"/>
    <w:rsid w:val="00FA537C"/>
    <w:rsid w:val="00FA56F7"/>
    <w:rsid w:val="00FA5B3F"/>
    <w:rsid w:val="00FA5DC3"/>
    <w:rsid w:val="00FA65C9"/>
    <w:rsid w:val="00FA67B7"/>
    <w:rsid w:val="00FA75B6"/>
    <w:rsid w:val="00FA7EFC"/>
    <w:rsid w:val="00FB0567"/>
    <w:rsid w:val="00FB0E82"/>
    <w:rsid w:val="00FB11EE"/>
    <w:rsid w:val="00FB2022"/>
    <w:rsid w:val="00FB20E6"/>
    <w:rsid w:val="00FB2A86"/>
    <w:rsid w:val="00FB33CF"/>
    <w:rsid w:val="00FB3B0D"/>
    <w:rsid w:val="00FB4055"/>
    <w:rsid w:val="00FB44D9"/>
    <w:rsid w:val="00FB4BBC"/>
    <w:rsid w:val="00FB5988"/>
    <w:rsid w:val="00FB5A9B"/>
    <w:rsid w:val="00FB5E90"/>
    <w:rsid w:val="00FB6C8A"/>
    <w:rsid w:val="00FB73E6"/>
    <w:rsid w:val="00FB74E4"/>
    <w:rsid w:val="00FC0D7C"/>
    <w:rsid w:val="00FC0E9B"/>
    <w:rsid w:val="00FC105A"/>
    <w:rsid w:val="00FC12ED"/>
    <w:rsid w:val="00FC1495"/>
    <w:rsid w:val="00FC21CB"/>
    <w:rsid w:val="00FC2AD4"/>
    <w:rsid w:val="00FC3E23"/>
    <w:rsid w:val="00FC450E"/>
    <w:rsid w:val="00FC49FA"/>
    <w:rsid w:val="00FC4B8A"/>
    <w:rsid w:val="00FC4CC0"/>
    <w:rsid w:val="00FC506A"/>
    <w:rsid w:val="00FC5849"/>
    <w:rsid w:val="00FC5BCF"/>
    <w:rsid w:val="00FC5E09"/>
    <w:rsid w:val="00FC6134"/>
    <w:rsid w:val="00FC616F"/>
    <w:rsid w:val="00FC6368"/>
    <w:rsid w:val="00FC6448"/>
    <w:rsid w:val="00FC7198"/>
    <w:rsid w:val="00FC75D5"/>
    <w:rsid w:val="00FC765A"/>
    <w:rsid w:val="00FC77F5"/>
    <w:rsid w:val="00FC7CB2"/>
    <w:rsid w:val="00FC7F32"/>
    <w:rsid w:val="00FD0564"/>
    <w:rsid w:val="00FD06C1"/>
    <w:rsid w:val="00FD0FBB"/>
    <w:rsid w:val="00FD2024"/>
    <w:rsid w:val="00FD26E4"/>
    <w:rsid w:val="00FD2785"/>
    <w:rsid w:val="00FD2A02"/>
    <w:rsid w:val="00FD2D44"/>
    <w:rsid w:val="00FD2D5A"/>
    <w:rsid w:val="00FD32C7"/>
    <w:rsid w:val="00FD3544"/>
    <w:rsid w:val="00FD35B4"/>
    <w:rsid w:val="00FD380D"/>
    <w:rsid w:val="00FD3E5F"/>
    <w:rsid w:val="00FD45E7"/>
    <w:rsid w:val="00FD4CFD"/>
    <w:rsid w:val="00FD5148"/>
    <w:rsid w:val="00FD581C"/>
    <w:rsid w:val="00FD61F2"/>
    <w:rsid w:val="00FD633B"/>
    <w:rsid w:val="00FD7907"/>
    <w:rsid w:val="00FD7A43"/>
    <w:rsid w:val="00FD7B72"/>
    <w:rsid w:val="00FD7E58"/>
    <w:rsid w:val="00FE0555"/>
    <w:rsid w:val="00FE0E75"/>
    <w:rsid w:val="00FE11BE"/>
    <w:rsid w:val="00FE25CF"/>
    <w:rsid w:val="00FE2987"/>
    <w:rsid w:val="00FE326F"/>
    <w:rsid w:val="00FE32F0"/>
    <w:rsid w:val="00FE396A"/>
    <w:rsid w:val="00FE3B3E"/>
    <w:rsid w:val="00FE3BD1"/>
    <w:rsid w:val="00FE43FD"/>
    <w:rsid w:val="00FE45F8"/>
    <w:rsid w:val="00FE4715"/>
    <w:rsid w:val="00FE4C00"/>
    <w:rsid w:val="00FE5686"/>
    <w:rsid w:val="00FE61A1"/>
    <w:rsid w:val="00FE61F0"/>
    <w:rsid w:val="00FE6361"/>
    <w:rsid w:val="00FF0203"/>
    <w:rsid w:val="00FF0D7D"/>
    <w:rsid w:val="00FF0E92"/>
    <w:rsid w:val="00FF1C91"/>
    <w:rsid w:val="00FF1CA7"/>
    <w:rsid w:val="00FF221B"/>
    <w:rsid w:val="00FF22CF"/>
    <w:rsid w:val="00FF26D6"/>
    <w:rsid w:val="00FF2753"/>
    <w:rsid w:val="00FF2BC3"/>
    <w:rsid w:val="00FF2D06"/>
    <w:rsid w:val="00FF2FA0"/>
    <w:rsid w:val="00FF3165"/>
    <w:rsid w:val="00FF3896"/>
    <w:rsid w:val="00FF3F4A"/>
    <w:rsid w:val="00FF450F"/>
    <w:rsid w:val="00FF4658"/>
    <w:rsid w:val="00FF4A80"/>
    <w:rsid w:val="00FF4D69"/>
    <w:rsid w:val="00FF52FD"/>
    <w:rsid w:val="00FF5CC4"/>
    <w:rsid w:val="00FF7A63"/>
    <w:rsid w:val="00FF7EEE"/>
    <w:rsid w:val="30A12C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nhideWhenUsed="0" w:uiPriority="39"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name="Normal Indent"/>
    <w:lsdException w:qFormat="1" w:unhideWhenUsed="0" w:uiPriority="0"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qFormat="1" w:uiPriority="99" w:semiHidden="0" w:name="annotation reference"/>
    <w:lsdException w:uiPriority="99" w:name="line number"/>
    <w:lsdException w:qFormat="1" w:uiPriority="0" w:name="page number"/>
    <w:lsdException w:uiPriority="99" w:name="endnote reference"/>
    <w:lsdException w:qFormat="1" w:uiPriority="0" w:name="endnote text"/>
    <w:lsdException w:uiPriority="99" w:name="table of authorities"/>
    <w:lsdException w:uiPriority="99" w:name="macro"/>
    <w:lsdException w:uiPriority="99"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iPriority="99" w:name="Body Text Indent"/>
    <w:lsdException w:qFormat="1" w:unhideWhenUsed="0" w:uiPriority="0" w:semiHidden="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iPriority="0" w:name="Message Header"/>
    <w:lsdException w:qFormat="1" w:unhideWhenUsed="0" w:uiPriority="11" w:semiHidden="0" w:name="Subtitle"/>
    <w:lsdException w:qFormat="1" w:unhideWhenUsed="0" w:uiPriority="0" w:semiHidden="0" w:name="Salutation"/>
    <w:lsdException w:qFormat="1" w:unhideWhenUsed="0" w:uiPriority="99" w:semiHidden="0" w:name="Date"/>
    <w:lsdException w:qFormat="1" w:uiPriority="0" w:name="Body Text First Indent"/>
    <w:lsdException w:qFormat="1" w:uiPriority="0" w:name="Body Text First Indent 2"/>
    <w:lsdException w:qFormat="1" w:uiPriority="0" w:name="Note Heading"/>
    <w:lsdException w:qFormat="1" w:uiPriority="0" w:name="Body Text 2"/>
    <w:lsdException w:qFormat="1" w:uiPriority="0" w:name="Body Text 3"/>
    <w:lsdException w:qFormat="1" w:uiPriority="0" w:name="Body Text Indent 2"/>
    <w:lsdException w:qFormat="1" w:uiPriority="0" w:name="Body Text Indent 3"/>
    <w:lsdException w:qFormat="1" w:uiPriority="0" w:name="Block Text"/>
    <w:lsdException w:qFormat="1" w:unhideWhenUsed="0" w:uiPriority="99" w:semiHidden="0" w:name="Hyperlink"/>
    <w:lsdException w:unhideWhenUsed="0" w:uiPriority="99" w:semiHidden="0" w:name="FollowedHyperlink"/>
    <w:lsdException w:unhideWhenUsed="0" w:uiPriority="0" w:semiHidden="0" w:name="Strong"/>
    <w:lsdException w:qFormat="1" w:unhideWhenUsed="0" w:uiPriority="20" w:semiHidden="0" w:name="Emphasis"/>
    <w:lsdException w:qFormat="1" w:uiPriority="99"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uiPriority="99" w:name="HTML Acronym"/>
    <w:lsdException w:uiPriority="0" w:name="HTML Address"/>
    <w:lsdException w:uiPriority="99" w:name="HTML Cite"/>
    <w:lsdException w:uiPriority="99" w:name="HTML Code"/>
    <w:lsdException w:uiPriority="99" w:name="HTML Definition"/>
    <w:lsdException w:uiPriority="99" w:name="HTML Keyboard"/>
    <w:lsdException w:uiPriority="0" w:name="HTML Preformatted"/>
    <w:lsdException w:uiPriority="99" w:name="HTML Sample"/>
    <w:lsdException w:uiPriority="0"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3"/>
    <w:qFormat/>
    <w:uiPriority w:val="9"/>
    <w:pPr>
      <w:keepNext/>
      <w:keepLines/>
      <w:numPr>
        <w:ilvl w:val="0"/>
        <w:numId w:val="1"/>
      </w:numPr>
      <w:spacing w:line="360" w:lineRule="auto"/>
      <w:outlineLvl w:val="0"/>
    </w:pPr>
    <w:rPr>
      <w:b/>
      <w:bCs/>
      <w:kern w:val="44"/>
      <w:sz w:val="36"/>
      <w:szCs w:val="44"/>
    </w:rPr>
  </w:style>
  <w:style w:type="paragraph" w:styleId="3">
    <w:name w:val="heading 2"/>
    <w:basedOn w:val="1"/>
    <w:next w:val="1"/>
    <w:link w:val="74"/>
    <w:unhideWhenUsed/>
    <w:qFormat/>
    <w:uiPriority w:val="9"/>
    <w:pPr>
      <w:keepNext/>
      <w:keepLines/>
      <w:numPr>
        <w:ilvl w:val="1"/>
        <w:numId w:val="1"/>
      </w:numPr>
      <w:spacing w:line="500" w:lineRule="exact"/>
      <w:outlineLvl w:val="1"/>
    </w:pPr>
    <w:rPr>
      <w:rFonts w:eastAsia="黑体"/>
      <w:bCs/>
      <w:sz w:val="28"/>
      <w:szCs w:val="32"/>
    </w:rPr>
  </w:style>
  <w:style w:type="paragraph" w:styleId="4">
    <w:name w:val="heading 3"/>
    <w:basedOn w:val="1"/>
    <w:next w:val="1"/>
    <w:link w:val="75"/>
    <w:unhideWhenUsed/>
    <w:qFormat/>
    <w:uiPriority w:val="9"/>
    <w:pPr>
      <w:keepNext/>
      <w:keepLines/>
      <w:numPr>
        <w:ilvl w:val="2"/>
        <w:numId w:val="1"/>
      </w:numPr>
      <w:spacing w:line="500" w:lineRule="exact"/>
      <w:outlineLvl w:val="2"/>
    </w:pPr>
    <w:rPr>
      <w:rFonts w:eastAsia="黑体"/>
      <w:bCs/>
      <w:sz w:val="24"/>
      <w:szCs w:val="32"/>
    </w:rPr>
  </w:style>
  <w:style w:type="paragraph" w:styleId="5">
    <w:name w:val="heading 4"/>
    <w:basedOn w:val="1"/>
    <w:next w:val="1"/>
    <w:link w:val="76"/>
    <w:unhideWhenUsed/>
    <w:qFormat/>
    <w:uiPriority w:val="9"/>
    <w:pPr>
      <w:keepNext/>
      <w:keepLines/>
      <w:numPr>
        <w:ilvl w:val="3"/>
        <w:numId w:val="1"/>
      </w:numPr>
      <w:spacing w:line="520" w:lineRule="exact"/>
      <w:ind w:left="0" w:firstLine="0"/>
      <w:outlineLvl w:val="3"/>
    </w:pPr>
    <w:rPr>
      <w:bCs/>
      <w:sz w:val="24"/>
      <w:szCs w:val="28"/>
    </w:rPr>
  </w:style>
  <w:style w:type="paragraph" w:styleId="6">
    <w:name w:val="heading 5"/>
    <w:basedOn w:val="1"/>
    <w:next w:val="1"/>
    <w:link w:val="136"/>
    <w:qFormat/>
    <w:uiPriority w:val="9"/>
    <w:pPr>
      <w:keepNext/>
      <w:keepLines/>
      <w:tabs>
        <w:tab w:val="left" w:pos="2736"/>
      </w:tabs>
      <w:adjustRightInd w:val="0"/>
      <w:spacing w:before="280" w:after="290" w:line="376" w:lineRule="atLeast"/>
      <w:ind w:left="2736" w:hanging="732"/>
      <w:textAlignment w:val="baseline"/>
      <w:outlineLvl w:val="4"/>
    </w:pPr>
    <w:rPr>
      <w:b/>
      <w:kern w:val="0"/>
      <w:sz w:val="28"/>
    </w:rPr>
  </w:style>
  <w:style w:type="paragraph" w:styleId="7">
    <w:name w:val="heading 6"/>
    <w:basedOn w:val="1"/>
    <w:next w:val="1"/>
    <w:link w:val="93"/>
    <w:qFormat/>
    <w:uiPriority w:val="9"/>
    <w:pPr>
      <w:keepNext/>
      <w:keepLines/>
      <w:tabs>
        <w:tab w:val="left" w:pos="2736"/>
      </w:tabs>
      <w:adjustRightInd w:val="0"/>
      <w:spacing w:before="240" w:after="64" w:line="320" w:lineRule="atLeast"/>
      <w:ind w:left="2736" w:hanging="732"/>
      <w:textAlignment w:val="baseline"/>
      <w:outlineLvl w:val="5"/>
    </w:pPr>
    <w:rPr>
      <w:rFonts w:ascii="Arial" w:hAnsi="Arial" w:eastAsia="黑体"/>
      <w:b/>
      <w:kern w:val="0"/>
      <w:sz w:val="24"/>
    </w:rPr>
  </w:style>
  <w:style w:type="paragraph" w:styleId="8">
    <w:name w:val="heading 7"/>
    <w:basedOn w:val="1"/>
    <w:next w:val="1"/>
    <w:link w:val="94"/>
    <w:qFormat/>
    <w:uiPriority w:val="0"/>
    <w:pPr>
      <w:keepNext/>
      <w:keepLines/>
      <w:tabs>
        <w:tab w:val="left" w:pos="2736"/>
      </w:tabs>
      <w:adjustRightInd w:val="0"/>
      <w:spacing w:before="240" w:after="64" w:line="320" w:lineRule="atLeast"/>
      <w:ind w:left="2736" w:hanging="732"/>
      <w:textAlignment w:val="baseline"/>
      <w:outlineLvl w:val="6"/>
    </w:pPr>
    <w:rPr>
      <w:b/>
      <w:kern w:val="0"/>
      <w:sz w:val="24"/>
    </w:rPr>
  </w:style>
  <w:style w:type="paragraph" w:styleId="9">
    <w:name w:val="heading 8"/>
    <w:basedOn w:val="1"/>
    <w:next w:val="1"/>
    <w:link w:val="95"/>
    <w:qFormat/>
    <w:uiPriority w:val="0"/>
    <w:pPr>
      <w:keepNext/>
      <w:keepLines/>
      <w:tabs>
        <w:tab w:val="left" w:pos="2736"/>
      </w:tabs>
      <w:adjustRightInd w:val="0"/>
      <w:spacing w:before="240" w:after="64" w:line="320" w:lineRule="atLeast"/>
      <w:ind w:left="2736" w:hanging="732"/>
      <w:textAlignment w:val="baseline"/>
      <w:outlineLvl w:val="7"/>
    </w:pPr>
    <w:rPr>
      <w:rFonts w:ascii="Arial" w:hAnsi="Arial" w:eastAsia="黑体"/>
      <w:kern w:val="0"/>
      <w:sz w:val="24"/>
    </w:rPr>
  </w:style>
  <w:style w:type="paragraph" w:styleId="10">
    <w:name w:val="heading 9"/>
    <w:basedOn w:val="1"/>
    <w:next w:val="1"/>
    <w:link w:val="96"/>
    <w:qFormat/>
    <w:uiPriority w:val="0"/>
    <w:pPr>
      <w:keepNext/>
      <w:keepLines/>
      <w:tabs>
        <w:tab w:val="left" w:pos="2736"/>
      </w:tabs>
      <w:adjustRightInd w:val="0"/>
      <w:spacing w:before="240" w:after="64" w:line="320" w:lineRule="atLeast"/>
      <w:ind w:left="2736" w:hanging="732"/>
      <w:textAlignment w:val="baseline"/>
      <w:outlineLvl w:val="8"/>
    </w:pPr>
    <w:rPr>
      <w:rFonts w:ascii="Arial" w:hAnsi="Arial" w:eastAsia="黑体"/>
      <w:kern w:val="0"/>
    </w:rPr>
  </w:style>
  <w:style w:type="character" w:default="1" w:styleId="65">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ind w:left="100" w:leftChars="400" w:hanging="200" w:hangingChars="200"/>
    </w:pPr>
  </w:style>
  <w:style w:type="paragraph" w:styleId="12">
    <w:name w:val="toc 7"/>
    <w:basedOn w:val="1"/>
    <w:next w:val="1"/>
    <w:autoRedefine/>
    <w:uiPriority w:val="0"/>
    <w:pPr>
      <w:spacing w:line="360" w:lineRule="auto"/>
      <w:ind w:left="2520" w:leftChars="1200"/>
    </w:pPr>
    <w:rPr>
      <w:sz w:val="24"/>
    </w:rPr>
  </w:style>
  <w:style w:type="paragraph" w:styleId="13">
    <w:name w:val="List Number 2"/>
    <w:basedOn w:val="1"/>
    <w:uiPriority w:val="0"/>
    <w:pPr>
      <w:tabs>
        <w:tab w:val="left" w:pos="780"/>
      </w:tabs>
      <w:ind w:left="780" w:leftChars="200" w:hanging="360" w:hangingChars="200"/>
    </w:pPr>
  </w:style>
  <w:style w:type="paragraph" w:styleId="14">
    <w:name w:val="List Bullet 4"/>
    <w:basedOn w:val="1"/>
    <w:uiPriority w:val="0"/>
    <w:pPr>
      <w:tabs>
        <w:tab w:val="left" w:pos="1620"/>
      </w:tabs>
      <w:ind w:left="1620" w:leftChars="600" w:hanging="360" w:hangingChars="200"/>
    </w:pPr>
  </w:style>
  <w:style w:type="paragraph" w:styleId="15">
    <w:name w:val="E-mail Signature"/>
    <w:basedOn w:val="1"/>
    <w:link w:val="118"/>
    <w:qFormat/>
    <w:uiPriority w:val="0"/>
  </w:style>
  <w:style w:type="paragraph" w:styleId="16">
    <w:name w:val="List Number"/>
    <w:basedOn w:val="1"/>
    <w:qFormat/>
    <w:uiPriority w:val="0"/>
    <w:pPr>
      <w:tabs>
        <w:tab w:val="left" w:pos="360"/>
      </w:tabs>
      <w:ind w:left="360" w:hanging="360" w:hangingChars="200"/>
    </w:pPr>
  </w:style>
  <w:style w:type="paragraph" w:styleId="17">
    <w:name w:val="caption"/>
    <w:basedOn w:val="1"/>
    <w:next w:val="1"/>
    <w:link w:val="256"/>
    <w:unhideWhenUsed/>
    <w:qFormat/>
    <w:uiPriority w:val="0"/>
    <w:rPr>
      <w:rFonts w:eastAsia="黑体" w:asciiTheme="majorHAnsi" w:hAnsiTheme="majorHAnsi" w:cstheme="majorBidi"/>
      <w:sz w:val="20"/>
      <w:szCs w:val="20"/>
    </w:rPr>
  </w:style>
  <w:style w:type="paragraph" w:styleId="18">
    <w:name w:val="List Bullet"/>
    <w:basedOn w:val="1"/>
    <w:uiPriority w:val="0"/>
    <w:pPr>
      <w:tabs>
        <w:tab w:val="left" w:pos="360"/>
      </w:tabs>
      <w:ind w:left="360" w:hanging="360" w:hangingChars="200"/>
    </w:pPr>
  </w:style>
  <w:style w:type="paragraph" w:styleId="19">
    <w:name w:val="envelope address"/>
    <w:basedOn w:val="1"/>
    <w:uiPriority w:val="0"/>
    <w:pPr>
      <w:framePr w:w="7920" w:h="1980" w:hRule="exact" w:hSpace="180" w:wrap="auto" w:vAnchor="margin" w:hAnchor="page" w:xAlign="center" w:yAlign="bottom"/>
      <w:snapToGrid w:val="0"/>
      <w:ind w:left="100" w:leftChars="1400"/>
    </w:pPr>
    <w:rPr>
      <w:rFonts w:ascii="Arial" w:hAnsi="Arial" w:cs="Arial"/>
      <w:sz w:val="24"/>
    </w:rPr>
  </w:style>
  <w:style w:type="paragraph" w:styleId="20">
    <w:name w:val="annotation text"/>
    <w:basedOn w:val="1"/>
    <w:link w:val="90"/>
    <w:unhideWhenUsed/>
    <w:qFormat/>
    <w:uiPriority w:val="99"/>
    <w:pPr>
      <w:jc w:val="left"/>
    </w:pPr>
  </w:style>
  <w:style w:type="paragraph" w:styleId="21">
    <w:name w:val="Salutation"/>
    <w:basedOn w:val="1"/>
    <w:next w:val="1"/>
    <w:link w:val="117"/>
    <w:qFormat/>
    <w:uiPriority w:val="0"/>
  </w:style>
  <w:style w:type="paragraph" w:styleId="22">
    <w:name w:val="Closing"/>
    <w:basedOn w:val="1"/>
    <w:link w:val="120"/>
    <w:qFormat/>
    <w:uiPriority w:val="0"/>
    <w:pPr>
      <w:ind w:left="100" w:leftChars="2100"/>
    </w:pPr>
  </w:style>
  <w:style w:type="paragraph" w:styleId="23">
    <w:name w:val="List Bullet 3"/>
    <w:basedOn w:val="1"/>
    <w:uiPriority w:val="0"/>
    <w:pPr>
      <w:tabs>
        <w:tab w:val="left" w:pos="1200"/>
      </w:tabs>
      <w:ind w:left="1200" w:leftChars="400" w:hanging="360" w:hangingChars="200"/>
    </w:pPr>
  </w:style>
  <w:style w:type="paragraph" w:styleId="24">
    <w:name w:val="Body Text"/>
    <w:basedOn w:val="1"/>
    <w:link w:val="264"/>
    <w:qFormat/>
    <w:uiPriority w:val="1"/>
    <w:pPr>
      <w:autoSpaceDE w:val="0"/>
      <w:autoSpaceDN w:val="0"/>
      <w:jc w:val="left"/>
    </w:pPr>
    <w:rPr>
      <w:rFonts w:ascii="宋体" w:hAnsi="宋体" w:cs="宋体"/>
      <w:kern w:val="0"/>
      <w:sz w:val="24"/>
      <w:lang w:val="zh-CN" w:bidi="zh-CN"/>
    </w:rPr>
  </w:style>
  <w:style w:type="paragraph" w:styleId="25">
    <w:name w:val="Body Text Indent"/>
    <w:basedOn w:val="1"/>
    <w:link w:val="365"/>
    <w:semiHidden/>
    <w:unhideWhenUsed/>
    <w:qFormat/>
    <w:uiPriority w:val="99"/>
    <w:pPr>
      <w:spacing w:after="120"/>
      <w:ind w:left="420" w:leftChars="200"/>
    </w:pPr>
  </w:style>
  <w:style w:type="paragraph" w:styleId="26">
    <w:name w:val="List Number 3"/>
    <w:basedOn w:val="1"/>
    <w:uiPriority w:val="0"/>
    <w:pPr>
      <w:tabs>
        <w:tab w:val="left" w:pos="1200"/>
      </w:tabs>
      <w:ind w:left="1200" w:leftChars="400" w:hanging="360" w:hangingChars="200"/>
    </w:pPr>
  </w:style>
  <w:style w:type="paragraph" w:styleId="27">
    <w:name w:val="List 2"/>
    <w:basedOn w:val="1"/>
    <w:qFormat/>
    <w:uiPriority w:val="0"/>
    <w:pPr>
      <w:ind w:left="100" w:leftChars="200" w:hanging="200" w:hangingChars="200"/>
    </w:pPr>
  </w:style>
  <w:style w:type="paragraph" w:styleId="28">
    <w:name w:val="List Continue"/>
    <w:basedOn w:val="1"/>
    <w:qFormat/>
    <w:uiPriority w:val="0"/>
    <w:pPr>
      <w:spacing w:after="120"/>
      <w:ind w:left="420" w:leftChars="200"/>
    </w:pPr>
  </w:style>
  <w:style w:type="paragraph" w:styleId="29">
    <w:name w:val="List Bullet 2"/>
    <w:basedOn w:val="1"/>
    <w:uiPriority w:val="0"/>
    <w:pPr>
      <w:tabs>
        <w:tab w:val="left" w:pos="780"/>
      </w:tabs>
      <w:ind w:left="780" w:leftChars="200" w:hanging="360" w:hangingChars="200"/>
    </w:pPr>
  </w:style>
  <w:style w:type="paragraph" w:styleId="30">
    <w:name w:val="toc 5"/>
    <w:basedOn w:val="1"/>
    <w:next w:val="1"/>
    <w:autoRedefine/>
    <w:uiPriority w:val="0"/>
    <w:pPr>
      <w:spacing w:line="360" w:lineRule="auto"/>
      <w:ind w:left="1680" w:leftChars="800"/>
    </w:pPr>
    <w:rPr>
      <w:sz w:val="24"/>
    </w:rPr>
  </w:style>
  <w:style w:type="paragraph" w:styleId="31">
    <w:name w:val="toc 3"/>
    <w:basedOn w:val="1"/>
    <w:next w:val="1"/>
    <w:autoRedefine/>
    <w:uiPriority w:val="39"/>
    <w:pPr>
      <w:spacing w:line="360" w:lineRule="auto"/>
      <w:ind w:left="840" w:leftChars="400"/>
    </w:pPr>
    <w:rPr>
      <w:sz w:val="24"/>
    </w:rPr>
  </w:style>
  <w:style w:type="paragraph" w:styleId="32">
    <w:name w:val="Plain Text"/>
    <w:basedOn w:val="1"/>
    <w:link w:val="82"/>
    <w:qFormat/>
    <w:uiPriority w:val="0"/>
    <w:rPr>
      <w:rFonts w:ascii="宋体" w:hAnsi="Courier New" w:eastAsiaTheme="minorEastAsia" w:cstheme="minorBidi"/>
    </w:rPr>
  </w:style>
  <w:style w:type="paragraph" w:styleId="33">
    <w:name w:val="List Bullet 5"/>
    <w:basedOn w:val="1"/>
    <w:uiPriority w:val="0"/>
    <w:pPr>
      <w:tabs>
        <w:tab w:val="left" w:pos="2040"/>
      </w:tabs>
      <w:ind w:left="2040" w:leftChars="800" w:hanging="360" w:hangingChars="200"/>
    </w:pPr>
  </w:style>
  <w:style w:type="paragraph" w:styleId="34">
    <w:name w:val="List Number 4"/>
    <w:basedOn w:val="1"/>
    <w:uiPriority w:val="0"/>
    <w:pPr>
      <w:tabs>
        <w:tab w:val="left" w:pos="1620"/>
      </w:tabs>
      <w:ind w:left="1620" w:leftChars="600" w:hanging="360" w:hangingChars="200"/>
    </w:pPr>
  </w:style>
  <w:style w:type="paragraph" w:styleId="35">
    <w:name w:val="toc 8"/>
    <w:basedOn w:val="1"/>
    <w:next w:val="1"/>
    <w:autoRedefine/>
    <w:uiPriority w:val="0"/>
    <w:pPr>
      <w:spacing w:line="360" w:lineRule="auto"/>
      <w:ind w:left="2940" w:leftChars="1400"/>
    </w:pPr>
    <w:rPr>
      <w:sz w:val="24"/>
    </w:rPr>
  </w:style>
  <w:style w:type="paragraph" w:styleId="36">
    <w:name w:val="Date"/>
    <w:basedOn w:val="1"/>
    <w:next w:val="1"/>
    <w:link w:val="103"/>
    <w:qFormat/>
    <w:uiPriority w:val="99"/>
    <w:rPr>
      <w:rFonts w:ascii="宋体"/>
      <w:sz w:val="28"/>
    </w:rPr>
  </w:style>
  <w:style w:type="paragraph" w:styleId="37">
    <w:name w:val="List Continue 5"/>
    <w:basedOn w:val="1"/>
    <w:uiPriority w:val="0"/>
    <w:pPr>
      <w:spacing w:after="120"/>
      <w:ind w:left="2100" w:leftChars="1000"/>
    </w:pPr>
  </w:style>
  <w:style w:type="paragraph" w:styleId="38">
    <w:name w:val="Balloon Text"/>
    <w:basedOn w:val="1"/>
    <w:link w:val="79"/>
    <w:semiHidden/>
    <w:unhideWhenUsed/>
    <w:qFormat/>
    <w:uiPriority w:val="99"/>
    <w:rPr>
      <w:sz w:val="18"/>
      <w:szCs w:val="18"/>
    </w:rPr>
  </w:style>
  <w:style w:type="paragraph" w:styleId="39">
    <w:name w:val="footer"/>
    <w:basedOn w:val="1"/>
    <w:link w:val="72"/>
    <w:unhideWhenUsed/>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cs="Arial"/>
    </w:rPr>
  </w:style>
  <w:style w:type="paragraph" w:styleId="41">
    <w:name w:val="header"/>
    <w:basedOn w:val="1"/>
    <w:link w:val="71"/>
    <w:unhideWhenUsed/>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138"/>
    <w:uiPriority w:val="0"/>
    <w:pPr>
      <w:ind w:left="100" w:leftChars="2100"/>
    </w:pPr>
  </w:style>
  <w:style w:type="paragraph" w:styleId="43">
    <w:name w:val="toc 1"/>
    <w:basedOn w:val="1"/>
    <w:next w:val="1"/>
    <w:qFormat/>
    <w:uiPriority w:val="39"/>
  </w:style>
  <w:style w:type="paragraph" w:styleId="44">
    <w:name w:val="List Continue 4"/>
    <w:basedOn w:val="1"/>
    <w:uiPriority w:val="0"/>
    <w:pPr>
      <w:spacing w:after="120"/>
      <w:ind w:left="1680" w:leftChars="800"/>
    </w:pPr>
  </w:style>
  <w:style w:type="paragraph" w:styleId="45">
    <w:name w:val="toc 4"/>
    <w:basedOn w:val="1"/>
    <w:next w:val="1"/>
    <w:qFormat/>
    <w:uiPriority w:val="0"/>
    <w:pPr>
      <w:ind w:left="1260"/>
    </w:pPr>
  </w:style>
  <w:style w:type="paragraph" w:styleId="46">
    <w:name w:val="Subtitle"/>
    <w:basedOn w:val="1"/>
    <w:link w:val="119"/>
    <w:qFormat/>
    <w:uiPriority w:val="11"/>
    <w:pPr>
      <w:spacing w:before="240" w:after="60" w:line="312" w:lineRule="auto"/>
      <w:jc w:val="center"/>
      <w:outlineLvl w:val="1"/>
    </w:pPr>
    <w:rPr>
      <w:rFonts w:ascii="Arial" w:hAnsi="Arial" w:cs="Arial"/>
      <w:b/>
      <w:bCs/>
      <w:kern w:val="28"/>
      <w:sz w:val="32"/>
      <w:szCs w:val="32"/>
    </w:rPr>
  </w:style>
  <w:style w:type="paragraph" w:styleId="47">
    <w:name w:val="List Number 5"/>
    <w:basedOn w:val="1"/>
    <w:qFormat/>
    <w:uiPriority w:val="0"/>
    <w:pPr>
      <w:tabs>
        <w:tab w:val="left" w:pos="2040"/>
      </w:tabs>
      <w:ind w:left="2040" w:leftChars="800" w:hanging="360" w:hangingChars="200"/>
    </w:pPr>
  </w:style>
  <w:style w:type="paragraph" w:styleId="48">
    <w:name w:val="List"/>
    <w:basedOn w:val="1"/>
    <w:qFormat/>
    <w:uiPriority w:val="0"/>
    <w:pPr>
      <w:ind w:left="200" w:hanging="200" w:hangingChars="200"/>
    </w:pPr>
  </w:style>
  <w:style w:type="paragraph" w:styleId="49">
    <w:name w:val="footnote text"/>
    <w:basedOn w:val="1"/>
    <w:link w:val="135"/>
    <w:qFormat/>
    <w:uiPriority w:val="0"/>
    <w:pPr>
      <w:snapToGrid w:val="0"/>
      <w:jc w:val="left"/>
    </w:pPr>
    <w:rPr>
      <w:sz w:val="18"/>
      <w:szCs w:val="18"/>
    </w:rPr>
  </w:style>
  <w:style w:type="paragraph" w:styleId="50">
    <w:name w:val="toc 6"/>
    <w:basedOn w:val="1"/>
    <w:next w:val="1"/>
    <w:autoRedefine/>
    <w:uiPriority w:val="0"/>
    <w:pPr>
      <w:spacing w:line="360" w:lineRule="auto"/>
      <w:ind w:left="2100" w:leftChars="1000"/>
    </w:pPr>
    <w:rPr>
      <w:sz w:val="24"/>
    </w:rPr>
  </w:style>
  <w:style w:type="paragraph" w:styleId="51">
    <w:name w:val="List 5"/>
    <w:basedOn w:val="1"/>
    <w:uiPriority w:val="0"/>
    <w:pPr>
      <w:ind w:left="100" w:leftChars="800" w:hanging="200" w:hangingChars="200"/>
    </w:pPr>
  </w:style>
  <w:style w:type="paragraph" w:styleId="52">
    <w:name w:val="table of figures"/>
    <w:basedOn w:val="1"/>
    <w:next w:val="1"/>
    <w:qFormat/>
    <w:uiPriority w:val="0"/>
    <w:pPr>
      <w:ind w:left="840" w:leftChars="200" w:hanging="420" w:hangingChars="200"/>
    </w:pPr>
  </w:style>
  <w:style w:type="paragraph" w:styleId="53">
    <w:name w:val="toc 2"/>
    <w:basedOn w:val="1"/>
    <w:next w:val="1"/>
    <w:autoRedefine/>
    <w:qFormat/>
    <w:uiPriority w:val="39"/>
    <w:pPr>
      <w:tabs>
        <w:tab w:val="right" w:leader="dot" w:pos="8302"/>
      </w:tabs>
      <w:spacing w:line="360" w:lineRule="exact"/>
      <w:ind w:left="420" w:leftChars="200"/>
    </w:pPr>
  </w:style>
  <w:style w:type="paragraph" w:styleId="54">
    <w:name w:val="toc 9"/>
    <w:basedOn w:val="1"/>
    <w:next w:val="1"/>
    <w:autoRedefine/>
    <w:uiPriority w:val="0"/>
    <w:pPr>
      <w:spacing w:line="360" w:lineRule="auto"/>
      <w:ind w:left="3360" w:leftChars="1600"/>
    </w:pPr>
    <w:rPr>
      <w:sz w:val="24"/>
    </w:rPr>
  </w:style>
  <w:style w:type="paragraph" w:styleId="55">
    <w:name w:val="List 4"/>
    <w:basedOn w:val="1"/>
    <w:qFormat/>
    <w:uiPriority w:val="0"/>
    <w:pPr>
      <w:ind w:left="100" w:leftChars="600" w:hanging="200" w:hangingChars="200"/>
    </w:pPr>
  </w:style>
  <w:style w:type="paragraph" w:styleId="56">
    <w:name w:val="List Continue 2"/>
    <w:basedOn w:val="1"/>
    <w:qFormat/>
    <w:uiPriority w:val="0"/>
    <w:pPr>
      <w:spacing w:after="120"/>
      <w:ind w:left="840" w:leftChars="400"/>
    </w:pPr>
  </w:style>
  <w:style w:type="paragraph" w:styleId="57">
    <w:name w:val="Normal (Web)"/>
    <w:basedOn w:val="1"/>
    <w:link w:val="226"/>
    <w:qFormat/>
    <w:uiPriority w:val="99"/>
    <w:pPr>
      <w:widowControl/>
      <w:spacing w:before="100" w:beforeAutospacing="1" w:after="100" w:afterAutospacing="1"/>
      <w:jc w:val="left"/>
    </w:pPr>
    <w:rPr>
      <w:rFonts w:ascii="宋体" w:hAnsi="宋体" w:cs="宋体"/>
      <w:kern w:val="0"/>
      <w:sz w:val="24"/>
    </w:rPr>
  </w:style>
  <w:style w:type="paragraph" w:styleId="58">
    <w:name w:val="List Continue 3"/>
    <w:basedOn w:val="1"/>
    <w:uiPriority w:val="0"/>
    <w:pPr>
      <w:spacing w:after="120"/>
      <w:ind w:left="1260" w:leftChars="600"/>
    </w:pPr>
  </w:style>
  <w:style w:type="paragraph" w:styleId="59">
    <w:name w:val="index 1"/>
    <w:basedOn w:val="1"/>
    <w:next w:val="1"/>
    <w:autoRedefine/>
    <w:semiHidden/>
    <w:qFormat/>
    <w:uiPriority w:val="0"/>
    <w:pPr>
      <w:spacing w:before="40" w:line="340" w:lineRule="exact"/>
      <w:ind w:left="-22" w:firstLine="22"/>
    </w:pPr>
    <w:rPr>
      <w:spacing w:val="-4"/>
      <w:szCs w:val="20"/>
    </w:rPr>
  </w:style>
  <w:style w:type="paragraph" w:styleId="60">
    <w:name w:val="Title"/>
    <w:basedOn w:val="1"/>
    <w:link w:val="116"/>
    <w:qFormat/>
    <w:uiPriority w:val="0"/>
    <w:pPr>
      <w:spacing w:before="240" w:after="60"/>
      <w:jc w:val="center"/>
      <w:outlineLvl w:val="0"/>
    </w:pPr>
    <w:rPr>
      <w:rFonts w:ascii="Arial" w:hAnsi="Arial" w:cs="Arial"/>
      <w:b/>
      <w:bCs/>
      <w:sz w:val="32"/>
      <w:szCs w:val="32"/>
    </w:rPr>
  </w:style>
  <w:style w:type="paragraph" w:styleId="61">
    <w:name w:val="annotation subject"/>
    <w:basedOn w:val="20"/>
    <w:next w:val="20"/>
    <w:link w:val="91"/>
    <w:unhideWhenUsed/>
    <w:qFormat/>
    <w:uiPriority w:val="99"/>
    <w:rPr>
      <w:b/>
      <w:bCs/>
    </w:rPr>
  </w:style>
  <w:style w:type="paragraph" w:styleId="62">
    <w:name w:val="Body Text First Indent 2"/>
    <w:basedOn w:val="25"/>
    <w:link w:val="366"/>
    <w:semiHidden/>
    <w:unhideWhenUsed/>
    <w:qFormat/>
    <w:uiPriority w:val="0"/>
    <w:pPr>
      <w:ind w:firstLine="420" w:firstLineChars="200"/>
    </w:pPr>
  </w:style>
  <w:style w:type="table" w:styleId="64">
    <w:name w:val="Table Grid"/>
    <w:basedOn w:val="6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6">
    <w:name w:val="FollowedHyperlink"/>
    <w:basedOn w:val="65"/>
    <w:uiPriority w:val="99"/>
    <w:rPr>
      <w:color w:val="800080"/>
      <w:u w:val="single"/>
    </w:rPr>
  </w:style>
  <w:style w:type="character" w:styleId="67">
    <w:name w:val="Emphasis"/>
    <w:basedOn w:val="65"/>
    <w:qFormat/>
    <w:uiPriority w:val="20"/>
    <w:rPr>
      <w:color w:val="CC0000"/>
    </w:rPr>
  </w:style>
  <w:style w:type="character" w:styleId="68">
    <w:name w:val="Hyperlink"/>
    <w:basedOn w:val="65"/>
    <w:qFormat/>
    <w:uiPriority w:val="99"/>
    <w:rPr>
      <w:color w:val="0000FF"/>
      <w:u w:val="single"/>
    </w:rPr>
  </w:style>
  <w:style w:type="character" w:styleId="69">
    <w:name w:val="annotation reference"/>
    <w:basedOn w:val="65"/>
    <w:unhideWhenUsed/>
    <w:qFormat/>
    <w:uiPriority w:val="99"/>
    <w:rPr>
      <w:sz w:val="21"/>
      <w:szCs w:val="21"/>
    </w:rPr>
  </w:style>
  <w:style w:type="character" w:styleId="70">
    <w:name w:val="footnote reference"/>
    <w:qFormat/>
    <w:uiPriority w:val="0"/>
    <w:rPr>
      <w:vertAlign w:val="superscript"/>
    </w:rPr>
  </w:style>
  <w:style w:type="character" w:customStyle="1" w:styleId="71">
    <w:name w:val="页眉 字符"/>
    <w:basedOn w:val="65"/>
    <w:link w:val="41"/>
    <w:qFormat/>
    <w:uiPriority w:val="99"/>
    <w:rPr>
      <w:rFonts w:ascii="Times New Roman" w:hAnsi="Times New Roman" w:eastAsia="宋体" w:cs="Times New Roman"/>
      <w:sz w:val="18"/>
      <w:szCs w:val="18"/>
    </w:rPr>
  </w:style>
  <w:style w:type="character" w:customStyle="1" w:styleId="72">
    <w:name w:val="页脚 字符"/>
    <w:basedOn w:val="65"/>
    <w:link w:val="39"/>
    <w:qFormat/>
    <w:uiPriority w:val="99"/>
    <w:rPr>
      <w:rFonts w:ascii="Times New Roman" w:hAnsi="Times New Roman" w:eastAsia="宋体" w:cs="Times New Roman"/>
      <w:sz w:val="18"/>
      <w:szCs w:val="18"/>
    </w:rPr>
  </w:style>
  <w:style w:type="character" w:customStyle="1" w:styleId="73">
    <w:name w:val="标题 1 字符"/>
    <w:basedOn w:val="65"/>
    <w:link w:val="2"/>
    <w:qFormat/>
    <w:uiPriority w:val="9"/>
    <w:rPr>
      <w:rFonts w:ascii="Times New Roman" w:hAnsi="Times New Roman" w:eastAsia="宋体" w:cs="Times New Roman"/>
      <w:b/>
      <w:bCs/>
      <w:kern w:val="44"/>
      <w:sz w:val="36"/>
      <w:szCs w:val="44"/>
    </w:rPr>
  </w:style>
  <w:style w:type="character" w:customStyle="1" w:styleId="74">
    <w:name w:val="标题 2 字符"/>
    <w:basedOn w:val="65"/>
    <w:link w:val="3"/>
    <w:qFormat/>
    <w:uiPriority w:val="9"/>
    <w:rPr>
      <w:rFonts w:ascii="Times New Roman" w:hAnsi="Times New Roman" w:eastAsia="黑体" w:cs="Times New Roman"/>
      <w:bCs/>
      <w:sz w:val="28"/>
      <w:szCs w:val="32"/>
    </w:rPr>
  </w:style>
  <w:style w:type="character" w:customStyle="1" w:styleId="75">
    <w:name w:val="标题 3 字符"/>
    <w:basedOn w:val="65"/>
    <w:link w:val="4"/>
    <w:qFormat/>
    <w:uiPriority w:val="9"/>
    <w:rPr>
      <w:rFonts w:ascii="Times New Roman" w:hAnsi="Times New Roman" w:eastAsia="黑体" w:cs="Times New Roman"/>
      <w:bCs/>
      <w:sz w:val="24"/>
      <w:szCs w:val="32"/>
    </w:rPr>
  </w:style>
  <w:style w:type="character" w:customStyle="1" w:styleId="76">
    <w:name w:val="标题 4 字符"/>
    <w:basedOn w:val="65"/>
    <w:link w:val="5"/>
    <w:qFormat/>
    <w:uiPriority w:val="9"/>
    <w:rPr>
      <w:rFonts w:ascii="Times New Roman" w:hAnsi="Times New Roman" w:eastAsia="宋体" w:cs="Times New Roman"/>
      <w:bCs/>
      <w:sz w:val="24"/>
      <w:szCs w:val="28"/>
    </w:rPr>
  </w:style>
  <w:style w:type="paragraph" w:styleId="77">
    <w:name w:val="No Spacing"/>
    <w:basedOn w:val="1"/>
    <w:link w:val="78"/>
    <w:qFormat/>
    <w:uiPriority w:val="1"/>
    <w:pPr>
      <w:widowControl/>
      <w:jc w:val="left"/>
    </w:pPr>
    <w:rPr>
      <w:rFonts w:ascii="Calibri" w:hAnsi="Calibri"/>
      <w:kern w:val="0"/>
      <w:sz w:val="22"/>
      <w:szCs w:val="22"/>
      <w:lang w:eastAsia="en-US" w:bidi="en-US"/>
    </w:rPr>
  </w:style>
  <w:style w:type="character" w:customStyle="1" w:styleId="78">
    <w:name w:val="无间隔 字符"/>
    <w:link w:val="77"/>
    <w:qFormat/>
    <w:uiPriority w:val="1"/>
    <w:rPr>
      <w:rFonts w:ascii="Calibri" w:hAnsi="Calibri" w:eastAsia="宋体" w:cs="Times New Roman"/>
      <w:kern w:val="0"/>
      <w:sz w:val="22"/>
      <w:lang w:eastAsia="en-US" w:bidi="en-US"/>
    </w:rPr>
  </w:style>
  <w:style w:type="character" w:customStyle="1" w:styleId="79">
    <w:name w:val="批注框文本 字符"/>
    <w:basedOn w:val="65"/>
    <w:link w:val="38"/>
    <w:semiHidden/>
    <w:qFormat/>
    <w:uiPriority w:val="99"/>
    <w:rPr>
      <w:rFonts w:ascii="Times New Roman" w:hAnsi="Times New Roman" w:eastAsia="宋体" w:cs="Times New Roman"/>
      <w:sz w:val="18"/>
      <w:szCs w:val="18"/>
    </w:rPr>
  </w:style>
  <w:style w:type="paragraph" w:styleId="80">
    <w:name w:val="List Paragraph"/>
    <w:basedOn w:val="1"/>
    <w:qFormat/>
    <w:uiPriority w:val="0"/>
    <w:pPr>
      <w:ind w:firstLine="420" w:firstLineChars="200"/>
    </w:pPr>
  </w:style>
  <w:style w:type="paragraph" w:customStyle="1" w:styleId="81">
    <w:name w:val="表"/>
    <w:basedOn w:val="1"/>
    <w:qFormat/>
    <w:uiPriority w:val="0"/>
    <w:rPr>
      <w:sz w:val="24"/>
    </w:rPr>
  </w:style>
  <w:style w:type="character" w:customStyle="1" w:styleId="82">
    <w:name w:val="纯文本 字符"/>
    <w:link w:val="32"/>
    <w:qFormat/>
    <w:uiPriority w:val="0"/>
    <w:rPr>
      <w:rFonts w:ascii="宋体" w:hAnsi="Courier New"/>
      <w:szCs w:val="24"/>
    </w:rPr>
  </w:style>
  <w:style w:type="character" w:customStyle="1" w:styleId="83">
    <w:name w:val="纯文本 Char"/>
    <w:basedOn w:val="65"/>
    <w:qFormat/>
    <w:uiPriority w:val="0"/>
    <w:rPr>
      <w:rFonts w:ascii="宋体" w:hAnsi="Courier New" w:eastAsia="宋体" w:cs="Courier New"/>
      <w:szCs w:val="21"/>
    </w:rPr>
  </w:style>
  <w:style w:type="paragraph" w:customStyle="1" w:styleId="84">
    <w:name w:val="表格文字"/>
    <w:basedOn w:val="1"/>
    <w:qFormat/>
    <w:uiPriority w:val="0"/>
    <w:pPr>
      <w:snapToGrid w:val="0"/>
      <w:jc w:val="center"/>
    </w:pPr>
    <w:rPr>
      <w:rFonts w:ascii="宋体" w:hAnsi="Arial"/>
      <w:szCs w:val="20"/>
    </w:rPr>
  </w:style>
  <w:style w:type="paragraph" w:customStyle="1" w:styleId="85">
    <w:name w:val="yxl正文"/>
    <w:basedOn w:val="1"/>
    <w:link w:val="86"/>
    <w:qFormat/>
    <w:uiPriority w:val="0"/>
    <w:pPr>
      <w:spacing w:line="520" w:lineRule="exact"/>
      <w:ind w:firstLine="200" w:firstLineChars="200"/>
    </w:pPr>
    <w:rPr>
      <w:sz w:val="24"/>
    </w:rPr>
  </w:style>
  <w:style w:type="character" w:customStyle="1" w:styleId="86">
    <w:name w:val="yxl正文 Char"/>
    <w:basedOn w:val="65"/>
    <w:link w:val="85"/>
    <w:qFormat/>
    <w:uiPriority w:val="0"/>
    <w:rPr>
      <w:rFonts w:ascii="Times New Roman" w:hAnsi="Times New Roman" w:eastAsia="宋体" w:cs="Times New Roman"/>
      <w:sz w:val="24"/>
      <w:szCs w:val="24"/>
    </w:rPr>
  </w:style>
  <w:style w:type="character" w:customStyle="1" w:styleId="87">
    <w:name w:val="yyp Char"/>
    <w:link w:val="88"/>
    <w:qFormat/>
    <w:uiPriority w:val="0"/>
    <w:rPr>
      <w:sz w:val="24"/>
      <w:szCs w:val="24"/>
    </w:rPr>
  </w:style>
  <w:style w:type="paragraph" w:customStyle="1" w:styleId="88">
    <w:name w:val="yyp"/>
    <w:basedOn w:val="1"/>
    <w:next w:val="1"/>
    <w:link w:val="87"/>
    <w:qFormat/>
    <w:uiPriority w:val="0"/>
    <w:pPr>
      <w:spacing w:after="120" w:line="360" w:lineRule="auto"/>
      <w:ind w:firstLine="480" w:firstLineChars="200"/>
    </w:pPr>
    <w:rPr>
      <w:rFonts w:asciiTheme="minorHAnsi" w:hAnsiTheme="minorHAnsi" w:eastAsiaTheme="minorEastAsia" w:cstheme="minorBidi"/>
      <w:sz w:val="24"/>
    </w:rPr>
  </w:style>
  <w:style w:type="paragraph" w:customStyle="1" w:styleId="89">
    <w:name w:val="表文字"/>
    <w:basedOn w:val="1"/>
    <w:next w:val="1"/>
    <w:qFormat/>
    <w:uiPriority w:val="99"/>
    <w:pPr>
      <w:autoSpaceDE w:val="0"/>
      <w:autoSpaceDN w:val="0"/>
      <w:adjustRightInd w:val="0"/>
      <w:jc w:val="left"/>
    </w:pPr>
    <w:rPr>
      <w:rFonts w:eastAsiaTheme="minorEastAsia"/>
      <w:kern w:val="0"/>
      <w:sz w:val="24"/>
    </w:rPr>
  </w:style>
  <w:style w:type="character" w:customStyle="1" w:styleId="90">
    <w:name w:val="批注文字 字符"/>
    <w:basedOn w:val="65"/>
    <w:link w:val="20"/>
    <w:qFormat/>
    <w:uiPriority w:val="99"/>
    <w:rPr>
      <w:rFonts w:ascii="Times New Roman" w:hAnsi="Times New Roman" w:eastAsia="宋体" w:cs="Times New Roman"/>
      <w:szCs w:val="24"/>
    </w:rPr>
  </w:style>
  <w:style w:type="character" w:customStyle="1" w:styleId="91">
    <w:name w:val="批注主题 字符"/>
    <w:basedOn w:val="90"/>
    <w:link w:val="61"/>
    <w:qFormat/>
    <w:uiPriority w:val="99"/>
    <w:rPr>
      <w:rFonts w:ascii="Times New Roman" w:hAnsi="Times New Roman" w:eastAsia="宋体" w:cs="Times New Roman"/>
      <w:b/>
      <w:bCs/>
      <w:szCs w:val="24"/>
    </w:rPr>
  </w:style>
  <w:style w:type="character" w:customStyle="1" w:styleId="92">
    <w:name w:val="标题 5 Char"/>
    <w:basedOn w:val="65"/>
    <w:qFormat/>
    <w:uiPriority w:val="9"/>
    <w:rPr>
      <w:rFonts w:ascii="Times New Roman" w:hAnsi="Times New Roman" w:eastAsia="宋体" w:cs="Times New Roman"/>
      <w:b/>
      <w:bCs/>
      <w:sz w:val="28"/>
      <w:szCs w:val="28"/>
    </w:rPr>
  </w:style>
  <w:style w:type="character" w:customStyle="1" w:styleId="93">
    <w:name w:val="标题 6 字符"/>
    <w:basedOn w:val="65"/>
    <w:link w:val="7"/>
    <w:qFormat/>
    <w:uiPriority w:val="9"/>
    <w:rPr>
      <w:rFonts w:ascii="Arial" w:hAnsi="Arial" w:eastAsia="黑体" w:cs="Times New Roman"/>
      <w:b/>
      <w:kern w:val="0"/>
      <w:sz w:val="24"/>
      <w:szCs w:val="24"/>
    </w:rPr>
  </w:style>
  <w:style w:type="character" w:customStyle="1" w:styleId="94">
    <w:name w:val="标题 7 字符"/>
    <w:basedOn w:val="65"/>
    <w:link w:val="8"/>
    <w:qFormat/>
    <w:uiPriority w:val="0"/>
    <w:rPr>
      <w:rFonts w:ascii="Times New Roman" w:hAnsi="Times New Roman" w:eastAsia="宋体" w:cs="Times New Roman"/>
      <w:b/>
      <w:kern w:val="0"/>
      <w:sz w:val="24"/>
      <w:szCs w:val="24"/>
    </w:rPr>
  </w:style>
  <w:style w:type="character" w:customStyle="1" w:styleId="95">
    <w:name w:val="标题 8 字符"/>
    <w:basedOn w:val="65"/>
    <w:link w:val="9"/>
    <w:qFormat/>
    <w:uiPriority w:val="0"/>
    <w:rPr>
      <w:rFonts w:ascii="Arial" w:hAnsi="Arial" w:eastAsia="黑体" w:cs="Times New Roman"/>
      <w:kern w:val="0"/>
      <w:sz w:val="24"/>
      <w:szCs w:val="24"/>
    </w:rPr>
  </w:style>
  <w:style w:type="character" w:customStyle="1" w:styleId="96">
    <w:name w:val="标题 9 字符"/>
    <w:basedOn w:val="65"/>
    <w:link w:val="10"/>
    <w:qFormat/>
    <w:uiPriority w:val="0"/>
    <w:rPr>
      <w:rFonts w:ascii="Arial" w:hAnsi="Arial" w:eastAsia="黑体" w:cs="Times New Roman"/>
      <w:kern w:val="0"/>
      <w:szCs w:val="24"/>
    </w:rPr>
  </w:style>
  <w:style w:type="character" w:customStyle="1" w:styleId="97">
    <w:name w:val="二 Char Char"/>
    <w:basedOn w:val="65"/>
    <w:qFormat/>
    <w:uiPriority w:val="0"/>
    <w:rPr>
      <w:rFonts w:ascii="黑体" w:eastAsia="黑体"/>
      <w:b/>
      <w:kern w:val="2"/>
      <w:sz w:val="24"/>
      <w:lang w:val="en-US" w:eastAsia="zh-CN"/>
    </w:rPr>
  </w:style>
  <w:style w:type="paragraph" w:customStyle="1" w:styleId="98">
    <w:name w:val="二 Char"/>
    <w:basedOn w:val="1"/>
    <w:qFormat/>
    <w:uiPriority w:val="0"/>
    <w:rPr>
      <w:rFonts w:ascii="黑体" w:eastAsia="黑体"/>
      <w:b/>
      <w:sz w:val="24"/>
    </w:rPr>
  </w:style>
  <w:style w:type="paragraph" w:customStyle="1" w:styleId="99">
    <w:name w:val="标题2"/>
    <w:basedOn w:val="4"/>
    <w:qFormat/>
    <w:uiPriority w:val="0"/>
    <w:pPr>
      <w:numPr>
        <w:ilvl w:val="0"/>
        <w:numId w:val="0"/>
      </w:numPr>
      <w:spacing w:line="240" w:lineRule="auto"/>
    </w:pPr>
    <w:rPr>
      <w:rFonts w:eastAsia="宋体"/>
      <w:bCs w:val="0"/>
      <w:sz w:val="28"/>
      <w:szCs w:val="24"/>
    </w:rPr>
  </w:style>
  <w:style w:type="paragraph" w:customStyle="1" w:styleId="100">
    <w:name w:val="表头文字"/>
    <w:basedOn w:val="1"/>
    <w:link w:val="153"/>
    <w:qFormat/>
    <w:uiPriority w:val="0"/>
    <w:pPr>
      <w:jc w:val="center"/>
    </w:pPr>
    <w:rPr>
      <w:rFonts w:eastAsia="黑体"/>
      <w:sz w:val="24"/>
    </w:rPr>
  </w:style>
  <w:style w:type="paragraph" w:customStyle="1" w:styleId="101">
    <w:name w:val="节"/>
    <w:basedOn w:val="1"/>
    <w:qFormat/>
    <w:uiPriority w:val="0"/>
    <w:pPr>
      <w:tabs>
        <w:tab w:val="left" w:pos="2736"/>
      </w:tabs>
      <w:spacing w:before="50" w:after="50"/>
      <w:ind w:left="2736" w:hanging="732"/>
      <w:jc w:val="center"/>
    </w:pPr>
    <w:rPr>
      <w:b/>
      <w:sz w:val="30"/>
    </w:rPr>
  </w:style>
  <w:style w:type="paragraph" w:customStyle="1" w:styleId="102">
    <w:name w:val="标题3"/>
    <w:basedOn w:val="1"/>
    <w:qFormat/>
    <w:uiPriority w:val="0"/>
    <w:rPr>
      <w:sz w:val="24"/>
    </w:rPr>
  </w:style>
  <w:style w:type="character" w:customStyle="1" w:styleId="103">
    <w:name w:val="日期 字符"/>
    <w:basedOn w:val="65"/>
    <w:link w:val="36"/>
    <w:qFormat/>
    <w:uiPriority w:val="99"/>
    <w:rPr>
      <w:rFonts w:ascii="宋体" w:hAnsi="Times New Roman" w:eastAsia="宋体" w:cs="Times New Roman"/>
      <w:sz w:val="28"/>
      <w:szCs w:val="24"/>
    </w:rPr>
  </w:style>
  <w:style w:type="paragraph" w:customStyle="1" w:styleId="104">
    <w:name w:val="三"/>
    <w:basedOn w:val="1"/>
    <w:qFormat/>
    <w:uiPriority w:val="0"/>
    <w:rPr>
      <w:rFonts w:ascii="宋体"/>
      <w:sz w:val="24"/>
    </w:rPr>
  </w:style>
  <w:style w:type="paragraph" w:customStyle="1" w:styleId="105">
    <w:name w:val="表头"/>
    <w:basedOn w:val="1"/>
    <w:link w:val="170"/>
    <w:qFormat/>
    <w:uiPriority w:val="0"/>
    <w:pPr>
      <w:jc w:val="center"/>
    </w:pPr>
    <w:rPr>
      <w:rFonts w:ascii="黑体" w:eastAsia="黑体"/>
      <w:b/>
      <w:sz w:val="24"/>
    </w:rPr>
  </w:style>
  <w:style w:type="paragraph" w:customStyle="1" w:styleId="106">
    <w:name w:val="标题二"/>
    <w:basedOn w:val="1"/>
    <w:qFormat/>
    <w:uiPriority w:val="0"/>
    <w:rPr>
      <w:sz w:val="24"/>
    </w:rPr>
  </w:style>
  <w:style w:type="paragraph" w:customStyle="1" w:styleId="107">
    <w:name w:val="报告书表格"/>
    <w:basedOn w:val="1"/>
    <w:qFormat/>
    <w:uiPriority w:val="0"/>
    <w:pPr>
      <w:adjustRightInd w:val="0"/>
      <w:spacing w:before="60" w:after="60" w:line="240" w:lineRule="atLeast"/>
      <w:jc w:val="center"/>
      <w:textAlignment w:val="baseline"/>
    </w:pPr>
    <w:rPr>
      <w:kern w:val="0"/>
    </w:rPr>
  </w:style>
  <w:style w:type="paragraph" w:customStyle="1" w:styleId="108">
    <w:name w:val="标题5"/>
    <w:qFormat/>
    <w:uiPriority w:val="0"/>
    <w:pPr>
      <w:adjustRightInd w:val="0"/>
      <w:spacing w:line="360" w:lineRule="auto"/>
      <w:jc w:val="both"/>
      <w:textAlignment w:val="baseline"/>
    </w:pPr>
    <w:rPr>
      <w:rFonts w:ascii="宋体" w:hAnsi="Times New Roman" w:eastAsia="宋体" w:cs="Times New Roman"/>
      <w:kern w:val="0"/>
      <w:sz w:val="24"/>
      <w:szCs w:val="20"/>
      <w:lang w:val="en-US" w:eastAsia="zh-CN" w:bidi="ar-SA"/>
    </w:rPr>
  </w:style>
  <w:style w:type="paragraph" w:customStyle="1" w:styleId="109">
    <w:name w:val="纯文本1"/>
    <w:basedOn w:val="1"/>
    <w:autoRedefine/>
    <w:qFormat/>
    <w:uiPriority w:val="0"/>
    <w:pPr>
      <w:tabs>
        <w:tab w:val="left" w:pos="0"/>
        <w:tab w:val="left" w:pos="360"/>
        <w:tab w:val="left" w:pos="540"/>
        <w:tab w:val="left" w:pos="900"/>
      </w:tabs>
      <w:autoSpaceDE w:val="0"/>
      <w:autoSpaceDN w:val="0"/>
      <w:adjustRightInd w:val="0"/>
      <w:snapToGrid w:val="0"/>
      <w:spacing w:beforeLines="50" w:line="360" w:lineRule="auto"/>
      <w:ind w:firstLine="480" w:firstLineChars="200"/>
      <w:textAlignment w:val="baseline"/>
    </w:pPr>
    <w:rPr>
      <w:rFonts w:ascii="宋体" w:hAnsi="宋体"/>
      <w:color w:val="000000"/>
      <w:kern w:val="0"/>
      <w:sz w:val="24"/>
    </w:rPr>
  </w:style>
  <w:style w:type="paragraph" w:customStyle="1" w:styleId="110">
    <w:name w:val="流程图"/>
    <w:basedOn w:val="1"/>
    <w:qFormat/>
    <w:uiPriority w:val="0"/>
    <w:pPr>
      <w:tabs>
        <w:tab w:val="left" w:pos="0"/>
      </w:tabs>
      <w:autoSpaceDE w:val="0"/>
      <w:autoSpaceDN w:val="0"/>
      <w:adjustRightInd w:val="0"/>
      <w:spacing w:line="240" w:lineRule="atLeast"/>
      <w:jc w:val="center"/>
      <w:textAlignment w:val="bottom"/>
    </w:pPr>
    <w:rPr>
      <w:rFonts w:ascii="宋体"/>
      <w:szCs w:val="20"/>
    </w:rPr>
  </w:style>
  <w:style w:type="paragraph" w:customStyle="1" w:styleId="111">
    <w:name w:val="编号样式正文"/>
    <w:basedOn w:val="1"/>
    <w:qFormat/>
    <w:uiPriority w:val="0"/>
    <w:pPr>
      <w:tabs>
        <w:tab w:val="left" w:pos="435"/>
        <w:tab w:val="left" w:pos="720"/>
        <w:tab w:val="left" w:pos="900"/>
      </w:tabs>
      <w:adjustRightInd w:val="0"/>
      <w:spacing w:line="360" w:lineRule="auto"/>
      <w:ind w:left="435" w:hanging="435"/>
      <w:textAlignment w:val="baseline"/>
    </w:pPr>
    <w:rPr>
      <w:snapToGrid w:val="0"/>
      <w:kern w:val="24"/>
      <w:sz w:val="24"/>
      <w:szCs w:val="20"/>
    </w:rPr>
  </w:style>
  <w:style w:type="paragraph" w:customStyle="1" w:styleId="112">
    <w:name w:val="标题03"/>
    <w:basedOn w:val="1"/>
    <w:next w:val="1"/>
    <w:autoRedefine/>
    <w:semiHidden/>
    <w:qFormat/>
    <w:uiPriority w:val="0"/>
    <w:pPr>
      <w:spacing w:line="540" w:lineRule="exact"/>
      <w:ind w:firstLine="480" w:firstLineChars="200"/>
    </w:pPr>
    <w:rPr>
      <w:rFonts w:ascii="宋体"/>
      <w:sz w:val="27"/>
      <w:szCs w:val="20"/>
    </w:rPr>
  </w:style>
  <w:style w:type="paragraph" w:customStyle="1" w:styleId="113">
    <w:name w:val="规划正文"/>
    <w:basedOn w:val="1"/>
    <w:qFormat/>
    <w:uiPriority w:val="0"/>
    <w:pPr>
      <w:spacing w:line="460" w:lineRule="exact"/>
      <w:ind w:firstLine="200" w:firstLineChars="200"/>
    </w:pPr>
    <w:rPr>
      <w:sz w:val="24"/>
    </w:rPr>
  </w:style>
  <w:style w:type="paragraph" w:customStyle="1" w:styleId="114">
    <w:name w:val="规划1-1-1-1"/>
    <w:basedOn w:val="1"/>
    <w:qFormat/>
    <w:uiPriority w:val="0"/>
    <w:pPr>
      <w:spacing w:line="460" w:lineRule="exact"/>
    </w:pPr>
    <w:rPr>
      <w:rFonts w:ascii="宋体" w:hAnsi="宋体"/>
      <w:sz w:val="24"/>
    </w:rPr>
  </w:style>
  <w:style w:type="paragraph" w:customStyle="1" w:styleId="115">
    <w:name w:val="册除格式 Char"/>
    <w:qFormat/>
    <w:uiPriority w:val="0"/>
    <w:pPr>
      <w:spacing w:line="360" w:lineRule="auto"/>
      <w:ind w:firstLine="482"/>
    </w:pPr>
    <w:rPr>
      <w:rFonts w:ascii="黑体" w:hAnsi="Arial" w:eastAsia="宋体" w:cs="Arial"/>
      <w:snapToGrid w:val="0"/>
      <w:spacing w:val="4"/>
      <w:kern w:val="18"/>
      <w:sz w:val="24"/>
      <w:szCs w:val="28"/>
      <w:lang w:val="en-US" w:eastAsia="zh-CN" w:bidi="ar-SA"/>
    </w:rPr>
  </w:style>
  <w:style w:type="character" w:customStyle="1" w:styleId="116">
    <w:name w:val="标题 字符"/>
    <w:basedOn w:val="65"/>
    <w:link w:val="60"/>
    <w:qFormat/>
    <w:uiPriority w:val="0"/>
    <w:rPr>
      <w:rFonts w:ascii="Arial" w:hAnsi="Arial" w:eastAsia="宋体" w:cs="Arial"/>
      <w:b/>
      <w:bCs/>
      <w:sz w:val="32"/>
      <w:szCs w:val="32"/>
    </w:rPr>
  </w:style>
  <w:style w:type="character" w:customStyle="1" w:styleId="117">
    <w:name w:val="称呼 字符"/>
    <w:basedOn w:val="65"/>
    <w:link w:val="21"/>
    <w:qFormat/>
    <w:uiPriority w:val="0"/>
    <w:rPr>
      <w:rFonts w:ascii="Times New Roman" w:hAnsi="Times New Roman" w:eastAsia="宋体" w:cs="Times New Roman"/>
      <w:szCs w:val="24"/>
    </w:rPr>
  </w:style>
  <w:style w:type="character" w:customStyle="1" w:styleId="118">
    <w:name w:val="电子邮件签名 字符"/>
    <w:basedOn w:val="65"/>
    <w:link w:val="15"/>
    <w:qFormat/>
    <w:uiPriority w:val="0"/>
    <w:rPr>
      <w:rFonts w:ascii="Times New Roman" w:hAnsi="Times New Roman" w:eastAsia="宋体" w:cs="Times New Roman"/>
      <w:szCs w:val="24"/>
    </w:rPr>
  </w:style>
  <w:style w:type="character" w:customStyle="1" w:styleId="119">
    <w:name w:val="副标题 字符"/>
    <w:basedOn w:val="65"/>
    <w:link w:val="46"/>
    <w:qFormat/>
    <w:uiPriority w:val="11"/>
    <w:rPr>
      <w:rFonts w:ascii="Arial" w:hAnsi="Arial" w:eastAsia="宋体" w:cs="Arial"/>
      <w:b/>
      <w:bCs/>
      <w:kern w:val="28"/>
      <w:sz w:val="32"/>
      <w:szCs w:val="32"/>
    </w:rPr>
  </w:style>
  <w:style w:type="character" w:customStyle="1" w:styleId="120">
    <w:name w:val="结束语 字符"/>
    <w:basedOn w:val="65"/>
    <w:link w:val="22"/>
    <w:qFormat/>
    <w:uiPriority w:val="0"/>
    <w:rPr>
      <w:rFonts w:ascii="Times New Roman" w:hAnsi="Times New Roman" w:eastAsia="宋体" w:cs="Times New Roman"/>
      <w:szCs w:val="24"/>
    </w:rPr>
  </w:style>
  <w:style w:type="character" w:customStyle="1" w:styleId="121">
    <w:name w:val="签名 Char"/>
    <w:basedOn w:val="65"/>
    <w:uiPriority w:val="0"/>
    <w:rPr>
      <w:rFonts w:ascii="Times New Roman" w:hAnsi="Times New Roman" w:eastAsia="宋体" w:cs="Times New Roman"/>
      <w:szCs w:val="24"/>
    </w:rPr>
  </w:style>
  <w:style w:type="paragraph" w:customStyle="1" w:styleId="122">
    <w:name w:val="表格"/>
    <w:basedOn w:val="1"/>
    <w:link w:val="157"/>
    <w:uiPriority w:val="0"/>
    <w:pPr>
      <w:jc w:val="center"/>
    </w:pPr>
  </w:style>
  <w:style w:type="paragraph" w:customStyle="1" w:styleId="123">
    <w:name w:val="段落"/>
    <w:basedOn w:val="1"/>
    <w:link w:val="167"/>
    <w:autoRedefine/>
    <w:uiPriority w:val="0"/>
    <w:pPr>
      <w:tabs>
        <w:tab w:val="left" w:pos="1021"/>
      </w:tabs>
      <w:adjustRightInd w:val="0"/>
      <w:spacing w:line="360" w:lineRule="auto"/>
      <w:ind w:firstLine="480" w:firstLineChars="200"/>
    </w:pPr>
    <w:rPr>
      <w:rFonts w:hAnsi="宋体"/>
      <w:kern w:val="24"/>
      <w:sz w:val="24"/>
    </w:rPr>
  </w:style>
  <w:style w:type="paragraph" w:customStyle="1" w:styleId="124">
    <w:name w:val="表文"/>
    <w:basedOn w:val="1"/>
    <w:autoRedefine/>
    <w:uiPriority w:val="0"/>
    <w:pPr>
      <w:tabs>
        <w:tab w:val="left" w:pos="1021"/>
      </w:tabs>
      <w:spacing w:line="320" w:lineRule="exact"/>
      <w:jc w:val="center"/>
    </w:pPr>
    <w:rPr>
      <w:kern w:val="0"/>
      <w:szCs w:val="21"/>
    </w:rPr>
  </w:style>
  <w:style w:type="paragraph" w:customStyle="1" w:styleId="125">
    <w:name w:val="表尾"/>
    <w:basedOn w:val="1"/>
    <w:autoRedefine/>
    <w:uiPriority w:val="0"/>
    <w:pPr>
      <w:tabs>
        <w:tab w:val="left" w:pos="1021"/>
      </w:tabs>
      <w:spacing w:line="160" w:lineRule="exact"/>
    </w:pPr>
    <w:rPr>
      <w:sz w:val="10"/>
      <w:szCs w:val="20"/>
    </w:rPr>
  </w:style>
  <w:style w:type="paragraph" w:customStyle="1" w:styleId="126">
    <w:name w:val="表头名称"/>
    <w:basedOn w:val="1"/>
    <w:autoRedefine/>
    <w:uiPriority w:val="0"/>
    <w:pPr>
      <w:autoSpaceDE w:val="0"/>
      <w:autoSpaceDN w:val="0"/>
      <w:adjustRightInd w:val="0"/>
      <w:spacing w:line="360" w:lineRule="auto"/>
      <w:jc w:val="center"/>
    </w:pPr>
    <w:rPr>
      <w:rFonts w:ascii="黑体" w:eastAsia="黑体"/>
      <w:b/>
      <w:kern w:val="0"/>
      <w:sz w:val="24"/>
      <w:szCs w:val="20"/>
    </w:rPr>
  </w:style>
  <w:style w:type="paragraph" w:customStyle="1" w:styleId="127">
    <w:name w:val="表格内容格式"/>
    <w:basedOn w:val="1"/>
    <w:autoRedefine/>
    <w:uiPriority w:val="0"/>
    <w:pPr>
      <w:adjustRightInd w:val="0"/>
      <w:spacing w:line="240" w:lineRule="atLeast"/>
      <w:textAlignment w:val="baseline"/>
    </w:pPr>
    <w:rPr>
      <w:rFonts w:ascii="宋体" w:hAnsi="宋体"/>
      <w:snapToGrid w:val="0"/>
      <w:color w:val="000000"/>
      <w:kern w:val="0"/>
      <w:szCs w:val="20"/>
    </w:rPr>
  </w:style>
  <w:style w:type="paragraph" w:customStyle="1" w:styleId="128">
    <w:name w:val="表格文字2"/>
    <w:basedOn w:val="1"/>
    <w:autoRedefine/>
    <w:uiPriority w:val="0"/>
    <w:pPr>
      <w:adjustRightInd w:val="0"/>
      <w:snapToGrid w:val="0"/>
      <w:spacing w:before="20"/>
      <w:jc w:val="center"/>
      <w:textAlignment w:val="baseline"/>
    </w:pPr>
    <w:rPr>
      <w:rFonts w:ascii="Arial" w:hAnsi="Arial"/>
      <w:sz w:val="24"/>
      <w:szCs w:val="20"/>
    </w:rPr>
  </w:style>
  <w:style w:type="paragraph" w:customStyle="1" w:styleId="129">
    <w:name w:val="居中正文"/>
    <w:basedOn w:val="1"/>
    <w:qFormat/>
    <w:uiPriority w:val="0"/>
    <w:pPr>
      <w:adjustRightInd w:val="0"/>
      <w:spacing w:before="120" w:line="360" w:lineRule="auto"/>
      <w:jc w:val="center"/>
    </w:pPr>
    <w:rPr>
      <w:rFonts w:hint="eastAsia" w:ascii="宋体"/>
      <w:kern w:val="28"/>
      <w:sz w:val="24"/>
      <w:szCs w:val="20"/>
    </w:rPr>
  </w:style>
  <w:style w:type="paragraph" w:customStyle="1" w:styleId="130">
    <w:name w:val="报告正文"/>
    <w:basedOn w:val="1"/>
    <w:link w:val="247"/>
    <w:qFormat/>
    <w:uiPriority w:val="0"/>
    <w:pPr>
      <w:spacing w:line="360" w:lineRule="auto"/>
      <w:ind w:firstLine="482"/>
    </w:pPr>
    <w:rPr>
      <w:sz w:val="24"/>
      <w:szCs w:val="21"/>
    </w:rPr>
  </w:style>
  <w:style w:type="paragraph" w:customStyle="1" w:styleId="131">
    <w:name w:val="表格标题"/>
    <w:basedOn w:val="1"/>
    <w:uiPriority w:val="0"/>
    <w:pPr>
      <w:tabs>
        <w:tab w:val="left" w:pos="902"/>
      </w:tabs>
      <w:adjustRightInd w:val="0"/>
      <w:snapToGrid w:val="0"/>
      <w:spacing w:line="360" w:lineRule="auto"/>
      <w:ind w:left="902" w:hanging="420"/>
      <w:jc w:val="center"/>
      <w:textAlignment w:val="baseline"/>
    </w:pPr>
    <w:rPr>
      <w:sz w:val="24"/>
      <w:szCs w:val="20"/>
    </w:rPr>
  </w:style>
  <w:style w:type="character" w:customStyle="1" w:styleId="132">
    <w:name w:val="标题6"/>
    <w:basedOn w:val="65"/>
    <w:qFormat/>
    <w:uiPriority w:val="0"/>
  </w:style>
  <w:style w:type="paragraph" w:customStyle="1" w:styleId="133">
    <w:name w:val="标准正文"/>
    <w:basedOn w:val="1"/>
    <w:qFormat/>
    <w:uiPriority w:val="0"/>
    <w:pPr>
      <w:widowControl/>
      <w:tabs>
        <w:tab w:val="right" w:pos="8640"/>
      </w:tabs>
      <w:spacing w:afterLines="50" w:line="360" w:lineRule="auto"/>
      <w:ind w:firstLine="531" w:firstLineChars="225"/>
    </w:pPr>
    <w:rPr>
      <w:rFonts w:ascii="Garamond" w:hAnsi="Garamond" w:eastAsia="仿宋_GB2312"/>
      <w:spacing w:val="-2"/>
      <w:kern w:val="44"/>
    </w:rPr>
  </w:style>
  <w:style w:type="character" w:customStyle="1" w:styleId="134">
    <w:name w:val="表头名称 Char"/>
    <w:basedOn w:val="65"/>
    <w:qFormat/>
    <w:uiPriority w:val="0"/>
    <w:rPr>
      <w:rFonts w:ascii="黑体" w:hAnsi="宋体" w:eastAsia="黑体" w:cs="Times New Roman"/>
      <w:kern w:val="2"/>
      <w:sz w:val="24"/>
      <w:szCs w:val="24"/>
      <w:lang w:val="en-US" w:eastAsia="zh-CN" w:bidi="ar-SA"/>
    </w:rPr>
  </w:style>
  <w:style w:type="character" w:customStyle="1" w:styleId="135">
    <w:name w:val="脚注文本 字符"/>
    <w:basedOn w:val="65"/>
    <w:link w:val="49"/>
    <w:qFormat/>
    <w:uiPriority w:val="0"/>
    <w:rPr>
      <w:rFonts w:ascii="Times New Roman" w:hAnsi="Times New Roman" w:eastAsia="宋体" w:cs="Times New Roman"/>
      <w:sz w:val="18"/>
      <w:szCs w:val="18"/>
    </w:rPr>
  </w:style>
  <w:style w:type="character" w:customStyle="1" w:styleId="136">
    <w:name w:val="标题 5 字符"/>
    <w:basedOn w:val="65"/>
    <w:link w:val="6"/>
    <w:qFormat/>
    <w:uiPriority w:val="0"/>
    <w:rPr>
      <w:rFonts w:ascii="Times New Roman" w:hAnsi="Times New Roman" w:eastAsia="宋体" w:cs="Times New Roman"/>
      <w:b/>
      <w:kern w:val="0"/>
      <w:sz w:val="28"/>
      <w:szCs w:val="24"/>
    </w:rPr>
  </w:style>
  <w:style w:type="character" w:customStyle="1" w:styleId="137">
    <w:name w:val="纯文本 Char2"/>
    <w:basedOn w:val="65"/>
    <w:qFormat/>
    <w:uiPriority w:val="0"/>
    <w:rPr>
      <w:rFonts w:ascii="宋体" w:hAnsi="Courier New"/>
      <w:kern w:val="2"/>
      <w:sz w:val="21"/>
      <w:szCs w:val="24"/>
    </w:rPr>
  </w:style>
  <w:style w:type="character" w:customStyle="1" w:styleId="138">
    <w:name w:val="签名 字符"/>
    <w:basedOn w:val="65"/>
    <w:link w:val="42"/>
    <w:qFormat/>
    <w:uiPriority w:val="0"/>
    <w:rPr>
      <w:rFonts w:ascii="Times New Roman" w:hAnsi="Times New Roman" w:eastAsia="宋体" w:cs="Times New Roman"/>
      <w:szCs w:val="24"/>
    </w:rPr>
  </w:style>
  <w:style w:type="paragraph" w:customStyle="1" w:styleId="139">
    <w:name w:val="大纲正文"/>
    <w:basedOn w:val="1"/>
    <w:link w:val="140"/>
    <w:qFormat/>
    <w:uiPriority w:val="0"/>
    <w:pPr>
      <w:widowControl/>
      <w:adjustRightInd w:val="0"/>
      <w:snapToGrid w:val="0"/>
      <w:spacing w:afterLines="50" w:line="300" w:lineRule="auto"/>
      <w:ind w:firstLine="480" w:firstLineChars="200"/>
    </w:pPr>
    <w:rPr>
      <w:rFonts w:cs="宋体"/>
      <w:sz w:val="24"/>
    </w:rPr>
  </w:style>
  <w:style w:type="character" w:customStyle="1" w:styleId="140">
    <w:name w:val="大纲正文 Char"/>
    <w:basedOn w:val="65"/>
    <w:link w:val="139"/>
    <w:qFormat/>
    <w:uiPriority w:val="0"/>
    <w:rPr>
      <w:rFonts w:ascii="Times New Roman" w:hAnsi="Times New Roman" w:eastAsia="宋体" w:cs="宋体"/>
      <w:sz w:val="24"/>
      <w:szCs w:val="24"/>
    </w:rPr>
  </w:style>
  <w:style w:type="paragraph" w:customStyle="1" w:styleId="141">
    <w:name w:val="缩进"/>
    <w:basedOn w:val="1"/>
    <w:qFormat/>
    <w:uiPriority w:val="0"/>
    <w:pPr>
      <w:autoSpaceDE w:val="0"/>
      <w:autoSpaceDN w:val="0"/>
      <w:adjustRightInd w:val="0"/>
      <w:spacing w:line="400" w:lineRule="atLeast"/>
      <w:ind w:firstLine="200" w:firstLineChars="200"/>
      <w:textAlignment w:val="baseline"/>
    </w:pPr>
    <w:rPr>
      <w:kern w:val="0"/>
      <w:sz w:val="24"/>
      <w:szCs w:val="20"/>
    </w:rPr>
  </w:style>
  <w:style w:type="paragraph" w:customStyle="1" w:styleId="142">
    <w:name w:val="表录"/>
    <w:basedOn w:val="1"/>
    <w:qFormat/>
    <w:uiPriority w:val="0"/>
    <w:pPr>
      <w:spacing w:line="360" w:lineRule="auto"/>
      <w:jc w:val="center"/>
    </w:pPr>
    <w:rPr>
      <w:b/>
      <w:szCs w:val="21"/>
    </w:rPr>
  </w:style>
  <w:style w:type="character" w:customStyle="1" w:styleId="143">
    <w:name w:val="标题 2 Char2"/>
    <w:basedOn w:val="65"/>
    <w:qFormat/>
    <w:uiPriority w:val="0"/>
    <w:rPr>
      <w:rFonts w:ascii="Arial" w:hAnsi="Arial" w:eastAsia="黑体"/>
      <w:b/>
      <w:kern w:val="2"/>
      <w:sz w:val="32"/>
      <w:szCs w:val="24"/>
    </w:rPr>
  </w:style>
  <w:style w:type="paragraph" w:customStyle="1" w:styleId="144">
    <w:name w:val="区划正文"/>
    <w:basedOn w:val="1"/>
    <w:qFormat/>
    <w:uiPriority w:val="0"/>
    <w:pPr>
      <w:adjustRightInd w:val="0"/>
      <w:snapToGrid w:val="0"/>
      <w:spacing w:line="480" w:lineRule="exact"/>
      <w:ind w:firstLine="200" w:firstLineChars="200"/>
    </w:pPr>
    <w:rPr>
      <w:rFonts w:cs="宋体"/>
      <w:sz w:val="24"/>
      <w:szCs w:val="20"/>
    </w:rPr>
  </w:style>
  <w:style w:type="paragraph" w:customStyle="1" w:styleId="145">
    <w:name w:val="图录821"/>
    <w:basedOn w:val="1"/>
    <w:link w:val="146"/>
    <w:qFormat/>
    <w:uiPriority w:val="0"/>
    <w:pPr>
      <w:jc w:val="center"/>
    </w:pPr>
    <w:rPr>
      <w:b/>
      <w:szCs w:val="21"/>
    </w:rPr>
  </w:style>
  <w:style w:type="character" w:customStyle="1" w:styleId="146">
    <w:name w:val="图录821 Char"/>
    <w:basedOn w:val="65"/>
    <w:link w:val="145"/>
    <w:qFormat/>
    <w:uiPriority w:val="0"/>
    <w:rPr>
      <w:rFonts w:ascii="Times New Roman" w:hAnsi="Times New Roman" w:eastAsia="宋体" w:cs="Times New Roman"/>
      <w:b/>
      <w:szCs w:val="21"/>
    </w:rPr>
  </w:style>
  <w:style w:type="character" w:customStyle="1" w:styleId="147">
    <w:name w:val="标题 5 Char1"/>
    <w:basedOn w:val="65"/>
    <w:qFormat/>
    <w:uiPriority w:val="0"/>
    <w:rPr>
      <w:b/>
      <w:sz w:val="28"/>
      <w:szCs w:val="24"/>
    </w:rPr>
  </w:style>
  <w:style w:type="paragraph" w:customStyle="1" w:styleId="148">
    <w:name w:val="表头1"/>
    <w:basedOn w:val="1"/>
    <w:next w:val="1"/>
    <w:link w:val="149"/>
    <w:qFormat/>
    <w:uiPriority w:val="0"/>
    <w:pPr>
      <w:tabs>
        <w:tab w:val="left" w:pos="605"/>
      </w:tabs>
      <w:adjustRightInd w:val="0"/>
      <w:snapToGrid w:val="0"/>
      <w:jc w:val="center"/>
    </w:pPr>
    <w:rPr>
      <w:rFonts w:eastAsia="黑体"/>
      <w:kern w:val="0"/>
      <w:szCs w:val="28"/>
    </w:rPr>
  </w:style>
  <w:style w:type="character" w:customStyle="1" w:styleId="149">
    <w:name w:val="表头1 Char"/>
    <w:basedOn w:val="65"/>
    <w:link w:val="148"/>
    <w:qFormat/>
    <w:uiPriority w:val="0"/>
    <w:rPr>
      <w:rFonts w:ascii="Times New Roman" w:hAnsi="Times New Roman" w:eastAsia="黑体" w:cs="Times New Roman"/>
      <w:kern w:val="0"/>
      <w:szCs w:val="28"/>
    </w:rPr>
  </w:style>
  <w:style w:type="paragraph" w:customStyle="1" w:styleId="150">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151">
    <w:name w:val="表格内容"/>
    <w:basedOn w:val="1"/>
    <w:next w:val="1"/>
    <w:link w:val="353"/>
    <w:qFormat/>
    <w:uiPriority w:val="0"/>
    <w:pPr>
      <w:overflowPunct w:val="0"/>
      <w:adjustRightInd w:val="0"/>
      <w:spacing w:before="40" w:after="60" w:line="200" w:lineRule="atLeast"/>
      <w:textAlignment w:val="baseline"/>
    </w:pPr>
    <w:rPr>
      <w:rFonts w:ascii="Arial" w:hAnsi="Arial" w:eastAsia="仿宋_GB2312"/>
      <w:kern w:val="0"/>
      <w:sz w:val="24"/>
      <w:szCs w:val="20"/>
    </w:rPr>
  </w:style>
  <w:style w:type="character" w:customStyle="1" w:styleId="152">
    <w:name w:val="Subtle Reference"/>
    <w:basedOn w:val="65"/>
    <w:qFormat/>
    <w:uiPriority w:val="0"/>
    <w:rPr>
      <w:smallCaps/>
      <w:color w:val="C0504D"/>
      <w:u w:val="single"/>
    </w:rPr>
  </w:style>
  <w:style w:type="character" w:customStyle="1" w:styleId="153">
    <w:name w:val="表头文字 Char"/>
    <w:basedOn w:val="65"/>
    <w:link w:val="100"/>
    <w:qFormat/>
    <w:uiPriority w:val="0"/>
    <w:rPr>
      <w:rFonts w:ascii="Times New Roman" w:hAnsi="Times New Roman" w:eastAsia="黑体" w:cs="Times New Roman"/>
      <w:sz w:val="24"/>
      <w:szCs w:val="24"/>
    </w:rPr>
  </w:style>
  <w:style w:type="paragraph" w:customStyle="1" w:styleId="154">
    <w:name w:val="表格1"/>
    <w:basedOn w:val="1"/>
    <w:qFormat/>
    <w:uiPriority w:val="0"/>
    <w:pPr>
      <w:adjustRightInd w:val="0"/>
      <w:spacing w:line="400" w:lineRule="atLeast"/>
      <w:jc w:val="center"/>
      <w:textAlignment w:val="baseline"/>
    </w:pPr>
    <w:rPr>
      <w:kern w:val="0"/>
      <w:sz w:val="24"/>
    </w:rPr>
  </w:style>
  <w:style w:type="paragraph" w:customStyle="1" w:styleId="155">
    <w:name w:val="节正文"/>
    <w:basedOn w:val="1"/>
    <w:link w:val="156"/>
    <w:qFormat/>
    <w:uiPriority w:val="0"/>
    <w:pPr>
      <w:autoSpaceDE w:val="0"/>
      <w:autoSpaceDN w:val="0"/>
      <w:adjustRightInd w:val="0"/>
      <w:spacing w:line="480" w:lineRule="exact"/>
      <w:ind w:firstLine="200" w:firstLineChars="200"/>
    </w:pPr>
    <w:rPr>
      <w:rFonts w:ascii="宋体"/>
      <w:sz w:val="24"/>
      <w:szCs w:val="20"/>
    </w:rPr>
  </w:style>
  <w:style w:type="character" w:customStyle="1" w:styleId="156">
    <w:name w:val="节正文 Char"/>
    <w:basedOn w:val="65"/>
    <w:link w:val="155"/>
    <w:qFormat/>
    <w:uiPriority w:val="0"/>
    <w:rPr>
      <w:rFonts w:ascii="宋体" w:hAnsi="Times New Roman" w:eastAsia="宋体" w:cs="Times New Roman"/>
      <w:sz w:val="24"/>
      <w:szCs w:val="20"/>
    </w:rPr>
  </w:style>
  <w:style w:type="character" w:customStyle="1" w:styleId="157">
    <w:name w:val="表格 Char"/>
    <w:basedOn w:val="65"/>
    <w:link w:val="122"/>
    <w:qFormat/>
    <w:uiPriority w:val="0"/>
    <w:rPr>
      <w:rFonts w:ascii="Times New Roman" w:hAnsi="Times New Roman" w:eastAsia="宋体" w:cs="Times New Roman"/>
      <w:szCs w:val="24"/>
    </w:rPr>
  </w:style>
  <w:style w:type="paragraph" w:customStyle="1" w:styleId="158">
    <w:name w:val="报告"/>
    <w:basedOn w:val="1"/>
    <w:link w:val="164"/>
    <w:qFormat/>
    <w:uiPriority w:val="0"/>
    <w:pPr>
      <w:overflowPunct w:val="0"/>
      <w:autoSpaceDE w:val="0"/>
      <w:autoSpaceDN w:val="0"/>
      <w:adjustRightInd w:val="0"/>
      <w:spacing w:beforeLines="30" w:afterLines="30" w:line="400" w:lineRule="atLeast"/>
      <w:ind w:left="200" w:leftChars="200" w:firstLine="200" w:firstLineChars="200"/>
      <w:textAlignment w:val="baseline"/>
    </w:pPr>
    <w:rPr>
      <w:kern w:val="0"/>
      <w:sz w:val="24"/>
      <w:szCs w:val="20"/>
    </w:rPr>
  </w:style>
  <w:style w:type="paragraph" w:customStyle="1" w:styleId="159">
    <w:name w:val="级别二 Char"/>
    <w:basedOn w:val="1"/>
    <w:link w:val="160"/>
    <w:qFormat/>
    <w:uiPriority w:val="0"/>
    <w:pPr>
      <w:spacing w:after="120" w:line="520" w:lineRule="exact"/>
    </w:pPr>
    <w:rPr>
      <w:rFonts w:ascii="黑体" w:hAnsi="黑体" w:eastAsia="黑体"/>
      <w:b/>
      <w:bCs/>
      <w:sz w:val="28"/>
      <w:szCs w:val="20"/>
    </w:rPr>
  </w:style>
  <w:style w:type="character" w:customStyle="1" w:styleId="160">
    <w:name w:val="级别二 Char Char"/>
    <w:link w:val="159"/>
    <w:qFormat/>
    <w:uiPriority w:val="0"/>
    <w:rPr>
      <w:rFonts w:ascii="黑体" w:hAnsi="黑体" w:eastAsia="黑体" w:cs="Times New Roman"/>
      <w:b/>
      <w:bCs/>
      <w:sz w:val="28"/>
      <w:szCs w:val="20"/>
    </w:rPr>
  </w:style>
  <w:style w:type="paragraph" w:customStyle="1" w:styleId="161">
    <w:name w:val="表格名"/>
    <w:basedOn w:val="1"/>
    <w:next w:val="1"/>
    <w:qFormat/>
    <w:uiPriority w:val="0"/>
    <w:pPr>
      <w:keepNext/>
      <w:keepLines/>
      <w:tabs>
        <w:tab w:val="left" w:pos="567"/>
      </w:tabs>
      <w:adjustRightInd w:val="0"/>
      <w:snapToGrid w:val="0"/>
      <w:spacing w:before="120" w:after="120"/>
      <w:ind w:left="397" w:hanging="397"/>
      <w:jc w:val="left"/>
      <w:outlineLvl w:val="4"/>
    </w:pPr>
    <w:rPr>
      <w:rFonts w:ascii="黑体" w:hAnsi="黑体"/>
      <w:bCs/>
      <w:color w:val="000000"/>
      <w:kern w:val="0"/>
      <w:sz w:val="24"/>
    </w:rPr>
  </w:style>
  <w:style w:type="paragraph" w:customStyle="1" w:styleId="162">
    <w:name w:val="标准"/>
    <w:basedOn w:val="1"/>
    <w:qFormat/>
    <w:uiPriority w:val="0"/>
    <w:pPr>
      <w:adjustRightInd w:val="0"/>
      <w:spacing w:line="480" w:lineRule="exact"/>
      <w:textAlignment w:val="baseline"/>
    </w:pPr>
    <w:rPr>
      <w:kern w:val="0"/>
      <w:sz w:val="28"/>
      <w:szCs w:val="20"/>
      <w:lang w:val="en-GB"/>
    </w:rPr>
  </w:style>
  <w:style w:type="table" w:customStyle="1" w:styleId="163">
    <w:name w:val="网格型刘9"/>
    <w:basedOn w:val="63"/>
    <w:qFormat/>
    <w:uiPriority w:val="0"/>
    <w:pPr>
      <w:widowControl w:val="0"/>
      <w:spacing w:line="0" w:lineRule="atLeast"/>
      <w:jc w:val="center"/>
    </w:pPr>
    <w:rPr>
      <w:rFonts w:ascii="Times New Roman" w:hAnsi="Times New Roman" w:eastAsia="宋体" w:cs="Times New Roman"/>
      <w:kern w:val="0"/>
      <w:sz w:val="20"/>
      <w:szCs w:val="20"/>
    </w:rPr>
    <w:tblP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left w:w="28" w:type="dxa"/>
        <w:right w:w="28" w:type="dxa"/>
      </w:tblCellMar>
    </w:tblPr>
    <w:tcPr>
      <w:vAlign w:val="center"/>
    </w:tcPr>
  </w:style>
  <w:style w:type="character" w:customStyle="1" w:styleId="164">
    <w:name w:val="报告 Char"/>
    <w:basedOn w:val="65"/>
    <w:link w:val="158"/>
    <w:qFormat/>
    <w:uiPriority w:val="0"/>
    <w:rPr>
      <w:rFonts w:ascii="Times New Roman" w:hAnsi="Times New Roman" w:eastAsia="宋体" w:cs="Times New Roman"/>
      <w:kern w:val="0"/>
      <w:sz w:val="24"/>
      <w:szCs w:val="20"/>
    </w:rPr>
  </w:style>
  <w:style w:type="paragraph" w:customStyle="1" w:styleId="165">
    <w:name w:val="日期1"/>
    <w:basedOn w:val="1"/>
    <w:next w:val="1"/>
    <w:qFormat/>
    <w:uiPriority w:val="0"/>
    <w:pPr>
      <w:adjustRightInd w:val="0"/>
      <w:textAlignment w:val="baseline"/>
    </w:pPr>
    <w:rPr>
      <w:sz w:val="24"/>
      <w:szCs w:val="20"/>
    </w:rPr>
  </w:style>
  <w:style w:type="character" w:customStyle="1" w:styleId="166">
    <w:name w:val="表格内容 Char"/>
    <w:basedOn w:val="65"/>
    <w:qFormat/>
    <w:uiPriority w:val="0"/>
    <w:rPr>
      <w:rFonts w:ascii="宋体" w:hAnsi="Courier New" w:eastAsia="宋体"/>
      <w:sz w:val="21"/>
      <w:lang w:val="en-US" w:eastAsia="zh-CN" w:bidi="ar-SA"/>
    </w:rPr>
  </w:style>
  <w:style w:type="character" w:customStyle="1" w:styleId="167">
    <w:name w:val="段落 Char"/>
    <w:basedOn w:val="65"/>
    <w:link w:val="123"/>
    <w:qFormat/>
    <w:uiPriority w:val="0"/>
    <w:rPr>
      <w:rFonts w:ascii="Times New Roman" w:hAnsi="宋体" w:eastAsia="宋体" w:cs="Times New Roman"/>
      <w:kern w:val="24"/>
      <w:sz w:val="24"/>
      <w:szCs w:val="24"/>
    </w:rPr>
  </w:style>
  <w:style w:type="paragraph" w:customStyle="1" w:styleId="168">
    <w:name w:val="黄埔正文"/>
    <w:autoRedefine/>
    <w:qFormat/>
    <w:uiPriority w:val="0"/>
    <w:pPr>
      <w:spacing w:beforeLines="50" w:line="440" w:lineRule="exact"/>
      <w:ind w:firstLine="480"/>
      <w:jc w:val="both"/>
    </w:pPr>
    <w:rPr>
      <w:rFonts w:ascii="宋体" w:hAnsi="Times New Roman" w:eastAsia="宋体" w:cs="Times New Roman"/>
      <w:color w:val="000000"/>
      <w:kern w:val="0"/>
      <w:sz w:val="24"/>
      <w:szCs w:val="20"/>
      <w:lang w:val="en-US" w:eastAsia="zh-CN" w:bidi="ar-SA"/>
    </w:rPr>
  </w:style>
  <w:style w:type="paragraph" w:customStyle="1" w:styleId="169">
    <w:name w:val="封面正文"/>
    <w:qFormat/>
    <w:uiPriority w:val="0"/>
    <w:pPr>
      <w:jc w:val="both"/>
    </w:pPr>
    <w:rPr>
      <w:rFonts w:ascii="Times New Roman" w:hAnsi="Times New Roman" w:eastAsia="宋体" w:cs="Times New Roman"/>
      <w:kern w:val="0"/>
      <w:sz w:val="20"/>
      <w:szCs w:val="20"/>
      <w:lang w:val="en-US" w:eastAsia="zh-CN" w:bidi="ar-SA"/>
    </w:rPr>
  </w:style>
  <w:style w:type="character" w:customStyle="1" w:styleId="170">
    <w:name w:val="表头 Char"/>
    <w:basedOn w:val="65"/>
    <w:link w:val="105"/>
    <w:qFormat/>
    <w:uiPriority w:val="0"/>
    <w:rPr>
      <w:rFonts w:ascii="黑体" w:hAnsi="Times New Roman" w:eastAsia="黑体" w:cs="Times New Roman"/>
      <w:b/>
      <w:sz w:val="24"/>
      <w:szCs w:val="24"/>
    </w:rPr>
  </w:style>
  <w:style w:type="paragraph" w:customStyle="1" w:styleId="171">
    <w:name w:val="报告表格"/>
    <w:basedOn w:val="1"/>
    <w:qFormat/>
    <w:uiPriority w:val="0"/>
    <w:pPr>
      <w:autoSpaceDE w:val="0"/>
      <w:autoSpaceDN w:val="0"/>
      <w:adjustRightInd w:val="0"/>
      <w:spacing w:before="40" w:after="40"/>
      <w:jc w:val="center"/>
      <w:textAlignment w:val="bottom"/>
    </w:pPr>
    <w:rPr>
      <w:kern w:val="0"/>
      <w:szCs w:val="20"/>
    </w:rPr>
  </w:style>
  <w:style w:type="paragraph" w:customStyle="1" w:styleId="172">
    <w:name w:val="简单回函地址"/>
    <w:basedOn w:val="1"/>
    <w:qFormat/>
    <w:uiPriority w:val="0"/>
    <w:rPr>
      <w:sz w:val="24"/>
      <w:szCs w:val="20"/>
    </w:rPr>
  </w:style>
  <w:style w:type="paragraph" w:customStyle="1" w:styleId="173">
    <w:name w:val="节2"/>
    <w:basedOn w:val="1"/>
    <w:link w:val="174"/>
    <w:qFormat/>
    <w:uiPriority w:val="0"/>
    <w:pPr>
      <w:autoSpaceDE w:val="0"/>
      <w:autoSpaceDN w:val="0"/>
      <w:adjustRightInd w:val="0"/>
      <w:spacing w:line="600" w:lineRule="exact"/>
      <w:ind w:firstLine="200" w:firstLineChars="200"/>
      <w:outlineLvl w:val="1"/>
    </w:pPr>
    <w:rPr>
      <w:rFonts w:ascii="宋体" w:eastAsia="黑体"/>
      <w:b/>
      <w:sz w:val="28"/>
      <w:szCs w:val="20"/>
    </w:rPr>
  </w:style>
  <w:style w:type="character" w:customStyle="1" w:styleId="174">
    <w:name w:val="节2 Char"/>
    <w:basedOn w:val="65"/>
    <w:link w:val="173"/>
    <w:qFormat/>
    <w:uiPriority w:val="0"/>
    <w:rPr>
      <w:rFonts w:ascii="宋体" w:hAnsi="Times New Roman" w:eastAsia="黑体" w:cs="Times New Roman"/>
      <w:b/>
      <w:sz w:val="28"/>
      <w:szCs w:val="20"/>
    </w:rPr>
  </w:style>
  <w:style w:type="paragraph" w:customStyle="1" w:styleId="175">
    <w:name w:val="表格，五宋"/>
    <w:qFormat/>
    <w:uiPriority w:val="0"/>
    <w:pPr>
      <w:adjustRightInd w:val="0"/>
      <w:spacing w:line="360" w:lineRule="exact"/>
      <w:jc w:val="center"/>
    </w:pPr>
    <w:rPr>
      <w:rFonts w:ascii="Times New Roman" w:hAnsi="Times New Roman" w:eastAsia="宋体" w:cs="Times New Roman"/>
      <w:kern w:val="0"/>
      <w:sz w:val="21"/>
      <w:szCs w:val="20"/>
      <w:lang w:val="en-US" w:eastAsia="zh-CN" w:bidi="ar-SA"/>
    </w:rPr>
  </w:style>
  <w:style w:type="character" w:customStyle="1" w:styleId="176">
    <w:name w:val="特点标题 Char"/>
    <w:basedOn w:val="65"/>
    <w:qFormat/>
    <w:locked/>
    <w:uiPriority w:val="0"/>
    <w:rPr>
      <w:rFonts w:ascii="宋体" w:hAnsi="宋体" w:eastAsia="宋体"/>
      <w:kern w:val="2"/>
      <w:sz w:val="28"/>
      <w:szCs w:val="24"/>
      <w:lang w:val="en-US" w:eastAsia="zh-CN" w:bidi="ar-SA"/>
    </w:rPr>
  </w:style>
  <w:style w:type="paragraph" w:customStyle="1" w:styleId="177">
    <w:name w:val="秦皇岛正文"/>
    <w:basedOn w:val="1"/>
    <w:qFormat/>
    <w:uiPriority w:val="0"/>
    <w:pPr>
      <w:spacing w:line="400" w:lineRule="exact"/>
      <w:ind w:firstLine="200" w:firstLineChars="200"/>
    </w:pPr>
    <w:rPr>
      <w:rFonts w:ascii="宋体" w:hAnsi="宋体"/>
      <w:sz w:val="24"/>
    </w:rPr>
  </w:style>
  <w:style w:type="paragraph" w:customStyle="1" w:styleId="178">
    <w:name w:val="曲阜正文"/>
    <w:basedOn w:val="1"/>
    <w:qFormat/>
    <w:uiPriority w:val="0"/>
    <w:pPr>
      <w:spacing w:line="360" w:lineRule="auto"/>
      <w:ind w:firstLine="200" w:firstLineChars="200"/>
    </w:pPr>
    <w:rPr>
      <w:sz w:val="24"/>
    </w:rPr>
  </w:style>
  <w:style w:type="paragraph" w:customStyle="1" w:styleId="179">
    <w:name w:val="zhang"/>
    <w:basedOn w:val="1"/>
    <w:qFormat/>
    <w:uiPriority w:val="0"/>
    <w:pPr>
      <w:widowControl/>
      <w:jc w:val="left"/>
    </w:pPr>
    <w:rPr>
      <w:rFonts w:ascii="宋体" w:hAnsi="宋体" w:cs="宋体"/>
      <w:b/>
      <w:bCs/>
      <w:smallCaps/>
      <w:color w:val="000000"/>
      <w:kern w:val="0"/>
      <w:sz w:val="20"/>
      <w:szCs w:val="20"/>
    </w:rPr>
  </w:style>
  <w:style w:type="character" w:customStyle="1" w:styleId="180">
    <w:name w:val="三级标题 Char"/>
    <w:basedOn w:val="65"/>
    <w:qFormat/>
    <w:uiPriority w:val="0"/>
    <w:rPr>
      <w:rFonts w:ascii="Times New Roman" w:hAnsi="Times New Roman" w:eastAsia="黑体" w:cs="Times New Roman"/>
      <w:b/>
      <w:kern w:val="0"/>
      <w:sz w:val="28"/>
      <w:szCs w:val="24"/>
    </w:rPr>
  </w:style>
  <w:style w:type="character" w:customStyle="1" w:styleId="181">
    <w:name w:val="三级标题 Char1"/>
    <w:basedOn w:val="65"/>
    <w:qFormat/>
    <w:uiPriority w:val="0"/>
    <w:rPr>
      <w:rFonts w:eastAsia="黑体"/>
      <w:b/>
      <w:sz w:val="28"/>
      <w:szCs w:val="24"/>
      <w:lang w:val="en-US" w:eastAsia="zh-CN" w:bidi="ar-SA"/>
    </w:rPr>
  </w:style>
  <w:style w:type="character" w:customStyle="1" w:styleId="182">
    <w:name w:val="h4 Char1"/>
    <w:basedOn w:val="65"/>
    <w:qFormat/>
    <w:uiPriority w:val="0"/>
    <w:rPr>
      <w:rFonts w:ascii="宋体" w:hAnsi="宋体"/>
      <w:sz w:val="28"/>
      <w:szCs w:val="24"/>
    </w:rPr>
  </w:style>
  <w:style w:type="paragraph" w:customStyle="1" w:styleId="183">
    <w:name w:val="表标"/>
    <w:next w:val="1"/>
    <w:qFormat/>
    <w:uiPriority w:val="0"/>
    <w:pPr>
      <w:widowControl w:val="0"/>
      <w:tabs>
        <w:tab w:val="left" w:pos="280"/>
      </w:tabs>
      <w:adjustRightInd w:val="0"/>
      <w:snapToGrid w:val="0"/>
      <w:jc w:val="center"/>
    </w:pPr>
    <w:rPr>
      <w:rFonts w:ascii="Times New Roman" w:hAnsi="Times New Roman" w:eastAsia="宋体" w:cs="Times New Roman"/>
      <w:b/>
      <w:kern w:val="2"/>
      <w:sz w:val="24"/>
      <w:szCs w:val="24"/>
      <w:lang w:val="en-US" w:eastAsia="zh-CN" w:bidi="ar-SA"/>
    </w:rPr>
  </w:style>
  <w:style w:type="paragraph" w:customStyle="1" w:styleId="184">
    <w:name w:val="表内字"/>
    <w:qFormat/>
    <w:uiPriority w:val="0"/>
    <w:pPr>
      <w:spacing w:line="312" w:lineRule="auto"/>
      <w:jc w:val="center"/>
    </w:pPr>
    <w:rPr>
      <w:rFonts w:ascii="Times New Roman" w:hAnsi="Times New Roman" w:eastAsia="宋体" w:cs="Times New Roman"/>
      <w:color w:val="000000"/>
      <w:kern w:val="0"/>
      <w:sz w:val="21"/>
      <w:szCs w:val="20"/>
      <w:lang w:val="en-US" w:eastAsia="zh-CN" w:bidi="ar-SA"/>
    </w:rPr>
  </w:style>
  <w:style w:type="paragraph" w:customStyle="1" w:styleId="185">
    <w:name w:val="图表标题"/>
    <w:basedOn w:val="1"/>
    <w:link w:val="197"/>
    <w:qFormat/>
    <w:uiPriority w:val="0"/>
    <w:pPr>
      <w:adjustRightInd w:val="0"/>
      <w:snapToGrid w:val="0"/>
      <w:spacing w:line="360" w:lineRule="auto"/>
      <w:jc w:val="center"/>
    </w:pPr>
    <w:rPr>
      <w:rFonts w:ascii="黑体" w:eastAsia="黑体"/>
      <w:b/>
      <w:color w:val="000000"/>
      <w:sz w:val="24"/>
      <w:szCs w:val="21"/>
    </w:rPr>
  </w:style>
  <w:style w:type="paragraph" w:customStyle="1" w:styleId="186">
    <w:name w:val="编制人员"/>
    <w:basedOn w:val="1"/>
    <w:autoRedefine/>
    <w:qFormat/>
    <w:uiPriority w:val="0"/>
    <w:pPr>
      <w:keepNext/>
      <w:tabs>
        <w:tab w:val="left" w:pos="2190"/>
      </w:tabs>
      <w:adjustRightInd w:val="0"/>
      <w:snapToGrid w:val="0"/>
      <w:spacing w:line="360" w:lineRule="auto"/>
      <w:jc w:val="center"/>
    </w:pPr>
    <w:rPr>
      <w:rFonts w:ascii="黑体" w:hAnsi="宋体" w:eastAsia="黑体"/>
      <w:sz w:val="32"/>
      <w:szCs w:val="28"/>
    </w:rPr>
  </w:style>
  <w:style w:type="paragraph" w:customStyle="1" w:styleId="187">
    <w:name w:val="编制日期"/>
    <w:basedOn w:val="1"/>
    <w:link w:val="188"/>
    <w:autoRedefine/>
    <w:qFormat/>
    <w:uiPriority w:val="0"/>
    <w:pPr>
      <w:keepNext/>
      <w:tabs>
        <w:tab w:val="left" w:pos="2190"/>
      </w:tabs>
      <w:adjustRightInd w:val="0"/>
      <w:snapToGrid w:val="0"/>
      <w:spacing w:line="360" w:lineRule="auto"/>
      <w:jc w:val="center"/>
    </w:pPr>
    <w:rPr>
      <w:rFonts w:ascii="宋体" w:hAnsi="宋体"/>
      <w:sz w:val="32"/>
      <w:szCs w:val="28"/>
    </w:rPr>
  </w:style>
  <w:style w:type="character" w:customStyle="1" w:styleId="188">
    <w:name w:val="编制日期 Char"/>
    <w:basedOn w:val="65"/>
    <w:link w:val="187"/>
    <w:qFormat/>
    <w:uiPriority w:val="0"/>
    <w:rPr>
      <w:rFonts w:ascii="宋体" w:hAnsi="宋体" w:eastAsia="宋体" w:cs="Times New Roman"/>
      <w:sz w:val="32"/>
      <w:szCs w:val="28"/>
    </w:rPr>
  </w:style>
  <w:style w:type="paragraph" w:customStyle="1" w:styleId="189">
    <w:name w:val="表中"/>
    <w:basedOn w:val="1"/>
    <w:autoRedefine/>
    <w:qFormat/>
    <w:uiPriority w:val="0"/>
    <w:pPr>
      <w:keepNext/>
      <w:tabs>
        <w:tab w:val="left" w:pos="2190"/>
      </w:tabs>
      <w:adjustRightInd w:val="0"/>
      <w:snapToGrid w:val="0"/>
      <w:spacing w:line="240" w:lineRule="atLeast"/>
      <w:jc w:val="center"/>
    </w:pPr>
    <w:rPr>
      <w:rFonts w:ascii="宋体" w:hAnsi="宋体"/>
      <w:sz w:val="24"/>
      <w:szCs w:val="22"/>
    </w:rPr>
  </w:style>
  <w:style w:type="paragraph" w:customStyle="1" w:styleId="190">
    <w:name w:val="题注图名"/>
    <w:basedOn w:val="1"/>
    <w:link w:val="191"/>
    <w:qFormat/>
    <w:uiPriority w:val="0"/>
    <w:pPr>
      <w:spacing w:after="120" w:line="300" w:lineRule="auto"/>
      <w:jc w:val="center"/>
    </w:pPr>
    <w:rPr>
      <w:b/>
      <w:bCs/>
      <w:szCs w:val="20"/>
      <w:lang w:val="zh-CN"/>
    </w:rPr>
  </w:style>
  <w:style w:type="character" w:customStyle="1" w:styleId="191">
    <w:name w:val="题注图名 Char"/>
    <w:basedOn w:val="65"/>
    <w:link w:val="190"/>
    <w:qFormat/>
    <w:uiPriority w:val="0"/>
    <w:rPr>
      <w:rFonts w:ascii="Times New Roman" w:hAnsi="Times New Roman" w:eastAsia="宋体" w:cs="Times New Roman"/>
      <w:b/>
      <w:bCs/>
      <w:szCs w:val="20"/>
      <w:lang w:val="zh-CN"/>
    </w:rPr>
  </w:style>
  <w:style w:type="paragraph" w:customStyle="1" w:styleId="192">
    <w:name w:val="图片"/>
    <w:basedOn w:val="1"/>
    <w:next w:val="1"/>
    <w:qFormat/>
    <w:uiPriority w:val="0"/>
    <w:pPr>
      <w:keepNext/>
      <w:widowControl/>
      <w:spacing w:line="360" w:lineRule="auto"/>
      <w:jc w:val="center"/>
    </w:pPr>
    <w:rPr>
      <w:rFonts w:eastAsia="仿宋_GB2312"/>
      <w:b/>
      <w:bCs/>
      <w:color w:val="000000"/>
      <w:sz w:val="24"/>
      <w:szCs w:val="20"/>
      <w:lang w:val="zh-CN"/>
    </w:rPr>
  </w:style>
  <w:style w:type="paragraph" w:customStyle="1" w:styleId="193">
    <w:name w:val="图例"/>
    <w:basedOn w:val="190"/>
    <w:link w:val="194"/>
    <w:uiPriority w:val="0"/>
    <w:rPr>
      <w:szCs w:val="24"/>
    </w:rPr>
  </w:style>
  <w:style w:type="character" w:customStyle="1" w:styleId="194">
    <w:name w:val="图例 Char"/>
    <w:basedOn w:val="191"/>
    <w:link w:val="193"/>
    <w:qFormat/>
    <w:uiPriority w:val="0"/>
    <w:rPr>
      <w:rFonts w:ascii="Times New Roman" w:hAnsi="Times New Roman" w:eastAsia="宋体" w:cs="Times New Roman"/>
      <w:szCs w:val="24"/>
      <w:lang w:val="zh-CN"/>
    </w:rPr>
  </w:style>
  <w:style w:type="character" w:customStyle="1" w:styleId="195">
    <w:name w:val="表格文字 Char"/>
    <w:basedOn w:val="65"/>
    <w:qFormat/>
    <w:uiPriority w:val="0"/>
    <w:rPr>
      <w:rFonts w:ascii="仿宋_GB2312" w:hAnsi="Arial Black" w:eastAsia="仿宋_GB2312"/>
      <w:kern w:val="44"/>
      <w:sz w:val="24"/>
      <w:lang w:val="en-US" w:eastAsia="zh-CN" w:bidi="ar-SA"/>
    </w:rPr>
  </w:style>
  <w:style w:type="paragraph" w:customStyle="1" w:styleId="196">
    <w:name w:val="表格标题-报告书"/>
    <w:basedOn w:val="1"/>
    <w:next w:val="1"/>
    <w:qFormat/>
    <w:uiPriority w:val="0"/>
    <w:pPr>
      <w:spacing w:beforeLines="50" w:afterLines="50"/>
      <w:jc w:val="center"/>
    </w:pPr>
    <w:rPr>
      <w:rFonts w:eastAsia="华文中宋"/>
      <w:kern w:val="24"/>
      <w:szCs w:val="21"/>
    </w:rPr>
  </w:style>
  <w:style w:type="character" w:customStyle="1" w:styleId="197">
    <w:name w:val="图表标题 Char"/>
    <w:basedOn w:val="65"/>
    <w:link w:val="185"/>
    <w:qFormat/>
    <w:uiPriority w:val="0"/>
    <w:rPr>
      <w:rFonts w:ascii="黑体" w:hAnsi="Times New Roman" w:eastAsia="黑体" w:cs="Times New Roman"/>
      <w:b/>
      <w:color w:val="000000"/>
      <w:sz w:val="24"/>
      <w:szCs w:val="21"/>
    </w:rPr>
  </w:style>
  <w:style w:type="paragraph" w:customStyle="1" w:styleId="198">
    <w:name w:val="表格正文"/>
    <w:basedOn w:val="1"/>
    <w:next w:val="1"/>
    <w:link w:val="235"/>
    <w:qFormat/>
    <w:uiPriority w:val="0"/>
    <w:pPr>
      <w:spacing w:line="320" w:lineRule="exact"/>
      <w:jc w:val="center"/>
    </w:pPr>
    <w:rPr>
      <w:rFonts w:eastAsia="Times New Roman"/>
    </w:rPr>
  </w:style>
  <w:style w:type="character" w:customStyle="1" w:styleId="199">
    <w:name w:val="h4 Char2"/>
    <w:qFormat/>
    <w:uiPriority w:val="0"/>
    <w:rPr>
      <w:rFonts w:ascii="宋体" w:hAnsi="宋体"/>
      <w:sz w:val="28"/>
      <w:szCs w:val="24"/>
    </w:rPr>
  </w:style>
  <w:style w:type="character" w:customStyle="1" w:styleId="200">
    <w:name w:val="图表标题 Char Char"/>
    <w:basedOn w:val="65"/>
    <w:qFormat/>
    <w:uiPriority w:val="0"/>
    <w:rPr>
      <w:rFonts w:ascii="黑体" w:eastAsia="黑体"/>
      <w:b/>
      <w:color w:val="000000"/>
      <w:kern w:val="2"/>
      <w:sz w:val="24"/>
      <w:szCs w:val="21"/>
      <w:lang w:val="en-US" w:eastAsia="zh-CN" w:bidi="ar-SA"/>
    </w:rPr>
  </w:style>
  <w:style w:type="character" w:customStyle="1" w:styleId="201">
    <w:name w:val="签名 Char Char"/>
    <w:basedOn w:val="65"/>
    <w:qFormat/>
    <w:uiPriority w:val="0"/>
    <w:rPr>
      <w:kern w:val="2"/>
      <w:sz w:val="21"/>
      <w:szCs w:val="24"/>
    </w:rPr>
  </w:style>
  <w:style w:type="character" w:customStyle="1" w:styleId="202">
    <w:name w:val="表头 Char Char"/>
    <w:basedOn w:val="65"/>
    <w:qFormat/>
    <w:uiPriority w:val="0"/>
    <w:rPr>
      <w:rFonts w:ascii="黑体" w:eastAsia="黑体"/>
      <w:b/>
      <w:kern w:val="2"/>
      <w:sz w:val="24"/>
      <w:szCs w:val="24"/>
      <w:lang w:val="en-US" w:eastAsia="zh-CN" w:bidi="ar-SA"/>
    </w:rPr>
  </w:style>
  <w:style w:type="character" w:customStyle="1" w:styleId="203">
    <w:name w:val="题注图名 Char Char"/>
    <w:basedOn w:val="65"/>
    <w:qFormat/>
    <w:uiPriority w:val="0"/>
    <w:rPr>
      <w:rFonts w:eastAsia="宋体"/>
      <w:b/>
      <w:bCs/>
      <w:kern w:val="2"/>
      <w:sz w:val="21"/>
      <w:lang w:val="zh-CN" w:eastAsia="zh-CN" w:bidi="ar-SA"/>
    </w:rPr>
  </w:style>
  <w:style w:type="character" w:customStyle="1" w:styleId="204">
    <w:name w:val="表头文字 Char Char"/>
    <w:basedOn w:val="65"/>
    <w:qFormat/>
    <w:uiPriority w:val="0"/>
    <w:rPr>
      <w:rFonts w:eastAsia="黑体"/>
      <w:kern w:val="2"/>
      <w:sz w:val="24"/>
      <w:szCs w:val="24"/>
      <w:lang w:val="en-US" w:eastAsia="zh-CN" w:bidi="ar-SA"/>
    </w:rPr>
  </w:style>
  <w:style w:type="character" w:customStyle="1" w:styleId="205">
    <w:name w:val="二 Char Char Char"/>
    <w:basedOn w:val="65"/>
    <w:qFormat/>
    <w:uiPriority w:val="0"/>
    <w:rPr>
      <w:rFonts w:ascii="黑体" w:eastAsia="黑体"/>
      <w:b/>
      <w:kern w:val="2"/>
      <w:sz w:val="24"/>
      <w:lang w:val="en-US" w:eastAsia="zh-CN"/>
    </w:rPr>
  </w:style>
  <w:style w:type="character" w:customStyle="1" w:styleId="206">
    <w:name w:val="段落 Char Char"/>
    <w:basedOn w:val="65"/>
    <w:qFormat/>
    <w:uiPriority w:val="0"/>
    <w:rPr>
      <w:rFonts w:hAnsi="宋体" w:eastAsia="宋体"/>
      <w:kern w:val="24"/>
      <w:sz w:val="24"/>
      <w:szCs w:val="24"/>
      <w:lang w:val="en-US" w:eastAsia="zh-CN" w:bidi="ar-SA"/>
    </w:rPr>
  </w:style>
  <w:style w:type="character" w:customStyle="1" w:styleId="207">
    <w:name w:val="图例 Char Char"/>
    <w:basedOn w:val="203"/>
    <w:qFormat/>
    <w:uiPriority w:val="0"/>
    <w:rPr>
      <w:rFonts w:eastAsia="宋体"/>
      <w:kern w:val="2"/>
      <w:sz w:val="21"/>
      <w:szCs w:val="24"/>
      <w:lang w:val="zh-CN" w:eastAsia="zh-CN" w:bidi="ar-SA"/>
    </w:rPr>
  </w:style>
  <w:style w:type="character" w:customStyle="1" w:styleId="208">
    <w:name w:val="节正文 Char Char"/>
    <w:basedOn w:val="65"/>
    <w:uiPriority w:val="0"/>
    <w:rPr>
      <w:rFonts w:ascii="宋体" w:eastAsia="宋体"/>
      <w:kern w:val="2"/>
      <w:sz w:val="24"/>
      <w:lang w:val="en-US" w:eastAsia="zh-CN" w:bidi="ar-SA"/>
    </w:rPr>
  </w:style>
  <w:style w:type="character" w:customStyle="1" w:styleId="209">
    <w:name w:val="编制日期 Char Char"/>
    <w:basedOn w:val="65"/>
    <w:qFormat/>
    <w:uiPriority w:val="0"/>
    <w:rPr>
      <w:rFonts w:ascii="宋体" w:hAnsi="宋体" w:eastAsia="宋体"/>
      <w:kern w:val="2"/>
      <w:sz w:val="32"/>
      <w:szCs w:val="28"/>
      <w:lang w:val="en-US" w:eastAsia="zh-CN" w:bidi="ar-SA"/>
    </w:rPr>
  </w:style>
  <w:style w:type="character" w:customStyle="1" w:styleId="210">
    <w:name w:val="表格内容 Char Char"/>
    <w:basedOn w:val="65"/>
    <w:qFormat/>
    <w:uiPriority w:val="0"/>
    <w:rPr>
      <w:rFonts w:ascii="宋体" w:hAnsi="Courier New" w:eastAsia="宋体"/>
      <w:sz w:val="21"/>
      <w:lang w:val="en-US" w:eastAsia="zh-CN" w:bidi="ar-SA"/>
    </w:rPr>
  </w:style>
  <w:style w:type="character" w:customStyle="1" w:styleId="211">
    <w:name w:val="图录821 Char Char"/>
    <w:basedOn w:val="65"/>
    <w:qFormat/>
    <w:uiPriority w:val="0"/>
    <w:rPr>
      <w:rFonts w:eastAsia="宋体"/>
      <w:b/>
      <w:kern w:val="2"/>
      <w:sz w:val="21"/>
      <w:szCs w:val="21"/>
      <w:lang w:val="en-US" w:eastAsia="zh-CN" w:bidi="ar-SA"/>
    </w:rPr>
  </w:style>
  <w:style w:type="character" w:customStyle="1" w:styleId="212">
    <w:name w:val="yyp Char Char"/>
    <w:basedOn w:val="65"/>
    <w:qFormat/>
    <w:uiPriority w:val="0"/>
    <w:rPr>
      <w:rFonts w:ascii="Times New Roman" w:hAnsi="Times New Roman" w:eastAsia="宋体" w:cs="Times New Roman"/>
      <w:kern w:val="2"/>
      <w:sz w:val="24"/>
      <w:szCs w:val="24"/>
      <w:lang w:val="en-US" w:eastAsia="zh-CN" w:bidi="ar-SA"/>
    </w:rPr>
  </w:style>
  <w:style w:type="character" w:customStyle="1" w:styleId="213">
    <w:name w:val="表头1 Char Char"/>
    <w:basedOn w:val="65"/>
    <w:qFormat/>
    <w:uiPriority w:val="0"/>
    <w:rPr>
      <w:rFonts w:eastAsia="黑体"/>
      <w:sz w:val="21"/>
      <w:szCs w:val="28"/>
      <w:lang w:val="en-US" w:eastAsia="zh-CN" w:bidi="ar-SA"/>
    </w:rPr>
  </w:style>
  <w:style w:type="character" w:customStyle="1" w:styleId="214">
    <w:name w:val="表格 Char Char"/>
    <w:basedOn w:val="65"/>
    <w:qFormat/>
    <w:uiPriority w:val="0"/>
    <w:rPr>
      <w:rFonts w:eastAsia="宋体"/>
      <w:kern w:val="2"/>
      <w:sz w:val="21"/>
      <w:szCs w:val="24"/>
      <w:lang w:val="en-US" w:eastAsia="zh-CN" w:bidi="ar-SA"/>
    </w:rPr>
  </w:style>
  <w:style w:type="character" w:customStyle="1" w:styleId="215">
    <w:name w:val="无间隔 Char Char"/>
    <w:basedOn w:val="65"/>
    <w:qFormat/>
    <w:uiPriority w:val="0"/>
    <w:rPr>
      <w:rFonts w:ascii="Calibri" w:hAnsi="Calibri" w:eastAsia="宋体"/>
      <w:sz w:val="22"/>
      <w:szCs w:val="22"/>
      <w:lang w:val="en-US" w:eastAsia="en-US" w:bidi="en-US"/>
    </w:rPr>
  </w:style>
  <w:style w:type="character" w:customStyle="1" w:styleId="216">
    <w:name w:val="表头名称 Char Char"/>
    <w:basedOn w:val="65"/>
    <w:qFormat/>
    <w:uiPriority w:val="0"/>
    <w:rPr>
      <w:rFonts w:ascii="黑体" w:hAnsi="宋体" w:eastAsia="黑体" w:cs="Times New Roman"/>
      <w:kern w:val="2"/>
      <w:sz w:val="24"/>
      <w:szCs w:val="24"/>
      <w:lang w:val="en-US" w:eastAsia="zh-CN" w:bidi="ar-SA"/>
    </w:rPr>
  </w:style>
  <w:style w:type="character" w:customStyle="1" w:styleId="217">
    <w:name w:val="级别二 Char Char Char"/>
    <w:qFormat/>
    <w:uiPriority w:val="0"/>
    <w:rPr>
      <w:rFonts w:ascii="黑体" w:hAnsi="黑体" w:eastAsia="黑体"/>
      <w:b/>
      <w:bCs/>
      <w:kern w:val="2"/>
      <w:sz w:val="28"/>
      <w:lang w:val="en-US" w:eastAsia="zh-CN" w:bidi="ar-SA"/>
    </w:rPr>
  </w:style>
  <w:style w:type="character" w:customStyle="1" w:styleId="218">
    <w:name w:val="大纲正文 Char Char"/>
    <w:basedOn w:val="65"/>
    <w:qFormat/>
    <w:uiPriority w:val="0"/>
    <w:rPr>
      <w:rFonts w:eastAsia="宋体" w:cs="宋体"/>
      <w:kern w:val="2"/>
      <w:sz w:val="24"/>
      <w:szCs w:val="24"/>
      <w:lang w:val="en-US" w:eastAsia="zh-CN" w:bidi="ar-SA"/>
    </w:rPr>
  </w:style>
  <w:style w:type="character" w:customStyle="1" w:styleId="219">
    <w:name w:val="节2 Char Char"/>
    <w:basedOn w:val="65"/>
    <w:qFormat/>
    <w:uiPriority w:val="0"/>
    <w:rPr>
      <w:rFonts w:ascii="宋体" w:eastAsia="黑体"/>
      <w:b/>
      <w:kern w:val="2"/>
      <w:sz w:val="28"/>
      <w:lang w:val="en-US" w:eastAsia="zh-CN" w:bidi="ar-SA"/>
    </w:rPr>
  </w:style>
  <w:style w:type="character" w:customStyle="1" w:styleId="220">
    <w:name w:val="报告 Char Char"/>
    <w:basedOn w:val="65"/>
    <w:qFormat/>
    <w:uiPriority w:val="0"/>
    <w:rPr>
      <w:rFonts w:eastAsia="宋体"/>
      <w:sz w:val="24"/>
      <w:lang w:val="en-US" w:eastAsia="zh-CN" w:bidi="ar-SA"/>
    </w:rPr>
  </w:style>
  <w:style w:type="character" w:customStyle="1" w:styleId="221">
    <w:name w:val="标题 5 Char Char"/>
    <w:basedOn w:val="65"/>
    <w:qFormat/>
    <w:uiPriority w:val="0"/>
    <w:rPr>
      <w:rFonts w:eastAsia="宋体"/>
      <w:b/>
      <w:bCs/>
      <w:kern w:val="2"/>
      <w:sz w:val="28"/>
      <w:szCs w:val="28"/>
      <w:lang w:val="en-US" w:eastAsia="zh-CN" w:bidi="ar-SA"/>
    </w:rPr>
  </w:style>
  <w:style w:type="character" w:customStyle="1" w:styleId="222">
    <w:name w:val="我的正文 Char Char"/>
    <w:basedOn w:val="65"/>
    <w:qFormat/>
    <w:uiPriority w:val="0"/>
    <w:rPr>
      <w:rFonts w:eastAsia="宋体" w:cs="宋体"/>
      <w:kern w:val="2"/>
      <w:sz w:val="24"/>
      <w:lang w:val="en-US" w:eastAsia="zh-CN" w:bidi="ar-SA"/>
    </w:rPr>
  </w:style>
  <w:style w:type="character" w:customStyle="1" w:styleId="223">
    <w:name w:val="表格内容 Char3"/>
    <w:basedOn w:val="65"/>
    <w:qFormat/>
    <w:uiPriority w:val="0"/>
    <w:rPr>
      <w:rFonts w:eastAsia="宋体" w:cs="Courier New"/>
      <w:kern w:val="2"/>
      <w:sz w:val="24"/>
      <w:szCs w:val="21"/>
      <w:lang w:val="en-US" w:eastAsia="zh-CN" w:bidi="ar-SA"/>
    </w:rPr>
  </w:style>
  <w:style w:type="character" w:customStyle="1" w:styleId="224">
    <w:name w:val="h4 Char3"/>
    <w:qFormat/>
    <w:uiPriority w:val="0"/>
    <w:rPr>
      <w:rFonts w:ascii="宋体" w:hAnsi="宋体"/>
      <w:sz w:val="28"/>
      <w:szCs w:val="24"/>
    </w:rPr>
  </w:style>
  <w:style w:type="paragraph" w:customStyle="1" w:styleId="225">
    <w:name w:val="表格内容（新）"/>
    <w:basedOn w:val="1"/>
    <w:autoRedefine/>
    <w:qFormat/>
    <w:uiPriority w:val="0"/>
    <w:pPr>
      <w:jc w:val="center"/>
    </w:pPr>
    <w:rPr>
      <w:sz w:val="20"/>
      <w:szCs w:val="20"/>
    </w:rPr>
  </w:style>
  <w:style w:type="character" w:customStyle="1" w:styleId="226">
    <w:name w:val="普通(网站) 字符"/>
    <w:link w:val="57"/>
    <w:qFormat/>
    <w:locked/>
    <w:uiPriority w:val="99"/>
    <w:rPr>
      <w:rFonts w:ascii="宋体" w:hAnsi="宋体" w:eastAsia="宋体" w:cs="宋体"/>
      <w:kern w:val="0"/>
      <w:sz w:val="24"/>
      <w:szCs w:val="24"/>
    </w:rPr>
  </w:style>
  <w:style w:type="character" w:customStyle="1" w:styleId="227">
    <w:name w:val="表头图名 Char Char"/>
    <w:basedOn w:val="65"/>
    <w:qFormat/>
    <w:uiPriority w:val="0"/>
    <w:rPr>
      <w:rFonts w:ascii="Cambria" w:hAnsi="Cambria" w:cs="Times New Roman"/>
      <w:b/>
      <w:bCs/>
      <w:kern w:val="2"/>
      <w:sz w:val="21"/>
      <w:szCs w:val="32"/>
    </w:rPr>
  </w:style>
  <w:style w:type="character" w:customStyle="1" w:styleId="228">
    <w:name w:val="普通(网站) Char"/>
    <w:basedOn w:val="65"/>
    <w:qFormat/>
    <w:uiPriority w:val="0"/>
    <w:rPr>
      <w:rFonts w:ascii="宋体" w:hAnsi="宋体" w:eastAsia="宋体" w:cs="宋体"/>
      <w:sz w:val="24"/>
      <w:szCs w:val="24"/>
      <w:lang w:val="en-US" w:eastAsia="zh-CN" w:bidi="ar-SA"/>
    </w:rPr>
  </w:style>
  <w:style w:type="paragraph" w:customStyle="1" w:styleId="229">
    <w:name w:val="图表"/>
    <w:basedOn w:val="1"/>
    <w:link w:val="356"/>
    <w:qFormat/>
    <w:uiPriority w:val="9"/>
    <w:pPr>
      <w:spacing w:line="540" w:lineRule="exact"/>
      <w:jc w:val="center"/>
    </w:pPr>
    <w:rPr>
      <w:rFonts w:eastAsia="黑体"/>
      <w:sz w:val="24"/>
      <w:szCs w:val="21"/>
    </w:rPr>
  </w:style>
  <w:style w:type="paragraph" w:customStyle="1" w:styleId="230">
    <w:name w:val="图表名"/>
    <w:basedOn w:val="1"/>
    <w:link w:val="258"/>
    <w:qFormat/>
    <w:uiPriority w:val="0"/>
    <w:pPr>
      <w:spacing w:line="500" w:lineRule="exact"/>
      <w:jc w:val="center"/>
    </w:pPr>
    <w:rPr>
      <w:rFonts w:ascii="Calibri" w:hAnsi="Calibri" w:eastAsia="黑体"/>
      <w:sz w:val="24"/>
      <w:szCs w:val="22"/>
    </w:rPr>
  </w:style>
  <w:style w:type="table" w:customStyle="1" w:styleId="231">
    <w:name w:val="网格型1"/>
    <w:basedOn w:val="63"/>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32">
    <w:name w:val="无间隔1"/>
    <w:link w:val="233"/>
    <w:qFormat/>
    <w:uiPriority w:val="0"/>
    <w:rPr>
      <w:rFonts w:ascii="Calibri" w:hAnsi="Calibri" w:eastAsia="宋体" w:cs="Times New Roman"/>
      <w:kern w:val="0"/>
      <w:sz w:val="22"/>
      <w:szCs w:val="21"/>
      <w:lang w:val="en-US" w:eastAsia="zh-CN" w:bidi="ar-SA"/>
    </w:rPr>
  </w:style>
  <w:style w:type="character" w:customStyle="1" w:styleId="233">
    <w:name w:val="No Spacing Char"/>
    <w:link w:val="232"/>
    <w:qFormat/>
    <w:locked/>
    <w:uiPriority w:val="0"/>
    <w:rPr>
      <w:rFonts w:ascii="Calibri" w:hAnsi="Calibri" w:eastAsia="宋体" w:cs="Times New Roman"/>
      <w:kern w:val="0"/>
      <w:sz w:val="22"/>
      <w:szCs w:val="21"/>
    </w:rPr>
  </w:style>
  <w:style w:type="table" w:customStyle="1" w:styleId="234">
    <w:name w:val="网格型2"/>
    <w:basedOn w:val="63"/>
    <w:qFormat/>
    <w:uiPriority w:val="59"/>
    <w:pPr>
      <w:widowControl w:val="0"/>
      <w:spacing w:line="360" w:lineRule="auto"/>
      <w:ind w:firstLine="200" w:firstLineChars="20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35">
    <w:name w:val="表格正文 Char"/>
    <w:link w:val="198"/>
    <w:qFormat/>
    <w:uiPriority w:val="0"/>
    <w:rPr>
      <w:rFonts w:ascii="Times New Roman" w:hAnsi="Times New Roman" w:eastAsia="Times New Roman" w:cs="Times New Roman"/>
      <w:szCs w:val="24"/>
    </w:rPr>
  </w:style>
  <w:style w:type="character" w:customStyle="1" w:styleId="236">
    <w:name w:val="报告书正文 Char2"/>
    <w:qFormat/>
    <w:uiPriority w:val="0"/>
    <w:rPr>
      <w:rFonts w:eastAsia="宋体"/>
      <w:sz w:val="24"/>
    </w:rPr>
  </w:style>
  <w:style w:type="table" w:customStyle="1" w:styleId="237">
    <w:name w:val="网格型3"/>
    <w:basedOn w:val="63"/>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
    <w:name w:val="网格型11"/>
    <w:basedOn w:val="63"/>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
    <w:name w:val="网格型21"/>
    <w:basedOn w:val="63"/>
    <w:qFormat/>
    <w:uiPriority w:val="0"/>
    <w:pPr>
      <w:widowControl w:val="0"/>
      <w:spacing w:line="360" w:lineRule="auto"/>
      <w:ind w:firstLine="200" w:firstLineChars="20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
    <w:name w:val="网格型4"/>
    <w:basedOn w:val="63"/>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41">
    <w:name w:val="标题 Char1"/>
    <w:basedOn w:val="65"/>
    <w:qFormat/>
    <w:uiPriority w:val="10"/>
    <w:rPr>
      <w:rFonts w:ascii="Cambria" w:hAnsi="Cambria" w:eastAsia="宋体" w:cs="Times New Roman"/>
      <w:b/>
      <w:bCs/>
      <w:sz w:val="32"/>
      <w:szCs w:val="32"/>
    </w:rPr>
  </w:style>
  <w:style w:type="character" w:customStyle="1" w:styleId="242">
    <w:name w:val="副标题 Char1"/>
    <w:basedOn w:val="65"/>
    <w:qFormat/>
    <w:uiPriority w:val="11"/>
    <w:rPr>
      <w:rFonts w:ascii="Cambria" w:hAnsi="Cambria" w:eastAsia="宋体" w:cs="Times New Roman"/>
      <w:b/>
      <w:bCs/>
      <w:kern w:val="28"/>
      <w:sz w:val="32"/>
      <w:szCs w:val="32"/>
    </w:rPr>
  </w:style>
  <w:style w:type="paragraph" w:customStyle="1" w:styleId="243">
    <w:name w:val="报告格式-正文"/>
    <w:basedOn w:val="1"/>
    <w:qFormat/>
    <w:uiPriority w:val="0"/>
    <w:pPr>
      <w:widowControl/>
      <w:jc w:val="center"/>
    </w:pPr>
    <w:rPr>
      <w:rFonts w:ascii="华文中宋" w:hAnsi="华文中宋" w:eastAsia="华文中宋" w:cs="宋体"/>
      <w:color w:val="000000"/>
      <w:kern w:val="0"/>
      <w:szCs w:val="21"/>
    </w:rPr>
  </w:style>
  <w:style w:type="paragraph" w:customStyle="1" w:styleId="244">
    <w:name w:val="表格字体"/>
    <w:qFormat/>
    <w:uiPriority w:val="0"/>
    <w:pPr>
      <w:spacing w:line="320" w:lineRule="exact"/>
      <w:jc w:val="center"/>
    </w:pPr>
    <w:rPr>
      <w:rFonts w:ascii="Times New Roman" w:hAnsi="Times New Roman" w:eastAsia="华文中宋" w:cs="Times New Roman"/>
      <w:kern w:val="2"/>
      <w:sz w:val="21"/>
      <w:szCs w:val="21"/>
      <w:lang w:val="en-US" w:eastAsia="zh-CN" w:bidi="ar-SA"/>
    </w:rPr>
  </w:style>
  <w:style w:type="character" w:customStyle="1" w:styleId="245">
    <w:name w:val="单项编号 Char"/>
    <w:link w:val="246"/>
    <w:qFormat/>
    <w:locked/>
    <w:uiPriority w:val="0"/>
    <w:rPr>
      <w:sz w:val="24"/>
      <w:szCs w:val="24"/>
    </w:rPr>
  </w:style>
  <w:style w:type="paragraph" w:customStyle="1" w:styleId="246">
    <w:name w:val="单项编号"/>
    <w:basedOn w:val="1"/>
    <w:link w:val="245"/>
    <w:qFormat/>
    <w:uiPriority w:val="0"/>
    <w:pPr>
      <w:numPr>
        <w:ilvl w:val="0"/>
        <w:numId w:val="2"/>
      </w:numPr>
      <w:spacing w:line="360" w:lineRule="auto"/>
      <w:ind w:left="0" w:firstLine="0"/>
    </w:pPr>
    <w:rPr>
      <w:rFonts w:asciiTheme="minorHAnsi" w:hAnsiTheme="minorHAnsi" w:eastAsiaTheme="minorEastAsia" w:cstheme="minorBidi"/>
      <w:sz w:val="24"/>
    </w:rPr>
  </w:style>
  <w:style w:type="character" w:customStyle="1" w:styleId="247">
    <w:name w:val="报告正文 Char"/>
    <w:link w:val="130"/>
    <w:qFormat/>
    <w:locked/>
    <w:uiPriority w:val="0"/>
    <w:rPr>
      <w:rFonts w:ascii="Times New Roman" w:hAnsi="Times New Roman" w:eastAsia="宋体" w:cs="Times New Roman"/>
      <w:sz w:val="24"/>
      <w:szCs w:val="21"/>
    </w:rPr>
  </w:style>
  <w:style w:type="paragraph" w:customStyle="1" w:styleId="248">
    <w:name w:val="表格 32"/>
    <w:basedOn w:val="1"/>
    <w:qFormat/>
    <w:uiPriority w:val="0"/>
    <w:pPr>
      <w:autoSpaceDE w:val="0"/>
      <w:autoSpaceDN w:val="0"/>
      <w:adjustRightInd w:val="0"/>
      <w:spacing w:line="360" w:lineRule="auto"/>
      <w:jc w:val="center"/>
    </w:pPr>
    <w:rPr>
      <w:rFonts w:eastAsia="楷体_GB2312"/>
      <w:kern w:val="0"/>
      <w:sz w:val="24"/>
      <w:szCs w:val="20"/>
    </w:rPr>
  </w:style>
  <w:style w:type="character" w:customStyle="1" w:styleId="249">
    <w:name w:val="表格正文 Char Char"/>
    <w:qFormat/>
    <w:locked/>
    <w:uiPriority w:val="0"/>
    <w:rPr>
      <w:rFonts w:ascii="Times New Roman" w:hAnsi="Times New Roman" w:cs="Times New Roman"/>
      <w:szCs w:val="24"/>
    </w:rPr>
  </w:style>
  <w:style w:type="table" w:customStyle="1" w:styleId="250">
    <w:name w:val="网格型模版1"/>
    <w:basedOn w:val="63"/>
    <w:qFormat/>
    <w:uiPriority w:val="0"/>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1">
    <w:name w:val="表题图题"/>
    <w:qFormat/>
    <w:uiPriority w:val="0"/>
    <w:pPr>
      <w:adjustRightInd w:val="0"/>
      <w:snapToGrid w:val="0"/>
      <w:spacing w:line="500" w:lineRule="exact"/>
      <w:jc w:val="center"/>
    </w:pPr>
    <w:rPr>
      <w:rFonts w:ascii="Times New Roman" w:hAnsi="Times New Roman" w:eastAsia="黑体" w:cstheme="minorBidi"/>
      <w:kern w:val="2"/>
      <w:sz w:val="24"/>
      <w:szCs w:val="22"/>
      <w:lang w:val="en-US" w:eastAsia="zh-CN" w:bidi="ar-SA"/>
    </w:rPr>
  </w:style>
  <w:style w:type="paragraph" w:customStyle="1" w:styleId="252">
    <w:name w:val="表头x"/>
    <w:qFormat/>
    <w:uiPriority w:val="0"/>
    <w:pPr>
      <w:spacing w:before="120"/>
      <w:jc w:val="center"/>
    </w:pPr>
    <w:rPr>
      <w:rFonts w:ascii="Times New Roman" w:hAnsi="Times New Roman" w:eastAsia="黑体" w:cs="宋体"/>
      <w:bCs/>
      <w:kern w:val="24"/>
      <w:sz w:val="24"/>
      <w:szCs w:val="20"/>
      <w:lang w:val="en-US" w:eastAsia="zh-CN" w:bidi="ar-SA"/>
    </w:rPr>
  </w:style>
  <w:style w:type="table" w:customStyle="1" w:styleId="253">
    <w:name w:val="表格格式——kerlin1"/>
    <w:basedOn w:val="63"/>
    <w:qFormat/>
    <w:uiPriority w:val="0"/>
    <w:rPr>
      <w:rFonts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254">
    <w:name w:val="表内容@"/>
    <w:basedOn w:val="1"/>
    <w:qFormat/>
    <w:uiPriority w:val="0"/>
    <w:pPr>
      <w:adjustRightInd w:val="0"/>
      <w:jc w:val="center"/>
    </w:pPr>
    <w:rPr>
      <w:rFonts w:ascii="宋体" w:hAnsi="宋体" w:cs="Arial"/>
      <w:szCs w:val="21"/>
    </w:rPr>
  </w:style>
  <w:style w:type="paragraph" w:customStyle="1" w:styleId="255">
    <w:name w:val="内表格"/>
    <w:basedOn w:val="1"/>
    <w:qFormat/>
    <w:uiPriority w:val="0"/>
    <w:pPr>
      <w:widowControl/>
      <w:jc w:val="center"/>
    </w:pPr>
    <w:rPr>
      <w:rFonts w:ascii="宋体" w:hAnsi="宋体"/>
      <w:kern w:val="0"/>
      <w:szCs w:val="21"/>
      <w:lang w:eastAsia="en-US" w:bidi="en-US"/>
    </w:rPr>
  </w:style>
  <w:style w:type="character" w:customStyle="1" w:styleId="256">
    <w:name w:val="题注 字符"/>
    <w:link w:val="17"/>
    <w:uiPriority w:val="0"/>
    <w:rPr>
      <w:rFonts w:eastAsia="黑体" w:asciiTheme="majorHAnsi" w:hAnsiTheme="majorHAnsi" w:cstheme="majorBidi"/>
      <w:sz w:val="20"/>
      <w:szCs w:val="20"/>
    </w:rPr>
  </w:style>
  <w:style w:type="paragraph" w:customStyle="1" w:styleId="257">
    <w:name w:val="表格格式"/>
    <w:basedOn w:val="1"/>
    <w:qFormat/>
    <w:uiPriority w:val="0"/>
    <w:pPr>
      <w:jc w:val="center"/>
    </w:pPr>
    <w:rPr>
      <w:rFonts w:cs="宋体"/>
      <w:kern w:val="0"/>
      <w:szCs w:val="20"/>
    </w:rPr>
  </w:style>
  <w:style w:type="character" w:customStyle="1" w:styleId="258">
    <w:name w:val="图表名 Char Char"/>
    <w:link w:val="230"/>
    <w:qFormat/>
    <w:uiPriority w:val="0"/>
    <w:rPr>
      <w:rFonts w:ascii="Calibri" w:hAnsi="Calibri" w:eastAsia="黑体" w:cs="Times New Roman"/>
      <w:sz w:val="24"/>
    </w:rPr>
  </w:style>
  <w:style w:type="table" w:customStyle="1" w:styleId="259">
    <w:name w:val="网格型52"/>
    <w:basedOn w:val="63"/>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
    <w:name w:val="网格型42"/>
    <w:basedOn w:val="63"/>
    <w:qFormat/>
    <w:uiPriority w:val="5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61">
    <w:name w:val="不明显参考1"/>
    <w:basedOn w:val="65"/>
    <w:qFormat/>
    <w:uiPriority w:val="0"/>
    <w:rPr>
      <w:smallCaps/>
      <w:color w:val="C0504D"/>
      <w:u w:val="single"/>
    </w:rPr>
  </w:style>
  <w:style w:type="paragraph" w:customStyle="1" w:styleId="262">
    <w:name w:val="表图题目"/>
    <w:basedOn w:val="85"/>
    <w:link w:val="263"/>
    <w:qFormat/>
    <w:uiPriority w:val="0"/>
    <w:pPr>
      <w:spacing w:line="360" w:lineRule="auto"/>
      <w:ind w:firstLine="0" w:firstLineChars="0"/>
      <w:jc w:val="center"/>
    </w:pPr>
    <w:rPr>
      <w:rFonts w:eastAsia="黑体"/>
    </w:rPr>
  </w:style>
  <w:style w:type="character" w:customStyle="1" w:styleId="263">
    <w:name w:val="表图题目 Char"/>
    <w:basedOn w:val="86"/>
    <w:link w:val="262"/>
    <w:qFormat/>
    <w:uiPriority w:val="0"/>
    <w:rPr>
      <w:rFonts w:ascii="Times New Roman" w:hAnsi="Times New Roman" w:eastAsia="黑体" w:cs="Times New Roman"/>
      <w:sz w:val="24"/>
      <w:szCs w:val="24"/>
    </w:rPr>
  </w:style>
  <w:style w:type="character" w:customStyle="1" w:styleId="264">
    <w:name w:val="正文文本 字符"/>
    <w:basedOn w:val="65"/>
    <w:link w:val="24"/>
    <w:qFormat/>
    <w:uiPriority w:val="1"/>
    <w:rPr>
      <w:rFonts w:ascii="宋体" w:hAnsi="宋体" w:eastAsia="宋体" w:cs="宋体"/>
      <w:kern w:val="0"/>
      <w:sz w:val="24"/>
      <w:szCs w:val="24"/>
      <w:lang w:val="zh-CN" w:bidi="zh-CN"/>
    </w:rPr>
  </w:style>
  <w:style w:type="table" w:customStyle="1" w:styleId="265">
    <w:name w:val="Table Normal"/>
    <w:semiHidden/>
    <w:unhideWhenUsed/>
    <w:qFormat/>
    <w:uiPriority w:val="2"/>
    <w:pPr>
      <w:widowControl w:val="0"/>
      <w:autoSpaceDE w:val="0"/>
      <w:autoSpaceDN w:val="0"/>
    </w:pPr>
    <w:rPr>
      <w:kern w:val="0"/>
      <w:sz w:val="22"/>
      <w:lang w:eastAsia="en-US"/>
    </w:rPr>
    <w:tblPr>
      <w:tblCellMar>
        <w:top w:w="0" w:type="dxa"/>
        <w:left w:w="0" w:type="dxa"/>
        <w:bottom w:w="0" w:type="dxa"/>
        <w:right w:w="0" w:type="dxa"/>
      </w:tblCellMar>
    </w:tblPr>
  </w:style>
  <w:style w:type="paragraph" w:customStyle="1" w:styleId="266">
    <w:name w:val="Table Paragraph"/>
    <w:basedOn w:val="1"/>
    <w:qFormat/>
    <w:uiPriority w:val="0"/>
    <w:pPr>
      <w:autoSpaceDE w:val="0"/>
      <w:autoSpaceDN w:val="0"/>
      <w:jc w:val="center"/>
    </w:pPr>
    <w:rPr>
      <w:rFonts w:eastAsia="Times New Roman"/>
      <w:kern w:val="0"/>
      <w:sz w:val="22"/>
      <w:szCs w:val="22"/>
      <w:lang w:val="zh-CN" w:bidi="zh-CN"/>
    </w:rPr>
  </w:style>
  <w:style w:type="character" w:styleId="267">
    <w:name w:val="Placeholder Text"/>
    <w:basedOn w:val="65"/>
    <w:semiHidden/>
    <w:qFormat/>
    <w:uiPriority w:val="99"/>
    <w:rPr>
      <w:color w:val="808080"/>
    </w:rPr>
  </w:style>
  <w:style w:type="character" w:customStyle="1" w:styleId="268">
    <w:name w:val="fontstyle01"/>
    <w:basedOn w:val="65"/>
    <w:qFormat/>
    <w:uiPriority w:val="0"/>
    <w:rPr>
      <w:rFonts w:hint="default" w:ascii="FZSSK--GBK1-0" w:hAnsi="FZSSK--GBK1-0"/>
      <w:color w:val="000000"/>
      <w:sz w:val="22"/>
      <w:szCs w:val="22"/>
    </w:rPr>
  </w:style>
  <w:style w:type="character" w:customStyle="1" w:styleId="269">
    <w:name w:val="fontstyle21"/>
    <w:basedOn w:val="65"/>
    <w:qFormat/>
    <w:uiPriority w:val="0"/>
    <w:rPr>
      <w:rFonts w:hint="default" w:ascii="DejaVuSans" w:hAnsi="DejaVuSans"/>
      <w:color w:val="000000"/>
      <w:sz w:val="22"/>
      <w:szCs w:val="22"/>
    </w:rPr>
  </w:style>
  <w:style w:type="character" w:customStyle="1" w:styleId="270">
    <w:name w:val="fontstyle11"/>
    <w:basedOn w:val="65"/>
    <w:qFormat/>
    <w:uiPriority w:val="0"/>
    <w:rPr>
      <w:rFonts w:hint="default" w:ascii="DejaVuSans" w:hAnsi="DejaVuSans"/>
      <w:color w:val="000000"/>
      <w:sz w:val="22"/>
      <w:szCs w:val="22"/>
    </w:rPr>
  </w:style>
  <w:style w:type="paragraph" w:customStyle="1" w:styleId="271">
    <w:name w:val="正文（吴昊）"/>
    <w:basedOn w:val="1"/>
    <w:qFormat/>
    <w:uiPriority w:val="0"/>
    <w:pPr>
      <w:widowControl/>
      <w:spacing w:line="500" w:lineRule="exact"/>
      <w:ind w:right="-120" w:rightChars="-50" w:firstLine="480" w:firstLineChars="200"/>
    </w:pPr>
    <w:rPr>
      <w:rFonts w:ascii="宋体" w:hAnsi="宋体"/>
      <w:kern w:val="0"/>
      <w:sz w:val="24"/>
      <w:lang w:val="zh-CN"/>
    </w:rPr>
  </w:style>
  <w:style w:type="table" w:customStyle="1" w:styleId="272">
    <w:name w:val="网格型5"/>
    <w:basedOn w:val="63"/>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73">
    <w:name w:val="标题 Char2"/>
    <w:qFormat/>
    <w:uiPriority w:val="10"/>
    <w:rPr>
      <w:rFonts w:ascii="Times New Roman" w:hAnsi="Times New Roman" w:eastAsia="黑体"/>
      <w:bCs/>
      <w:kern w:val="2"/>
      <w:sz w:val="24"/>
      <w:szCs w:val="32"/>
    </w:rPr>
  </w:style>
  <w:style w:type="character" w:customStyle="1" w:styleId="274">
    <w:name w:val="font11"/>
    <w:basedOn w:val="65"/>
    <w:qFormat/>
    <w:uiPriority w:val="0"/>
    <w:rPr>
      <w:rFonts w:hint="eastAsia" w:ascii="宋体" w:hAnsi="宋体" w:eastAsia="宋体" w:cs="宋体"/>
      <w:color w:val="000000"/>
      <w:sz w:val="20"/>
      <w:szCs w:val="20"/>
      <w:u w:val="none"/>
      <w:vertAlign w:val="superscript"/>
    </w:rPr>
  </w:style>
  <w:style w:type="character" w:customStyle="1" w:styleId="275">
    <w:name w:val="font01"/>
    <w:basedOn w:val="65"/>
    <w:uiPriority w:val="0"/>
    <w:rPr>
      <w:rFonts w:hint="eastAsia" w:ascii="宋体" w:hAnsi="宋体" w:eastAsia="宋体" w:cs="宋体"/>
      <w:color w:val="000000"/>
      <w:sz w:val="20"/>
      <w:szCs w:val="20"/>
      <w:u w:val="none"/>
    </w:rPr>
  </w:style>
  <w:style w:type="table" w:customStyle="1" w:styleId="276">
    <w:name w:val="网格型6"/>
    <w:basedOn w:val="63"/>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
    <w:name w:val="网格型（pxg）1"/>
    <w:basedOn w:val="63"/>
    <w:qFormat/>
    <w:uiPriority w:val="3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78">
    <w:name w:val="正"/>
    <w:basedOn w:val="1"/>
    <w:link w:val="279"/>
    <w:qFormat/>
    <w:uiPriority w:val="0"/>
    <w:pPr>
      <w:spacing w:line="360" w:lineRule="auto"/>
      <w:ind w:firstLine="200" w:firstLineChars="200"/>
    </w:pPr>
    <w:rPr>
      <w:sz w:val="24"/>
      <w:szCs w:val="21"/>
    </w:rPr>
  </w:style>
  <w:style w:type="character" w:customStyle="1" w:styleId="279">
    <w:name w:val="正 Char"/>
    <w:link w:val="278"/>
    <w:qFormat/>
    <w:uiPriority w:val="0"/>
    <w:rPr>
      <w:rFonts w:ascii="Times New Roman" w:hAnsi="Times New Roman" w:eastAsia="宋体" w:cs="Times New Roman"/>
      <w:sz w:val="24"/>
      <w:szCs w:val="21"/>
    </w:rPr>
  </w:style>
  <w:style w:type="table" w:customStyle="1" w:styleId="280">
    <w:name w:val="网格型（pxg）2"/>
    <w:basedOn w:val="63"/>
    <w:qFormat/>
    <w:uiPriority w:val="3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
    <w:name w:val="网格型（pxg）3"/>
    <w:basedOn w:val="63"/>
    <w:qFormat/>
    <w:uiPriority w:val="3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
    <w:name w:val="网格型（pxg）4"/>
    <w:basedOn w:val="63"/>
    <w:qFormat/>
    <w:uiPriority w:val="3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
    <w:name w:val="网格型（pxg）5"/>
    <w:basedOn w:val="63"/>
    <w:qFormat/>
    <w:uiPriority w:val="3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
    <w:name w:val="网格型（pxg）6"/>
    <w:basedOn w:val="63"/>
    <w:qFormat/>
    <w:uiPriority w:val="3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
    <w:name w:val="网格型（pxg）7"/>
    <w:basedOn w:val="63"/>
    <w:qFormat/>
    <w:uiPriority w:val="3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
    <w:name w:val="网格型（pxg）8"/>
    <w:basedOn w:val="63"/>
    <w:qFormat/>
    <w:uiPriority w:val="3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
    <w:name w:val="网格型（pxg）9"/>
    <w:basedOn w:val="63"/>
    <w:qFormat/>
    <w:uiPriority w:val="3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
    <w:name w:val="网格型（pxg）10"/>
    <w:basedOn w:val="63"/>
    <w:qFormat/>
    <w:uiPriority w:val="3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
    <w:name w:val="网格型（pxg）11"/>
    <w:basedOn w:val="63"/>
    <w:qFormat/>
    <w:uiPriority w:val="3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
    <w:name w:val="网格型（pxg）12"/>
    <w:basedOn w:val="63"/>
    <w:qFormat/>
    <w:uiPriority w:val="3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
    <w:name w:val="网格型（pxg）13"/>
    <w:basedOn w:val="63"/>
    <w:qFormat/>
    <w:uiPriority w:val="3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
    <w:name w:val="网格型（pxg）14"/>
    <w:basedOn w:val="63"/>
    <w:qFormat/>
    <w:uiPriority w:val="3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
    <w:name w:val="网格型（pxg）15"/>
    <w:basedOn w:val="63"/>
    <w:qFormat/>
    <w:uiPriority w:val="3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
    <w:name w:val="网格型（pxg）16"/>
    <w:basedOn w:val="63"/>
    <w:qFormat/>
    <w:uiPriority w:val="3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
    <w:name w:val="网格型（pxg）17"/>
    <w:basedOn w:val="63"/>
    <w:qFormat/>
    <w:uiPriority w:val="3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
    <w:name w:val="网格型（pxg）18"/>
    <w:basedOn w:val="63"/>
    <w:qFormat/>
    <w:uiPriority w:val="3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
    <w:name w:val="网格型（pxg）19"/>
    <w:basedOn w:val="63"/>
    <w:qFormat/>
    <w:uiPriority w:val="3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
    <w:name w:val="网格型（pxg）20"/>
    <w:basedOn w:val="63"/>
    <w:qFormat/>
    <w:uiPriority w:val="3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
    <w:name w:val="网格型（pxg）21"/>
    <w:basedOn w:val="63"/>
    <w:qFormat/>
    <w:uiPriority w:val="3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
    <w:name w:val="网格型（pxg）22"/>
    <w:basedOn w:val="63"/>
    <w:qFormat/>
    <w:uiPriority w:val="3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
    <w:name w:val="网格型（pxg）23"/>
    <w:basedOn w:val="63"/>
    <w:qFormat/>
    <w:uiPriority w:val="3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
    <w:name w:val="网格型（pxg）24"/>
    <w:basedOn w:val="63"/>
    <w:qFormat/>
    <w:uiPriority w:val="3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
    <w:name w:val="网格型（pxg）25"/>
    <w:basedOn w:val="63"/>
    <w:qFormat/>
    <w:uiPriority w:val="3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
    <w:name w:val="网格型（pxg）26"/>
    <w:basedOn w:val="63"/>
    <w:qFormat/>
    <w:uiPriority w:val="3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
    <w:name w:val="网格型（pxg）27"/>
    <w:basedOn w:val="63"/>
    <w:qFormat/>
    <w:uiPriority w:val="3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
    <w:name w:val="网格型（pxg）28"/>
    <w:basedOn w:val="63"/>
    <w:qFormat/>
    <w:uiPriority w:val="3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07">
    <w:name w:val="1表格内容"/>
    <w:basedOn w:val="1"/>
    <w:link w:val="308"/>
    <w:qFormat/>
    <w:uiPriority w:val="0"/>
    <w:pPr>
      <w:widowControl/>
      <w:adjustRightInd w:val="0"/>
      <w:snapToGrid w:val="0"/>
      <w:spacing w:line="240" w:lineRule="exact"/>
      <w:jc w:val="center"/>
      <w:textAlignment w:val="baseline"/>
    </w:pPr>
    <w:rPr>
      <w:rFonts w:eastAsiaTheme="minorEastAsia" w:cstheme="minorBidi"/>
      <w:snapToGrid w:val="0"/>
      <w:szCs w:val="28"/>
      <w:lang w:val="zh-CN"/>
    </w:rPr>
  </w:style>
  <w:style w:type="character" w:customStyle="1" w:styleId="308">
    <w:name w:val="1表格内容 Char"/>
    <w:link w:val="307"/>
    <w:qFormat/>
    <w:uiPriority w:val="0"/>
    <w:rPr>
      <w:rFonts w:ascii="Times New Roman" w:hAnsi="Times New Roman"/>
      <w:snapToGrid w:val="0"/>
      <w:szCs w:val="28"/>
      <w:lang w:val="zh-CN"/>
    </w:rPr>
  </w:style>
  <w:style w:type="paragraph" w:customStyle="1" w:styleId="309">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310">
    <w:name w:val="font5"/>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311">
    <w:name w:val="font6"/>
    <w:basedOn w:val="1"/>
    <w:qFormat/>
    <w:uiPriority w:val="0"/>
    <w:pPr>
      <w:widowControl/>
      <w:spacing w:before="100" w:beforeAutospacing="1" w:after="100" w:afterAutospacing="1"/>
      <w:jc w:val="left"/>
    </w:pPr>
    <w:rPr>
      <w:color w:val="000000"/>
      <w:kern w:val="0"/>
      <w:szCs w:val="21"/>
    </w:rPr>
  </w:style>
  <w:style w:type="paragraph" w:customStyle="1" w:styleId="312">
    <w:name w:val="font7"/>
    <w:basedOn w:val="1"/>
    <w:qFormat/>
    <w:uiPriority w:val="0"/>
    <w:pPr>
      <w:widowControl/>
      <w:spacing w:before="100" w:beforeAutospacing="1" w:after="100" w:afterAutospacing="1"/>
      <w:jc w:val="left"/>
    </w:pPr>
    <w:rPr>
      <w:color w:val="000000"/>
      <w:kern w:val="0"/>
      <w:szCs w:val="21"/>
    </w:rPr>
  </w:style>
  <w:style w:type="paragraph" w:customStyle="1" w:styleId="313">
    <w:name w:val="font8"/>
    <w:basedOn w:val="1"/>
    <w:qFormat/>
    <w:uiPriority w:val="0"/>
    <w:pPr>
      <w:widowControl/>
      <w:spacing w:before="100" w:beforeAutospacing="1" w:after="100" w:afterAutospacing="1"/>
      <w:jc w:val="left"/>
    </w:pPr>
    <w:rPr>
      <w:rFonts w:ascii="宋体" w:hAnsi="宋体" w:cs="宋体"/>
      <w:color w:val="000000"/>
      <w:kern w:val="0"/>
      <w:szCs w:val="21"/>
    </w:rPr>
  </w:style>
  <w:style w:type="paragraph" w:customStyle="1" w:styleId="314">
    <w:name w:val="font9"/>
    <w:basedOn w:val="1"/>
    <w:uiPriority w:val="0"/>
    <w:pPr>
      <w:widowControl/>
      <w:spacing w:before="100" w:beforeAutospacing="1" w:after="100" w:afterAutospacing="1"/>
      <w:jc w:val="left"/>
    </w:pPr>
    <w:rPr>
      <w:color w:val="000000"/>
      <w:kern w:val="0"/>
      <w:szCs w:val="21"/>
    </w:rPr>
  </w:style>
  <w:style w:type="paragraph" w:customStyle="1" w:styleId="315">
    <w:name w:val="font10"/>
    <w:basedOn w:val="1"/>
    <w:qFormat/>
    <w:uiPriority w:val="0"/>
    <w:pPr>
      <w:widowControl/>
      <w:spacing w:before="100" w:beforeAutospacing="1" w:after="100" w:afterAutospacing="1"/>
      <w:jc w:val="left"/>
    </w:pPr>
    <w:rPr>
      <w:color w:val="00B050"/>
      <w:kern w:val="0"/>
      <w:szCs w:val="21"/>
    </w:rPr>
  </w:style>
  <w:style w:type="paragraph" w:customStyle="1" w:styleId="316">
    <w:name w:val="font12"/>
    <w:basedOn w:val="1"/>
    <w:qFormat/>
    <w:uiPriority w:val="0"/>
    <w:pPr>
      <w:widowControl/>
      <w:spacing w:before="100" w:beforeAutospacing="1" w:after="100" w:afterAutospacing="1"/>
      <w:jc w:val="left"/>
    </w:pPr>
    <w:rPr>
      <w:color w:val="00B050"/>
      <w:kern w:val="0"/>
      <w:szCs w:val="21"/>
    </w:rPr>
  </w:style>
  <w:style w:type="paragraph" w:customStyle="1" w:styleId="317">
    <w:name w:val="font13"/>
    <w:basedOn w:val="1"/>
    <w:qFormat/>
    <w:uiPriority w:val="0"/>
    <w:pPr>
      <w:widowControl/>
      <w:spacing w:before="100" w:beforeAutospacing="1" w:after="100" w:afterAutospacing="1"/>
      <w:jc w:val="left"/>
    </w:pPr>
    <w:rPr>
      <w:kern w:val="0"/>
      <w:szCs w:val="21"/>
    </w:rPr>
  </w:style>
  <w:style w:type="paragraph" w:customStyle="1" w:styleId="318">
    <w:name w:val="font14"/>
    <w:basedOn w:val="1"/>
    <w:qFormat/>
    <w:uiPriority w:val="0"/>
    <w:pPr>
      <w:widowControl/>
      <w:spacing w:before="100" w:beforeAutospacing="1" w:after="100" w:afterAutospacing="1"/>
      <w:jc w:val="left"/>
    </w:pPr>
    <w:rPr>
      <w:rFonts w:ascii="宋体" w:hAnsi="宋体" w:cs="宋体"/>
      <w:kern w:val="0"/>
      <w:szCs w:val="21"/>
    </w:rPr>
  </w:style>
  <w:style w:type="paragraph" w:customStyle="1" w:styleId="319">
    <w:name w:val="font15"/>
    <w:basedOn w:val="1"/>
    <w:qFormat/>
    <w:uiPriority w:val="0"/>
    <w:pPr>
      <w:widowControl/>
      <w:spacing w:before="100" w:beforeAutospacing="1" w:after="100" w:afterAutospacing="1"/>
      <w:jc w:val="left"/>
    </w:pPr>
    <w:rPr>
      <w:color w:val="00B050"/>
      <w:kern w:val="0"/>
      <w:szCs w:val="21"/>
    </w:rPr>
  </w:style>
  <w:style w:type="paragraph" w:customStyle="1" w:styleId="320">
    <w:name w:val="xl65"/>
    <w:basedOn w:val="1"/>
    <w:qFormat/>
    <w:uiPriority w:val="0"/>
    <w:pPr>
      <w:widowControl/>
      <w:spacing w:before="100" w:beforeAutospacing="1" w:after="100" w:afterAutospacing="1"/>
      <w:jc w:val="left"/>
    </w:pPr>
    <w:rPr>
      <w:kern w:val="0"/>
      <w:sz w:val="24"/>
    </w:rPr>
  </w:style>
  <w:style w:type="paragraph" w:customStyle="1" w:styleId="321">
    <w:name w:val="xl66"/>
    <w:basedOn w:val="1"/>
    <w:qFormat/>
    <w:uiPriority w:val="0"/>
    <w:pPr>
      <w:widowControl/>
      <w:pBdr>
        <w:right w:val="single" w:color="auto" w:sz="8" w:space="0"/>
      </w:pBdr>
      <w:spacing w:before="100" w:beforeAutospacing="1" w:after="100" w:afterAutospacing="1"/>
      <w:jc w:val="center"/>
      <w:textAlignment w:val="center"/>
    </w:pPr>
    <w:rPr>
      <w:kern w:val="0"/>
      <w:szCs w:val="21"/>
    </w:rPr>
  </w:style>
  <w:style w:type="paragraph" w:customStyle="1" w:styleId="322">
    <w:name w:val="xl67"/>
    <w:basedOn w:val="1"/>
    <w:qFormat/>
    <w:uiPriority w:val="0"/>
    <w:pPr>
      <w:widowControl/>
      <w:pBdr>
        <w:left w:val="single" w:color="auto" w:sz="8" w:space="0"/>
        <w:right w:val="single" w:color="auto" w:sz="8" w:space="0"/>
      </w:pBdr>
      <w:spacing w:before="100" w:beforeAutospacing="1" w:after="100" w:afterAutospacing="1"/>
      <w:jc w:val="center"/>
      <w:textAlignment w:val="center"/>
    </w:pPr>
    <w:rPr>
      <w:kern w:val="0"/>
      <w:szCs w:val="21"/>
    </w:rPr>
  </w:style>
  <w:style w:type="paragraph" w:customStyle="1" w:styleId="323">
    <w:name w:val="xl68"/>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kern w:val="0"/>
      <w:szCs w:val="21"/>
    </w:rPr>
  </w:style>
  <w:style w:type="paragraph" w:customStyle="1" w:styleId="324">
    <w:name w:val="xl69"/>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textAlignment w:val="center"/>
    </w:pPr>
    <w:rPr>
      <w:kern w:val="0"/>
      <w:szCs w:val="21"/>
    </w:rPr>
  </w:style>
  <w:style w:type="paragraph" w:customStyle="1" w:styleId="325">
    <w:name w:val="xl70"/>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kern w:val="0"/>
      <w:szCs w:val="21"/>
    </w:rPr>
  </w:style>
  <w:style w:type="paragraph" w:customStyle="1" w:styleId="326">
    <w:name w:val="xl71"/>
    <w:basedOn w:val="1"/>
    <w:qFormat/>
    <w:uiPriority w:val="0"/>
    <w:pPr>
      <w:widowControl/>
      <w:pBdr>
        <w:left w:val="single" w:color="auto" w:sz="8" w:space="0"/>
        <w:bottom w:val="single" w:color="auto" w:sz="8" w:space="0"/>
        <w:right w:val="single" w:color="auto" w:sz="8" w:space="0"/>
      </w:pBdr>
      <w:spacing w:before="100" w:beforeAutospacing="1" w:after="100" w:afterAutospacing="1"/>
      <w:jc w:val="left"/>
      <w:textAlignment w:val="center"/>
    </w:pPr>
    <w:rPr>
      <w:kern w:val="0"/>
      <w:sz w:val="24"/>
    </w:rPr>
  </w:style>
  <w:style w:type="paragraph" w:customStyle="1" w:styleId="327">
    <w:name w:val="xl72"/>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color w:val="00B050"/>
      <w:kern w:val="0"/>
      <w:szCs w:val="21"/>
    </w:rPr>
  </w:style>
  <w:style w:type="paragraph" w:customStyle="1" w:styleId="328">
    <w:name w:val="xl73"/>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color w:val="00B050"/>
      <w:kern w:val="0"/>
      <w:szCs w:val="21"/>
    </w:rPr>
  </w:style>
  <w:style w:type="paragraph" w:customStyle="1" w:styleId="329">
    <w:name w:val="xl74"/>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kern w:val="0"/>
      <w:szCs w:val="21"/>
    </w:rPr>
  </w:style>
  <w:style w:type="paragraph" w:customStyle="1" w:styleId="330">
    <w:name w:val="xl75"/>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kern w:val="0"/>
      <w:szCs w:val="21"/>
    </w:rPr>
  </w:style>
  <w:style w:type="paragraph" w:customStyle="1" w:styleId="331">
    <w:name w:val="xl76"/>
    <w:basedOn w:val="1"/>
    <w:qFormat/>
    <w:uiPriority w:val="0"/>
    <w:pPr>
      <w:widowControl/>
      <w:pBdr>
        <w:top w:val="single" w:color="000000" w:sz="8" w:space="0"/>
        <w:left w:val="single" w:color="000000" w:sz="8" w:space="0"/>
        <w:bottom w:val="single" w:color="000000" w:sz="8" w:space="0"/>
        <w:right w:val="single" w:color="000000" w:sz="8" w:space="0"/>
      </w:pBdr>
      <w:spacing w:before="100" w:beforeAutospacing="1" w:after="100" w:afterAutospacing="1"/>
      <w:jc w:val="center"/>
      <w:textAlignment w:val="center"/>
    </w:pPr>
    <w:rPr>
      <w:color w:val="000000"/>
      <w:kern w:val="0"/>
      <w:sz w:val="24"/>
    </w:rPr>
  </w:style>
  <w:style w:type="paragraph" w:customStyle="1" w:styleId="332">
    <w:name w:val="xl77"/>
    <w:basedOn w:val="1"/>
    <w:qFormat/>
    <w:uiPriority w:val="0"/>
    <w:pPr>
      <w:widowControl/>
      <w:pBdr>
        <w:top w:val="single" w:color="auto" w:sz="8" w:space="0"/>
        <w:left w:val="single" w:color="auto" w:sz="8" w:space="0"/>
      </w:pBdr>
      <w:spacing w:before="100" w:beforeAutospacing="1" w:after="100" w:afterAutospacing="1"/>
      <w:jc w:val="center"/>
      <w:textAlignment w:val="center"/>
    </w:pPr>
    <w:rPr>
      <w:kern w:val="0"/>
      <w:szCs w:val="21"/>
    </w:rPr>
  </w:style>
  <w:style w:type="paragraph" w:customStyle="1" w:styleId="333">
    <w:name w:val="xl78"/>
    <w:basedOn w:val="1"/>
    <w:qFormat/>
    <w:uiPriority w:val="0"/>
    <w:pPr>
      <w:widowControl/>
      <w:pBdr>
        <w:top w:val="single" w:color="auto" w:sz="8" w:space="0"/>
      </w:pBdr>
      <w:spacing w:before="100" w:beforeAutospacing="1" w:after="100" w:afterAutospacing="1"/>
      <w:jc w:val="center"/>
      <w:textAlignment w:val="center"/>
    </w:pPr>
    <w:rPr>
      <w:kern w:val="0"/>
      <w:szCs w:val="21"/>
    </w:rPr>
  </w:style>
  <w:style w:type="paragraph" w:customStyle="1" w:styleId="334">
    <w:name w:val="xl79"/>
    <w:basedOn w:val="1"/>
    <w:qFormat/>
    <w:uiPriority w:val="0"/>
    <w:pPr>
      <w:widowControl/>
      <w:pBdr>
        <w:top w:val="single" w:color="auto" w:sz="8" w:space="0"/>
        <w:right w:val="single" w:color="auto" w:sz="8" w:space="0"/>
      </w:pBdr>
      <w:spacing w:before="100" w:beforeAutospacing="1" w:after="100" w:afterAutospacing="1"/>
      <w:jc w:val="center"/>
      <w:textAlignment w:val="center"/>
    </w:pPr>
    <w:rPr>
      <w:kern w:val="0"/>
      <w:szCs w:val="21"/>
    </w:rPr>
  </w:style>
  <w:style w:type="paragraph" w:customStyle="1" w:styleId="335">
    <w:name w:val="xl80"/>
    <w:basedOn w:val="1"/>
    <w:qFormat/>
    <w:uiPriority w:val="0"/>
    <w:pPr>
      <w:widowControl/>
      <w:pBdr>
        <w:left w:val="single" w:color="auto" w:sz="8" w:space="0"/>
      </w:pBdr>
      <w:spacing w:before="100" w:beforeAutospacing="1" w:after="100" w:afterAutospacing="1"/>
      <w:jc w:val="center"/>
      <w:textAlignment w:val="center"/>
    </w:pPr>
    <w:rPr>
      <w:kern w:val="0"/>
      <w:szCs w:val="21"/>
    </w:rPr>
  </w:style>
  <w:style w:type="paragraph" w:customStyle="1" w:styleId="336">
    <w:name w:val="xl81"/>
    <w:basedOn w:val="1"/>
    <w:qFormat/>
    <w:uiPriority w:val="0"/>
    <w:pPr>
      <w:widowControl/>
      <w:spacing w:before="100" w:beforeAutospacing="1" w:after="100" w:afterAutospacing="1"/>
      <w:jc w:val="center"/>
      <w:textAlignment w:val="center"/>
    </w:pPr>
    <w:rPr>
      <w:kern w:val="0"/>
      <w:szCs w:val="21"/>
    </w:rPr>
  </w:style>
  <w:style w:type="paragraph" w:customStyle="1" w:styleId="337">
    <w:name w:val="xl82"/>
    <w:basedOn w:val="1"/>
    <w:qFormat/>
    <w:uiPriority w:val="0"/>
    <w:pPr>
      <w:widowControl/>
      <w:pBdr>
        <w:left w:val="single" w:color="auto" w:sz="8" w:space="0"/>
        <w:bottom w:val="single" w:color="auto" w:sz="8" w:space="0"/>
      </w:pBdr>
      <w:spacing w:before="100" w:beforeAutospacing="1" w:after="100" w:afterAutospacing="1"/>
      <w:jc w:val="center"/>
      <w:textAlignment w:val="center"/>
    </w:pPr>
    <w:rPr>
      <w:kern w:val="0"/>
      <w:szCs w:val="21"/>
    </w:rPr>
  </w:style>
  <w:style w:type="paragraph" w:customStyle="1" w:styleId="338">
    <w:name w:val="xl83"/>
    <w:basedOn w:val="1"/>
    <w:qFormat/>
    <w:uiPriority w:val="0"/>
    <w:pPr>
      <w:widowControl/>
      <w:pBdr>
        <w:bottom w:val="single" w:color="auto" w:sz="8" w:space="0"/>
      </w:pBdr>
      <w:spacing w:before="100" w:beforeAutospacing="1" w:after="100" w:afterAutospacing="1"/>
      <w:jc w:val="center"/>
      <w:textAlignment w:val="center"/>
    </w:pPr>
    <w:rPr>
      <w:kern w:val="0"/>
      <w:szCs w:val="21"/>
    </w:rPr>
  </w:style>
  <w:style w:type="paragraph" w:customStyle="1" w:styleId="339">
    <w:name w:val="xl84"/>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textAlignment w:val="center"/>
    </w:pPr>
    <w:rPr>
      <w:kern w:val="0"/>
      <w:szCs w:val="21"/>
    </w:rPr>
  </w:style>
  <w:style w:type="paragraph" w:customStyle="1" w:styleId="340">
    <w:name w:val="xl85"/>
    <w:basedOn w:val="1"/>
    <w:qFormat/>
    <w:uiPriority w:val="0"/>
    <w:pPr>
      <w:widowControl/>
      <w:pBdr>
        <w:top w:val="single" w:color="auto" w:sz="8" w:space="0"/>
        <w:bottom w:val="single" w:color="auto" w:sz="8" w:space="0"/>
      </w:pBdr>
      <w:spacing w:before="100" w:beforeAutospacing="1" w:after="100" w:afterAutospacing="1"/>
      <w:jc w:val="center"/>
      <w:textAlignment w:val="center"/>
    </w:pPr>
    <w:rPr>
      <w:kern w:val="0"/>
      <w:szCs w:val="21"/>
    </w:rPr>
  </w:style>
  <w:style w:type="paragraph" w:customStyle="1" w:styleId="341">
    <w:name w:val="xl86"/>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kern w:val="0"/>
      <w:szCs w:val="21"/>
    </w:rPr>
  </w:style>
  <w:style w:type="paragraph" w:customStyle="1" w:styleId="342">
    <w:name w:val="xl87"/>
    <w:basedOn w:val="1"/>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kern w:val="0"/>
      <w:szCs w:val="21"/>
    </w:rPr>
  </w:style>
  <w:style w:type="paragraph" w:customStyle="1" w:styleId="343">
    <w:name w:val="xl88"/>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color w:val="00B050"/>
      <w:kern w:val="0"/>
      <w:szCs w:val="21"/>
    </w:rPr>
  </w:style>
  <w:style w:type="paragraph" w:customStyle="1" w:styleId="344">
    <w:name w:val="xl89"/>
    <w:basedOn w:val="1"/>
    <w:qFormat/>
    <w:uiPriority w:val="0"/>
    <w:pPr>
      <w:widowControl/>
      <w:pBdr>
        <w:left w:val="single" w:color="auto" w:sz="8" w:space="0"/>
        <w:right w:val="single" w:color="auto" w:sz="8" w:space="0"/>
      </w:pBdr>
      <w:spacing w:before="100" w:beforeAutospacing="1" w:after="100" w:afterAutospacing="1"/>
      <w:jc w:val="center"/>
      <w:textAlignment w:val="center"/>
    </w:pPr>
    <w:rPr>
      <w:color w:val="00B050"/>
      <w:kern w:val="0"/>
      <w:szCs w:val="21"/>
    </w:rPr>
  </w:style>
  <w:style w:type="paragraph" w:customStyle="1" w:styleId="345">
    <w:name w:val="xl90"/>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color w:val="00B050"/>
      <w:kern w:val="0"/>
      <w:szCs w:val="21"/>
    </w:rPr>
  </w:style>
  <w:style w:type="paragraph" w:customStyle="1" w:styleId="346">
    <w:name w:val="xl91"/>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kern w:val="0"/>
      <w:szCs w:val="21"/>
    </w:rPr>
  </w:style>
  <w:style w:type="paragraph" w:customStyle="1" w:styleId="347">
    <w:name w:val="xl92"/>
    <w:basedOn w:val="1"/>
    <w:qFormat/>
    <w:uiPriority w:val="0"/>
    <w:pPr>
      <w:widowControl/>
      <w:pBdr>
        <w:left w:val="single" w:color="auto" w:sz="8" w:space="0"/>
        <w:right w:val="single" w:color="auto" w:sz="8" w:space="0"/>
      </w:pBdr>
      <w:spacing w:before="100" w:beforeAutospacing="1" w:after="100" w:afterAutospacing="1"/>
      <w:jc w:val="center"/>
      <w:textAlignment w:val="center"/>
    </w:pPr>
    <w:rPr>
      <w:kern w:val="0"/>
      <w:szCs w:val="21"/>
    </w:rPr>
  </w:style>
  <w:style w:type="paragraph" w:customStyle="1" w:styleId="348">
    <w:name w:val="xl93"/>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kern w:val="0"/>
      <w:szCs w:val="21"/>
    </w:rPr>
  </w:style>
  <w:style w:type="paragraph" w:customStyle="1" w:styleId="349">
    <w:name w:val="Revision"/>
    <w:hidden/>
    <w:semiHidden/>
    <w:qFormat/>
    <w:uiPriority w:val="99"/>
    <w:rPr>
      <w:rFonts w:ascii="Times New Roman" w:hAnsi="Times New Roman" w:eastAsia="宋体" w:cs="Times New Roman"/>
      <w:kern w:val="2"/>
      <w:sz w:val="21"/>
      <w:szCs w:val="24"/>
      <w:lang w:val="en-US" w:eastAsia="zh-CN" w:bidi="ar-SA"/>
    </w:rPr>
  </w:style>
  <w:style w:type="table" w:customStyle="1" w:styleId="350">
    <w:name w:val="网格型7"/>
    <w:basedOn w:val="63"/>
    <w:qFormat/>
    <w:uiPriority w:val="3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51">
    <w:name w:val="表格头"/>
    <w:basedOn w:val="1"/>
    <w:next w:val="1"/>
    <w:qFormat/>
    <w:uiPriority w:val="0"/>
    <w:pPr>
      <w:spacing w:line="500" w:lineRule="exact"/>
      <w:jc w:val="center"/>
    </w:pPr>
    <w:rPr>
      <w:rFonts w:eastAsia="黑体"/>
      <w:color w:val="000000"/>
      <w:sz w:val="24"/>
      <w:szCs w:val="20"/>
    </w:rPr>
  </w:style>
  <w:style w:type="paragraph" w:customStyle="1" w:styleId="352">
    <w:name w:val="环评的正文"/>
    <w:basedOn w:val="1"/>
    <w:next w:val="1"/>
    <w:qFormat/>
    <w:uiPriority w:val="0"/>
    <w:pPr>
      <w:spacing w:line="500" w:lineRule="exact"/>
      <w:ind w:firstLine="200" w:firstLineChars="200"/>
    </w:pPr>
    <w:rPr>
      <w:sz w:val="24"/>
      <w:szCs w:val="22"/>
    </w:rPr>
  </w:style>
  <w:style w:type="character" w:customStyle="1" w:styleId="353">
    <w:name w:val="表格内容 字符"/>
    <w:basedOn w:val="65"/>
    <w:link w:val="151"/>
    <w:qFormat/>
    <w:uiPriority w:val="0"/>
    <w:rPr>
      <w:rFonts w:ascii="Arial" w:hAnsi="Arial" w:eastAsia="仿宋_GB2312" w:cs="Times New Roman"/>
      <w:kern w:val="0"/>
      <w:sz w:val="24"/>
      <w:szCs w:val="20"/>
    </w:rPr>
  </w:style>
  <w:style w:type="paragraph" w:customStyle="1" w:styleId="354">
    <w:name w:val="表格首行"/>
    <w:basedOn w:val="80"/>
    <w:link w:val="355"/>
    <w:qFormat/>
    <w:uiPriority w:val="0"/>
    <w:pPr>
      <w:snapToGrid w:val="0"/>
      <w:ind w:firstLine="0" w:firstLineChars="0"/>
      <w:jc w:val="center"/>
    </w:pPr>
    <w:rPr>
      <w:rFonts w:eastAsia="黑体" w:cstheme="minorBidi"/>
      <w:szCs w:val="22"/>
    </w:rPr>
  </w:style>
  <w:style w:type="character" w:customStyle="1" w:styleId="355">
    <w:name w:val="表格首行 字符"/>
    <w:basedOn w:val="65"/>
    <w:link w:val="354"/>
    <w:qFormat/>
    <w:uiPriority w:val="0"/>
    <w:rPr>
      <w:rFonts w:ascii="Times New Roman" w:hAnsi="Times New Roman" w:eastAsia="黑体"/>
    </w:rPr>
  </w:style>
  <w:style w:type="character" w:customStyle="1" w:styleId="356">
    <w:name w:val="图表 Char Char"/>
    <w:link w:val="229"/>
    <w:qFormat/>
    <w:locked/>
    <w:uiPriority w:val="9"/>
    <w:rPr>
      <w:rFonts w:ascii="Times New Roman" w:hAnsi="Times New Roman" w:eastAsia="黑体" w:cs="Times New Roman"/>
      <w:sz w:val="24"/>
      <w:szCs w:val="21"/>
    </w:rPr>
  </w:style>
  <w:style w:type="table" w:customStyle="1" w:styleId="357">
    <w:name w:val="正文+宋体1"/>
    <w:basedOn w:val="63"/>
    <w:qFormat/>
    <w:uiPriority w:val="99"/>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8">
    <w:name w:val="网格型41"/>
    <w:basedOn w:val="63"/>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9">
    <w:name w:val="正文+宋体3"/>
    <w:basedOn w:val="63"/>
    <w:qFormat/>
    <w:uiPriority w:val="0"/>
    <w:rPr>
      <w:rFonts w:ascii="Calibri" w:hAnsi="Calibri" w:eastAsia="Times New Roman"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360">
    <w:name w:val="表格题目"/>
    <w:basedOn w:val="1"/>
    <w:next w:val="1"/>
    <w:qFormat/>
    <w:uiPriority w:val="0"/>
    <w:pPr>
      <w:spacing w:line="500" w:lineRule="exact"/>
      <w:jc w:val="center"/>
    </w:pPr>
    <w:rPr>
      <w:rFonts w:eastAsia="黑体"/>
      <w:color w:val="000000"/>
      <w:sz w:val="24"/>
      <w:szCs w:val="20"/>
    </w:rPr>
  </w:style>
  <w:style w:type="paragraph" w:customStyle="1" w:styleId="361">
    <w:name w:val="正文4"/>
    <w:qFormat/>
    <w:uiPriority w:val="0"/>
    <w:pPr>
      <w:jc w:val="both"/>
    </w:pPr>
    <w:rPr>
      <w:rFonts w:ascii="Calibri" w:hAnsi="Calibri" w:eastAsia="宋体" w:cs="Calibri"/>
      <w:kern w:val="2"/>
      <w:sz w:val="21"/>
      <w:szCs w:val="21"/>
      <w:lang w:val="en-US" w:eastAsia="zh-CN" w:bidi="ar-SA"/>
    </w:rPr>
  </w:style>
  <w:style w:type="table" w:customStyle="1" w:styleId="362">
    <w:name w:val="Table Normal1"/>
    <w:semiHidden/>
    <w:unhideWhenUsed/>
    <w:qFormat/>
    <w:uiPriority w:val="2"/>
    <w:pPr>
      <w:widowControl w:val="0"/>
    </w:pPr>
    <w:rPr>
      <w:kern w:val="0"/>
      <w:sz w:val="22"/>
      <w:lang w:eastAsia="en-US"/>
    </w:rPr>
    <w:tblPr>
      <w:tblCellMar>
        <w:top w:w="0" w:type="dxa"/>
        <w:left w:w="0" w:type="dxa"/>
        <w:bottom w:w="0" w:type="dxa"/>
        <w:right w:w="0" w:type="dxa"/>
      </w:tblCellMar>
    </w:tblPr>
  </w:style>
  <w:style w:type="table" w:customStyle="1" w:styleId="363">
    <w:name w:val="Table Normal2"/>
    <w:semiHidden/>
    <w:unhideWhenUsed/>
    <w:qFormat/>
    <w:uiPriority w:val="2"/>
    <w:pPr>
      <w:widowControl w:val="0"/>
    </w:pPr>
    <w:rPr>
      <w:kern w:val="0"/>
      <w:sz w:val="22"/>
      <w:lang w:eastAsia="en-US"/>
    </w:rPr>
    <w:tblPr>
      <w:tblCellMar>
        <w:top w:w="0" w:type="dxa"/>
        <w:left w:w="0" w:type="dxa"/>
        <w:bottom w:w="0" w:type="dxa"/>
        <w:right w:w="0" w:type="dxa"/>
      </w:tblCellMar>
    </w:tblPr>
  </w:style>
  <w:style w:type="paragraph" w:customStyle="1" w:styleId="364">
    <w:name w:val="Default"/>
    <w:basedOn w:val="109"/>
    <w:qFormat/>
    <w:uiPriority w:val="0"/>
    <w:pPr>
      <w:tabs>
        <w:tab w:val="clear" w:pos="0"/>
        <w:tab w:val="clear" w:pos="360"/>
        <w:tab w:val="clear" w:pos="540"/>
        <w:tab w:val="clear" w:pos="900"/>
      </w:tabs>
      <w:snapToGrid/>
      <w:spacing w:beforeLines="0" w:line="240" w:lineRule="auto"/>
      <w:ind w:firstLine="0" w:firstLineChars="0"/>
      <w:textAlignment w:val="auto"/>
    </w:pPr>
    <w:rPr>
      <w:rFonts w:hAnsi="Courier New" w:cs="宋体"/>
      <w:kern w:val="2"/>
    </w:rPr>
  </w:style>
  <w:style w:type="character" w:customStyle="1" w:styleId="365">
    <w:name w:val="正文文本缩进 字符"/>
    <w:basedOn w:val="65"/>
    <w:link w:val="25"/>
    <w:semiHidden/>
    <w:qFormat/>
    <w:uiPriority w:val="99"/>
    <w:rPr>
      <w:rFonts w:ascii="Times New Roman" w:hAnsi="Times New Roman" w:eastAsia="宋体" w:cs="Times New Roman"/>
      <w:szCs w:val="24"/>
    </w:rPr>
  </w:style>
  <w:style w:type="character" w:customStyle="1" w:styleId="366">
    <w:name w:val="正文文本首行缩进 2 字符"/>
    <w:basedOn w:val="365"/>
    <w:link w:val="62"/>
    <w:semiHidden/>
    <w:qFormat/>
    <w:uiPriority w:val="0"/>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4.wmf"/><Relationship Id="rId40" Type="http://schemas.openxmlformats.org/officeDocument/2006/relationships/oleObject" Target="embeddings/oleObject4.bin"/><Relationship Id="rId4" Type="http://schemas.openxmlformats.org/officeDocument/2006/relationships/footer" Target="footer1.xml"/><Relationship Id="rId39" Type="http://schemas.openxmlformats.org/officeDocument/2006/relationships/image" Target="media/image23.wmf"/><Relationship Id="rId38" Type="http://schemas.openxmlformats.org/officeDocument/2006/relationships/oleObject" Target="embeddings/oleObject3.bin"/><Relationship Id="rId37" Type="http://schemas.openxmlformats.org/officeDocument/2006/relationships/image" Target="media/image22.wmf"/><Relationship Id="rId36" Type="http://schemas.openxmlformats.org/officeDocument/2006/relationships/oleObject" Target="embeddings/oleObject2.bin"/><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jpeg"/><Relationship Id="rId23" Type="http://schemas.openxmlformats.org/officeDocument/2006/relationships/image" Target="media/image9.wmf"/><Relationship Id="rId22" Type="http://schemas.openxmlformats.org/officeDocument/2006/relationships/image" Target="media/image8.png"/><Relationship Id="rId21" Type="http://schemas.openxmlformats.org/officeDocument/2006/relationships/image" Target="media/image7.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66878E-7ADC-48CB-9631-34F155FA09F4}">
  <ds:schemaRefs/>
</ds:datastoreItem>
</file>

<file path=docProps/app.xml><?xml version="1.0" encoding="utf-8"?>
<Properties xmlns="http://schemas.openxmlformats.org/officeDocument/2006/extended-properties" xmlns:vt="http://schemas.openxmlformats.org/officeDocument/2006/docPropsVTypes">
  <Template>Normal.dotm</Template>
  <Pages>197</Pages>
  <Words>703</Words>
  <Characters>879</Characters>
  <Lines>982</Lines>
  <Paragraphs>276</Paragraphs>
  <TotalTime>1</TotalTime>
  <ScaleCrop>false</ScaleCrop>
  <LinksUpToDate>false</LinksUpToDate>
  <CharactersWithSpaces>1092</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2025-05-22T06:10:00Z</dcterms:created>
  <dc:creator>yxl</dc:creator>
  <cp:lastModifiedBy>刘露</cp:lastModifiedBy>
  <cp:lastPrinted>2024-11-22T08:26:00Z</cp:lastPrinted>
  <dcterms:modified xsi:type="dcterms:W3CDTF">2025-05-27T09:13:51Z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622F3DABDC0E40AA86492A5055A6581A_12</vt:lpwstr>
  </property>
</Properties>
</file>